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440" w:lineRule="exact"/>
        <w:jc w:val="center"/>
        <w:rPr>
          <w:rFonts w:ascii="仿宋_GB2312" w:hAnsi="宋体" w:eastAsia="仿宋_GB2312" w:cs="宋体"/>
          <w:b/>
          <w:bCs/>
          <w:color w:val="000000"/>
          <w:kern w:val="0"/>
          <w:sz w:val="28"/>
          <w:szCs w:val="28"/>
        </w:rPr>
      </w:pPr>
      <w:r>
        <w:rPr>
          <w:rFonts w:hint="eastAsia" w:ascii="仿宋_GB2312" w:hAnsi="宋体" w:eastAsia="仿宋_GB2312" w:cs="宋体"/>
          <w:b/>
          <w:bCs/>
          <w:color w:val="000000"/>
          <w:kern w:val="0"/>
          <w:sz w:val="28"/>
          <w:szCs w:val="28"/>
        </w:rPr>
        <w:t xml:space="preserve">乐山市市中区生态环境局关于建设项目环境影响评价文件受理情况的公示 </w:t>
      </w:r>
    </w:p>
    <w:p>
      <w:pPr>
        <w:widowControl/>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rPr>
        <w:t>20</w:t>
      </w:r>
      <w:r>
        <w:rPr>
          <w:rFonts w:hint="eastAsia" w:ascii="宋体" w:hAnsi="宋体" w:cs="宋体"/>
          <w:color w:val="000000"/>
          <w:kern w:val="0"/>
          <w:sz w:val="24"/>
          <w:lang w:val="en-US" w:eastAsia="zh-CN"/>
        </w:rPr>
        <w:t>22</w:t>
      </w:r>
      <w:r>
        <w:rPr>
          <w:rFonts w:hint="eastAsia" w:ascii="宋体" w:hAnsi="宋体" w:cs="宋体"/>
          <w:color w:val="000000"/>
          <w:kern w:val="0"/>
          <w:sz w:val="24"/>
        </w:rPr>
        <w:t>-</w:t>
      </w:r>
      <w:r>
        <w:rPr>
          <w:rFonts w:hint="eastAsia" w:ascii="宋体" w:hAnsi="宋体" w:cs="宋体"/>
          <w:color w:val="000000"/>
          <w:kern w:val="0"/>
          <w:sz w:val="24"/>
          <w:lang w:val="en-US" w:eastAsia="zh-CN"/>
        </w:rPr>
        <w:t>11</w:t>
      </w:r>
      <w:r>
        <w:rPr>
          <w:rFonts w:hint="eastAsia" w:ascii="宋体" w:hAnsi="宋体" w:cs="宋体"/>
          <w:color w:val="000000"/>
          <w:kern w:val="0"/>
          <w:sz w:val="24"/>
        </w:rPr>
        <w:t>-</w:t>
      </w:r>
      <w:r>
        <w:rPr>
          <w:rFonts w:hint="eastAsia" w:ascii="宋体" w:hAnsi="宋体" w:cs="宋体"/>
          <w:color w:val="000000"/>
          <w:kern w:val="0"/>
          <w:sz w:val="24"/>
          <w:lang w:val="en-US" w:eastAsia="zh-CN"/>
        </w:rPr>
        <w:t>3</w:t>
      </w:r>
    </w:p>
    <w:p>
      <w:pPr>
        <w:widowControl/>
        <w:ind w:firstLine="420"/>
        <w:jc w:val="left"/>
        <w:rPr>
          <w:rFonts w:ascii="宋体" w:hAnsi="宋体" w:cs="宋体"/>
          <w:color w:val="000000"/>
          <w:kern w:val="0"/>
          <w:sz w:val="24"/>
        </w:rPr>
      </w:pPr>
      <w:r>
        <w:rPr>
          <w:rFonts w:hint="eastAsia" w:ascii="宋体" w:hAnsi="宋体" w:cs="宋体"/>
          <w:color w:val="000000"/>
          <w:kern w:val="0"/>
          <w:sz w:val="24"/>
        </w:rPr>
        <w:t>根据建设项目环境影响评价审批程序的有关规定，20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11</w:t>
      </w:r>
      <w:r>
        <w:rPr>
          <w:rFonts w:hint="eastAsia" w:ascii="宋体" w:hAnsi="宋体" w:cs="宋体"/>
          <w:color w:val="000000"/>
          <w:kern w:val="0"/>
          <w:sz w:val="24"/>
        </w:rPr>
        <w:t>月</w:t>
      </w:r>
      <w:r>
        <w:rPr>
          <w:rFonts w:hint="eastAsia" w:ascii="宋体" w:hAnsi="宋体" w:cs="宋体"/>
          <w:color w:val="000000"/>
          <w:kern w:val="0"/>
          <w:sz w:val="24"/>
          <w:lang w:val="en-US" w:eastAsia="zh-CN"/>
        </w:rPr>
        <w:t>3</w:t>
      </w:r>
      <w:r>
        <w:rPr>
          <w:rFonts w:hint="eastAsia" w:ascii="宋体" w:hAnsi="宋体" w:cs="宋体"/>
          <w:color w:val="000000"/>
          <w:kern w:val="0"/>
          <w:sz w:val="24"/>
        </w:rPr>
        <w:t>日我局受理</w:t>
      </w:r>
      <w:r>
        <w:rPr>
          <w:rFonts w:hint="eastAsia" w:ascii="宋体" w:hAnsi="宋体" w:cs="宋体"/>
          <w:color w:val="000000"/>
          <w:kern w:val="0"/>
          <w:sz w:val="24"/>
          <w:lang w:val="en-US" w:eastAsia="zh-CN"/>
        </w:rPr>
        <w:t>2</w:t>
      </w:r>
      <w:r>
        <w:rPr>
          <w:rFonts w:hint="eastAsia" w:ascii="宋体" w:hAnsi="宋体" w:cs="宋体"/>
          <w:color w:val="000000"/>
          <w:kern w:val="0"/>
          <w:sz w:val="24"/>
        </w:rPr>
        <w:t>个建设项目环境影响评价文件。现将受理情况予以公示，公示期为20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11</w:t>
      </w:r>
      <w:r>
        <w:rPr>
          <w:rFonts w:hint="eastAsia" w:ascii="宋体" w:hAnsi="宋体" w:cs="宋体"/>
          <w:color w:val="000000"/>
          <w:kern w:val="0"/>
          <w:sz w:val="24"/>
        </w:rPr>
        <w:t>月</w:t>
      </w:r>
      <w:r>
        <w:rPr>
          <w:rFonts w:hint="eastAsia" w:ascii="宋体" w:hAnsi="宋体" w:cs="宋体"/>
          <w:color w:val="000000"/>
          <w:kern w:val="0"/>
          <w:sz w:val="24"/>
          <w:lang w:val="en-US" w:eastAsia="zh-CN"/>
        </w:rPr>
        <w:t>3</w:t>
      </w:r>
      <w:r>
        <w:rPr>
          <w:rFonts w:hint="eastAsia" w:ascii="宋体" w:hAnsi="宋体" w:cs="宋体"/>
          <w:color w:val="000000"/>
          <w:kern w:val="0"/>
          <w:sz w:val="24"/>
        </w:rPr>
        <w:t>日－20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11</w:t>
      </w:r>
      <w:r>
        <w:rPr>
          <w:rFonts w:hint="eastAsia" w:ascii="宋体" w:hAnsi="宋体" w:cs="宋体"/>
          <w:color w:val="000000"/>
          <w:kern w:val="0"/>
          <w:sz w:val="24"/>
        </w:rPr>
        <w:t>月</w:t>
      </w:r>
      <w:r>
        <w:rPr>
          <w:rFonts w:hint="eastAsia" w:ascii="宋体" w:hAnsi="宋体" w:cs="宋体"/>
          <w:color w:val="000000"/>
          <w:kern w:val="0"/>
          <w:sz w:val="24"/>
          <w:lang w:val="en-US" w:eastAsia="zh-CN"/>
        </w:rPr>
        <w:t>15</w:t>
      </w:r>
      <w:r>
        <w:rPr>
          <w:rFonts w:hint="eastAsia" w:ascii="宋体" w:hAnsi="宋体" w:cs="宋体"/>
          <w:color w:val="000000"/>
          <w:kern w:val="0"/>
          <w:sz w:val="24"/>
        </w:rPr>
        <w:t>日（10个工作日）。</w:t>
      </w:r>
    </w:p>
    <w:p>
      <w:pPr>
        <w:widowControl/>
        <w:ind w:firstLine="420"/>
        <w:jc w:val="left"/>
        <w:rPr>
          <w:rFonts w:ascii="宋体" w:hAnsi="宋体" w:cs="宋体"/>
          <w:color w:val="000000"/>
          <w:kern w:val="0"/>
          <w:sz w:val="24"/>
        </w:rPr>
      </w:pPr>
      <w:r>
        <w:rPr>
          <w:rFonts w:hint="eastAsia" w:ascii="宋体" w:hAnsi="宋体" w:cs="宋体"/>
          <w:color w:val="000000"/>
          <w:kern w:val="0"/>
          <w:sz w:val="24"/>
        </w:rPr>
        <w:t>　　联系电话：0833－2103779</w:t>
      </w:r>
    </w:p>
    <w:p>
      <w:pPr>
        <w:widowControl/>
        <w:ind w:firstLine="420"/>
        <w:jc w:val="left"/>
        <w:rPr>
          <w:rFonts w:ascii="宋体" w:hAnsi="宋体" w:cs="宋体"/>
          <w:color w:val="000000"/>
          <w:kern w:val="0"/>
          <w:sz w:val="24"/>
        </w:rPr>
      </w:pPr>
      <w:r>
        <w:rPr>
          <w:rFonts w:hint="eastAsia" w:ascii="宋体" w:hAnsi="宋体" w:cs="宋体"/>
          <w:color w:val="000000"/>
          <w:kern w:val="0"/>
          <w:sz w:val="24"/>
        </w:rPr>
        <w:t>　　传 　 真：0833-2133332</w:t>
      </w:r>
    </w:p>
    <w:p>
      <w:pPr>
        <w:widowControl/>
        <w:ind w:firstLine="420"/>
        <w:jc w:val="left"/>
        <w:rPr>
          <w:rFonts w:ascii="宋体" w:hAnsi="宋体" w:cs="宋体"/>
          <w:color w:val="000000"/>
          <w:kern w:val="0"/>
          <w:sz w:val="24"/>
        </w:rPr>
      </w:pPr>
      <w:r>
        <w:rPr>
          <w:rFonts w:hint="eastAsia" w:ascii="宋体" w:hAnsi="宋体" w:cs="宋体"/>
          <w:color w:val="000000"/>
          <w:kern w:val="0"/>
          <w:sz w:val="24"/>
        </w:rPr>
        <w:t>　　通讯地址：乐山市市中区白燕路830号</w:t>
      </w:r>
    </w:p>
    <w:p>
      <w:pPr>
        <w:widowControl/>
        <w:ind w:firstLine="900" w:firstLineChars="375"/>
        <w:jc w:val="left"/>
        <w:rPr>
          <w:rFonts w:ascii="宋体" w:hAnsi="宋体" w:cs="宋体"/>
          <w:color w:val="000000"/>
          <w:kern w:val="0"/>
          <w:sz w:val="24"/>
        </w:rPr>
      </w:pPr>
      <w:r>
        <w:rPr>
          <w:rFonts w:hint="eastAsia" w:ascii="宋体" w:hAnsi="宋体" w:cs="宋体"/>
          <w:color w:val="000000"/>
          <w:kern w:val="0"/>
          <w:sz w:val="24"/>
        </w:rPr>
        <w:t>邮政编码：614000</w:t>
      </w:r>
    </w:p>
    <w:tbl>
      <w:tblPr>
        <w:tblStyle w:val="39"/>
        <w:tblW w:w="15344" w:type="dxa"/>
        <w:jc w:val="center"/>
        <w:tblLayout w:type="fixed"/>
        <w:tblCellMar>
          <w:top w:w="0" w:type="dxa"/>
          <w:left w:w="0" w:type="dxa"/>
          <w:bottom w:w="0" w:type="dxa"/>
          <w:right w:w="0" w:type="dxa"/>
        </w:tblCellMar>
      </w:tblPr>
      <w:tblGrid>
        <w:gridCol w:w="722"/>
        <w:gridCol w:w="2806"/>
        <w:gridCol w:w="3245"/>
        <w:gridCol w:w="2976"/>
        <w:gridCol w:w="4218"/>
        <w:gridCol w:w="1377"/>
      </w:tblGrid>
      <w:tr>
        <w:tblPrEx>
          <w:tblCellMar>
            <w:top w:w="0" w:type="dxa"/>
            <w:left w:w="0" w:type="dxa"/>
            <w:bottom w:w="0" w:type="dxa"/>
            <w:right w:w="0" w:type="dxa"/>
          </w:tblCellMar>
        </w:tblPrEx>
        <w:trPr>
          <w:cantSplit/>
          <w:trHeight w:val="803"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序号</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项目名称</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建设地点</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建设单位</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环境影响评价机构</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受理日期</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bCs/>
                <w:color w:val="000000"/>
                <w:sz w:val="18"/>
                <w:szCs w:val="18"/>
              </w:rPr>
            </w:pPr>
            <w:r>
              <w:rPr>
                <w:rFonts w:hint="eastAsia"/>
                <w:bCs/>
                <w:color w:val="000000"/>
                <w:sz w:val="18"/>
                <w:szCs w:val="18"/>
              </w:rPr>
              <w:t>1</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rPr>
              <w:t>乐山市市中区引水工程建设项目（一期工程）-岷东片区水资源配置工程</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乐山市市中区岷东片区</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 xml:space="preserve">乐山浩淼生态环境工程有限公司  </w:t>
            </w:r>
          </w:p>
          <w:p>
            <w:pPr>
              <w:rPr>
                <w:rFonts w:hint="eastAsia" w:ascii="Times New Roman" w:hAnsi="Times New Roman" w:cs="Times New Roman"/>
              </w:rPr>
            </w:pPr>
            <w:r>
              <w:rPr>
                <w:rFonts w:hint="eastAsia" w:ascii="Times New Roman" w:hAnsi="Times New Roman" w:cs="Times New Roman"/>
              </w:rPr>
              <w:t xml:space="preserve"> </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eastAsia="zh-CN"/>
              </w:rPr>
              <w:t>乐山市四维环保科技有限责任公司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eastAsia="宋体" w:cs="Times New Roman"/>
                <w:lang w:val="en-US" w:eastAsia="zh-C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2</w:t>
            </w:r>
            <w:r>
              <w:rPr>
                <w:rFonts w:hint="eastAsia" w:ascii="Times New Roman" w:hAnsi="Times New Roman" w:cs="Times New Roman"/>
              </w:rPr>
              <w:t>-</w:t>
            </w:r>
            <w:r>
              <w:rPr>
                <w:rFonts w:hint="eastAsia" w:cs="Times New Roman"/>
                <w:lang w:val="en-US" w:eastAsia="zh-CN"/>
              </w:rPr>
              <w:t>11</w:t>
            </w:r>
            <w:r>
              <w:rPr>
                <w:rFonts w:hint="eastAsia" w:ascii="Times New Roman" w:hAnsi="Times New Roman" w:cs="Times New Roman"/>
              </w:rPr>
              <w:t>-</w:t>
            </w:r>
            <w:r>
              <w:rPr>
                <w:rFonts w:hint="eastAsia" w:cs="Times New Roman"/>
                <w:lang w:val="en-US" w:eastAsia="zh-CN"/>
              </w:rPr>
              <w:t>3</w:t>
            </w:r>
          </w:p>
        </w:tc>
      </w:tr>
      <w:tr>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rFonts w:hint="eastAsia" w:eastAsia="宋体"/>
                <w:bCs/>
                <w:color w:val="000000"/>
                <w:sz w:val="18"/>
                <w:szCs w:val="18"/>
                <w:lang w:val="en-US" w:eastAsia="zh-CN"/>
              </w:rPr>
            </w:pPr>
            <w:r>
              <w:rPr>
                <w:rFonts w:hint="eastAsia"/>
                <w:bCs/>
                <w:color w:val="000000"/>
                <w:sz w:val="18"/>
                <w:szCs w:val="18"/>
                <w:lang w:val="en-US" w:eastAsia="zh-CN"/>
              </w:rPr>
              <w:t>2</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 xml:space="preserve">乐山市市中区引水工程建设项目（二期工程）—高中水库灌区2023-2025年续建配套与节水改造项目       </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乐山市市中区白马镇、青平镇、茅桥镇</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 xml:space="preserve">乐山浩淼生态环境工程有限公司  </w:t>
            </w:r>
          </w:p>
          <w:p>
            <w:pPr>
              <w:rPr>
                <w:rFonts w:hint="eastAsia" w:ascii="Times New Roman" w:hAnsi="Times New Roman" w:cs="Times New Roman"/>
              </w:rPr>
            </w:pPr>
            <w:r>
              <w:rPr>
                <w:rFonts w:hint="eastAsia" w:ascii="Times New Roman" w:hAnsi="Times New Roman" w:cs="Times New Roman"/>
              </w:rPr>
              <w:t xml:space="preserve"> </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eastAsia="zh-CN"/>
              </w:rPr>
            </w:pPr>
            <w:r>
              <w:rPr>
                <w:rFonts w:hint="default" w:ascii="Times New Roman" w:hAnsi="Times New Roman" w:cs="Times New Roman"/>
                <w:lang w:val="en-US" w:eastAsia="zh-CN"/>
              </w:rPr>
              <w:t>乐山市四维环保科技有限责任公司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2</w:t>
            </w:r>
            <w:r>
              <w:rPr>
                <w:rFonts w:hint="eastAsia" w:ascii="Times New Roman" w:hAnsi="Times New Roman" w:cs="Times New Roman"/>
              </w:rPr>
              <w:t>-</w:t>
            </w:r>
            <w:r>
              <w:rPr>
                <w:rFonts w:hint="eastAsia" w:cs="Times New Roman"/>
                <w:lang w:val="en-US" w:eastAsia="zh-CN"/>
              </w:rPr>
              <w:t>11</w:t>
            </w:r>
            <w:r>
              <w:rPr>
                <w:rFonts w:hint="eastAsia" w:ascii="Times New Roman" w:hAnsi="Times New Roman" w:cs="Times New Roman"/>
              </w:rPr>
              <w:t>-</w:t>
            </w:r>
            <w:r>
              <w:rPr>
                <w:rFonts w:hint="eastAsia" w:cs="Times New Roman"/>
                <w:lang w:val="en-US" w:eastAsia="zh-CN"/>
              </w:rPr>
              <w:t>3</w:t>
            </w:r>
          </w:p>
        </w:tc>
      </w:tr>
    </w:tbl>
    <w:p>
      <w:pPr>
        <w:spacing w:line="360" w:lineRule="auto"/>
        <w:rPr>
          <w:color w:val="000000"/>
          <w:sz w:val="72"/>
          <w:szCs w:val="72"/>
        </w:rPr>
        <w:sectPr>
          <w:endnotePr>
            <w:numFmt w:val="decimal"/>
          </w:endnotePr>
          <w:pgSz w:w="16838" w:h="11906" w:orient="landscape"/>
          <w:pgMar w:top="1800" w:right="1440" w:bottom="1800" w:left="1440" w:header="851" w:footer="992" w:gutter="0"/>
          <w:pgNumType w:fmt="numberInDash" w:start="1"/>
          <w:cols w:space="720" w:num="1"/>
          <w:docGrid w:type="lines" w:linePitch="312" w:charSpace="0"/>
        </w:sectPr>
      </w:pPr>
      <w:r>
        <w:rPr>
          <w:rFonts w:hint="eastAsia" w:ascii="宋体" w:hAnsi="宋体" w:cs="宋体"/>
          <w:color w:val="000000"/>
          <w:kern w:val="0"/>
          <w:szCs w:val="21"/>
        </w:rPr>
        <w:t>注：根据《建设项目环境影响评价政府信息公开指南（试行）》的有关规定，上述环境影响报告书、表不含涉及国家秘密、商业秘密、个人隐私以及涉及国家安全、公共安全、经济安全和社会稳定的内容。</w:t>
      </w:r>
    </w:p>
    <w:p>
      <w:pPr>
        <w:rPr>
          <w:rFonts w:hint="eastAsia"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outlineLvl w:val="0"/>
        <w:rPr>
          <w:rFonts w:ascii="华文仿宋" w:hAnsi="华文仿宋" w:eastAsia="华文仿宋" w:cs="华文仿宋"/>
          <w:kern w:val="44"/>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3420" w:hanging="3420" w:hangingChars="950"/>
        <w:rPr>
          <w:rFonts w:hint="eastAsia"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 xml:space="preserve">乐山市市中区引水工程建设项目（一期工程）-岷东片区水资源配置工程 </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 xml:space="preserve"> 乐山浩淼生态环境工程有限公司 </w:t>
      </w:r>
      <w:r>
        <w:rPr>
          <w:rFonts w:ascii="仿宋_GB2312" w:eastAsia="仿宋_GB2312"/>
          <w:sz w:val="36"/>
          <w:szCs w:val="36"/>
          <w:u w:val="single"/>
        </w:rPr>
        <w:t xml:space="preserve">   </w:t>
      </w:r>
    </w:p>
    <w:p>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编制日期 ：</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二</w:t>
      </w:r>
      <w:r>
        <w:rPr>
          <w:rFonts w:hint="eastAsia" w:ascii="微软雅黑" w:hAnsi="微软雅黑" w:eastAsia="微软雅黑" w:cs="微软雅黑"/>
          <w:sz w:val="36"/>
          <w:szCs w:val="36"/>
          <w:u w:val="single"/>
        </w:rPr>
        <w:t>〇</w:t>
      </w:r>
      <w:r>
        <w:rPr>
          <w:rFonts w:hint="eastAsia" w:ascii="仿宋_GB2312" w:eastAsia="仿宋_GB2312"/>
          <w:sz w:val="36"/>
          <w:szCs w:val="36"/>
          <w:u w:val="single"/>
        </w:rPr>
        <w:t xml:space="preserve">二二 年 十一 月 </w:t>
      </w:r>
      <w:r>
        <w:rPr>
          <w:rFonts w:ascii="仿宋_GB2312" w:eastAsia="仿宋_GB2312"/>
          <w:sz w:val="36"/>
          <w:szCs w:val="36"/>
          <w:u w:val="single"/>
        </w:rPr>
        <w:t xml:space="preserve">  </w:t>
      </w:r>
      <w:r>
        <w:rPr>
          <w:rFonts w:ascii="仿宋_GB2312" w:eastAsia="仿宋_GB2312"/>
          <w:sz w:val="32"/>
          <w:szCs w:val="32"/>
          <w:u w:val="single"/>
        </w:rPr>
        <w:t xml:space="preserve">           </w:t>
      </w: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hint="eastAsia" w:ascii="仿宋_GB2312" w:eastAsia="仿宋_GB2312"/>
          <w:sz w:val="36"/>
          <w:szCs w:val="36"/>
        </w:rPr>
        <w:sectPr>
          <w:footerReference r:id="rId3" w:type="default"/>
          <w:footerReference r:id="rId4" w:type="even"/>
          <w:pgSz w:w="11906" w:h="16838"/>
          <w:pgMar w:top="1797" w:right="1440" w:bottom="1797" w:left="1440" w:header="851" w:footer="1077" w:gutter="0"/>
          <w:pgNumType w:start="3"/>
          <w:cols w:space="720" w:num="1"/>
          <w:docGrid w:linePitch="312" w:charSpace="0"/>
        </w:sectPr>
      </w:pPr>
    </w:p>
    <w:p>
      <w:pPr>
        <w:adjustRightInd w:val="0"/>
        <w:snapToGrid w:val="0"/>
        <w:spacing w:line="288" w:lineRule="auto"/>
        <w:ind w:firstLine="1040"/>
        <w:rPr>
          <w:rFonts w:ascii="仿宋_GB2312" w:eastAsia="仿宋_GB2312"/>
          <w:sz w:val="36"/>
          <w:szCs w:val="36"/>
        </w:rPr>
        <w:sectPr>
          <w:pgSz w:w="11906" w:h="16838"/>
          <w:pgMar w:top="1797" w:right="1440" w:bottom="1797" w:left="1440" w:header="851" w:footer="1077" w:gutter="0"/>
          <w:pgNumType w:start="3"/>
          <w:cols w:space="720" w:num="1"/>
          <w:docGrid w:linePitch="312" w:charSpace="0"/>
        </w:sectPr>
      </w:pPr>
    </w:p>
    <w:p>
      <w:pPr>
        <w:pStyle w:val="34"/>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39"/>
        <w:tblW w:w="93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32"/>
        <w:gridCol w:w="3942"/>
        <w:gridCol w:w="2798"/>
        <w:gridCol w:w="641"/>
        <w:gridCol w:w="3129"/>
        <w:gridCol w:w="27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建设项目名称</w:t>
            </w:r>
          </w:p>
        </w:tc>
        <w:tc>
          <w:tcPr>
            <w:tcW w:w="8447" w:type="dxa"/>
            <w:gridSpan w:val="5"/>
            <w:noWrap w:val="0"/>
            <w:vAlign w:val="center"/>
          </w:tcPr>
          <w:p>
            <w:pPr>
              <w:adjustRightInd w:val="0"/>
              <w:snapToGrid w:val="0"/>
              <w:jc w:val="center"/>
              <w:rPr>
                <w:rFonts w:hint="eastAsia" w:ascii="宋体" w:hAnsi="宋体" w:cs="宋体"/>
                <w:szCs w:val="21"/>
              </w:rPr>
            </w:pPr>
            <w:bookmarkStart w:id="0" w:name="_Hlk119660271"/>
            <w:r>
              <w:rPr>
                <w:rFonts w:hint="eastAsia" w:ascii="宋体" w:hAnsi="宋体" w:cs="宋体"/>
                <w:szCs w:val="21"/>
              </w:rPr>
              <w:t>乐山市市中区引水工程建设项目（一期工程）-岷东片区水资源配置工程</w:t>
            </w:r>
            <w:bookmarkEnd w:id="0"/>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项目代码</w:t>
            </w:r>
          </w:p>
        </w:tc>
        <w:tc>
          <w:tcPr>
            <w:tcW w:w="8447" w:type="dxa"/>
            <w:gridSpan w:val="5"/>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建设单位联系人</w:t>
            </w:r>
          </w:p>
        </w:tc>
        <w:tc>
          <w:tcPr>
            <w:tcW w:w="2707" w:type="dxa"/>
            <w:noWrap w:val="0"/>
            <w:vAlign w:val="center"/>
          </w:tcPr>
          <w:p>
            <w:pPr>
              <w:adjustRightInd w:val="0"/>
              <w:snapToGrid w:val="0"/>
              <w:jc w:val="center"/>
              <w:rPr>
                <w:rFonts w:ascii="宋体" w:hAnsi="宋体" w:cs="宋体"/>
                <w:szCs w:val="21"/>
              </w:rPr>
            </w:pPr>
            <w:r>
              <w:rPr>
                <w:rFonts w:hint="eastAsia" w:ascii="宋体" w:hAnsi="宋体" w:cs="宋体"/>
                <w:szCs w:val="21"/>
              </w:rPr>
              <w:t>黄政鑫</w:t>
            </w:r>
          </w:p>
        </w:tc>
        <w:tc>
          <w:tcPr>
            <w:tcW w:w="2277" w:type="dxa"/>
            <w:gridSpan w:val="2"/>
            <w:noWrap w:val="0"/>
            <w:vAlign w:val="center"/>
          </w:tcPr>
          <w:p>
            <w:pPr>
              <w:adjustRightInd w:val="0"/>
              <w:snapToGrid w:val="0"/>
              <w:jc w:val="center"/>
              <w:rPr>
                <w:rFonts w:ascii="宋体" w:hAnsi="宋体" w:cs="宋体"/>
                <w:szCs w:val="21"/>
              </w:rPr>
            </w:pPr>
            <w:r>
              <w:rPr>
                <w:rFonts w:hint="eastAsia" w:ascii="宋体" w:hAnsi="宋体" w:cs="宋体"/>
                <w:szCs w:val="21"/>
              </w:rPr>
              <w:t>联系方式</w:t>
            </w:r>
          </w:p>
        </w:tc>
        <w:tc>
          <w:tcPr>
            <w:tcW w:w="3463" w:type="dxa"/>
            <w:gridSpan w:val="2"/>
            <w:noWrap w:val="0"/>
            <w:vAlign w:val="center"/>
          </w:tcPr>
          <w:p>
            <w:pPr>
              <w:adjustRightInd w:val="0"/>
              <w:snapToGrid w:val="0"/>
              <w:jc w:val="center"/>
              <w:rPr>
                <w:rFonts w:hint="eastAsia" w:ascii="宋体" w:hAnsi="宋体" w:cs="宋体"/>
                <w:szCs w:val="21"/>
              </w:rPr>
            </w:pPr>
            <w:r>
              <w:rPr>
                <w:rFonts w:ascii="宋体" w:hAnsi="宋体" w:cs="宋体"/>
                <w:szCs w:val="21"/>
              </w:rPr>
              <w:t>15681301978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建设地点</w:t>
            </w:r>
          </w:p>
        </w:tc>
        <w:tc>
          <w:tcPr>
            <w:tcW w:w="8447" w:type="dxa"/>
            <w:gridSpan w:val="5"/>
            <w:noWrap w:val="0"/>
            <w:vAlign w:val="center"/>
          </w:tcPr>
          <w:p>
            <w:pPr>
              <w:adjustRightInd w:val="0"/>
              <w:snapToGrid w:val="0"/>
              <w:jc w:val="center"/>
              <w:rPr>
                <w:rFonts w:ascii="宋体" w:hAnsi="宋体" w:cs="宋体"/>
                <w:szCs w:val="21"/>
              </w:rPr>
            </w:pPr>
            <w:r>
              <w:rPr>
                <w:rFonts w:ascii="宋体" w:hAnsi="宋体" w:cs="宋体"/>
                <w:szCs w:val="21"/>
              </w:rPr>
              <w:t xml:space="preserve"> </w:t>
            </w:r>
            <w:r>
              <w:rPr>
                <w:rFonts w:hint="eastAsia" w:ascii="宋体" w:hAnsi="宋体" w:cs="宋体"/>
                <w:szCs w:val="21"/>
              </w:rPr>
              <w:t>乐山市市中区岷东片区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地理坐标</w:t>
            </w:r>
          </w:p>
        </w:tc>
        <w:tc>
          <w:tcPr>
            <w:tcW w:w="8447" w:type="dxa"/>
            <w:gridSpan w:val="5"/>
            <w:noWrap w:val="0"/>
            <w:vAlign w:val="center"/>
          </w:tcPr>
          <w:p>
            <w:pPr>
              <w:jc w:val="center"/>
              <w:rPr>
                <w:rFonts w:hint="eastAsia" w:ascii="宋体" w:hAnsi="宋体" w:cs="宋体"/>
                <w:szCs w:val="21"/>
              </w:rPr>
            </w:pPr>
            <w:r>
              <w:rPr>
                <w:rFonts w:hint="eastAsia" w:ascii="宋体" w:hAnsi="宋体" w:cs="宋体"/>
                <w:szCs w:val="21"/>
              </w:rPr>
              <w:t>（提水泵站</w:t>
            </w:r>
            <w:r>
              <w:rPr>
                <w:rFonts w:hint="eastAsia"/>
                <w:szCs w:val="21"/>
              </w:rPr>
              <w:t>：</w:t>
            </w:r>
            <w:r>
              <w:rPr>
                <w:szCs w:val="21"/>
              </w:rPr>
              <w:t>103°48′35.755″</w:t>
            </w:r>
            <w:r>
              <w:rPr>
                <w:rFonts w:hint="eastAsia"/>
                <w:szCs w:val="21"/>
              </w:rPr>
              <w:t>，</w:t>
            </w:r>
            <w:r>
              <w:rPr>
                <w:szCs w:val="21"/>
              </w:rPr>
              <w:t>29°</w:t>
            </w:r>
            <w:r>
              <w:rPr>
                <w:rFonts w:hint="eastAsia"/>
                <w:szCs w:val="21"/>
              </w:rPr>
              <w:t>4</w:t>
            </w:r>
            <w:r>
              <w:rPr>
                <w:szCs w:val="21"/>
              </w:rPr>
              <w:t>2′33.703″</w:t>
            </w:r>
            <w:r>
              <w:rPr>
                <w:rFonts w:hint="eastAsia"/>
                <w:szCs w:val="21"/>
              </w:rPr>
              <w:t>；净水厂：</w:t>
            </w:r>
            <w:r>
              <w:rPr>
                <w:szCs w:val="21"/>
              </w:rPr>
              <w:t>103°51′38.408″</w:t>
            </w:r>
            <w:r>
              <w:rPr>
                <w:rFonts w:hint="eastAsia"/>
                <w:szCs w:val="21"/>
              </w:rPr>
              <w:t>，</w:t>
            </w:r>
            <w:r>
              <w:rPr>
                <w:szCs w:val="21"/>
              </w:rPr>
              <w:t>29°41′8.218″</w:t>
            </w: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924"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国民经济</w:t>
            </w:r>
          </w:p>
          <w:p>
            <w:pPr>
              <w:adjustRightInd w:val="0"/>
              <w:snapToGrid w:val="0"/>
              <w:jc w:val="center"/>
              <w:rPr>
                <w:rFonts w:ascii="宋体" w:hAnsi="宋体" w:cs="宋体"/>
                <w:szCs w:val="21"/>
              </w:rPr>
            </w:pPr>
            <w:r>
              <w:rPr>
                <w:rFonts w:hint="eastAsia" w:ascii="宋体" w:hAnsi="宋体" w:cs="宋体"/>
                <w:szCs w:val="21"/>
              </w:rPr>
              <w:t>行业类别</w:t>
            </w:r>
          </w:p>
        </w:tc>
        <w:tc>
          <w:tcPr>
            <w:tcW w:w="2707" w:type="dxa"/>
            <w:noWrap w:val="0"/>
            <w:vAlign w:val="center"/>
          </w:tcPr>
          <w:p>
            <w:pPr>
              <w:pStyle w:val="182"/>
            </w:pPr>
            <w:r>
              <w:t xml:space="preserve">D4610 </w:t>
            </w:r>
            <w:r>
              <w:rPr>
                <w:rFonts w:hint="eastAsia"/>
              </w:rPr>
              <w:t>自来水生产和供应</w:t>
            </w:r>
          </w:p>
          <w:p>
            <w:pPr>
              <w:pStyle w:val="182"/>
              <w:rPr>
                <w:rFonts w:hint="eastAsia"/>
              </w:rPr>
            </w:pPr>
          </w:p>
        </w:tc>
        <w:tc>
          <w:tcPr>
            <w:tcW w:w="2277" w:type="dxa"/>
            <w:gridSpan w:val="2"/>
            <w:noWrap w:val="0"/>
            <w:vAlign w:val="center"/>
          </w:tcPr>
          <w:p>
            <w:pPr>
              <w:adjustRightInd w:val="0"/>
              <w:snapToGrid w:val="0"/>
              <w:jc w:val="center"/>
              <w:rPr>
                <w:rFonts w:ascii="宋体" w:hAnsi="宋体" w:cs="宋体"/>
                <w:szCs w:val="21"/>
              </w:rPr>
            </w:pPr>
            <w:bookmarkStart w:id="1" w:name="_Hlk49843745"/>
            <w:r>
              <w:rPr>
                <w:rFonts w:hint="eastAsia" w:ascii="宋体" w:hAnsi="宋体" w:cs="宋体"/>
                <w:szCs w:val="21"/>
              </w:rPr>
              <w:t>建设项目</w:t>
            </w:r>
          </w:p>
          <w:p>
            <w:pPr>
              <w:adjustRightInd w:val="0"/>
              <w:snapToGrid w:val="0"/>
              <w:jc w:val="center"/>
              <w:rPr>
                <w:rFonts w:ascii="宋体" w:hAnsi="宋体" w:cs="宋体"/>
                <w:szCs w:val="21"/>
              </w:rPr>
            </w:pPr>
            <w:r>
              <w:rPr>
                <w:rFonts w:hint="eastAsia" w:ascii="宋体" w:hAnsi="宋体" w:cs="宋体"/>
                <w:szCs w:val="21"/>
              </w:rPr>
              <w:t>行业类别</w:t>
            </w:r>
            <w:bookmarkEnd w:id="1"/>
          </w:p>
        </w:tc>
        <w:tc>
          <w:tcPr>
            <w:tcW w:w="3463" w:type="dxa"/>
            <w:gridSpan w:val="2"/>
            <w:noWrap w:val="0"/>
            <w:vAlign w:val="center"/>
          </w:tcPr>
          <w:p>
            <w:pPr>
              <w:pStyle w:val="182"/>
              <w:rPr>
                <w:rFonts w:hint="eastAsia"/>
              </w:rPr>
            </w:pPr>
            <w:r>
              <w:rPr>
                <w:rFonts w:hint="eastAsia"/>
              </w:rPr>
              <w:t xml:space="preserve">四十三、水的生产和供应业 </w:t>
            </w:r>
            <w:r>
              <w:t xml:space="preserve">94 </w:t>
            </w:r>
            <w:r>
              <w:rPr>
                <w:rFonts w:hint="eastAsia"/>
              </w:rPr>
              <w:t>自来水生产和供应（不含供应工程、不含村庄供应工程）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建设性质</w:t>
            </w:r>
          </w:p>
        </w:tc>
        <w:tc>
          <w:tcPr>
            <w:tcW w:w="2707" w:type="dxa"/>
            <w:noWrap w:val="0"/>
            <w:vAlign w:val="center"/>
          </w:tcPr>
          <w:p>
            <w:pPr>
              <w:jc w:val="left"/>
              <w:rPr>
                <w:rFonts w:ascii="宋体" w:hAnsi="宋体" w:cs="宋体"/>
                <w:szCs w:val="21"/>
              </w:rPr>
            </w:pPr>
            <w:r>
              <w:rPr>
                <w:sz w:val="24"/>
              </w:rPr>
              <w:sym w:font="Wingdings 2" w:char="0052"/>
            </w:r>
            <w:r>
              <w:rPr>
                <w:rFonts w:hint="eastAsia" w:ascii="宋体" w:hAnsi="宋体" w:cs="宋体"/>
                <w:szCs w:val="21"/>
              </w:rPr>
              <w:t>新建（迁建）</w:t>
            </w:r>
          </w:p>
          <w:p>
            <w:pPr>
              <w:jc w:val="left"/>
              <w:rPr>
                <w:rFonts w:hint="eastAsia" w:ascii="宋体" w:hAnsi="宋体" w:cs="宋体"/>
                <w:szCs w:val="21"/>
              </w:rPr>
            </w:pPr>
            <w:r>
              <w:rPr>
                <w:rFonts w:hint="eastAsia" w:ascii="宋体" w:hAnsi="宋体" w:cs="宋体"/>
                <w:szCs w:val="21"/>
              </w:rPr>
              <w:t>□改建</w:t>
            </w:r>
          </w:p>
          <w:p>
            <w:pPr>
              <w:jc w:val="left"/>
              <w:rPr>
                <w:rFonts w:hint="eastAsia" w:ascii="宋体" w:hAnsi="宋体" w:cs="宋体"/>
                <w:szCs w:val="21"/>
              </w:rPr>
            </w:pPr>
            <w:r>
              <w:rPr>
                <w:rFonts w:hint="eastAsia" w:ascii="宋体" w:hAnsi="宋体" w:cs="宋体"/>
                <w:szCs w:val="21"/>
              </w:rPr>
              <w:t>□扩建</w:t>
            </w:r>
          </w:p>
          <w:p>
            <w:pPr>
              <w:jc w:val="left"/>
              <w:rPr>
                <w:rFonts w:ascii="宋体" w:hAnsi="宋体" w:cs="宋体"/>
                <w:szCs w:val="21"/>
              </w:rPr>
            </w:pPr>
            <w:r>
              <w:rPr>
                <w:rFonts w:hint="eastAsia" w:ascii="宋体" w:hAnsi="宋体" w:cs="宋体"/>
                <w:szCs w:val="21"/>
              </w:rPr>
              <w:t>□技术改造</w:t>
            </w:r>
          </w:p>
        </w:tc>
        <w:tc>
          <w:tcPr>
            <w:tcW w:w="2277" w:type="dxa"/>
            <w:gridSpan w:val="2"/>
            <w:noWrap w:val="0"/>
            <w:vAlign w:val="center"/>
          </w:tcPr>
          <w:p>
            <w:pPr>
              <w:adjustRightInd w:val="0"/>
              <w:snapToGrid w:val="0"/>
              <w:jc w:val="center"/>
              <w:rPr>
                <w:rFonts w:hint="eastAsia" w:ascii="宋体" w:hAnsi="宋体" w:cs="宋体"/>
                <w:szCs w:val="21"/>
              </w:rPr>
            </w:pPr>
            <w:r>
              <w:rPr>
                <w:rFonts w:hint="eastAsia" w:ascii="宋体" w:hAnsi="宋体" w:cs="宋体"/>
                <w:szCs w:val="21"/>
              </w:rPr>
              <w:t>建设项目</w:t>
            </w:r>
          </w:p>
          <w:p>
            <w:pPr>
              <w:adjustRightInd w:val="0"/>
              <w:snapToGrid w:val="0"/>
              <w:jc w:val="center"/>
              <w:rPr>
                <w:rFonts w:ascii="宋体" w:hAnsi="宋体" w:cs="宋体"/>
                <w:szCs w:val="21"/>
              </w:rPr>
            </w:pPr>
            <w:r>
              <w:rPr>
                <w:rFonts w:hint="eastAsia" w:ascii="宋体" w:hAnsi="宋体" w:cs="宋体"/>
                <w:szCs w:val="21"/>
              </w:rPr>
              <w:t>申报情形</w:t>
            </w:r>
          </w:p>
        </w:tc>
        <w:tc>
          <w:tcPr>
            <w:tcW w:w="3463" w:type="dxa"/>
            <w:gridSpan w:val="2"/>
            <w:noWrap w:val="0"/>
            <w:vAlign w:val="center"/>
          </w:tcPr>
          <w:p>
            <w:pPr>
              <w:jc w:val="left"/>
              <w:rPr>
                <w:rFonts w:ascii="宋体" w:hAnsi="宋体" w:cs="宋体"/>
                <w:szCs w:val="21"/>
              </w:rPr>
            </w:pPr>
            <w:r>
              <w:rPr>
                <w:sz w:val="24"/>
              </w:rPr>
              <w:sym w:font="Wingdings 2" w:char="0052"/>
            </w:r>
            <w:r>
              <w:rPr>
                <w:rFonts w:hint="eastAsia" w:ascii="宋体" w:hAnsi="宋体" w:cs="宋体"/>
                <w:szCs w:val="21"/>
              </w:rPr>
              <w:t>首次申报项目</w:t>
            </w:r>
            <w:r>
              <w:rPr>
                <w:rFonts w:ascii="宋体" w:hAnsi="宋体" w:cs="宋体"/>
                <w:szCs w:val="21"/>
              </w:rPr>
              <w:t xml:space="preserve">             </w:t>
            </w:r>
          </w:p>
          <w:p>
            <w:pPr>
              <w:jc w:val="left"/>
              <w:rPr>
                <w:rFonts w:ascii="宋体" w:hAnsi="宋体" w:cs="宋体"/>
                <w:szCs w:val="21"/>
              </w:rPr>
            </w:pPr>
            <w:r>
              <w:rPr>
                <w:rFonts w:hint="eastAsia" w:ascii="宋体" w:hAnsi="宋体" w:cs="宋体"/>
                <w:szCs w:val="21"/>
              </w:rPr>
              <w:t>□不予批准后再次申报项目</w:t>
            </w:r>
          </w:p>
          <w:p>
            <w:pPr>
              <w:jc w:val="left"/>
              <w:rPr>
                <w:rFonts w:ascii="宋体" w:hAnsi="宋体" w:cs="宋体"/>
                <w:szCs w:val="21"/>
              </w:rPr>
            </w:pPr>
            <w:r>
              <w:rPr>
                <w:rFonts w:hint="eastAsia" w:ascii="宋体" w:hAnsi="宋体" w:cs="宋体"/>
                <w:szCs w:val="21"/>
              </w:rPr>
              <w:sym w:font="Wingdings 2" w:char="00A3"/>
            </w:r>
            <w:r>
              <w:rPr>
                <w:rFonts w:hint="eastAsia" w:ascii="宋体" w:hAnsi="宋体" w:cs="宋体"/>
                <w:szCs w:val="21"/>
              </w:rPr>
              <w:t>超五年重新审核项目</w:t>
            </w:r>
            <w:r>
              <w:rPr>
                <w:rFonts w:ascii="宋体" w:hAnsi="宋体" w:cs="宋体"/>
                <w:szCs w:val="21"/>
              </w:rPr>
              <w:t xml:space="preserve">     </w:t>
            </w:r>
          </w:p>
          <w:p>
            <w:pPr>
              <w:jc w:val="left"/>
              <w:rPr>
                <w:rFonts w:ascii="宋体" w:hAnsi="宋体" w:cs="宋体"/>
                <w:szCs w:val="21"/>
              </w:rPr>
            </w:pPr>
            <w:r>
              <w:rPr>
                <w:rFonts w:hint="eastAsia" w:ascii="宋体" w:hAnsi="宋体" w:cs="宋体"/>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项目审批（核准</w:t>
            </w:r>
            <w:r>
              <w:rPr>
                <w:rFonts w:ascii="宋体" w:hAnsi="宋体" w:cs="宋体"/>
                <w:szCs w:val="21"/>
              </w:rPr>
              <w:t>/</w:t>
            </w:r>
            <w:r>
              <w:rPr>
                <w:rFonts w:hint="eastAsia" w:ascii="宋体" w:hAnsi="宋体" w:cs="宋体"/>
                <w:szCs w:val="21"/>
              </w:rPr>
              <w:t>备案）部门（选填）</w:t>
            </w:r>
          </w:p>
        </w:tc>
        <w:tc>
          <w:tcPr>
            <w:tcW w:w="2707" w:type="dxa"/>
            <w:noWrap w:val="0"/>
            <w:vAlign w:val="center"/>
          </w:tcPr>
          <w:p>
            <w:pPr>
              <w:pStyle w:val="182"/>
              <w:rPr>
                <w:rFonts w:hint="eastAsia"/>
              </w:rPr>
            </w:pPr>
            <w:r>
              <w:rPr>
                <w:rFonts w:hint="eastAsia"/>
              </w:rPr>
              <w:t>/</w:t>
            </w:r>
          </w:p>
        </w:tc>
        <w:tc>
          <w:tcPr>
            <w:tcW w:w="2277" w:type="dxa"/>
            <w:gridSpan w:val="2"/>
            <w:noWrap w:val="0"/>
            <w:vAlign w:val="center"/>
          </w:tcPr>
          <w:p>
            <w:pPr>
              <w:adjustRightInd w:val="0"/>
              <w:snapToGrid w:val="0"/>
              <w:jc w:val="center"/>
              <w:rPr>
                <w:rFonts w:hint="eastAsia" w:ascii="宋体" w:hAnsi="宋体" w:cs="宋体"/>
                <w:szCs w:val="21"/>
              </w:rPr>
            </w:pPr>
            <w:r>
              <w:rPr>
                <w:rFonts w:hint="eastAsia" w:ascii="宋体" w:hAnsi="宋体" w:cs="宋体"/>
                <w:szCs w:val="21"/>
              </w:rPr>
              <w:t>项目审批（核准</w:t>
            </w:r>
            <w:r>
              <w:rPr>
                <w:rFonts w:ascii="宋体" w:hAnsi="宋体" w:cs="宋体"/>
                <w:szCs w:val="21"/>
              </w:rPr>
              <w:t>/</w:t>
            </w:r>
          </w:p>
          <w:p>
            <w:pPr>
              <w:adjustRightInd w:val="0"/>
              <w:snapToGrid w:val="0"/>
              <w:jc w:val="center"/>
              <w:rPr>
                <w:rFonts w:hint="eastAsia" w:ascii="宋体" w:hAnsi="宋体" w:cs="宋体"/>
                <w:szCs w:val="21"/>
              </w:rPr>
            </w:pPr>
            <w:r>
              <w:rPr>
                <w:rFonts w:hint="eastAsia" w:ascii="宋体" w:hAnsi="宋体" w:cs="宋体"/>
                <w:szCs w:val="21"/>
              </w:rPr>
              <w:t>备案）文号（选填）</w:t>
            </w:r>
          </w:p>
        </w:tc>
        <w:tc>
          <w:tcPr>
            <w:tcW w:w="3463" w:type="dxa"/>
            <w:gridSpan w:val="2"/>
            <w:noWrap w:val="0"/>
            <w:vAlign w:val="center"/>
          </w:tcPr>
          <w:p>
            <w:pPr>
              <w:pStyle w:val="182"/>
              <w:rPr>
                <w:rFonts w:hint="eastAsia"/>
              </w:rPr>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总投资（万元）</w:t>
            </w:r>
          </w:p>
        </w:tc>
        <w:tc>
          <w:tcPr>
            <w:tcW w:w="2707" w:type="dxa"/>
            <w:noWrap w:val="0"/>
            <w:vAlign w:val="center"/>
          </w:tcPr>
          <w:p>
            <w:pPr>
              <w:pStyle w:val="182"/>
              <w:rPr>
                <w:highlight w:val="red"/>
              </w:rPr>
            </w:pPr>
            <w:r>
              <w:rPr>
                <w:rFonts w:hint="eastAsia"/>
              </w:rPr>
              <w:t>42744.66</w:t>
            </w:r>
          </w:p>
        </w:tc>
        <w:tc>
          <w:tcPr>
            <w:tcW w:w="2277" w:type="dxa"/>
            <w:gridSpan w:val="2"/>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环保投资（万元）</w:t>
            </w:r>
          </w:p>
        </w:tc>
        <w:tc>
          <w:tcPr>
            <w:tcW w:w="3463" w:type="dxa"/>
            <w:gridSpan w:val="2"/>
            <w:noWrap w:val="0"/>
            <w:vAlign w:val="center"/>
          </w:tcPr>
          <w:p>
            <w:pPr>
              <w:pStyle w:val="182"/>
            </w:pPr>
            <w:r>
              <w:rPr>
                <w:rFonts w:hint="eastAsia"/>
              </w:rPr>
              <w:t>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环保投资占比（</w:t>
            </w:r>
            <w:r>
              <w:rPr>
                <w:rFonts w:ascii="宋体" w:hAnsi="宋体" w:cs="宋体"/>
                <w:szCs w:val="21"/>
              </w:rPr>
              <w:t>%</w:t>
            </w:r>
            <w:r>
              <w:rPr>
                <w:rFonts w:hint="eastAsia" w:ascii="宋体" w:hAnsi="宋体" w:cs="宋体"/>
                <w:szCs w:val="21"/>
              </w:rPr>
              <w:t>）</w:t>
            </w:r>
          </w:p>
        </w:tc>
        <w:tc>
          <w:tcPr>
            <w:tcW w:w="2707" w:type="dxa"/>
            <w:noWrap w:val="0"/>
            <w:vAlign w:val="center"/>
          </w:tcPr>
          <w:p>
            <w:pPr>
              <w:pStyle w:val="182"/>
              <w:rPr>
                <w:rFonts w:hint="eastAsia"/>
              </w:rPr>
            </w:pPr>
            <w:r>
              <w:rPr>
                <w:rFonts w:hint="eastAsia"/>
              </w:rPr>
              <w:t>0.17</w:t>
            </w:r>
          </w:p>
        </w:tc>
        <w:tc>
          <w:tcPr>
            <w:tcW w:w="2277" w:type="dxa"/>
            <w:gridSpan w:val="2"/>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施工工期</w:t>
            </w:r>
          </w:p>
        </w:tc>
        <w:tc>
          <w:tcPr>
            <w:tcW w:w="3463" w:type="dxa"/>
            <w:gridSpan w:val="2"/>
            <w:noWrap w:val="0"/>
            <w:vAlign w:val="center"/>
          </w:tcPr>
          <w:p>
            <w:pPr>
              <w:adjustRightInd w:val="0"/>
              <w:snapToGrid w:val="0"/>
              <w:jc w:val="center"/>
              <w:rPr>
                <w:rFonts w:hint="eastAsia" w:ascii="宋体" w:hAnsi="宋体" w:cs="宋体"/>
                <w:szCs w:val="21"/>
                <w:highlight w:val="red"/>
              </w:rPr>
            </w:pPr>
            <w:r>
              <w:rPr>
                <w:rFonts w:ascii="宋体" w:hAnsi="宋体" w:cs="宋体"/>
                <w:szCs w:val="21"/>
              </w:rPr>
              <w:t>24</w:t>
            </w:r>
            <w:r>
              <w:rPr>
                <w:rFonts w:hint="eastAsia" w:ascii="宋体" w:hAnsi="宋体" w:cs="宋体"/>
                <w:szCs w:val="21"/>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24"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是否开工建设</w:t>
            </w:r>
          </w:p>
        </w:tc>
        <w:tc>
          <w:tcPr>
            <w:tcW w:w="4530" w:type="dxa"/>
            <w:gridSpan w:val="2"/>
            <w:noWrap w:val="0"/>
            <w:vAlign w:val="center"/>
          </w:tcPr>
          <w:p>
            <w:pPr>
              <w:adjustRightInd w:val="0"/>
              <w:snapToGrid w:val="0"/>
              <w:rPr>
                <w:rFonts w:ascii="宋体" w:hAnsi="宋体" w:cs="宋体"/>
                <w:szCs w:val="21"/>
              </w:rPr>
            </w:pPr>
            <w:r>
              <w:rPr>
                <w:sz w:val="24"/>
              </w:rPr>
              <w:sym w:font="Wingdings 2" w:char="0052"/>
            </w:r>
            <w:r>
              <w:rPr>
                <w:rFonts w:hint="eastAsia" w:ascii="宋体" w:hAnsi="宋体" w:cs="宋体"/>
                <w:szCs w:val="21"/>
              </w:rPr>
              <w:t>否</w:t>
            </w:r>
          </w:p>
          <w:p>
            <w:pPr>
              <w:adjustRightInd w:val="0"/>
              <w:snapToGrid w:val="0"/>
              <w:rPr>
                <w:rFonts w:ascii="宋体" w:hAnsi="宋体" w:cs="宋体"/>
                <w:szCs w:val="21"/>
                <w:u w:val="single"/>
              </w:rPr>
            </w:pPr>
            <w:r>
              <w:rPr>
                <w:rFonts w:hint="eastAsia" w:ascii="宋体" w:hAnsi="宋体" w:cs="宋体"/>
                <w:szCs w:val="21"/>
              </w:rPr>
              <w:sym w:font="Wingdings 2" w:char="00A3"/>
            </w:r>
            <w:r>
              <w:rPr>
                <w:rFonts w:hint="eastAsia" w:ascii="宋体" w:hAnsi="宋体" w:cs="宋体"/>
                <w:szCs w:val="21"/>
              </w:rPr>
              <w:t>是：</w:t>
            </w:r>
            <w:r>
              <w:rPr>
                <w:rFonts w:ascii="宋体" w:hAnsi="宋体" w:cs="宋体"/>
                <w:szCs w:val="21"/>
                <w:u w:val="single"/>
              </w:rPr>
              <w:t xml:space="preserve"> </w:t>
            </w:r>
          </w:p>
        </w:tc>
        <w:tc>
          <w:tcPr>
            <w:tcW w:w="2282" w:type="dxa"/>
            <w:gridSpan w:val="2"/>
            <w:noWrap w:val="0"/>
            <w:tcMar>
              <w:top w:w="16" w:type="dxa"/>
              <w:left w:w="16" w:type="dxa"/>
              <w:right w:w="16" w:type="dxa"/>
            </w:tcMar>
            <w:vAlign w:val="center"/>
          </w:tcPr>
          <w:p>
            <w:pPr>
              <w:adjustRightInd w:val="0"/>
              <w:snapToGrid w:val="0"/>
              <w:jc w:val="center"/>
              <w:rPr>
                <w:rFonts w:ascii="宋体" w:hAnsi="宋体" w:cs="宋体"/>
                <w:spacing w:val="-6"/>
                <w:szCs w:val="21"/>
              </w:rPr>
            </w:pPr>
            <w:r>
              <w:rPr>
                <w:rFonts w:hint="eastAsia" w:ascii="宋体" w:hAnsi="宋体" w:cs="宋体"/>
                <w:spacing w:val="-6"/>
                <w:szCs w:val="21"/>
              </w:rPr>
              <w:t>用地（用海）</w:t>
            </w:r>
          </w:p>
          <w:p>
            <w:pPr>
              <w:adjustRightInd w:val="0"/>
              <w:snapToGrid w:val="0"/>
              <w:jc w:val="center"/>
              <w:rPr>
                <w:rFonts w:hint="eastAsia" w:ascii="宋体" w:hAnsi="宋体" w:cs="宋体"/>
                <w:szCs w:val="21"/>
              </w:rPr>
            </w:pPr>
            <w:r>
              <w:rPr>
                <w:rFonts w:hint="eastAsia" w:ascii="宋体" w:hAnsi="宋体" w:cs="宋体"/>
                <w:spacing w:val="-6"/>
                <w:szCs w:val="21"/>
              </w:rPr>
              <w:t>面积（</w:t>
            </w:r>
            <w:r>
              <w:rPr>
                <w:rFonts w:ascii="宋体" w:hAnsi="宋体" w:cs="宋体"/>
                <w:spacing w:val="-6"/>
                <w:szCs w:val="21"/>
              </w:rPr>
              <w:t>m</w:t>
            </w:r>
            <w:r>
              <w:rPr>
                <w:rFonts w:ascii="宋体" w:hAnsi="宋体" w:cs="宋体"/>
                <w:spacing w:val="-6"/>
                <w:szCs w:val="21"/>
                <w:vertAlign w:val="superscript"/>
              </w:rPr>
              <w:t>2</w:t>
            </w:r>
            <w:r>
              <w:rPr>
                <w:rFonts w:hint="eastAsia" w:ascii="宋体" w:hAnsi="宋体" w:cs="宋体"/>
                <w:spacing w:val="-6"/>
                <w:szCs w:val="21"/>
              </w:rPr>
              <w:t>）</w:t>
            </w:r>
          </w:p>
        </w:tc>
        <w:tc>
          <w:tcPr>
            <w:tcW w:w="1635" w:type="dxa"/>
            <w:noWrap w:val="0"/>
            <w:vAlign w:val="center"/>
          </w:tcPr>
          <w:p>
            <w:pPr>
              <w:pStyle w:val="182"/>
              <w:rPr>
                <w:rFonts w:hint="eastAsia"/>
              </w:rPr>
            </w:pPr>
            <w:r>
              <w:t>76865.3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68" w:hRule="atLeast"/>
          <w:jc w:val="center"/>
        </w:trPr>
        <w:tc>
          <w:tcPr>
            <w:tcW w:w="924" w:type="dxa"/>
            <w:noWrap w:val="0"/>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专项评价设置情况</w:t>
            </w:r>
          </w:p>
        </w:tc>
        <w:tc>
          <w:tcPr>
            <w:tcW w:w="8447" w:type="dxa"/>
            <w:gridSpan w:val="5"/>
            <w:noWrap w:val="0"/>
            <w:vAlign w:val="center"/>
          </w:tcPr>
          <w:p>
            <w:pPr>
              <w:pStyle w:val="182"/>
              <w:snapToGrid w:val="0"/>
              <w:spacing w:line="360" w:lineRule="auto"/>
              <w:ind w:firstLine="480" w:firstLineChars="200"/>
              <w:jc w:val="left"/>
            </w:pPr>
            <w:r>
              <w:rPr>
                <w:rFonts w:hint="eastAsia"/>
              </w:rPr>
              <w:t>根据《建设项目环境影响报告表编制技术指南（污染影响类）（试行）》，项目专项评价设置原则见下表。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1"/>
              <w:gridCol w:w="4536"/>
              <w:gridCol w:w="1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专项评价类别</w:t>
                  </w:r>
                </w:p>
              </w:tc>
              <w:tc>
                <w:tcPr>
                  <w:tcW w:w="4536" w:type="dxa"/>
                  <w:noWrap w:val="0"/>
                  <w:vAlign w:val="center"/>
                </w:tcPr>
                <w:p>
                  <w:pPr>
                    <w:pStyle w:val="182"/>
                    <w:wordWrap/>
                    <w:rPr>
                      <w:rFonts w:hint="eastAsia"/>
                    </w:rPr>
                  </w:pPr>
                  <w:r>
                    <w:rPr>
                      <w:rFonts w:hint="eastAsia"/>
                    </w:rPr>
                    <w:t>设置原则</w:t>
                  </w:r>
                </w:p>
              </w:tc>
              <w:tc>
                <w:tcPr>
                  <w:tcW w:w="1937" w:type="dxa"/>
                  <w:noWrap w:val="0"/>
                  <w:vAlign w:val="center"/>
                </w:tcPr>
                <w:p>
                  <w:pPr>
                    <w:pStyle w:val="182"/>
                    <w:wordWrap/>
                    <w:rPr>
                      <w:rFonts w:hint="eastAsia"/>
                    </w:rPr>
                  </w:pPr>
                  <w:r>
                    <w:rPr>
                      <w:rFonts w:hint="eastAsia"/>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大气</w:t>
                  </w:r>
                </w:p>
              </w:tc>
              <w:tc>
                <w:tcPr>
                  <w:tcW w:w="4536" w:type="dxa"/>
                  <w:noWrap w:val="0"/>
                  <w:vAlign w:val="center"/>
                </w:tcPr>
                <w:p>
                  <w:pPr>
                    <w:pStyle w:val="182"/>
                    <w:wordWrap/>
                    <w:rPr>
                      <w:rFonts w:hint="eastAsia"/>
                    </w:rPr>
                  </w:pPr>
                  <w:r>
                    <w:rPr>
                      <w:rFonts w:hint="eastAsia"/>
                    </w:rPr>
                    <w:t>排放废气含有毒有害污染物</w:t>
                  </w:r>
                  <w:r>
                    <w:rPr>
                      <w:rFonts w:hint="eastAsia"/>
                      <w:vertAlign w:val="superscript"/>
                    </w:rPr>
                    <w:t>1</w:t>
                  </w:r>
                  <w:r>
                    <w:rPr>
                      <w:rFonts w:hint="eastAsia"/>
                    </w:rPr>
                    <w:t>、二噁英、苯并[a]芘、氰化物、氯气且场界外500米范围内有环境空气保护目标</w:t>
                  </w:r>
                  <w:r>
                    <w:rPr>
                      <w:rFonts w:hint="eastAsia"/>
                      <w:vertAlign w:val="superscript"/>
                    </w:rPr>
                    <w:t>2</w:t>
                  </w:r>
                  <w:r>
                    <w:rPr>
                      <w:rFonts w:hint="eastAsia"/>
                    </w:rPr>
                    <w:t>的建设项目</w:t>
                  </w:r>
                </w:p>
              </w:tc>
              <w:tc>
                <w:tcPr>
                  <w:tcW w:w="1937" w:type="dxa"/>
                  <w:noWrap w:val="0"/>
                  <w:vAlign w:val="center"/>
                </w:tcPr>
                <w:p>
                  <w:pPr>
                    <w:pStyle w:val="182"/>
                    <w:wordWrap/>
                    <w:rPr>
                      <w:rFonts w:hint="eastAsia"/>
                    </w:rPr>
                  </w:pPr>
                  <w:r>
                    <w:rPr>
                      <w:rFonts w:hint="eastAsia"/>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地表水</w:t>
                  </w:r>
                </w:p>
              </w:tc>
              <w:tc>
                <w:tcPr>
                  <w:tcW w:w="4536" w:type="dxa"/>
                  <w:noWrap w:val="0"/>
                  <w:vAlign w:val="center"/>
                </w:tcPr>
                <w:p>
                  <w:pPr>
                    <w:pStyle w:val="182"/>
                    <w:wordWrap/>
                    <w:rPr>
                      <w:rFonts w:hint="eastAsia"/>
                    </w:rPr>
                  </w:pPr>
                  <w:r>
                    <w:rPr>
                      <w:rFonts w:hint="eastAsia"/>
                    </w:rPr>
                    <w:t>新增工业废水直排建设项目（槽罐车外送污水处理厂的除外）；新增废水直排的污水集中处理厂</w:t>
                  </w:r>
                </w:p>
              </w:tc>
              <w:tc>
                <w:tcPr>
                  <w:tcW w:w="1937" w:type="dxa"/>
                  <w:noWrap w:val="0"/>
                  <w:vAlign w:val="center"/>
                </w:tcPr>
                <w:p>
                  <w:pPr>
                    <w:pStyle w:val="182"/>
                    <w:wordWrap/>
                    <w:rPr>
                      <w:rFonts w:hint="eastAsia"/>
                    </w:rPr>
                  </w:pPr>
                  <w:r>
                    <w:rPr>
                      <w:rFonts w:hint="eastAsia"/>
                    </w:rPr>
                    <w:t>本项目净水厂废水经处理后排入土主镇污水处理厂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环境风险</w:t>
                  </w:r>
                </w:p>
              </w:tc>
              <w:tc>
                <w:tcPr>
                  <w:tcW w:w="4536" w:type="dxa"/>
                  <w:noWrap w:val="0"/>
                  <w:vAlign w:val="center"/>
                </w:tcPr>
                <w:p>
                  <w:pPr>
                    <w:pStyle w:val="182"/>
                    <w:wordWrap/>
                    <w:rPr>
                      <w:rFonts w:hint="eastAsia"/>
                    </w:rPr>
                  </w:pPr>
                  <w:r>
                    <w:rPr>
                      <w:rFonts w:hint="eastAsia"/>
                    </w:rPr>
                    <w:t>有毒有害和易燃易爆危险物质存储量超</w:t>
                  </w:r>
                </w:p>
                <w:p>
                  <w:pPr>
                    <w:pStyle w:val="182"/>
                    <w:wordWrap/>
                    <w:rPr>
                      <w:rFonts w:hint="eastAsia"/>
                    </w:rPr>
                  </w:pPr>
                  <w:r>
                    <w:rPr>
                      <w:rFonts w:hint="eastAsia"/>
                    </w:rPr>
                    <w:t>过临界量</w:t>
                  </w:r>
                  <w:r>
                    <w:rPr>
                      <w:rFonts w:hint="eastAsia"/>
                      <w:vertAlign w:val="superscript"/>
                    </w:rPr>
                    <w:t>3</w:t>
                  </w:r>
                  <w:r>
                    <w:rPr>
                      <w:rFonts w:hint="eastAsia"/>
                    </w:rPr>
                    <w:t>的建设项目</w:t>
                  </w:r>
                </w:p>
              </w:tc>
              <w:tc>
                <w:tcPr>
                  <w:tcW w:w="1937" w:type="dxa"/>
                  <w:noWrap w:val="0"/>
                  <w:vAlign w:val="center"/>
                </w:tcPr>
                <w:p>
                  <w:pPr>
                    <w:pStyle w:val="182"/>
                    <w:wordWrap/>
                    <w:rPr>
                      <w:rFonts w:hint="eastAsia"/>
                    </w:rPr>
                  </w:pPr>
                  <w:r>
                    <w:rPr>
                      <w:rFonts w:hint="eastAsia"/>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生态</w:t>
                  </w:r>
                </w:p>
              </w:tc>
              <w:tc>
                <w:tcPr>
                  <w:tcW w:w="4536" w:type="dxa"/>
                  <w:noWrap w:val="0"/>
                  <w:vAlign w:val="center"/>
                </w:tcPr>
                <w:p>
                  <w:pPr>
                    <w:pStyle w:val="182"/>
                    <w:wordWrap/>
                    <w:rPr>
                      <w:rFonts w:hint="eastAsia"/>
                    </w:rPr>
                  </w:pPr>
                  <w:r>
                    <w:rPr>
                      <w:rFonts w:hint="eastAsia"/>
                    </w:rPr>
                    <w:t>取水口下游500米范围内有重要水生生物的自然产卵场、索饵场、越冬场和洄游通道的新增河道取水的污染类建设项目</w:t>
                  </w:r>
                </w:p>
              </w:tc>
              <w:tc>
                <w:tcPr>
                  <w:tcW w:w="1937" w:type="dxa"/>
                  <w:noWrap w:val="0"/>
                  <w:vAlign w:val="center"/>
                </w:tcPr>
                <w:p>
                  <w:pPr>
                    <w:pStyle w:val="182"/>
                    <w:wordWrap/>
                    <w:rPr>
                      <w:rFonts w:hint="eastAsia"/>
                    </w:rPr>
                  </w:pPr>
                  <w:r>
                    <w:rPr>
                      <w:rFonts w:hint="eastAsia"/>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1" w:type="dxa"/>
                  <w:noWrap w:val="0"/>
                  <w:vAlign w:val="center"/>
                </w:tcPr>
                <w:p>
                  <w:pPr>
                    <w:pStyle w:val="182"/>
                    <w:wordWrap/>
                    <w:rPr>
                      <w:rFonts w:hint="eastAsia"/>
                    </w:rPr>
                  </w:pPr>
                  <w:r>
                    <w:rPr>
                      <w:rFonts w:hint="eastAsia"/>
                    </w:rPr>
                    <w:t>海洋</w:t>
                  </w:r>
                </w:p>
              </w:tc>
              <w:tc>
                <w:tcPr>
                  <w:tcW w:w="4536" w:type="dxa"/>
                  <w:noWrap w:val="0"/>
                  <w:vAlign w:val="center"/>
                </w:tcPr>
                <w:p>
                  <w:pPr>
                    <w:pStyle w:val="182"/>
                    <w:wordWrap/>
                    <w:rPr>
                      <w:rFonts w:hint="eastAsia"/>
                    </w:rPr>
                  </w:pPr>
                  <w:r>
                    <w:rPr>
                      <w:rFonts w:hint="eastAsia"/>
                    </w:rPr>
                    <w:t>直接向海排放污染物的海洋工程建设项目</w:t>
                  </w:r>
                </w:p>
              </w:tc>
              <w:tc>
                <w:tcPr>
                  <w:tcW w:w="1937" w:type="dxa"/>
                  <w:noWrap w:val="0"/>
                  <w:vAlign w:val="center"/>
                </w:tcPr>
                <w:p>
                  <w:pPr>
                    <w:pStyle w:val="182"/>
                    <w:wordWrap/>
                    <w:rPr>
                      <w:rFonts w:hint="eastAsia"/>
                    </w:rPr>
                  </w:pPr>
                  <w:r>
                    <w:rPr>
                      <w:rFonts w:hint="eastAsia"/>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4" w:type="dxa"/>
                  <w:gridSpan w:val="3"/>
                  <w:noWrap w:val="0"/>
                  <w:vAlign w:val="center"/>
                </w:tcPr>
                <w:p>
                  <w:pPr>
                    <w:pStyle w:val="182"/>
                    <w:wordWrap/>
                    <w:jc w:val="left"/>
                    <w:rPr>
                      <w:rFonts w:ascii="Times New Roman" w:hAnsi="Times New Roman"/>
                    </w:rPr>
                  </w:pPr>
                  <w:r>
                    <w:rPr>
                      <w:rFonts w:ascii="Times New Roman"/>
                    </w:rPr>
                    <w:t>注：</w:t>
                  </w:r>
                  <w:r>
                    <w:rPr>
                      <w:rFonts w:ascii="Times New Roman" w:hAnsi="Times New Roman"/>
                    </w:rPr>
                    <w:t>1.</w:t>
                  </w:r>
                  <w:r>
                    <w:rPr>
                      <w:rFonts w:ascii="Times New Roman"/>
                    </w:rPr>
                    <w:t>废气中有毒有害污染物指纳入《有毒有害大气污染物名录》的污染物（不包括无排放标准的污染物）。</w:t>
                  </w:r>
                </w:p>
                <w:p>
                  <w:pPr>
                    <w:pStyle w:val="182"/>
                    <w:wordWrap/>
                    <w:jc w:val="left"/>
                    <w:rPr>
                      <w:rFonts w:ascii="Times New Roman" w:hAnsi="Times New Roman"/>
                    </w:rPr>
                  </w:pPr>
                  <w:r>
                    <w:rPr>
                      <w:rFonts w:ascii="Times New Roman" w:hAnsi="Times New Roman"/>
                    </w:rPr>
                    <w:t>2.</w:t>
                  </w:r>
                  <w:r>
                    <w:rPr>
                      <w:rFonts w:ascii="Times New Roman"/>
                    </w:rPr>
                    <w:t>环境空气保护目标指自然保护区、风景名胜区、居住区、文化区和农村地区中人群较集中的区域。</w:t>
                  </w:r>
                </w:p>
                <w:p>
                  <w:pPr>
                    <w:pStyle w:val="182"/>
                    <w:wordWrap/>
                    <w:jc w:val="left"/>
                    <w:rPr>
                      <w:rFonts w:hint="eastAsia"/>
                    </w:rPr>
                  </w:pPr>
                  <w:r>
                    <w:rPr>
                      <w:rFonts w:ascii="Times New Roman" w:hAnsi="Times New Roman"/>
                    </w:rPr>
                    <w:t>3.</w:t>
                  </w:r>
                  <w:r>
                    <w:rPr>
                      <w:rFonts w:ascii="Times New Roman"/>
                    </w:rPr>
                    <w:t>临界量及其计算方法可参考《建设项目环境风险评价技术导则》（</w:t>
                  </w:r>
                  <w:r>
                    <w:rPr>
                      <w:rFonts w:ascii="Times New Roman" w:hAnsi="Times New Roman"/>
                    </w:rPr>
                    <w:t>HJ169</w:t>
                  </w:r>
                  <w:r>
                    <w:rPr>
                      <w:rFonts w:ascii="Times New Roman"/>
                    </w:rPr>
                    <w:t>）附录</w:t>
                  </w:r>
                  <w:r>
                    <w:rPr>
                      <w:rFonts w:ascii="Times New Roman" w:hAnsi="Times New Roman"/>
                    </w:rPr>
                    <w:t>B</w:t>
                  </w:r>
                  <w:r>
                    <w:rPr>
                      <w:rFonts w:ascii="Times New Roman"/>
                    </w:rPr>
                    <w:t>、附录</w:t>
                  </w:r>
                  <w:r>
                    <w:rPr>
                      <w:rFonts w:ascii="Times New Roman" w:hAnsi="Times New Roman"/>
                    </w:rPr>
                    <w:t>C</w:t>
                  </w:r>
                  <w:r>
                    <w:rPr>
                      <w:rFonts w:ascii="Times New Roman"/>
                    </w:rPr>
                    <w:t>。</w:t>
                  </w:r>
                </w:p>
              </w:tc>
            </w:tr>
          </w:tbl>
          <w:p>
            <w:pPr>
              <w:pStyle w:val="182"/>
              <w:rPr>
                <w:rFonts w:hint="eastAsia"/>
              </w:rPr>
            </w:pPr>
          </w:p>
          <w:p>
            <w:pPr>
              <w:pStyle w:val="182"/>
              <w:snapToGrid w:val="0"/>
              <w:spacing w:line="360" w:lineRule="auto"/>
              <w:ind w:firstLine="480" w:firstLineChars="200"/>
              <w:jc w:val="left"/>
            </w:pPr>
            <w:r>
              <w:rPr>
                <w:rFonts w:hint="eastAsia"/>
              </w:rPr>
              <w:t>从上表可知，本项目净水厂废水经处理达标后排入污水处理厂，因此本项目不设置地表水专项评价。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924"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szCs w:val="21"/>
              </w:rPr>
              <w:t>规划情况</w:t>
            </w:r>
          </w:p>
        </w:tc>
        <w:tc>
          <w:tcPr>
            <w:tcW w:w="8447" w:type="dxa"/>
            <w:gridSpan w:val="5"/>
            <w:noWrap w:val="0"/>
            <w:vAlign w:val="center"/>
          </w:tcPr>
          <w:p>
            <w:pPr>
              <w:pStyle w:val="182"/>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24" w:type="dxa"/>
            <w:noWrap w:val="0"/>
            <w:vAlign w:val="center"/>
          </w:tcPr>
          <w:p>
            <w:pPr>
              <w:adjustRightInd w:val="0"/>
              <w:snapToGrid w:val="0"/>
              <w:jc w:val="center"/>
              <w:rPr>
                <w:rFonts w:ascii="宋体" w:hAnsi="宋体" w:cs="宋体"/>
                <w:szCs w:val="21"/>
              </w:rPr>
            </w:pPr>
            <w:r>
              <w:rPr>
                <w:rFonts w:hint="eastAsia" w:ascii="宋体" w:hAnsi="宋体" w:cs="宋体"/>
                <w:szCs w:val="21"/>
              </w:rPr>
              <w:t>规划环境影响</w:t>
            </w:r>
          </w:p>
          <w:p>
            <w:pPr>
              <w:adjustRightInd w:val="0"/>
              <w:snapToGrid w:val="0"/>
              <w:jc w:val="center"/>
              <w:rPr>
                <w:rFonts w:hint="eastAsia" w:ascii="宋体" w:hAnsi="宋体" w:cs="宋体"/>
                <w:kern w:val="0"/>
                <w:szCs w:val="21"/>
              </w:rPr>
            </w:pPr>
            <w:r>
              <w:rPr>
                <w:rFonts w:hint="eastAsia" w:ascii="宋体" w:hAnsi="宋体" w:cs="宋体"/>
                <w:szCs w:val="21"/>
              </w:rPr>
              <w:t>评价情况</w:t>
            </w:r>
          </w:p>
        </w:tc>
        <w:tc>
          <w:tcPr>
            <w:tcW w:w="8447" w:type="dxa"/>
            <w:gridSpan w:val="5"/>
            <w:noWrap w:val="0"/>
            <w:vAlign w:val="center"/>
          </w:tcPr>
          <w:p>
            <w:pPr>
              <w:pStyle w:val="182"/>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24" w:type="dxa"/>
            <w:noWrap w:val="0"/>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规划及规划环境影响评价符合性分析</w:t>
            </w:r>
          </w:p>
        </w:tc>
        <w:tc>
          <w:tcPr>
            <w:tcW w:w="8447" w:type="dxa"/>
            <w:gridSpan w:val="5"/>
            <w:noWrap w:val="0"/>
            <w:vAlign w:val="center"/>
          </w:tcPr>
          <w:p>
            <w:pPr>
              <w:pStyle w:val="182"/>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24"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kern w:val="0"/>
                <w:szCs w:val="21"/>
              </w:rPr>
              <w:t>其他符合性分析</w:t>
            </w:r>
          </w:p>
        </w:tc>
        <w:tc>
          <w:tcPr>
            <w:tcW w:w="8447" w:type="dxa"/>
            <w:gridSpan w:val="5"/>
            <w:noWrap w:val="0"/>
            <w:vAlign w:val="center"/>
          </w:tcPr>
          <w:p>
            <w:pPr>
              <w:pStyle w:val="183"/>
              <w:ind w:firstLine="0" w:firstLineChars="0"/>
              <w:rPr>
                <w:rFonts w:hint="eastAsia"/>
                <w:b/>
                <w:kern w:val="0"/>
                <w:sz w:val="28"/>
                <w:szCs w:val="28"/>
              </w:rPr>
            </w:pPr>
            <w:r>
              <w:rPr>
                <w:rFonts w:hint="eastAsia"/>
                <w:b/>
                <w:kern w:val="0"/>
                <w:sz w:val="28"/>
                <w:szCs w:val="28"/>
              </w:rPr>
              <w:t>一、政策符合性分析</w:t>
            </w:r>
          </w:p>
          <w:p>
            <w:pPr>
              <w:pStyle w:val="183"/>
              <w:ind w:firstLine="482"/>
              <w:rPr>
                <w:b/>
                <w:kern w:val="0"/>
              </w:rPr>
            </w:pPr>
            <w:r>
              <w:rPr>
                <w:b/>
                <w:kern w:val="0"/>
              </w:rPr>
              <w:t>1</w:t>
            </w:r>
            <w:r>
              <w:rPr>
                <w:rFonts w:hint="eastAsia"/>
                <w:b/>
                <w:kern w:val="0"/>
              </w:rPr>
              <w:t>、产业政策的符合性</w:t>
            </w:r>
          </w:p>
          <w:p>
            <w:pPr>
              <w:pStyle w:val="183"/>
            </w:pPr>
            <w:r>
              <w:rPr>
                <w:rFonts w:hint="eastAsia"/>
              </w:rPr>
              <w:t>本项目属于</w:t>
            </w:r>
            <w:r>
              <w:t xml:space="preserve">D4610 </w:t>
            </w:r>
            <w:r>
              <w:rPr>
                <w:rFonts w:hint="eastAsia"/>
              </w:rPr>
              <w:t>自来水生产和供应，包括取水工程、原水管线、净水厂工程等，对照《产业结构调整指导目录（2019年本）》（2</w:t>
            </w:r>
            <w:r>
              <w:t>021</w:t>
            </w:r>
            <w:r>
              <w:rPr>
                <w:rFonts w:hint="eastAsia"/>
              </w:rPr>
              <w:t>年本），本项目属于鼓励类第二条“水利”中的第3项“城乡供水水源工程”项目，符合国家产业政策要求。</w:t>
            </w:r>
          </w:p>
          <w:p>
            <w:pPr>
              <w:pStyle w:val="183"/>
              <w:rPr>
                <w:rFonts w:hint="eastAsia"/>
              </w:rPr>
            </w:pPr>
            <w:r>
              <w:rPr>
                <w:rFonts w:hint="eastAsia"/>
              </w:rPr>
              <w:t>目前，该项目可研于2</w:t>
            </w:r>
            <w:r>
              <w:t>022</w:t>
            </w:r>
            <w:r>
              <w:rPr>
                <w:rFonts w:hint="eastAsia"/>
              </w:rPr>
              <w:t>年6月2</w:t>
            </w:r>
            <w:r>
              <w:t>9</w:t>
            </w:r>
            <w:r>
              <w:rPr>
                <w:rFonts w:hint="eastAsia"/>
              </w:rPr>
              <w:t>日取得乐山市市中区发展和改革局的批复（乐中发改政策[</w:t>
            </w:r>
            <w:r>
              <w:t>2022]224</w:t>
            </w:r>
            <w:r>
              <w:rPr>
                <w:rFonts w:hint="eastAsia"/>
              </w:rPr>
              <w:t>号、乐中发改政策[</w:t>
            </w:r>
            <w:r>
              <w:t>2022]</w:t>
            </w:r>
            <w:r>
              <w:rPr>
                <w:rFonts w:hint="eastAsia"/>
              </w:rPr>
              <w:t>283号）。</w:t>
            </w:r>
          </w:p>
          <w:p>
            <w:pPr>
              <w:pStyle w:val="183"/>
            </w:pPr>
            <w:r>
              <w:t>因此，该项目符合国家产业政策。</w:t>
            </w:r>
          </w:p>
          <w:p>
            <w:pPr>
              <w:pStyle w:val="183"/>
              <w:ind w:firstLine="482"/>
              <w:rPr>
                <w:rFonts w:hint="eastAsia"/>
                <w:b/>
                <w:kern w:val="0"/>
              </w:rPr>
            </w:pPr>
            <w:r>
              <w:rPr>
                <w:rFonts w:hint="eastAsia"/>
                <w:b/>
                <w:kern w:val="0"/>
              </w:rPr>
              <w:t>2、规划及选址合理性分析</w:t>
            </w:r>
          </w:p>
          <w:p>
            <w:pPr>
              <w:pStyle w:val="183"/>
              <w:rPr>
                <w:kern w:val="0"/>
              </w:rPr>
            </w:pPr>
            <w:r>
              <w:rPr>
                <w:rFonts w:hint="eastAsia"/>
                <w:kern w:val="0"/>
              </w:rPr>
              <w:t>（1）规划符合性</w:t>
            </w:r>
          </w:p>
          <w:p>
            <w:pPr>
              <w:pStyle w:val="183"/>
              <w:rPr>
                <w:rFonts w:hint="eastAsia"/>
                <w:kern w:val="0"/>
              </w:rPr>
            </w:pPr>
            <w:r>
              <w:rPr>
                <w:rFonts w:hint="eastAsia"/>
                <w:kern w:val="0"/>
              </w:rPr>
              <w:t>本项目位于乐山市市中区，根据业主提供《建设用地规划许可证》（地字第5</w:t>
            </w:r>
            <w:r>
              <w:rPr>
                <w:kern w:val="0"/>
              </w:rPr>
              <w:t>11102202100007</w:t>
            </w:r>
            <w:r>
              <w:rPr>
                <w:rFonts w:hint="eastAsia"/>
                <w:kern w:val="0"/>
              </w:rPr>
              <w:t>号），本项目用地为水域及水利设施用地，，项目用地符合国土空间规划和用途管制要求，因此本项目符合乐山市市中区规划要求。</w:t>
            </w:r>
          </w:p>
          <w:p>
            <w:pPr>
              <w:pStyle w:val="183"/>
              <w:rPr>
                <w:kern w:val="0"/>
              </w:rPr>
            </w:pPr>
            <w:r>
              <w:rPr>
                <w:rFonts w:hint="eastAsia"/>
                <w:kern w:val="0"/>
              </w:rPr>
              <w:t>（2）选址</w:t>
            </w:r>
            <w:r>
              <w:rPr>
                <w:kern w:val="0"/>
              </w:rPr>
              <w:t>合理性</w:t>
            </w:r>
            <w:r>
              <w:rPr>
                <w:rFonts w:hint="eastAsia"/>
                <w:kern w:val="0"/>
              </w:rPr>
              <w:t>及外环境关系相容性</w:t>
            </w:r>
          </w:p>
          <w:p>
            <w:pPr>
              <w:pStyle w:val="183"/>
              <w:rPr>
                <w:rFonts w:hint="eastAsia"/>
                <w:kern w:val="0"/>
              </w:rPr>
            </w:pPr>
            <w:r>
              <w:rPr>
                <w:rFonts w:hint="eastAsia"/>
                <w:kern w:val="0"/>
              </w:rPr>
              <w:t>本项目位于乐山市市中区，在关子门堰王沟设置取水口，采用提水泵站（设计取水流量1</w:t>
            </w:r>
            <w:r>
              <w:rPr>
                <w:kern w:val="0"/>
              </w:rPr>
              <w:t>.5m</w:t>
            </w:r>
            <w:r>
              <w:rPr>
                <w:kern w:val="0"/>
                <w:vertAlign w:val="superscript"/>
              </w:rPr>
              <w:t>3</w:t>
            </w:r>
            <w:r>
              <w:rPr>
                <w:kern w:val="0"/>
              </w:rPr>
              <w:t>/s</w:t>
            </w:r>
            <w:r>
              <w:rPr>
                <w:rFonts w:hint="eastAsia"/>
                <w:kern w:val="0"/>
              </w:rPr>
              <w:t>）加压，设置D</w:t>
            </w:r>
            <w:r>
              <w:rPr>
                <w:kern w:val="0"/>
              </w:rPr>
              <w:t>N550</w:t>
            </w:r>
            <w:r>
              <w:rPr>
                <w:rFonts w:hint="eastAsia"/>
                <w:kern w:val="0"/>
              </w:rPr>
              <w:t>设计引水流量</w:t>
            </w:r>
            <w:r>
              <w:rPr>
                <w:kern w:val="0"/>
              </w:rPr>
              <w:t>0.4m</w:t>
            </w:r>
            <w:r>
              <w:rPr>
                <w:kern w:val="0"/>
                <w:vertAlign w:val="superscript"/>
              </w:rPr>
              <w:t>3</w:t>
            </w:r>
            <w:r>
              <w:rPr>
                <w:kern w:val="0"/>
              </w:rPr>
              <w:t>/s</w:t>
            </w:r>
            <w:r>
              <w:rPr>
                <w:rFonts w:hint="eastAsia"/>
                <w:kern w:val="0"/>
              </w:rPr>
              <w:t>的原水主管道（</w:t>
            </w:r>
            <w:r>
              <w:rPr>
                <w:kern w:val="0"/>
              </w:rPr>
              <w:t>CK0+000~CK6+984.04</w:t>
            </w:r>
            <w:r>
              <w:rPr>
                <w:rFonts w:hint="eastAsia"/>
                <w:kern w:val="0"/>
              </w:rPr>
              <w:t>）1</w:t>
            </w:r>
            <w:r>
              <w:rPr>
                <w:kern w:val="0"/>
              </w:rPr>
              <w:t>6984.04m</w:t>
            </w:r>
            <w:r>
              <w:rPr>
                <w:rFonts w:hint="eastAsia"/>
                <w:kern w:val="0"/>
              </w:rPr>
              <w:t>将水引至剑锋镇桂花村新建的净水厂进行处理，同时设置备用事故管：从联合村火地铺至净水厂设置D</w:t>
            </w:r>
            <w:r>
              <w:rPr>
                <w:kern w:val="0"/>
              </w:rPr>
              <w:t>N550</w:t>
            </w:r>
            <w:r>
              <w:rPr>
                <w:rFonts w:hint="eastAsia"/>
                <w:kern w:val="0"/>
              </w:rPr>
              <w:t>备用事故管道4</w:t>
            </w:r>
            <w:r>
              <w:rPr>
                <w:kern w:val="0"/>
              </w:rPr>
              <w:t>832.86m</w:t>
            </w:r>
            <w:r>
              <w:rPr>
                <w:rFonts w:hint="eastAsia"/>
                <w:kern w:val="0"/>
              </w:rPr>
              <w:t>，泵站至联合村火地铺段利用两健生产生态输水干管作为备用事故管道并在A</w:t>
            </w:r>
            <w:r>
              <w:rPr>
                <w:kern w:val="0"/>
              </w:rPr>
              <w:t>K2+150</w:t>
            </w:r>
            <w:r>
              <w:rPr>
                <w:rFonts w:hint="eastAsia"/>
                <w:kern w:val="0"/>
              </w:rPr>
              <w:t>处设置D</w:t>
            </w:r>
            <w:r>
              <w:rPr>
                <w:kern w:val="0"/>
              </w:rPr>
              <w:t>N550</w:t>
            </w:r>
            <w:r>
              <w:rPr>
                <w:rFonts w:hint="eastAsia"/>
                <w:kern w:val="0"/>
              </w:rPr>
              <w:t>连通管1</w:t>
            </w:r>
            <w:r>
              <w:rPr>
                <w:kern w:val="0"/>
              </w:rPr>
              <w:t>0m</w:t>
            </w:r>
            <w:r>
              <w:rPr>
                <w:rFonts w:hint="eastAsia"/>
                <w:kern w:val="0"/>
              </w:rPr>
              <w:t>与原水主管及备用事故管连接。</w:t>
            </w:r>
          </w:p>
          <w:p>
            <w:pPr>
              <w:pStyle w:val="183"/>
              <w:rPr>
                <w:kern w:val="0"/>
              </w:rPr>
            </w:pPr>
            <w:r>
              <w:rPr>
                <w:rFonts w:hint="eastAsia"/>
                <w:kern w:val="0"/>
              </w:rPr>
              <w:t>项目外环境关系如下：</w:t>
            </w:r>
          </w:p>
          <w:p>
            <w:pPr>
              <w:pStyle w:val="183"/>
              <w:rPr>
                <w:rFonts w:hint="eastAsia"/>
                <w:kern w:val="0"/>
              </w:rPr>
            </w:pPr>
            <w:r>
              <w:rPr>
                <w:rFonts w:hint="eastAsia"/>
                <w:kern w:val="0"/>
              </w:rPr>
              <w:t>提水泵站：东面紧邻王沟，下游5</w:t>
            </w:r>
            <w:r>
              <w:rPr>
                <w:kern w:val="0"/>
              </w:rPr>
              <w:t>75m</w:t>
            </w:r>
            <w:r>
              <w:rPr>
                <w:rFonts w:hint="eastAsia"/>
                <w:kern w:val="0"/>
              </w:rPr>
              <w:t>处为两河口电站取水大坝，东面1</w:t>
            </w:r>
            <w:r>
              <w:rPr>
                <w:kern w:val="0"/>
              </w:rPr>
              <w:t>05m</w:t>
            </w:r>
            <w:r>
              <w:rPr>
                <w:rFonts w:hint="eastAsia"/>
                <w:kern w:val="0"/>
              </w:rPr>
              <w:t>处有三户散居住户，西南面4</w:t>
            </w:r>
            <w:r>
              <w:rPr>
                <w:kern w:val="0"/>
              </w:rPr>
              <w:t>80m</w:t>
            </w:r>
            <w:r>
              <w:rPr>
                <w:rFonts w:hint="eastAsia"/>
                <w:kern w:val="0"/>
              </w:rPr>
              <w:t>处为两河口电站站房，其余均为林地。</w:t>
            </w:r>
          </w:p>
          <w:p>
            <w:pPr>
              <w:pStyle w:val="183"/>
              <w:rPr>
                <w:kern w:val="0"/>
              </w:rPr>
            </w:pPr>
            <w:r>
              <w:rPr>
                <w:rFonts w:hint="eastAsia"/>
                <w:kern w:val="0"/>
              </w:rPr>
              <w:t>输水管线：输水管线途经联合村、桂花村等，项目沿线主要为联合村、桂花村住户。</w:t>
            </w:r>
          </w:p>
          <w:p>
            <w:pPr>
              <w:pStyle w:val="183"/>
              <w:rPr>
                <w:kern w:val="0"/>
              </w:rPr>
            </w:pPr>
            <w:r>
              <w:rPr>
                <w:rFonts w:hint="eastAsia"/>
                <w:kern w:val="0"/>
              </w:rPr>
              <w:t>净水厂：东面为桂花村住户，与本项目最近距离为1</w:t>
            </w:r>
            <w:r>
              <w:rPr>
                <w:kern w:val="0"/>
              </w:rPr>
              <w:t>02m</w:t>
            </w:r>
            <w:r>
              <w:rPr>
                <w:rFonts w:hint="eastAsia"/>
                <w:kern w:val="0"/>
              </w:rPr>
              <w:t>，高差-</w:t>
            </w:r>
            <w:r>
              <w:rPr>
                <w:kern w:val="0"/>
              </w:rPr>
              <w:t>20m</w:t>
            </w:r>
            <w:r>
              <w:rPr>
                <w:rFonts w:hint="eastAsia"/>
                <w:kern w:val="0"/>
              </w:rPr>
              <w:t>，有树木阻隔；与南面住户的最近距离为2</w:t>
            </w:r>
            <w:r>
              <w:rPr>
                <w:kern w:val="0"/>
              </w:rPr>
              <w:t>30m</w:t>
            </w:r>
            <w:r>
              <w:rPr>
                <w:rFonts w:hint="eastAsia"/>
                <w:kern w:val="0"/>
              </w:rPr>
              <w:t>，高差-</w:t>
            </w:r>
            <w:r>
              <w:rPr>
                <w:kern w:val="0"/>
              </w:rPr>
              <w:t>20m</w:t>
            </w:r>
            <w:r>
              <w:rPr>
                <w:rFonts w:hint="eastAsia"/>
                <w:kern w:val="0"/>
              </w:rPr>
              <w:t>，有树木阻隔；与西南面住户的最近距离为2</w:t>
            </w:r>
            <w:r>
              <w:rPr>
                <w:kern w:val="0"/>
              </w:rPr>
              <w:t>10m</w:t>
            </w:r>
            <w:r>
              <w:rPr>
                <w:rFonts w:hint="eastAsia"/>
                <w:kern w:val="0"/>
              </w:rPr>
              <w:t>，高差-</w:t>
            </w:r>
            <w:r>
              <w:rPr>
                <w:kern w:val="0"/>
              </w:rPr>
              <w:t>20m</w:t>
            </w:r>
            <w:r>
              <w:rPr>
                <w:rFonts w:hint="eastAsia"/>
                <w:kern w:val="0"/>
              </w:rPr>
              <w:t>，有树木阻隔；与西面住户的最近距离为</w:t>
            </w:r>
            <w:r>
              <w:rPr>
                <w:kern w:val="0"/>
              </w:rPr>
              <w:t>207m</w:t>
            </w:r>
            <w:r>
              <w:rPr>
                <w:rFonts w:hint="eastAsia"/>
                <w:kern w:val="0"/>
              </w:rPr>
              <w:t>，高差-</w:t>
            </w:r>
            <w:r>
              <w:rPr>
                <w:kern w:val="0"/>
              </w:rPr>
              <w:t>9m</w:t>
            </w:r>
            <w:r>
              <w:rPr>
                <w:rFonts w:hint="eastAsia"/>
                <w:kern w:val="0"/>
              </w:rPr>
              <w:t>，有树木阻隔；与北面住户的最近距离为1</w:t>
            </w:r>
            <w:r>
              <w:rPr>
                <w:kern w:val="0"/>
              </w:rPr>
              <w:t>90m</w:t>
            </w:r>
            <w:r>
              <w:rPr>
                <w:rFonts w:hint="eastAsia"/>
                <w:kern w:val="0"/>
              </w:rPr>
              <w:t>，高差2</w:t>
            </w:r>
            <w:r>
              <w:rPr>
                <w:kern w:val="0"/>
              </w:rPr>
              <w:t>1m</w:t>
            </w:r>
            <w:r>
              <w:rPr>
                <w:rFonts w:hint="eastAsia"/>
                <w:kern w:val="0"/>
              </w:rPr>
              <w:t>，有树木阻隔。</w:t>
            </w:r>
          </w:p>
          <w:p>
            <w:pPr>
              <w:pStyle w:val="183"/>
              <w:rPr>
                <w:rFonts w:hint="eastAsia"/>
                <w:kern w:val="0"/>
              </w:rPr>
            </w:pPr>
            <w:r>
              <w:rPr>
                <w:rFonts w:hint="eastAsia"/>
                <w:kern w:val="0"/>
              </w:rPr>
              <w:t>同时，项目周围没有自然保护区、风景游览区、名胜古迹、生态脆弱敏感区和其他需要特别保护的敏感目标。本项目生产过程中无废气产生，产生的废水经处理达标后排入土主镇污水处理厂处理，项目噪声能实现达标排放，固废能够得到合理处置，对周边的环境影响可接受。</w:t>
            </w:r>
          </w:p>
          <w:p>
            <w:pPr>
              <w:pStyle w:val="183"/>
              <w:rPr>
                <w:kern w:val="0"/>
              </w:rPr>
            </w:pPr>
            <w:r>
              <w:rPr>
                <w:rFonts w:hint="eastAsia"/>
                <w:kern w:val="0"/>
              </w:rPr>
              <w:t>同时，本项目已于2</w:t>
            </w:r>
            <w:r>
              <w:rPr>
                <w:kern w:val="0"/>
              </w:rPr>
              <w:t>022</w:t>
            </w:r>
            <w:r>
              <w:rPr>
                <w:rFonts w:hint="eastAsia"/>
                <w:kern w:val="0"/>
              </w:rPr>
              <w:t>年9月取得了《建设项目用地预审与选址意见书》（用字第5</w:t>
            </w:r>
            <w:r>
              <w:rPr>
                <w:kern w:val="0"/>
              </w:rPr>
              <w:t>11102202210023</w:t>
            </w:r>
            <w:r>
              <w:rPr>
                <w:rFonts w:hint="eastAsia"/>
                <w:kern w:val="0"/>
              </w:rPr>
              <w:t>号），因此本项目的建设符合国土空间用途管制要求。</w:t>
            </w:r>
          </w:p>
          <w:p>
            <w:pPr>
              <w:pStyle w:val="183"/>
              <w:rPr>
                <w:kern w:val="0"/>
              </w:rPr>
            </w:pPr>
            <w:r>
              <w:rPr>
                <w:rFonts w:hint="eastAsia"/>
                <w:kern w:val="0"/>
              </w:rPr>
              <w:t>综上，项目选址合理。</w:t>
            </w:r>
          </w:p>
          <w:p>
            <w:pPr>
              <w:pStyle w:val="183"/>
              <w:ind w:firstLine="482"/>
              <w:rPr>
                <w:b/>
                <w:bCs/>
                <w:kern w:val="0"/>
              </w:rPr>
            </w:pPr>
            <w:r>
              <w:rPr>
                <w:rFonts w:hint="eastAsia"/>
                <w:b/>
                <w:bCs/>
                <w:kern w:val="0"/>
              </w:rPr>
              <w:t>二、与</w:t>
            </w:r>
            <w:r>
              <w:rPr>
                <w:b/>
                <w:bCs/>
                <w:kern w:val="0"/>
              </w:rPr>
              <w:t>《</w:t>
            </w:r>
            <w:r>
              <w:rPr>
                <w:rFonts w:hint="eastAsia"/>
                <w:b/>
                <w:bCs/>
                <w:kern w:val="0"/>
              </w:rPr>
              <w:t>乐山市市中区</w:t>
            </w:r>
            <w:r>
              <w:rPr>
                <w:b/>
                <w:bCs/>
                <w:kern w:val="0"/>
              </w:rPr>
              <w:t>水资源综合规划》的相符性</w:t>
            </w:r>
          </w:p>
          <w:p>
            <w:pPr>
              <w:pStyle w:val="183"/>
              <w:rPr>
                <w:kern w:val="0"/>
              </w:rPr>
            </w:pPr>
            <w:r>
              <w:rPr>
                <w:kern w:val="0"/>
              </w:rPr>
              <w:t>为满足</w:t>
            </w:r>
            <w:r>
              <w:rPr>
                <w:rFonts w:hint="eastAsia"/>
                <w:kern w:val="0"/>
              </w:rPr>
              <w:t>乐山市市中区</w:t>
            </w:r>
            <w:r>
              <w:rPr>
                <w:kern w:val="0"/>
              </w:rPr>
              <w:t>规划水平年的用水需求，根据现有水资源条件，结合各分区的具体实际，对现有水利设施进行改造、配套和加固；根据可能和需要，增加蓄水和供水设施，加强水资源的合理调度，遵循“优先生活和生态用水”的原则下，尽可能地供给工业和农业用水。根据《</w:t>
            </w:r>
            <w:r>
              <w:rPr>
                <w:rFonts w:hint="eastAsia"/>
                <w:kern w:val="0"/>
              </w:rPr>
              <w:t>乐山市市中区</w:t>
            </w:r>
            <w:r>
              <w:rPr>
                <w:kern w:val="0"/>
              </w:rPr>
              <w:t>国民经济和社会发展第十四个五年规划纲要》、《</w:t>
            </w:r>
            <w:r>
              <w:rPr>
                <w:rFonts w:hint="eastAsia"/>
                <w:kern w:val="0"/>
              </w:rPr>
              <w:t>乐山市市中区</w:t>
            </w:r>
            <w:r>
              <w:rPr>
                <w:kern w:val="0"/>
              </w:rPr>
              <w:t>水资源综合规划》，</w:t>
            </w:r>
            <w:r>
              <w:rPr>
                <w:rFonts w:hint="eastAsia"/>
                <w:kern w:val="0"/>
              </w:rPr>
              <w:t>本项目自关子门堰王沟处取水，属于岷江地表水</w:t>
            </w:r>
            <w:r>
              <w:rPr>
                <w:kern w:val="0"/>
              </w:rPr>
              <w:t>为供水水源，属于城镇基础设施建设项目，取水主要用于</w:t>
            </w:r>
            <w:r>
              <w:rPr>
                <w:rFonts w:hint="eastAsia"/>
                <w:kern w:val="0"/>
              </w:rPr>
              <w:t>城乡</w:t>
            </w:r>
            <w:r>
              <w:rPr>
                <w:kern w:val="0"/>
              </w:rPr>
              <w:t>供水，因此是符合区域、流域水资源综合规划的。</w:t>
            </w:r>
          </w:p>
          <w:p>
            <w:pPr>
              <w:wordWrap w:val="0"/>
              <w:adjustRightInd w:val="0"/>
              <w:snapToGrid w:val="0"/>
              <w:spacing w:line="360" w:lineRule="auto"/>
              <w:ind w:firstLine="482" w:firstLineChars="200"/>
              <w:jc w:val="left"/>
              <w:rPr>
                <w:rFonts w:hint="eastAsia" w:ascii="宋体" w:hAnsi="宋体"/>
                <w:b/>
                <w:sz w:val="28"/>
                <w:szCs w:val="28"/>
              </w:rPr>
            </w:pPr>
            <w:r>
              <w:rPr>
                <w:rFonts w:hint="eastAsia" w:ascii="宋体" w:hAnsi="宋体"/>
                <w:b/>
                <w:sz w:val="24"/>
              </w:rPr>
              <w:t>三、</w:t>
            </w:r>
            <w:r>
              <w:rPr>
                <w:rFonts w:hint="eastAsia" w:ascii="宋体" w:hAnsi="宋体"/>
                <w:b/>
                <w:sz w:val="28"/>
                <w:szCs w:val="28"/>
              </w:rPr>
              <w:t>“三线一单”符合性分析</w:t>
            </w:r>
          </w:p>
          <w:p>
            <w:pPr>
              <w:pStyle w:val="138"/>
              <w:ind w:firstLine="480"/>
            </w:pPr>
            <w:r>
              <w:rPr>
                <w:rFonts w:hint="eastAsia"/>
              </w:rPr>
              <w:t>四川省生态环境厅办公室于2</w:t>
            </w:r>
            <w:r>
              <w:t>021</w:t>
            </w:r>
            <w:r>
              <w:rPr>
                <w:rFonts w:hint="eastAsia"/>
              </w:rPr>
              <w:t>年1</w:t>
            </w:r>
            <w:r>
              <w:t>2</w:t>
            </w:r>
            <w:r>
              <w:rPr>
                <w:rFonts w:hint="eastAsia"/>
              </w:rPr>
              <w:t>月2</w:t>
            </w:r>
            <w:r>
              <w:t>7</w:t>
            </w:r>
            <w:r>
              <w:rPr>
                <w:rFonts w:hint="eastAsia"/>
              </w:rPr>
              <w:t>日印发了《环评“三线一单”符合性分析技术要点（试行）》（川环办函[</w:t>
            </w:r>
            <w:r>
              <w:t>2021]469</w:t>
            </w:r>
            <w:r>
              <w:rPr>
                <w:rFonts w:hint="eastAsia"/>
              </w:rPr>
              <w:t>号），本次评价对照《环评“三线一单”符合性分析技术要点（试行）》相关要求，依据四川省政务服务网“三线一单”符合性分析系统，分析本项目“三线一单”符合性。本项目位于乐山市市中区牟子镇、剑锋镇等，根据在四川政务服务网</w:t>
            </w:r>
            <w:r>
              <w:fldChar w:fldCharType="begin"/>
            </w:r>
            <w:r>
              <w:instrText xml:space="preserve"> HYPERLINK "https://tftb.sczwfw.gov.cn:8085/hos-server/pub/jmas/jmasbucket/jmopen_files/webapp/html5/sxydctfx/index.html?areaCode=510000000000" </w:instrText>
            </w:r>
            <w:r>
              <w:fldChar w:fldCharType="separate"/>
            </w:r>
            <w:r>
              <w:rPr>
                <w:rStyle w:val="45"/>
              </w:rPr>
              <w:t>https://tftb.sczwfw.gov.cn:8085/hos-server/pub/jmas/jmasbucket/jmopen_files/webapp/html5/sxydctfx/index.html?areaCode=510000000000</w:t>
            </w:r>
            <w:r>
              <w:fldChar w:fldCharType="end"/>
            </w:r>
            <w:r>
              <w:rPr>
                <w:rFonts w:hint="eastAsia"/>
              </w:rPr>
              <w:t>查询结果，本项目环境综合管控单元属于要素重点管控单元，大气环境分区属于大气环境布局敏感重点管控区，水环境分区属于岷江市中区青衣坝控制单元及泥溪河市中区泥溪河口控制单元，具体见下表根据具体见下表。</w:t>
            </w:r>
          </w:p>
          <w:p>
            <w:pPr>
              <w:pStyle w:val="138"/>
              <w:ind w:firstLine="480"/>
            </w:pPr>
          </w:p>
          <w:p>
            <w:pPr>
              <w:pStyle w:val="138"/>
              <w:ind w:firstLine="480"/>
            </w:pPr>
          </w:p>
          <w:p>
            <w:pPr>
              <w:pStyle w:val="138"/>
              <w:ind w:firstLine="480"/>
              <w:rPr>
                <w:rFonts w:hint="eastAsia"/>
              </w:rPr>
            </w:pPr>
          </w:p>
          <w:p>
            <w:pPr>
              <w:autoSpaceDE w:val="0"/>
              <w:autoSpaceDN w:val="0"/>
              <w:adjustRightInd w:val="0"/>
              <w:snapToGrid w:val="0"/>
              <w:spacing w:line="360" w:lineRule="auto"/>
              <w:ind w:firstLine="482" w:firstLineChars="200"/>
              <w:jc w:val="center"/>
              <w:rPr>
                <w:rFonts w:hint="eastAsia"/>
                <w:szCs w:val="21"/>
              </w:rPr>
            </w:pPr>
            <w:r>
              <w:rPr>
                <w:rFonts w:hint="eastAsia"/>
                <w:b/>
                <w:bCs/>
                <w:szCs w:val="21"/>
              </w:rPr>
              <w:t>表</w:t>
            </w:r>
            <w:r>
              <w:rPr>
                <w:b/>
                <w:bCs/>
                <w:szCs w:val="21"/>
              </w:rPr>
              <w:t>1-</w:t>
            </w:r>
            <w:r>
              <w:rPr>
                <w:rFonts w:hint="eastAsia"/>
                <w:b/>
                <w:bCs/>
                <w:szCs w:val="21"/>
              </w:rPr>
              <w:t xml:space="preserve"> 管控单元表</w:t>
            </w:r>
          </w:p>
          <w:tbl>
            <w:tblPr>
              <w:tblStyle w:val="39"/>
              <w:tblW w:w="81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1"/>
              <w:gridCol w:w="1791"/>
              <w:gridCol w:w="758"/>
              <w:gridCol w:w="947"/>
              <w:gridCol w:w="1110"/>
              <w:gridCol w:w="1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1132" w:type="pct"/>
                  <w:noWrap w:val="0"/>
                  <w:vAlign w:val="center"/>
                </w:tcPr>
                <w:p>
                  <w:pPr>
                    <w:pStyle w:val="182"/>
                    <w:wordWrap/>
                    <w:rPr>
                      <w:b/>
                    </w:rPr>
                  </w:pPr>
                  <w:r>
                    <w:rPr>
                      <w:rFonts w:hint="eastAsia"/>
                      <w:b/>
                    </w:rPr>
                    <w:t>环境管控单元编码</w:t>
                  </w:r>
                </w:p>
              </w:tc>
              <w:tc>
                <w:tcPr>
                  <w:tcW w:w="1101" w:type="pct"/>
                  <w:noWrap w:val="0"/>
                  <w:vAlign w:val="center"/>
                </w:tcPr>
                <w:p>
                  <w:pPr>
                    <w:pStyle w:val="182"/>
                    <w:wordWrap/>
                    <w:rPr>
                      <w:b/>
                    </w:rPr>
                  </w:pPr>
                  <w:r>
                    <w:rPr>
                      <w:rFonts w:hint="eastAsia"/>
                      <w:b/>
                    </w:rPr>
                    <w:t>环境管控单元名称</w:t>
                  </w:r>
                </w:p>
              </w:tc>
              <w:tc>
                <w:tcPr>
                  <w:tcW w:w="466" w:type="pct"/>
                  <w:noWrap w:val="0"/>
                  <w:vAlign w:val="center"/>
                </w:tcPr>
                <w:p>
                  <w:pPr>
                    <w:pStyle w:val="182"/>
                    <w:wordWrap/>
                    <w:rPr>
                      <w:b/>
                    </w:rPr>
                  </w:pPr>
                  <w:r>
                    <w:rPr>
                      <w:rFonts w:hint="eastAsia"/>
                      <w:b/>
                    </w:rPr>
                    <w:t>所属城市</w:t>
                  </w:r>
                </w:p>
              </w:tc>
              <w:tc>
                <w:tcPr>
                  <w:tcW w:w="582" w:type="pct"/>
                  <w:noWrap w:val="0"/>
                  <w:vAlign w:val="center"/>
                </w:tcPr>
                <w:p>
                  <w:pPr>
                    <w:pStyle w:val="182"/>
                    <w:wordWrap/>
                    <w:rPr>
                      <w:b/>
                    </w:rPr>
                  </w:pPr>
                  <w:r>
                    <w:rPr>
                      <w:rFonts w:hint="eastAsia"/>
                      <w:b/>
                    </w:rPr>
                    <w:t>所属区县</w:t>
                  </w:r>
                </w:p>
              </w:tc>
              <w:tc>
                <w:tcPr>
                  <w:tcW w:w="682" w:type="pct"/>
                  <w:noWrap w:val="0"/>
                  <w:vAlign w:val="center"/>
                </w:tcPr>
                <w:p>
                  <w:pPr>
                    <w:pStyle w:val="182"/>
                    <w:wordWrap/>
                    <w:rPr>
                      <w:b/>
                    </w:rPr>
                  </w:pPr>
                  <w:r>
                    <w:rPr>
                      <w:rFonts w:hint="eastAsia"/>
                      <w:b/>
                    </w:rPr>
                    <w:t>准入清单类型</w:t>
                  </w:r>
                </w:p>
              </w:tc>
              <w:tc>
                <w:tcPr>
                  <w:tcW w:w="1036" w:type="pct"/>
                  <w:noWrap w:val="0"/>
                  <w:vAlign w:val="center"/>
                </w:tcPr>
                <w:p>
                  <w:pPr>
                    <w:pStyle w:val="182"/>
                    <w:wordWrap/>
                    <w:rPr>
                      <w:b/>
                    </w:rPr>
                  </w:pPr>
                  <w:r>
                    <w:rPr>
                      <w:rFonts w:hint="eastAsia"/>
                      <w:b/>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113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ZH51110220004</w:t>
                  </w:r>
                </w:p>
              </w:tc>
              <w:tc>
                <w:tcPr>
                  <w:tcW w:w="1101"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市中区要素重点管控单元</w:t>
                  </w:r>
                </w:p>
              </w:tc>
              <w:tc>
                <w:tcPr>
                  <w:tcW w:w="466"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乐山市</w:t>
                  </w:r>
                </w:p>
              </w:tc>
              <w:tc>
                <w:tcPr>
                  <w:tcW w:w="582"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市中区</w:t>
                  </w:r>
                </w:p>
              </w:tc>
              <w:tc>
                <w:tcPr>
                  <w:tcW w:w="68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环境管控单元</w:t>
                  </w:r>
                </w:p>
              </w:tc>
              <w:tc>
                <w:tcPr>
                  <w:tcW w:w="1036"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要素重点管控单元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113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YS5111023210024</w:t>
                  </w:r>
                </w:p>
              </w:tc>
              <w:tc>
                <w:tcPr>
                  <w:tcW w:w="1101"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岷江市中区青衣坝控制单元</w:t>
                  </w:r>
                </w:p>
              </w:tc>
              <w:tc>
                <w:tcPr>
                  <w:tcW w:w="466"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乐山市</w:t>
                  </w:r>
                </w:p>
              </w:tc>
              <w:tc>
                <w:tcPr>
                  <w:tcW w:w="582"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市中区</w:t>
                  </w:r>
                </w:p>
              </w:tc>
              <w:tc>
                <w:tcPr>
                  <w:tcW w:w="68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水环境管控分区</w:t>
                  </w:r>
                </w:p>
              </w:tc>
              <w:tc>
                <w:tcPr>
                  <w:tcW w:w="1036"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水环境一般管控区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113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YS5111022230007</w:t>
                  </w:r>
                </w:p>
              </w:tc>
              <w:tc>
                <w:tcPr>
                  <w:tcW w:w="1101"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泥溪河市中区泥溪河口控制单元</w:t>
                  </w:r>
                </w:p>
              </w:tc>
              <w:tc>
                <w:tcPr>
                  <w:tcW w:w="466"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乐山市</w:t>
                  </w:r>
                </w:p>
              </w:tc>
              <w:tc>
                <w:tcPr>
                  <w:tcW w:w="582"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市中区</w:t>
                  </w:r>
                </w:p>
              </w:tc>
              <w:tc>
                <w:tcPr>
                  <w:tcW w:w="68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水环境管控分区</w:t>
                  </w:r>
                </w:p>
              </w:tc>
              <w:tc>
                <w:tcPr>
                  <w:tcW w:w="1036"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水环境农业污染重点管控区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113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YS5111022320001</w:t>
                  </w:r>
                </w:p>
              </w:tc>
              <w:tc>
                <w:tcPr>
                  <w:tcW w:w="1101"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乐山市市中区大气环境布局敏感重点管控区</w:t>
                  </w:r>
                </w:p>
              </w:tc>
              <w:tc>
                <w:tcPr>
                  <w:tcW w:w="466"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乐山市</w:t>
                  </w:r>
                </w:p>
              </w:tc>
              <w:tc>
                <w:tcPr>
                  <w:tcW w:w="582" w:type="pct"/>
                  <w:noWrap w:val="0"/>
                  <w:vAlign w:val="top"/>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市中区</w:t>
                  </w:r>
                </w:p>
              </w:tc>
              <w:tc>
                <w:tcPr>
                  <w:tcW w:w="682"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大气环境管控分区</w:t>
                  </w:r>
                </w:p>
              </w:tc>
              <w:tc>
                <w:tcPr>
                  <w:tcW w:w="1036" w:type="pct"/>
                  <w:noWrap w:val="0"/>
                  <w:vAlign w:val="center"/>
                </w:tcPr>
                <w:p>
                  <w:pPr>
                    <w:pStyle w:val="190"/>
                    <w:widowControl/>
                    <w:spacing w:line="240" w:lineRule="auto"/>
                    <w:ind w:firstLine="0" w:firstLineChars="0"/>
                    <w:jc w:val="left"/>
                    <w:rPr>
                      <w:rFonts w:ascii="宋体" w:hAnsi="宋体" w:eastAsia="宋体"/>
                      <w:sz w:val="21"/>
                    </w:rPr>
                  </w:pPr>
                  <w:r>
                    <w:rPr>
                      <w:rFonts w:hint="eastAsia" w:ascii="宋体" w:hAnsi="宋体" w:eastAsia="宋体"/>
                      <w:sz w:val="21"/>
                    </w:rPr>
                    <w:t>大气环境布局敏感重点管控区</w:t>
                  </w:r>
                </w:p>
              </w:tc>
            </w:tr>
          </w:tbl>
          <w:p>
            <w:pPr>
              <w:wordWrap w:val="0"/>
              <w:adjustRightInd w:val="0"/>
              <w:snapToGrid w:val="0"/>
              <w:spacing w:line="360" w:lineRule="auto"/>
              <w:jc w:val="left"/>
              <w:rPr>
                <w:rFonts w:hint="eastAsia"/>
                <w:sz w:val="24"/>
              </w:rPr>
            </w:pPr>
            <w:r>
              <w:drawing>
                <wp:inline distT="0" distB="0" distL="114300" distR="114300">
                  <wp:extent cx="5098415" cy="3194050"/>
                  <wp:effectExtent l="0" t="0" r="6985" b="6350"/>
                  <wp:docPr id="1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
                          <pic:cNvPicPr>
                            <a:picLocks noChangeAspect="1"/>
                          </pic:cNvPicPr>
                        </pic:nvPicPr>
                        <pic:blipFill>
                          <a:blip r:embed="rId11"/>
                          <a:stretch>
                            <a:fillRect/>
                          </a:stretch>
                        </pic:blipFill>
                        <pic:spPr>
                          <a:xfrm>
                            <a:off x="0" y="0"/>
                            <a:ext cx="5098415" cy="3194050"/>
                          </a:xfrm>
                          <a:prstGeom prst="rect">
                            <a:avLst/>
                          </a:prstGeom>
                          <a:noFill/>
                          <a:ln>
                            <a:noFill/>
                          </a:ln>
                        </pic:spPr>
                      </pic:pic>
                    </a:graphicData>
                  </a:graphic>
                </wp:inline>
              </w:drawing>
            </w:r>
          </w:p>
          <w:p>
            <w:pPr>
              <w:wordWrap w:val="0"/>
              <w:adjustRightInd w:val="0"/>
              <w:snapToGrid w:val="0"/>
              <w:spacing w:line="360" w:lineRule="auto"/>
              <w:ind w:firstLine="480" w:firstLineChars="200"/>
              <w:jc w:val="left"/>
              <w:rPr>
                <w:sz w:val="24"/>
              </w:rPr>
            </w:pPr>
          </w:p>
          <w:p>
            <w:pPr>
              <w:wordWrap w:val="0"/>
              <w:adjustRightInd w:val="0"/>
              <w:snapToGrid w:val="0"/>
              <w:spacing w:line="360" w:lineRule="auto"/>
              <w:ind w:firstLine="480" w:firstLineChars="200"/>
              <w:jc w:val="left"/>
              <w:rPr>
                <w:sz w:val="24"/>
              </w:rPr>
            </w:pPr>
          </w:p>
          <w:p>
            <w:pPr>
              <w:wordWrap w:val="0"/>
              <w:adjustRightInd w:val="0"/>
              <w:snapToGrid w:val="0"/>
              <w:spacing w:line="360" w:lineRule="auto"/>
              <w:ind w:firstLine="480" w:firstLineChars="200"/>
              <w:jc w:val="left"/>
              <w:rPr>
                <w:rFonts w:hint="eastAsia"/>
                <w:sz w:val="24"/>
              </w:rPr>
            </w:pPr>
          </w:p>
          <w:p>
            <w:pPr>
              <w:pStyle w:val="138"/>
              <w:ind w:firstLine="480"/>
              <w:rPr>
                <w:rFonts w:ascii="宋体" w:hAnsi="宋体"/>
              </w:rPr>
            </w:pPr>
          </w:p>
        </w:tc>
      </w:tr>
    </w:tbl>
    <w:p>
      <w:pPr>
        <w:spacing w:line="360" w:lineRule="auto"/>
        <w:outlineLvl w:val="0"/>
        <w:rPr>
          <w:rFonts w:eastAsia="黑体"/>
          <w:sz w:val="30"/>
        </w:rPr>
        <w:sectPr>
          <w:footerReference r:id="rId5" w:type="default"/>
          <w:pgSz w:w="11906" w:h="16838"/>
          <w:pgMar w:top="1797" w:right="1700" w:bottom="1797" w:left="1440" w:header="851" w:footer="1077" w:gutter="0"/>
          <w:pgNumType w:start="1"/>
          <w:cols w:space="720" w:num="1"/>
          <w:docGrid w:linePitch="312" w:charSpace="0"/>
        </w:sectPr>
      </w:pPr>
    </w:p>
    <w:p>
      <w:pPr>
        <w:autoSpaceDE w:val="0"/>
        <w:autoSpaceDN w:val="0"/>
        <w:adjustRightInd w:val="0"/>
        <w:jc w:val="center"/>
        <w:rPr>
          <w:rFonts w:cs="宋体"/>
          <w:b/>
        </w:rPr>
      </w:pPr>
      <w:r>
        <w:rPr>
          <w:rFonts w:hint="eastAsia" w:cs="宋体"/>
          <w:b/>
        </w:rPr>
        <w:t>表1-</w:t>
      </w:r>
      <w:r>
        <w:rPr>
          <w:rFonts w:cs="宋体"/>
          <w:b/>
        </w:rPr>
        <w:t>2</w:t>
      </w:r>
      <w:r>
        <w:rPr>
          <w:rFonts w:hint="eastAsia" w:cs="宋体"/>
          <w:b/>
        </w:rPr>
        <w:t xml:space="preserve"> 本项目 “三线一单”符合性分析</w:t>
      </w:r>
    </w:p>
    <w:tbl>
      <w:tblPr>
        <w:tblStyle w:val="39"/>
        <w:tblW w:w="1403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5245"/>
        <w:gridCol w:w="709"/>
        <w:gridCol w:w="4822"/>
        <w:gridCol w:w="1559"/>
        <w:gridCol w:w="7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35" w:type="dxa"/>
            <w:gridSpan w:val="4"/>
            <w:noWrap w:val="0"/>
            <w:vAlign w:val="center"/>
          </w:tcPr>
          <w:p>
            <w:pPr>
              <w:widowControl/>
              <w:autoSpaceDE w:val="0"/>
              <w:autoSpaceDN w:val="0"/>
              <w:snapToGrid w:val="0"/>
              <w:jc w:val="center"/>
              <w:rPr>
                <w:szCs w:val="21"/>
              </w:rPr>
            </w:pPr>
            <w:r>
              <w:rPr>
                <w:rFonts w:hint="eastAsia"/>
                <w:szCs w:val="21"/>
              </w:rPr>
              <w:t>“三线一单”的具体要求</w:t>
            </w:r>
          </w:p>
        </w:tc>
        <w:tc>
          <w:tcPr>
            <w:tcW w:w="1559" w:type="dxa"/>
            <w:vMerge w:val="restart"/>
            <w:noWrap w:val="0"/>
            <w:vAlign w:val="center"/>
          </w:tcPr>
          <w:p>
            <w:pPr>
              <w:widowControl/>
              <w:autoSpaceDE w:val="0"/>
              <w:autoSpaceDN w:val="0"/>
              <w:snapToGrid w:val="0"/>
              <w:jc w:val="center"/>
              <w:rPr>
                <w:szCs w:val="21"/>
              </w:rPr>
            </w:pPr>
            <w:r>
              <w:rPr>
                <w:rFonts w:hint="eastAsia"/>
                <w:szCs w:val="21"/>
              </w:rPr>
              <w:t>项目对应情况介绍</w:t>
            </w:r>
          </w:p>
        </w:tc>
        <w:tc>
          <w:tcPr>
            <w:tcW w:w="743" w:type="dxa"/>
            <w:vMerge w:val="restart"/>
            <w:noWrap w:val="0"/>
            <w:vAlign w:val="center"/>
          </w:tcPr>
          <w:p>
            <w:pPr>
              <w:widowControl/>
              <w:autoSpaceDE w:val="0"/>
              <w:autoSpaceDN w:val="0"/>
              <w:snapToGrid w:val="0"/>
              <w:jc w:val="center"/>
              <w:rPr>
                <w:szCs w:val="21"/>
              </w:rPr>
            </w:pPr>
            <w:r>
              <w:rPr>
                <w:rFonts w:hint="eastAsia"/>
                <w:szCs w:val="21"/>
              </w:rPr>
              <w:t>符合性分析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center"/>
          </w:tcPr>
          <w:p>
            <w:pPr>
              <w:widowControl/>
              <w:autoSpaceDE w:val="0"/>
              <w:autoSpaceDN w:val="0"/>
              <w:snapToGrid w:val="0"/>
              <w:jc w:val="center"/>
              <w:rPr>
                <w:szCs w:val="21"/>
              </w:rPr>
            </w:pPr>
            <w:r>
              <w:rPr>
                <w:rFonts w:hint="eastAsia"/>
                <w:szCs w:val="21"/>
              </w:rPr>
              <w:t>类别</w:t>
            </w:r>
          </w:p>
        </w:tc>
        <w:tc>
          <w:tcPr>
            <w:tcW w:w="5245" w:type="dxa"/>
            <w:noWrap w:val="0"/>
            <w:vAlign w:val="center"/>
          </w:tcPr>
          <w:p>
            <w:pPr>
              <w:autoSpaceDE w:val="0"/>
              <w:autoSpaceDN w:val="0"/>
              <w:snapToGrid w:val="0"/>
              <w:jc w:val="center"/>
              <w:rPr>
                <w:szCs w:val="21"/>
              </w:rPr>
            </w:pPr>
            <w:r>
              <w:rPr>
                <w:rFonts w:hint="eastAsia"/>
                <w:szCs w:val="21"/>
              </w:rPr>
              <w:t>普适性清单</w:t>
            </w:r>
          </w:p>
        </w:tc>
        <w:tc>
          <w:tcPr>
            <w:tcW w:w="5531" w:type="dxa"/>
            <w:gridSpan w:val="2"/>
            <w:noWrap w:val="0"/>
            <w:vAlign w:val="center"/>
          </w:tcPr>
          <w:p>
            <w:pPr>
              <w:widowControl/>
              <w:autoSpaceDE w:val="0"/>
              <w:autoSpaceDN w:val="0"/>
              <w:snapToGrid w:val="0"/>
              <w:jc w:val="center"/>
              <w:rPr>
                <w:szCs w:val="21"/>
              </w:rPr>
            </w:pPr>
            <w:r>
              <w:rPr>
                <w:rFonts w:hint="eastAsia"/>
                <w:szCs w:val="21"/>
              </w:rPr>
              <w:t>单元特性管控要求</w:t>
            </w:r>
          </w:p>
        </w:tc>
        <w:tc>
          <w:tcPr>
            <w:tcW w:w="1559" w:type="dxa"/>
            <w:vMerge w:val="continue"/>
            <w:noWrap w:val="0"/>
            <w:vAlign w:val="center"/>
          </w:tcPr>
          <w:p>
            <w:pPr>
              <w:widowControl/>
              <w:autoSpaceDE w:val="0"/>
              <w:autoSpaceDN w:val="0"/>
              <w:snapToGrid w:val="0"/>
              <w:jc w:val="center"/>
              <w:rPr>
                <w:szCs w:val="21"/>
              </w:rPr>
            </w:pPr>
          </w:p>
        </w:tc>
        <w:tc>
          <w:tcPr>
            <w:tcW w:w="743" w:type="dxa"/>
            <w:vMerge w:val="continue"/>
            <w:noWrap w:val="0"/>
            <w:vAlign w:val="center"/>
          </w:tcPr>
          <w:p>
            <w:pPr>
              <w:widowControl/>
              <w:autoSpaceDE w:val="0"/>
              <w:autoSpaceDN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restart"/>
            <w:noWrap w:val="0"/>
            <w:vAlign w:val="center"/>
          </w:tcPr>
          <w:p>
            <w:pPr>
              <w:widowControl/>
              <w:autoSpaceDE w:val="0"/>
              <w:autoSpaceDN w:val="0"/>
              <w:snapToGrid w:val="0"/>
              <w:jc w:val="center"/>
              <w:rPr>
                <w:szCs w:val="21"/>
              </w:rPr>
            </w:pPr>
            <w:r>
              <w:rPr>
                <w:rFonts w:hint="eastAsia" w:ascii="宋体" w:hAnsi="宋体"/>
                <w:szCs w:val="21"/>
              </w:rPr>
              <w:t>市中区要素重点管控单元（ZH51110220004）</w:t>
            </w:r>
          </w:p>
        </w:tc>
        <w:tc>
          <w:tcPr>
            <w:tcW w:w="5245" w:type="dxa"/>
            <w:vMerge w:val="restart"/>
            <w:noWrap w:val="0"/>
            <w:vAlign w:val="center"/>
          </w:tcPr>
          <w:p>
            <w:pPr>
              <w:pStyle w:val="199"/>
              <w:snapToGrid w:val="0"/>
              <w:spacing w:line="240" w:lineRule="auto"/>
              <w:ind w:firstLine="0" w:firstLineChars="0"/>
              <w:rPr>
                <w:rFonts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空间布局约束：</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禁止开发建设活动的要求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（1）禁止在长江干支流岸线一公里范围内新建、扩建化工园区和化工项目；禁止在长江重要支流岸线一公里范围内新建、改建、扩建尾矿库（以提升安全、生态环境保护水平为目的的改建除外）；</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（3）禁止在法律法规规定的禁采区内开采矿产；禁止土法采、选、冶严重污染环境的矿产资源；</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（4）对于基本农田，除法律规定的重点建设项目选址确实无法避让外，其他任何建设不得占用；</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（5）畜禽养殖严格按照乐山市各区县畜禽养殖区域划定方案执行，依法关闭或搬迁禁养区内的畜禽养殖场（小区）和养殖专业户。</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限制开发建设活动的要求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（1）现有化工、建材、有色、钢铁等工业企业，原则上限制发展，污染物排放只降不增，允许以提升安全、生态环境保护水平为目的的改建，引导企业结合产业升级等适时搬迁入园；</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（2）单元内若新布局工业园区，应符合最新的国土空间规划，并结合区域环境特点、三线成果、园区产业类别，充分论证选址的环境合理性；</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（6）坚持最严格的耕地保护制度，对全部耕地按限制开发的要求进行管理。严格限制农用地转为建设用地，控制建设用地总量，对耕地实行特殊保护；</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（8）长江流域河道采砂应当依法取得国务院水行政主管部门有关流域管理机构或者县级以上地方人民政府水行政主管部门的许可。严格控制采砂区域、采砂总量和采砂区域内的采砂船舶数量。</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不符合空间布局要求活动的退出要求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（1）全面取缔禁养区内规模化畜禽养殖场。岷江岸线延伸至陆域200米范围内基本消除畜禽养殖场（小区）；</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（2）对长江流域已建小水电工程，不符合生态保护要求的，县级以上地方人民政府应当组织分类整改或者采取措施逐步退出；</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（3）长江主要支流重点管控岸线：按照长江干线非法码头治理标准和生态保护红线管控等要求，持续开展长江主要支流非法码头整治。</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其他空间布局约束要求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污染物排放管控：</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允许排放量要求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（1）对新建排放二氧化硫、氮氧化物、工业烟粉尘和挥发性有机物的项目实施现役源2倍削减替代；</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（2）上一年度水环境质量未完成目标的，新建排放水污染的建设项目按照总量管控要求进行倍量削减替代；</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（3）水质超标的水功能区，应当实施更严格的污染物排放总量削减要求。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现有源提标升级改造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其他污染物排放管控要求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（1）新、改、扩建工业项目全面执行大气污染物特别排放限值。</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（2）乡镇生活污水处理设施全覆盖，生活污水收集处理率80%。到 2022 年底，65%以上的行政村农村生活污水得到有效治理。</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（4）新、改扩造纸企业参考执行乐山市“三线一单”生态环境分区管控中制浆造纸行业资源环境绩效准入门槛相应要求。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（5）屠宰项目如需接入城市污水管网，必须按照排水许可证要求排放污水，同时接受所在地的城镇排水主管部门的监督管理。</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（6）到 2023 年底，乡镇及行政村生活垃圾收转运处置体系基本实现全覆盖。</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环境风险防控：</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联防联控要求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其他环境风险防控要求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（1）严禁新增以铅、汞、镉、铬、砷五类重金属为主的污染物排放，引导现有企业结合产业升级等适时搬入产业对口园区；</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（3）严禁将城镇生活垃圾、污泥、工业废物直接用作肥料，禁止处理不达标的污泥进入耕地；禁止在农用地排放、倾倒、使用污泥、清淤底泥、尾矿（渣）等可能对土壤造成污染的固体废物；</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资源开发利用效率要求：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水资源利用总量要求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地下水开采要求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能源利用总量及效率要求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（1）禁止焚烧秸秆，大力推进秸秆肥料化、饲料化、基料化、原料化、能源化等多种形式的秸秆综合利用。</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（2）到2030年，农业废弃物全部实现资源化利用，</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（3）在秋收和夏收阶段开展秸秆禁烧专项巡查，强化成都平原地区区域联动。</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禁燃区要求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（1）能源结构以天然气和电为主。保留20蒸吨小时以上燃煤锅炉，并执行超低排放要求，鼓励搬入园区；</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（2）禁燃区内禁止审批（核准、备案）、新建、扩建燃用高污染燃料的项目和设施。</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其他资源利用效率要求</w:t>
            </w:r>
          </w:p>
          <w:p>
            <w:pPr>
              <w:widowControl/>
              <w:autoSpaceDE w:val="0"/>
              <w:autoSpaceDN w:val="0"/>
              <w:snapToGrid w:val="0"/>
              <w:jc w:val="left"/>
              <w:rPr>
                <w:szCs w:val="21"/>
              </w:rPr>
            </w:pPr>
            <w:r>
              <w:rPr>
                <w:rFonts w:hint="eastAsia" w:ascii="宋体" w:hAnsi="宋体" w:cs="宋体"/>
                <w:color w:val="000000"/>
                <w:kern w:val="0"/>
                <w:szCs w:val="21"/>
              </w:rPr>
              <w:t>暂无</w:t>
            </w:r>
          </w:p>
        </w:tc>
        <w:tc>
          <w:tcPr>
            <w:tcW w:w="709" w:type="dxa"/>
            <w:noWrap w:val="0"/>
            <w:vAlign w:val="center"/>
          </w:tcPr>
          <w:p>
            <w:pPr>
              <w:widowControl/>
              <w:autoSpaceDE w:val="0"/>
              <w:autoSpaceDN w:val="0"/>
              <w:snapToGrid w:val="0"/>
              <w:jc w:val="left"/>
              <w:rPr>
                <w:rFonts w:ascii="宋体" w:hAnsi="宋体"/>
                <w:szCs w:val="21"/>
              </w:rPr>
            </w:pPr>
            <w:r>
              <w:rPr>
                <w:rFonts w:hint="eastAsia" w:ascii="宋体" w:hAnsi="宋体"/>
                <w:szCs w:val="21"/>
              </w:rPr>
              <w:t>空间布局约束</w:t>
            </w:r>
          </w:p>
        </w:tc>
        <w:tc>
          <w:tcPr>
            <w:tcW w:w="4822" w:type="dxa"/>
            <w:noWrap w:val="0"/>
            <w:vAlign w:val="center"/>
          </w:tcPr>
          <w:p>
            <w:pPr>
              <w:pStyle w:val="199"/>
              <w:widowControl/>
              <w:shd w:val="clear" w:color="auto" w:fill="FFFFFF"/>
              <w:snapToGrid w:val="0"/>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禁止开发建设活动的要求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限制开发建设活动的要求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1、严控新（改、扩）建排放污染物的项目；2、其他执行乐山市要素重点管控单元普适性总体准入要求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允许开发建设活动的要求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不符合空间布局要求活动的退出要求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1、单元内既有合法手续的、且污染物排放和环境风险满足管控要求的企业可继续保留，不得新增污染物排放，并进一步加强监管；否则限期进行整改，整改后任不能达到要求的，属地政府责令关停退出；2、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其他空间布局约束要求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本项目位于乐山市市中区，属于自来水生产和供应以及引水工程，项目不涉及基本农田，生态红线等敏感区域</w:t>
            </w:r>
          </w:p>
        </w:tc>
        <w:tc>
          <w:tcPr>
            <w:tcW w:w="743" w:type="dxa"/>
            <w:noWrap w:val="0"/>
            <w:vAlign w:val="center"/>
          </w:tcPr>
          <w:p>
            <w:pPr>
              <w:widowControl/>
              <w:autoSpaceDE w:val="0"/>
              <w:autoSpaceDN w:val="0"/>
              <w:snapToGrid w:val="0"/>
              <w:jc w:val="center"/>
              <w:rPr>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center"/>
          </w:tcPr>
          <w:p>
            <w:pPr>
              <w:widowControl/>
              <w:autoSpaceDE w:val="0"/>
              <w:autoSpaceDN w:val="0"/>
              <w:snapToGrid w:val="0"/>
              <w:jc w:val="center"/>
              <w:rPr>
                <w:szCs w:val="21"/>
              </w:rPr>
            </w:pPr>
          </w:p>
        </w:tc>
        <w:tc>
          <w:tcPr>
            <w:tcW w:w="5245" w:type="dxa"/>
            <w:vMerge w:val="continue"/>
            <w:noWrap w:val="0"/>
            <w:vAlign w:val="center"/>
          </w:tcPr>
          <w:p>
            <w:pPr>
              <w:widowControl/>
              <w:autoSpaceDE w:val="0"/>
              <w:autoSpaceDN w:val="0"/>
              <w:snapToGrid w:val="0"/>
              <w:jc w:val="center"/>
              <w:rPr>
                <w:szCs w:val="21"/>
              </w:rPr>
            </w:pPr>
          </w:p>
        </w:tc>
        <w:tc>
          <w:tcPr>
            <w:tcW w:w="709" w:type="dxa"/>
            <w:noWrap w:val="0"/>
            <w:vAlign w:val="center"/>
          </w:tcPr>
          <w:p>
            <w:pPr>
              <w:widowControl/>
              <w:autoSpaceDE w:val="0"/>
              <w:autoSpaceDN w:val="0"/>
              <w:snapToGrid w:val="0"/>
              <w:jc w:val="left"/>
              <w:rPr>
                <w:rFonts w:ascii="宋体" w:hAnsi="宋体"/>
                <w:szCs w:val="21"/>
              </w:rPr>
            </w:pPr>
            <w:r>
              <w:rPr>
                <w:rFonts w:hint="eastAsia" w:ascii="宋体" w:hAnsi="宋体"/>
                <w:szCs w:val="21"/>
              </w:rPr>
              <w:t>污染物排放管控</w:t>
            </w:r>
          </w:p>
        </w:tc>
        <w:tc>
          <w:tcPr>
            <w:tcW w:w="4822" w:type="dxa"/>
            <w:noWrap w:val="0"/>
            <w:vAlign w:val="center"/>
          </w:tcPr>
          <w:p>
            <w:pPr>
              <w:pStyle w:val="199"/>
              <w:widowControl/>
              <w:shd w:val="clear" w:color="auto" w:fill="FFFFFF"/>
              <w:snapToGrid w:val="0"/>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现有源提标升级改造</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1、现有白酒、造纸等水污染企业，限期进行深度治理，不达标的企业关停并转；2、执行乐山市要素重点管控单元普适性总体准入要求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新增源等量或倍量替代</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新增源排放标准限值</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污染物排放绩效水平准入要求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1、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widowControl/>
              <w:shd w:val="clear" w:color="auto" w:fill="FFFFFF"/>
              <w:autoSpaceDE w:val="0"/>
              <w:autoSpaceDN w:val="0"/>
              <w:snapToGrid w:val="0"/>
              <w:jc w:val="left"/>
              <w:rPr>
                <w:rFonts w:ascii="宋体" w:hAnsi="宋体"/>
                <w:szCs w:val="21"/>
              </w:rPr>
            </w:pPr>
            <w:r>
              <w:rPr>
                <w:rFonts w:hint="eastAsia" w:ascii="宋体" w:hAnsi="宋体"/>
                <w:szCs w:val="21"/>
              </w:rPr>
              <w:t>其他污染物排放管控要求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本项目运营期无废气产生，本评价要求项目</w:t>
            </w:r>
            <w:r>
              <w:rPr>
                <w:rFonts w:hint="eastAsia" w:ascii="宋体" w:hAnsi="宋体" w:cs="宋体"/>
                <w:color w:val="000000"/>
                <w:kern w:val="0"/>
                <w:szCs w:val="21"/>
              </w:rPr>
              <w:t>水污染执行倍量削减替代</w:t>
            </w:r>
          </w:p>
        </w:tc>
        <w:tc>
          <w:tcPr>
            <w:tcW w:w="743" w:type="dxa"/>
            <w:noWrap w:val="0"/>
            <w:vAlign w:val="center"/>
          </w:tcPr>
          <w:p>
            <w:pPr>
              <w:widowControl/>
              <w:autoSpaceDE w:val="0"/>
              <w:autoSpaceDN w:val="0"/>
              <w:snapToGrid w:val="0"/>
              <w:jc w:val="center"/>
              <w:rPr>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center"/>
          </w:tcPr>
          <w:p>
            <w:pPr>
              <w:widowControl/>
              <w:autoSpaceDE w:val="0"/>
              <w:autoSpaceDN w:val="0"/>
              <w:snapToGrid w:val="0"/>
              <w:jc w:val="center"/>
              <w:rPr>
                <w:szCs w:val="21"/>
              </w:rPr>
            </w:pPr>
          </w:p>
        </w:tc>
        <w:tc>
          <w:tcPr>
            <w:tcW w:w="5245" w:type="dxa"/>
            <w:vMerge w:val="continue"/>
            <w:noWrap w:val="0"/>
            <w:vAlign w:val="center"/>
          </w:tcPr>
          <w:p>
            <w:pPr>
              <w:widowControl/>
              <w:autoSpaceDE w:val="0"/>
              <w:autoSpaceDN w:val="0"/>
              <w:snapToGrid w:val="0"/>
              <w:jc w:val="center"/>
              <w:rPr>
                <w:szCs w:val="21"/>
              </w:rPr>
            </w:pPr>
          </w:p>
        </w:tc>
        <w:tc>
          <w:tcPr>
            <w:tcW w:w="709" w:type="dxa"/>
            <w:noWrap w:val="0"/>
            <w:vAlign w:val="center"/>
          </w:tcPr>
          <w:p>
            <w:pPr>
              <w:widowControl/>
              <w:autoSpaceDE w:val="0"/>
              <w:autoSpaceDN w:val="0"/>
              <w:snapToGrid w:val="0"/>
              <w:jc w:val="left"/>
              <w:rPr>
                <w:rFonts w:ascii="宋体" w:hAnsi="宋体"/>
                <w:szCs w:val="21"/>
              </w:rPr>
            </w:pPr>
            <w:r>
              <w:rPr>
                <w:rFonts w:hint="eastAsia" w:ascii="宋体" w:hAnsi="宋体"/>
                <w:szCs w:val="21"/>
              </w:rPr>
              <w:t>环境风险防控</w:t>
            </w:r>
          </w:p>
        </w:tc>
        <w:tc>
          <w:tcPr>
            <w:tcW w:w="4822" w:type="dxa"/>
            <w:noWrap w:val="0"/>
            <w:vAlign w:val="center"/>
          </w:tcPr>
          <w:p>
            <w:pPr>
              <w:pStyle w:val="199"/>
              <w:widowControl/>
              <w:shd w:val="clear" w:color="auto" w:fill="FFFFFF"/>
              <w:snapToGrid w:val="0"/>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严格管控类农用地管控要求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安全利用类农用地管控要求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污染地块管控要求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园区环境风险防控要求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企业环境风险防控要求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1、土壤污染重点监管企业和污染地块应严格执行《中华人民共和国土壤污染防治法》、《工矿用地土壤环境管理办法（试行）》、《四川省工况用地土壤环境管理办法》、《土壤污染防治行动计划四川省工作方案》、《四川省污染地块土壤环境管理办法》等要求；2、其他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其他环境风险防控要求</w:t>
            </w:r>
          </w:p>
          <w:p>
            <w:pPr>
              <w:widowControl/>
              <w:shd w:val="clear" w:color="auto" w:fill="FFFFFF"/>
              <w:autoSpaceDE w:val="0"/>
              <w:autoSpaceDN w:val="0"/>
              <w:snapToGrid w:val="0"/>
              <w:jc w:val="left"/>
              <w:rPr>
                <w:rFonts w:ascii="宋体" w:hAnsi="宋体"/>
                <w:szCs w:val="21"/>
              </w:rPr>
            </w:pPr>
            <w:r>
              <w:rPr>
                <w:rFonts w:hint="eastAsia" w:ascii="宋体" w:hAnsi="宋体"/>
                <w:szCs w:val="21"/>
              </w:rPr>
              <w:t>执行乐山市要素重点管控单元普适性总体准入要求。</w:t>
            </w:r>
          </w:p>
        </w:tc>
        <w:tc>
          <w:tcPr>
            <w:tcW w:w="1559" w:type="dxa"/>
            <w:noWrap w:val="0"/>
            <w:vAlign w:val="center"/>
          </w:tcPr>
          <w:p>
            <w:pPr>
              <w:widowControl/>
              <w:autoSpaceDE w:val="0"/>
              <w:autoSpaceDN w:val="0"/>
              <w:snapToGrid w:val="0"/>
              <w:jc w:val="center"/>
              <w:rPr>
                <w:szCs w:val="21"/>
              </w:rPr>
            </w:pPr>
            <w:r>
              <w:rPr>
                <w:rFonts w:hint="eastAsia"/>
                <w:szCs w:val="21"/>
              </w:rPr>
              <w:t>本项目位于乐山市市中区，属于自来水生产和供应以及引水工程，不涉及重金属污染</w:t>
            </w:r>
          </w:p>
        </w:tc>
        <w:tc>
          <w:tcPr>
            <w:tcW w:w="743" w:type="dxa"/>
            <w:noWrap w:val="0"/>
            <w:vAlign w:val="center"/>
          </w:tcPr>
          <w:p>
            <w:pPr>
              <w:widowControl/>
              <w:autoSpaceDE w:val="0"/>
              <w:autoSpaceDN w:val="0"/>
              <w:snapToGrid w:val="0"/>
              <w:jc w:val="center"/>
              <w:rPr>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center"/>
          </w:tcPr>
          <w:p>
            <w:pPr>
              <w:widowControl/>
              <w:autoSpaceDE w:val="0"/>
              <w:autoSpaceDN w:val="0"/>
              <w:snapToGrid w:val="0"/>
              <w:jc w:val="center"/>
              <w:rPr>
                <w:szCs w:val="21"/>
              </w:rPr>
            </w:pPr>
          </w:p>
        </w:tc>
        <w:tc>
          <w:tcPr>
            <w:tcW w:w="5245" w:type="dxa"/>
            <w:vMerge w:val="continue"/>
            <w:noWrap w:val="0"/>
            <w:vAlign w:val="center"/>
          </w:tcPr>
          <w:p>
            <w:pPr>
              <w:widowControl/>
              <w:autoSpaceDE w:val="0"/>
              <w:autoSpaceDN w:val="0"/>
              <w:snapToGrid w:val="0"/>
              <w:jc w:val="center"/>
              <w:rPr>
                <w:szCs w:val="21"/>
              </w:rPr>
            </w:pPr>
          </w:p>
        </w:tc>
        <w:tc>
          <w:tcPr>
            <w:tcW w:w="709" w:type="dxa"/>
            <w:noWrap w:val="0"/>
            <w:vAlign w:val="center"/>
          </w:tcPr>
          <w:p>
            <w:pPr>
              <w:widowControl/>
              <w:autoSpaceDE w:val="0"/>
              <w:autoSpaceDN w:val="0"/>
              <w:snapToGrid w:val="0"/>
              <w:jc w:val="left"/>
              <w:rPr>
                <w:rFonts w:ascii="宋体" w:hAnsi="宋体"/>
                <w:szCs w:val="21"/>
              </w:rPr>
            </w:pPr>
            <w:r>
              <w:rPr>
                <w:rFonts w:hint="eastAsia" w:ascii="宋体" w:hAnsi="宋体"/>
                <w:szCs w:val="21"/>
              </w:rPr>
              <w:t>资源开发效率要求</w:t>
            </w:r>
          </w:p>
        </w:tc>
        <w:tc>
          <w:tcPr>
            <w:tcW w:w="4822" w:type="dxa"/>
            <w:noWrap w:val="0"/>
            <w:vAlign w:val="center"/>
          </w:tcPr>
          <w:p>
            <w:pPr>
              <w:pStyle w:val="199"/>
              <w:widowControl/>
              <w:shd w:val="clear" w:color="auto" w:fill="FFFFFF"/>
              <w:snapToGrid w:val="0"/>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水资源利用效率要求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执行乐山市要素重点管控单元普适性总体准入要求。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地下水开采要求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能源利用效率要求</w:t>
            </w:r>
          </w:p>
          <w:p>
            <w:pPr>
              <w:pStyle w:val="199"/>
              <w:widowControl/>
              <w:shd w:val="clear" w:color="auto" w:fill="FFFFFF"/>
              <w:snapToGrid w:val="0"/>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执行乐山市要素重点管控单元普适性总体准入要求。</w:t>
            </w:r>
          </w:p>
          <w:p>
            <w:pPr>
              <w:widowControl/>
              <w:shd w:val="clear" w:color="auto" w:fill="FFFFFF"/>
              <w:autoSpaceDE w:val="0"/>
              <w:autoSpaceDN w:val="0"/>
              <w:snapToGrid w:val="0"/>
              <w:jc w:val="left"/>
              <w:rPr>
                <w:rFonts w:ascii="宋体" w:hAnsi="宋体"/>
                <w:szCs w:val="21"/>
              </w:rPr>
            </w:pPr>
            <w:r>
              <w:rPr>
                <w:rFonts w:hint="eastAsia" w:ascii="宋体" w:hAnsi="宋体"/>
                <w:szCs w:val="21"/>
              </w:rPr>
              <w:t>其他资源利用效率要求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本项目位于乐山市市中区，属于自来水生产和供应以及引水工程，项目建成后为童家镇、白马镇、青平镇、牟子镇、全福镇、剑锋镇等提供生产生活用水</w:t>
            </w:r>
          </w:p>
        </w:tc>
        <w:tc>
          <w:tcPr>
            <w:tcW w:w="743" w:type="dxa"/>
            <w:noWrap w:val="0"/>
            <w:vAlign w:val="center"/>
          </w:tcPr>
          <w:p>
            <w:pPr>
              <w:widowControl/>
              <w:autoSpaceDE w:val="0"/>
              <w:autoSpaceDN w:val="0"/>
              <w:snapToGrid w:val="0"/>
              <w:jc w:val="center"/>
              <w:rPr>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959" w:type="dxa"/>
            <w:vMerge w:val="restart"/>
            <w:noWrap w:val="0"/>
            <w:vAlign w:val="center"/>
          </w:tcPr>
          <w:p>
            <w:pPr>
              <w:pStyle w:val="199"/>
              <w:snapToGrid w:val="0"/>
              <w:spacing w:line="240" w:lineRule="auto"/>
              <w:ind w:firstLine="0" w:firstLineChars="0"/>
            </w:pPr>
            <w:r>
              <w:rPr>
                <w:rFonts w:hint="eastAsia" w:ascii="宋体" w:hAnsi="宋体" w:eastAsia="宋体"/>
                <w:sz w:val="21"/>
                <w:lang w:val="en-US" w:eastAsia="zh-CN"/>
              </w:rPr>
              <w:t>泥溪河市中区泥溪河口控制单元</w:t>
            </w:r>
            <w:r>
              <w:rPr>
                <w:rFonts w:hint="eastAsia" w:ascii="宋体" w:hAnsi="宋体"/>
              </w:rPr>
              <w:t>（</w:t>
            </w:r>
            <w:r>
              <w:rPr>
                <w:rFonts w:hint="eastAsia" w:ascii="宋体" w:hAnsi="宋体" w:eastAsia="宋体"/>
                <w:sz w:val="21"/>
                <w:lang w:val="en-US" w:eastAsia="zh-CN"/>
              </w:rPr>
              <w:t>YS5111022230007</w:t>
            </w:r>
            <w:r>
              <w:rPr>
                <w:rFonts w:hint="eastAsia" w:ascii="宋体" w:hAnsi="宋体"/>
              </w:rPr>
              <w:t>）</w:t>
            </w:r>
          </w:p>
        </w:tc>
        <w:tc>
          <w:tcPr>
            <w:tcW w:w="5245" w:type="dxa"/>
            <w:vMerge w:val="restart"/>
            <w:noWrap w:val="0"/>
            <w:vAlign w:val="center"/>
          </w:tcPr>
          <w:p>
            <w:pPr>
              <w:pStyle w:val="199"/>
              <w:snapToGrid w:val="0"/>
              <w:spacing w:line="240" w:lineRule="auto"/>
              <w:ind w:firstLine="0" w:firstLineChars="0"/>
              <w:rPr>
                <w:rFonts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空间布局约束：</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禁止开发建设活动的要求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限制开发建设活动的要求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不符合空间布局要求活动的退出要求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其他空间布局约束要求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污染物排放管控：</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允许排放量要求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现有源提标升级改造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其他污染物排放管控要求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环境风险防控：</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联防联控要求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其他环境风险防控要求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资源开发利用效率要求：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水资源利用总量要求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地下水开采要求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能源利用总量及效率要求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禁燃区要求</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暂无</w:t>
            </w:r>
          </w:p>
          <w:p>
            <w:pPr>
              <w:pStyle w:val="199"/>
              <w:snapToGrid w:val="0"/>
              <w:spacing w:line="240" w:lineRule="auto"/>
              <w:ind w:firstLine="0" w:firstLineChars="0"/>
              <w:rPr>
                <w:rFonts w:hint="eastAsia" w:ascii="宋体" w:hAnsi="宋体" w:eastAsia="宋体" w:cs="宋体"/>
                <w:color w:val="000000"/>
                <w:kern w:val="0"/>
                <w:sz w:val="21"/>
                <w:lang w:val="en-US" w:eastAsia="zh-CN"/>
              </w:rPr>
            </w:pPr>
            <w:r>
              <w:rPr>
                <w:rFonts w:hint="eastAsia" w:ascii="宋体" w:hAnsi="宋体" w:eastAsia="宋体" w:cs="宋体"/>
                <w:color w:val="000000"/>
                <w:kern w:val="0"/>
                <w:sz w:val="21"/>
                <w:lang w:val="en-US" w:eastAsia="zh-CN"/>
              </w:rPr>
              <w:t>其他资源利用效率要求</w:t>
            </w:r>
          </w:p>
          <w:p>
            <w:pPr>
              <w:autoSpaceDE w:val="0"/>
              <w:autoSpaceDN w:val="0"/>
              <w:snapToGrid w:val="0"/>
              <w:jc w:val="center"/>
              <w:rPr>
                <w:szCs w:val="21"/>
              </w:rPr>
            </w:pPr>
            <w:r>
              <w:rPr>
                <w:rFonts w:hint="eastAsia" w:ascii="宋体" w:hAnsi="宋体" w:cs="宋体"/>
                <w:color w:val="000000"/>
                <w:kern w:val="0"/>
                <w:szCs w:val="21"/>
              </w:rPr>
              <w:t>暂无</w:t>
            </w: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空间布局约束</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禁止开发建设活动的要求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限制开发建设活动的要求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允许开发建设活动的要求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不符合空间布局要求活动的退出要求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其他空间布局约束要求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959" w:type="dxa"/>
            <w:vMerge w:val="continue"/>
            <w:noWrap w:val="0"/>
            <w:vAlign w:val="center"/>
          </w:tcPr>
          <w:p>
            <w:pPr>
              <w:widowControl/>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污染物排放管控</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城镇污水污染控制措施要求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工业废水污染控制措施要求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农业面源水污染控制措施要求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合理布局畜禽养殖规模，单位面积耕地的畜禽承载力不突破《四川省畜禽养殖污染防治技术指南》要求；强化畜禽养殖场污染治理，提高养殖粪污资源化利用率。</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船舶港口水污染控制措施要求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饮用水水源和其它特殊水体保护要求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本项目为自来水生产和供应以及引水工程，不属于畜禽养殖项目</w:t>
            </w:r>
          </w:p>
        </w:tc>
        <w:tc>
          <w:tcPr>
            <w:tcW w:w="743" w:type="dxa"/>
            <w:noWrap w:val="0"/>
            <w:vAlign w:val="center"/>
          </w:tcPr>
          <w:p>
            <w:pPr>
              <w:widowControl/>
              <w:autoSpaceDE w:val="0"/>
              <w:autoSpaceDN w:val="0"/>
              <w:snapToGrid w:val="0"/>
              <w:jc w:val="center"/>
              <w:rPr>
                <w:rFonts w:hint="eastAsia"/>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959" w:type="dxa"/>
            <w:vMerge w:val="continue"/>
            <w:noWrap w:val="0"/>
            <w:vAlign w:val="center"/>
          </w:tcPr>
          <w:p>
            <w:pPr>
              <w:widowControl/>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环境风险防控</w:t>
            </w:r>
          </w:p>
        </w:tc>
        <w:tc>
          <w:tcPr>
            <w:tcW w:w="4822" w:type="dxa"/>
            <w:vMerge w:val="restart"/>
            <w:noWrap w:val="0"/>
            <w:vAlign w:val="center"/>
          </w:tcPr>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8" w:hRule="atLeast"/>
        </w:trPr>
        <w:tc>
          <w:tcPr>
            <w:tcW w:w="959" w:type="dxa"/>
            <w:vMerge w:val="continue"/>
            <w:noWrap w:val="0"/>
            <w:vAlign w:val="center"/>
          </w:tcPr>
          <w:p>
            <w:pPr>
              <w:widowControl/>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资源开发效率要求</w:t>
            </w:r>
          </w:p>
        </w:tc>
        <w:tc>
          <w:tcPr>
            <w:tcW w:w="4822" w:type="dxa"/>
            <w:vMerge w:val="continue"/>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0" w:hRule="atLeast"/>
        </w:trPr>
        <w:tc>
          <w:tcPr>
            <w:tcW w:w="959" w:type="dxa"/>
            <w:vMerge w:val="restart"/>
            <w:noWrap w:val="0"/>
            <w:vAlign w:val="center"/>
          </w:tcPr>
          <w:p>
            <w:pPr>
              <w:autoSpaceDE w:val="0"/>
              <w:autoSpaceDN w:val="0"/>
              <w:snapToGrid w:val="0"/>
              <w:jc w:val="center"/>
              <w:rPr>
                <w:rFonts w:hint="eastAsia" w:ascii="宋体" w:hAnsi="宋体"/>
                <w:szCs w:val="21"/>
              </w:rPr>
            </w:pPr>
            <w:r>
              <w:rPr>
                <w:rFonts w:hint="eastAsia" w:ascii="宋体" w:hAnsi="宋体"/>
                <w:szCs w:val="21"/>
              </w:rPr>
              <w:t>岷江市中区青衣坝控制单元（YS5111023210024）</w:t>
            </w: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空间布局约束</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禁止开发建设活动的要求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限制开发建设活动的要求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允许开发建设活动的要求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不符合空间布局要求活动的退出要求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其他空间布局约束要求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污染物排放管控</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城镇污水污染控制措施要求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工业废水污染控制措施要求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农业面源水污染控制措施要求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合理布局畜禽养殖规模，单位面积耕地的畜禽承载力不突破《四川省畜禽养殖污染防治技术指南》要求；强化畜禽养殖场污染治理，提高养殖粪污资源化利用率。</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船舶港口水污染控制措施要求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饮用水水源和其它特殊水体保护要求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本项目为自来水生产和供应以及引水工程，不属于畜禽养殖项目</w:t>
            </w:r>
          </w:p>
        </w:tc>
        <w:tc>
          <w:tcPr>
            <w:tcW w:w="743" w:type="dxa"/>
            <w:noWrap w:val="0"/>
            <w:vAlign w:val="center"/>
          </w:tcPr>
          <w:p>
            <w:pPr>
              <w:widowControl/>
              <w:autoSpaceDE w:val="0"/>
              <w:autoSpaceDN w:val="0"/>
              <w:snapToGrid w:val="0"/>
              <w:jc w:val="center"/>
              <w:rPr>
                <w:rFonts w:hint="eastAsia"/>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环境风险防控</w:t>
            </w:r>
          </w:p>
        </w:tc>
        <w:tc>
          <w:tcPr>
            <w:tcW w:w="4822" w:type="dxa"/>
            <w:vMerge w:val="restart"/>
            <w:noWrap w:val="0"/>
            <w:vAlign w:val="center"/>
          </w:tcPr>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资源开发效率要求</w:t>
            </w:r>
          </w:p>
        </w:tc>
        <w:tc>
          <w:tcPr>
            <w:tcW w:w="4822" w:type="dxa"/>
            <w:vMerge w:val="continue"/>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959" w:type="dxa"/>
            <w:vMerge w:val="restart"/>
            <w:noWrap w:val="0"/>
            <w:vAlign w:val="center"/>
          </w:tcPr>
          <w:p>
            <w:pPr>
              <w:autoSpaceDE w:val="0"/>
              <w:autoSpaceDN w:val="0"/>
              <w:snapToGrid w:val="0"/>
              <w:jc w:val="center"/>
              <w:rPr>
                <w:rFonts w:hint="eastAsia" w:ascii="宋体" w:hAnsi="宋体"/>
                <w:szCs w:val="21"/>
              </w:rPr>
            </w:pPr>
            <w:r>
              <w:rPr>
                <w:rFonts w:hint="eastAsia" w:ascii="宋体" w:hAnsi="宋体"/>
                <w:szCs w:val="21"/>
              </w:rPr>
              <w:t>乐山市市中区大气环境布局敏感重点管控区（YS5111022320001）</w:t>
            </w: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空间布局约束</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禁止开发建设活动的要求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限制开发建设活动的要求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允许开发建设活动的要求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不符合空间布局要求活动的退出要求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其他空间布局约束要求</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污染物排放管控</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大气环境质量执行标准</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《环境空气质量标准》（GB3095-2012）：二级</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区域大气污染物削减/替代要求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新增大气污染物排放的建设项目实施总量削减替代。</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燃煤和其他能源大气污染控制要求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工业废气污染控制要求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机动车船大气污染控制要求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扬尘污染控制要求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农业生产经营活动大气污染控制要求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重点行业企业专项治理要求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其他大气污染物排放管控要求</w:t>
            </w:r>
          </w:p>
          <w:p>
            <w:pPr>
              <w:pStyle w:val="199"/>
              <w:widowControl/>
              <w:shd w:val="clear" w:color="auto" w:fill="FFFFFF"/>
              <w:spacing w:line="240" w:lineRule="auto"/>
              <w:ind w:firstLine="0" w:firstLineChars="0"/>
              <w:jc w:val="left"/>
              <w:rPr>
                <w:rFonts w:hint="eastAsia" w:ascii="宋体" w:hAnsi="宋体" w:eastAsia="宋体"/>
                <w:sz w:val="21"/>
                <w:lang w:val="en-US" w:eastAsia="zh-CN"/>
              </w:rPr>
            </w:pPr>
            <w:r>
              <w:rPr>
                <w:rFonts w:hint="eastAsia" w:ascii="宋体" w:hAnsi="宋体" w:eastAsia="宋体"/>
                <w:sz w:val="21"/>
                <w:lang w:val="en-US" w:eastAsia="zh-CN"/>
              </w:rPr>
              <w:t>禁止新建高污染项目，新上涉及大气污染物排放的项目必须采用国际领先、国内一流的清洁生产技术。把能源消耗与污染物排放总量指标作为环评审批的前置条件，对新建排放二氧化硫、氮氧化物、工业烟粉尘和挥发性有机物的项目实施现役源2倍削减量替代。提高挥发性有机物污染企业环境准入门槛。对涉VOCs新建项目进行严格把关，要求各类涉VOCs的建设项目在设计、建设中使用国际领先、国内一流的清洁生产和密闭化工艺。</w:t>
            </w:r>
          </w:p>
        </w:tc>
        <w:tc>
          <w:tcPr>
            <w:tcW w:w="1559" w:type="dxa"/>
            <w:noWrap w:val="0"/>
            <w:vAlign w:val="center"/>
          </w:tcPr>
          <w:p>
            <w:pPr>
              <w:widowControl/>
              <w:autoSpaceDE w:val="0"/>
              <w:autoSpaceDN w:val="0"/>
              <w:snapToGrid w:val="0"/>
              <w:jc w:val="center"/>
              <w:rPr>
                <w:rFonts w:hint="eastAsia"/>
                <w:szCs w:val="21"/>
              </w:rPr>
            </w:pPr>
            <w:r>
              <w:rPr>
                <w:rFonts w:hint="eastAsia"/>
                <w:szCs w:val="21"/>
              </w:rPr>
              <w:t>本项目建成后无生产废气产生</w:t>
            </w:r>
          </w:p>
        </w:tc>
        <w:tc>
          <w:tcPr>
            <w:tcW w:w="743" w:type="dxa"/>
            <w:noWrap w:val="0"/>
            <w:vAlign w:val="center"/>
          </w:tcPr>
          <w:p>
            <w:pPr>
              <w:widowControl/>
              <w:autoSpaceDE w:val="0"/>
              <w:autoSpaceDN w:val="0"/>
              <w:snapToGrid w:val="0"/>
              <w:jc w:val="center"/>
              <w:rPr>
                <w:rFonts w:hint="eastAsia"/>
                <w:szCs w:val="21"/>
              </w:rPr>
            </w:pPr>
            <w:r>
              <w:rPr>
                <w:rFonts w:hint="eastAsia"/>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环境风险防控</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2" w:hRule="atLeast"/>
        </w:trPr>
        <w:tc>
          <w:tcPr>
            <w:tcW w:w="959" w:type="dxa"/>
            <w:vMerge w:val="continue"/>
            <w:noWrap w:val="0"/>
            <w:vAlign w:val="center"/>
          </w:tcPr>
          <w:p>
            <w:pPr>
              <w:autoSpaceDE w:val="0"/>
              <w:autoSpaceDN w:val="0"/>
              <w:snapToGrid w:val="0"/>
              <w:jc w:val="center"/>
              <w:rPr>
                <w:rFonts w:hint="eastAsia" w:ascii="宋体" w:hAnsi="宋体"/>
                <w:szCs w:val="21"/>
              </w:rPr>
            </w:pPr>
          </w:p>
        </w:tc>
        <w:tc>
          <w:tcPr>
            <w:tcW w:w="5245" w:type="dxa"/>
            <w:vMerge w:val="continue"/>
            <w:noWrap w:val="0"/>
            <w:vAlign w:val="center"/>
          </w:tcPr>
          <w:p>
            <w:pPr>
              <w:autoSpaceDE w:val="0"/>
              <w:autoSpaceDN w:val="0"/>
              <w:snapToGrid w:val="0"/>
              <w:jc w:val="center"/>
              <w:rPr>
                <w:rFonts w:hint="eastAsia" w:ascii="宋体" w:hAnsi="宋体" w:cs="宋体"/>
                <w:color w:val="000000"/>
                <w:kern w:val="0"/>
              </w:rPr>
            </w:pPr>
          </w:p>
        </w:tc>
        <w:tc>
          <w:tcPr>
            <w:tcW w:w="709" w:type="dxa"/>
            <w:noWrap w:val="0"/>
            <w:vAlign w:val="center"/>
          </w:tcPr>
          <w:p>
            <w:pPr>
              <w:pStyle w:val="199"/>
              <w:widowControl/>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资源开发效率要求</w:t>
            </w:r>
          </w:p>
        </w:tc>
        <w:tc>
          <w:tcPr>
            <w:tcW w:w="4822" w:type="dxa"/>
            <w:noWrap w:val="0"/>
            <w:vAlign w:val="center"/>
          </w:tcPr>
          <w:p>
            <w:pPr>
              <w:pStyle w:val="199"/>
              <w:widowControl/>
              <w:shd w:val="clear" w:color="auto" w:fill="FFFFFF"/>
              <w:spacing w:line="240" w:lineRule="auto"/>
              <w:ind w:firstLine="0" w:firstLineChars="0"/>
              <w:jc w:val="left"/>
              <w:rPr>
                <w:rFonts w:ascii="宋体" w:hAnsi="宋体" w:eastAsia="宋体"/>
                <w:sz w:val="21"/>
                <w:lang w:val="en-US" w:eastAsia="zh-CN"/>
              </w:rPr>
            </w:pPr>
            <w:r>
              <w:rPr>
                <w:rFonts w:hint="eastAsia" w:ascii="宋体" w:hAnsi="宋体" w:eastAsia="宋体"/>
                <w:sz w:val="21"/>
                <w:lang w:val="en-US" w:eastAsia="zh-CN"/>
              </w:rPr>
              <w:t>/</w:t>
            </w:r>
          </w:p>
        </w:tc>
        <w:tc>
          <w:tcPr>
            <w:tcW w:w="1559" w:type="dxa"/>
            <w:noWrap w:val="0"/>
            <w:vAlign w:val="center"/>
          </w:tcPr>
          <w:p>
            <w:pPr>
              <w:widowControl/>
              <w:autoSpaceDE w:val="0"/>
              <w:autoSpaceDN w:val="0"/>
              <w:snapToGrid w:val="0"/>
              <w:jc w:val="center"/>
              <w:rPr>
                <w:rFonts w:hint="eastAsia"/>
                <w:szCs w:val="21"/>
              </w:rPr>
            </w:pPr>
            <w:r>
              <w:rPr>
                <w:rFonts w:hint="eastAsia"/>
                <w:szCs w:val="21"/>
              </w:rPr>
              <w:t>/</w:t>
            </w:r>
          </w:p>
        </w:tc>
        <w:tc>
          <w:tcPr>
            <w:tcW w:w="743" w:type="dxa"/>
            <w:noWrap w:val="0"/>
            <w:vAlign w:val="center"/>
          </w:tcPr>
          <w:p>
            <w:pPr>
              <w:widowControl/>
              <w:autoSpaceDE w:val="0"/>
              <w:autoSpaceDN w:val="0"/>
              <w:snapToGrid w:val="0"/>
              <w:jc w:val="center"/>
              <w:rPr>
                <w:rFonts w:hint="eastAsia"/>
                <w:szCs w:val="21"/>
              </w:rPr>
            </w:pPr>
            <w:r>
              <w:rPr>
                <w:rFonts w:hint="eastAsia"/>
                <w:szCs w:val="21"/>
              </w:rPr>
              <w:t>/</w:t>
            </w:r>
          </w:p>
        </w:tc>
      </w:tr>
    </w:tbl>
    <w:p>
      <w:pPr>
        <w:adjustRightInd w:val="0"/>
        <w:snapToGrid w:val="0"/>
        <w:spacing w:line="360" w:lineRule="auto"/>
        <w:ind w:firstLine="600" w:firstLineChars="200"/>
        <w:rPr>
          <w:rFonts w:ascii="黑体" w:hAnsi="黑体" w:eastAsia="黑体"/>
          <w:snapToGrid w:val="0"/>
          <w:sz w:val="30"/>
          <w:szCs w:val="30"/>
        </w:rPr>
      </w:pPr>
    </w:p>
    <w:p>
      <w:pPr>
        <w:pStyle w:val="34"/>
        <w:jc w:val="center"/>
        <w:outlineLvl w:val="0"/>
        <w:rPr>
          <w:rFonts w:ascii="黑体" w:hAnsi="黑体" w:eastAsia="黑体"/>
          <w:snapToGrid w:val="0"/>
          <w:sz w:val="30"/>
          <w:szCs w:val="30"/>
        </w:rPr>
        <w:sectPr>
          <w:pgSz w:w="16838" w:h="11906" w:orient="landscape"/>
          <w:pgMar w:top="1440" w:right="1797" w:bottom="1440" w:left="1797" w:header="851" w:footer="851" w:gutter="0"/>
          <w:cols w:space="720" w:num="1"/>
          <w:docGrid w:linePitch="312" w:charSpace="0"/>
        </w:sectPr>
      </w:pP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8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pPr>
              <w:adjustRightInd w:val="0"/>
              <w:snapToGrid w:val="0"/>
              <w:spacing w:line="360" w:lineRule="auto"/>
              <w:rPr>
                <w:rFonts w:ascii="黑体" w:hAnsi="黑体" w:eastAsia="黑体"/>
                <w:snapToGrid w:val="0"/>
                <w:sz w:val="30"/>
                <w:szCs w:val="30"/>
              </w:rPr>
            </w:pPr>
          </w:p>
        </w:tc>
        <w:tc>
          <w:tcPr>
            <w:tcW w:w="8283" w:type="dxa"/>
            <w:noWrap w:val="0"/>
            <w:vAlign w:val="top"/>
          </w:tcPr>
          <w:p>
            <w:pPr>
              <w:pStyle w:val="138"/>
              <w:ind w:firstLine="480"/>
            </w:pPr>
            <w:r>
              <w:rPr>
                <w:rFonts w:hint="eastAsia"/>
              </w:rPr>
              <w:t>乐山市人民政府于</w:t>
            </w:r>
            <w:r>
              <w:t>2021年6月7日发布了《关于落实生态保护红线、环境质量底线、资源利用上线制定生态环境准入清单实施生态环境分区管控的通知》</w:t>
            </w:r>
            <w:r>
              <w:rPr>
                <w:rFonts w:hint="eastAsia"/>
              </w:rPr>
              <w:t>（乐府发[2021]7号）</w:t>
            </w:r>
            <w:r>
              <w:t>，</w:t>
            </w:r>
            <w:r>
              <w:rPr>
                <w:rFonts w:hint="eastAsia"/>
              </w:rPr>
              <w:t>本项目与乐山市“三线一单”符合性分析如下。</w:t>
            </w:r>
          </w:p>
          <w:p>
            <w:pPr>
              <w:pStyle w:val="138"/>
              <w:ind w:firstLine="480"/>
            </w:pPr>
            <w:r>
              <w:t>乐山市境内划定的生态保护红线总面积为2430.92 平方公里，占乐山市国土面积的19.11%，涵盖了水源涵养、生物多样性维护、水土保持功能极重要区以及水土流失、石漠化极敏感区，还包括黑竹沟国家级自然保护区、马边大风顶国家级自然保护区、芹菜坪省级自然保护区、峨眉山-乐山大佛国家级风景名胜区、黑竹沟省级风景名胜区、大渡河-美女峰省级风景名胜区、大渡河峡谷国家地质公园、大瓦山国家湿地、峨眉山-乐山大佛世界自然与文化遗产、岷江长吻鮠国家级水产种质资源保护区、乐山市第一水厂饮用水新水源保护区、乐山市青衣江陶渡集中式饮用水水源保护区等法定保护区域，以及极小种群物种分布栖息地、国家一级公益林、重要湿地等各类保护地。乐山市生态保护红线划定情况见表21-3，乐山市生态空间分布图见图1-1。</w:t>
            </w:r>
          </w:p>
          <w:p>
            <w:pPr>
              <w:pStyle w:val="138"/>
              <w:ind w:firstLineChars="83"/>
              <w:jc w:val="center"/>
              <w:rPr>
                <w:b/>
                <w:bCs/>
              </w:rPr>
            </w:pPr>
            <w:r>
              <w:rPr>
                <w:rFonts w:hint="eastAsia"/>
                <w:b/>
                <w:bCs/>
              </w:rPr>
              <w:t>表</w:t>
            </w:r>
            <w:r>
              <w:rPr>
                <w:b/>
                <w:bCs/>
              </w:rPr>
              <w:t>1-3 乐山市生态保护红线划定范围</w:t>
            </w:r>
          </w:p>
          <w:tbl>
            <w:tblPr>
              <w:tblStyle w:val="39"/>
              <w:tblW w:w="832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425"/>
              <w:gridCol w:w="2410"/>
              <w:gridCol w:w="45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94" w:type="dxa"/>
                  <w:gridSpan w:val="3"/>
                  <w:noWrap w:val="0"/>
                  <w:vAlign w:val="top"/>
                </w:tcPr>
                <w:p>
                  <w:pPr>
                    <w:pStyle w:val="138"/>
                    <w:spacing w:line="240" w:lineRule="auto"/>
                    <w:ind w:firstLine="0" w:firstLineChars="0"/>
                    <w:jc w:val="center"/>
                    <w:rPr>
                      <w:rFonts w:hint="eastAsia"/>
                      <w:sz w:val="21"/>
                      <w:szCs w:val="21"/>
                    </w:rPr>
                  </w:pPr>
                  <w:r>
                    <w:rPr>
                      <w:rFonts w:hint="eastAsia"/>
                      <w:sz w:val="21"/>
                      <w:szCs w:val="21"/>
                    </w:rPr>
                    <w:t>划定类型</w:t>
                  </w:r>
                </w:p>
              </w:tc>
              <w:tc>
                <w:tcPr>
                  <w:tcW w:w="4530" w:type="dxa"/>
                  <w:noWrap w:val="0"/>
                  <w:vAlign w:val="top"/>
                </w:tcPr>
                <w:p>
                  <w:pPr>
                    <w:pStyle w:val="138"/>
                    <w:spacing w:line="240" w:lineRule="auto"/>
                    <w:ind w:firstLine="0" w:firstLineChars="0"/>
                    <w:jc w:val="center"/>
                    <w:rPr>
                      <w:rFonts w:hint="eastAsia"/>
                      <w:sz w:val="21"/>
                      <w:szCs w:val="21"/>
                    </w:rPr>
                  </w:pPr>
                  <w:r>
                    <w:rPr>
                      <w:rFonts w:hint="eastAsia"/>
                      <w:sz w:val="21"/>
                      <w:szCs w:val="21"/>
                    </w:rPr>
                    <w:t>区域范围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restart"/>
                  <w:noWrap w:val="0"/>
                  <w:vAlign w:val="top"/>
                </w:tcPr>
                <w:p>
                  <w:pPr>
                    <w:pStyle w:val="138"/>
                    <w:spacing w:line="240" w:lineRule="auto"/>
                    <w:ind w:firstLine="0" w:firstLineChars="0"/>
                    <w:rPr>
                      <w:rFonts w:hint="eastAsia"/>
                      <w:sz w:val="21"/>
                      <w:szCs w:val="21"/>
                    </w:rPr>
                  </w:pPr>
                  <w:r>
                    <w:rPr>
                      <w:rFonts w:hint="eastAsia"/>
                      <w:sz w:val="21"/>
                      <w:szCs w:val="21"/>
                    </w:rPr>
                    <w:t>生态评估区</w:t>
                  </w: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1</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生态功能重要性评估区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水源涵养功能、水土保持功能、生物多样性维护功能极重要区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2</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生态环境敏感性评估区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水土流失、石漠化极敏感区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restart"/>
                  <w:noWrap w:val="0"/>
                  <w:vAlign w:val="top"/>
                </w:tcPr>
                <w:p>
                  <w:pPr>
                    <w:pStyle w:val="138"/>
                    <w:spacing w:line="240" w:lineRule="auto"/>
                    <w:ind w:firstLine="0" w:firstLineChars="0"/>
                    <w:rPr>
                      <w:rFonts w:hint="eastAsia"/>
                      <w:sz w:val="21"/>
                      <w:szCs w:val="21"/>
                    </w:rPr>
                  </w:pPr>
                  <w:r>
                    <w:rPr>
                      <w:rFonts w:hint="eastAsia"/>
                      <w:sz w:val="21"/>
                      <w:szCs w:val="21"/>
                    </w:rPr>
                    <w:t>国家级、省级禁止开发区</w:t>
                  </w: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1</w:t>
                  </w:r>
                </w:p>
              </w:tc>
              <w:tc>
                <w:tcPr>
                  <w:tcW w:w="2410" w:type="dxa"/>
                  <w:noWrap w:val="0"/>
                  <w:vAlign w:val="top"/>
                </w:tcPr>
                <w:p>
                  <w:pPr>
                    <w:pStyle w:val="138"/>
                    <w:spacing w:line="240" w:lineRule="auto"/>
                    <w:ind w:firstLine="0" w:firstLineChars="0"/>
                    <w:jc w:val="center"/>
                    <w:rPr>
                      <w:rFonts w:hint="eastAsia"/>
                      <w:sz w:val="21"/>
                      <w:szCs w:val="21"/>
                    </w:rPr>
                  </w:pPr>
                  <w:r>
                    <w:rPr>
                      <w:rFonts w:hint="eastAsia"/>
                      <w:sz w:val="21"/>
                      <w:szCs w:val="21"/>
                    </w:rPr>
                    <w:t>自然保护区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黑竹沟国家级自然保护区、马边大风顶国家级自然保护区、芹菜坪省级自然保护区、乐山市金口河区八月林自然保护区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2</w:t>
                  </w:r>
                </w:p>
              </w:tc>
              <w:tc>
                <w:tcPr>
                  <w:tcW w:w="2410" w:type="dxa"/>
                  <w:noWrap w:val="0"/>
                  <w:vAlign w:val="top"/>
                </w:tcPr>
                <w:p>
                  <w:pPr>
                    <w:pStyle w:val="138"/>
                    <w:spacing w:line="240" w:lineRule="auto"/>
                    <w:ind w:firstLine="0" w:firstLineChars="0"/>
                    <w:jc w:val="center"/>
                    <w:rPr>
                      <w:rFonts w:hint="eastAsia"/>
                      <w:sz w:val="21"/>
                      <w:szCs w:val="21"/>
                    </w:rPr>
                  </w:pPr>
                  <w:r>
                    <w:rPr>
                      <w:rFonts w:hint="eastAsia"/>
                      <w:sz w:val="21"/>
                      <w:szCs w:val="21"/>
                    </w:rPr>
                    <w:t>风景名胜区的核心景区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眉山-乐山大佛国家级风景名胜区、黑竹沟省级风景名胜区、大渡河-美女峰省级风景名胜区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3</w:t>
                  </w:r>
                </w:p>
              </w:tc>
              <w:tc>
                <w:tcPr>
                  <w:tcW w:w="2410" w:type="dxa"/>
                  <w:noWrap w:val="0"/>
                  <w:vAlign w:val="top"/>
                </w:tcPr>
                <w:p>
                  <w:pPr>
                    <w:pStyle w:val="138"/>
                    <w:spacing w:line="240" w:lineRule="auto"/>
                    <w:ind w:firstLine="0" w:firstLineChars="0"/>
                    <w:jc w:val="center"/>
                    <w:rPr>
                      <w:rFonts w:hint="eastAsia"/>
                      <w:sz w:val="21"/>
                      <w:szCs w:val="21"/>
                    </w:rPr>
                  </w:pPr>
                  <w:r>
                    <w:rPr>
                      <w:rFonts w:hint="eastAsia"/>
                      <w:sz w:val="21"/>
                      <w:szCs w:val="21"/>
                    </w:rPr>
                    <w:t>地质公园的地质遗迹保护区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大渡河峡谷国家地质公园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4</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湿地公园的湿地保育区、恢复重建区</w:t>
                  </w:r>
                </w:p>
              </w:tc>
              <w:tc>
                <w:tcPr>
                  <w:tcW w:w="4530" w:type="dxa"/>
                  <w:noWrap w:val="0"/>
                  <w:vAlign w:val="top"/>
                </w:tcPr>
                <w:p>
                  <w:pPr>
                    <w:pStyle w:val="138"/>
                    <w:spacing w:line="240" w:lineRule="auto"/>
                    <w:ind w:firstLine="0" w:firstLineChars="0"/>
                    <w:jc w:val="center"/>
                    <w:rPr>
                      <w:rFonts w:hint="eastAsia"/>
                      <w:sz w:val="21"/>
                      <w:szCs w:val="21"/>
                    </w:rPr>
                  </w:pPr>
                  <w:r>
                    <w:rPr>
                      <w:rFonts w:hint="eastAsia"/>
                      <w:sz w:val="21"/>
                      <w:szCs w:val="21"/>
                    </w:rPr>
                    <w:t>大瓦山湿地公园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5</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世界自然遗产地的核心区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峨眉山-乐山大佛世界自然与文化遗产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6</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饮用水水源保护区的一级保护区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乐山市第一水厂饮用水新水源保护区、乐山市青衣江陶渡集中式饮用水水源保护区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7</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水产种质资源保护区的核心区</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岷江长吻鮠国家级水产种质资源保护区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restart"/>
                  <w:noWrap w:val="0"/>
                  <w:vAlign w:val="top"/>
                </w:tcPr>
                <w:p>
                  <w:pPr>
                    <w:pStyle w:val="138"/>
                    <w:spacing w:line="240" w:lineRule="auto"/>
                    <w:ind w:firstLine="0" w:firstLineChars="0"/>
                    <w:rPr>
                      <w:rFonts w:hint="eastAsia"/>
                      <w:sz w:val="21"/>
                      <w:szCs w:val="21"/>
                    </w:rPr>
                  </w:pPr>
                  <w:r>
                    <w:rPr>
                      <w:rFonts w:hint="eastAsia"/>
                      <w:sz w:val="21"/>
                      <w:szCs w:val="21"/>
                    </w:rPr>
                    <w:t>其他各类保护区</w:t>
                  </w: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1</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极小种群物种分布的栖息地</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峨眉黄连、峨眉拟单性木兰的分布栖息地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2</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国家一级公益林</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峨眉山市、峨边县、马边县、沐川县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9" w:type="dxa"/>
                  <w:vMerge w:val="continue"/>
                  <w:noWrap w:val="0"/>
                  <w:vAlign w:val="top"/>
                </w:tcPr>
                <w:p>
                  <w:pPr>
                    <w:pStyle w:val="138"/>
                    <w:spacing w:line="240" w:lineRule="auto"/>
                    <w:ind w:firstLine="0" w:firstLineChars="0"/>
                    <w:rPr>
                      <w:rFonts w:hint="eastAsia"/>
                      <w:sz w:val="21"/>
                      <w:szCs w:val="21"/>
                    </w:rPr>
                  </w:pPr>
                </w:p>
              </w:tc>
              <w:tc>
                <w:tcPr>
                  <w:tcW w:w="425" w:type="dxa"/>
                  <w:noWrap w:val="0"/>
                  <w:vAlign w:val="top"/>
                </w:tcPr>
                <w:p>
                  <w:pPr>
                    <w:pStyle w:val="138"/>
                    <w:spacing w:line="240" w:lineRule="auto"/>
                    <w:ind w:firstLine="0" w:firstLineChars="0"/>
                    <w:rPr>
                      <w:rFonts w:hint="eastAsia"/>
                      <w:sz w:val="21"/>
                      <w:szCs w:val="21"/>
                    </w:rPr>
                  </w:pPr>
                  <w:r>
                    <w:rPr>
                      <w:rFonts w:hint="eastAsia"/>
                      <w:sz w:val="21"/>
                      <w:szCs w:val="21"/>
                    </w:rPr>
                    <w:t>3</w:t>
                  </w:r>
                </w:p>
              </w:tc>
              <w:tc>
                <w:tcPr>
                  <w:tcW w:w="2410" w:type="dxa"/>
                  <w:noWrap w:val="0"/>
                  <w:vAlign w:val="top"/>
                </w:tcPr>
                <w:p>
                  <w:pPr>
                    <w:pStyle w:val="138"/>
                    <w:spacing w:line="240" w:lineRule="auto"/>
                    <w:ind w:firstLine="0" w:firstLineChars="0"/>
                    <w:jc w:val="center"/>
                    <w:rPr>
                      <w:rFonts w:hint="eastAsia"/>
                      <w:sz w:val="21"/>
                      <w:szCs w:val="21"/>
                    </w:rPr>
                  </w:pPr>
                  <w:r>
                    <w:rPr>
                      <w:sz w:val="21"/>
                      <w:szCs w:val="21"/>
                    </w:rPr>
                    <w:t>重要湿地</w:t>
                  </w:r>
                </w:p>
              </w:tc>
              <w:tc>
                <w:tcPr>
                  <w:tcW w:w="4530" w:type="dxa"/>
                  <w:noWrap w:val="0"/>
                  <w:vAlign w:val="top"/>
                </w:tcPr>
                <w:p>
                  <w:pPr>
                    <w:pStyle w:val="138"/>
                    <w:spacing w:line="240" w:lineRule="auto"/>
                    <w:ind w:firstLine="0" w:firstLineChars="0"/>
                    <w:jc w:val="center"/>
                    <w:rPr>
                      <w:rFonts w:hint="eastAsia"/>
                      <w:sz w:val="21"/>
                      <w:szCs w:val="21"/>
                    </w:rPr>
                  </w:pPr>
                  <w:r>
                    <w:rPr>
                      <w:sz w:val="21"/>
                      <w:szCs w:val="21"/>
                    </w:rPr>
                    <w:t>沙湾区、犍为县</w:t>
                  </w:r>
                </w:p>
              </w:tc>
            </w:tr>
          </w:tbl>
          <w:p>
            <w:pPr>
              <w:pStyle w:val="138"/>
              <w:ind w:firstLine="480"/>
              <w:rPr>
                <w:rFonts w:hint="eastAsia"/>
              </w:rPr>
            </w:pPr>
          </w:p>
          <w:p>
            <w:pPr>
              <w:pStyle w:val="138"/>
              <w:ind w:firstLine="480"/>
            </w:pPr>
            <w:r>
              <mc:AlternateContent>
                <mc:Choice Requires="wps">
                  <w:drawing>
                    <wp:anchor distT="0" distB="0" distL="114300" distR="114300" simplePos="0" relativeHeight="251661312" behindDoc="0" locked="0" layoutInCell="1" allowOverlap="1">
                      <wp:simplePos x="0" y="0"/>
                      <wp:positionH relativeFrom="column">
                        <wp:posOffset>3458845</wp:posOffset>
                      </wp:positionH>
                      <wp:positionV relativeFrom="paragraph">
                        <wp:posOffset>182245</wp:posOffset>
                      </wp:positionV>
                      <wp:extent cx="679450" cy="292100"/>
                      <wp:effectExtent l="311150" t="7620" r="19050" b="367030"/>
                      <wp:wrapNone/>
                      <wp:docPr id="189" name="圆角矩形标注 189"/>
                      <wp:cNvGraphicFramePr/>
                      <a:graphic xmlns:a="http://schemas.openxmlformats.org/drawingml/2006/main">
                        <a:graphicData uri="http://schemas.microsoft.com/office/word/2010/wordprocessingShape">
                          <wps:wsp>
                            <wps:cNvSpPr/>
                            <wps:spPr>
                              <a:xfrm>
                                <a:off x="0" y="0"/>
                                <a:ext cx="679450" cy="292100"/>
                              </a:xfrm>
                              <a:prstGeom prst="wedgeRoundRectCallout">
                                <a:avLst>
                                  <a:gd name="adj1" fmla="val -87944"/>
                                  <a:gd name="adj2" fmla="val 158694"/>
                                  <a:gd name="adj3" fmla="val 16667"/>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pPr>
                                    <w:rPr>
                                      <w:szCs w:val="21"/>
                                    </w:rPr>
                                  </w:pPr>
                                  <w:r>
                                    <w:rPr>
                                      <w:szCs w:val="21"/>
                                    </w:rPr>
                                    <w:t>本项目</w:t>
                                  </w:r>
                                </w:p>
                              </w:txbxContent>
                            </wps:txbx>
                            <wps:bodyPr upright="1"/>
                          </wps:wsp>
                        </a:graphicData>
                      </a:graphic>
                    </wp:anchor>
                  </w:drawing>
                </mc:Choice>
                <mc:Fallback>
                  <w:pict>
                    <v:shape id="_x0000_s1026" o:spid="_x0000_s1026" o:spt="62" type="#_x0000_t62" style="position:absolute;left:0pt;margin-left:272.35pt;margin-top:14.35pt;height:23pt;width:53.5pt;z-index:251661312;mso-width-relative:page;mso-height-relative:page;" fillcolor="#FFFFFF" filled="t" stroked="t" coordsize="21600,21600" o:gfxdata="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Ua8VO2wAA&#10;AAkBAAAPAAAAAAAAAAEAIAAAACIAAABkcnMvZG93bnJldi54bWxQSwECFAAUAAAACACHTuJAZqPp&#10;AY0CAABIBQAADgAAAAAAAAABACAAAAAqAQAAZHJzL2Uyb0RvYy54bWxQSwUGAAAAAAYABgBZAQAA&#10;KQYAAAAA&#10;" adj="-8196,45078">
                      <v:path/>
                      <v:fill type="gradient" on="t" angle="90" focussize="0f,0f">
                        <o:fill type="gradientUnscaled" v:ext="backwardCompatible"/>
                      </v:fill>
                      <v:stroke weight="1.25pt"/>
                      <v:imagedata o:title=""/>
                      <o:lock v:ext="edit"/>
                      <o:callout minusx="t" minusy="t"/>
                      <v:textbox>
                        <w:txbxContent>
                          <w:p>
                            <w:pPr>
                              <w:rPr>
                                <w:szCs w:val="21"/>
                              </w:rPr>
                            </w:pPr>
                            <w:r>
                              <w:rPr>
                                <w:szCs w:val="21"/>
                              </w:rPr>
                              <w:t>本项目</w:t>
                            </w:r>
                          </w:p>
                        </w:txbxContent>
                      </v:textbox>
                    </v:shape>
                  </w:pict>
                </mc:Fallback>
              </mc:AlternateContent>
            </w:r>
            <w:r>
              <w:drawing>
                <wp:inline distT="0" distB="0" distL="114300" distR="114300">
                  <wp:extent cx="4984115" cy="3503930"/>
                  <wp:effectExtent l="0" t="0" r="6985" b="1270"/>
                  <wp:docPr id="1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
                          <pic:cNvPicPr>
                            <a:picLocks noChangeAspect="1"/>
                          </pic:cNvPicPr>
                        </pic:nvPicPr>
                        <pic:blipFill>
                          <a:blip r:embed="rId12"/>
                          <a:stretch>
                            <a:fillRect/>
                          </a:stretch>
                        </pic:blipFill>
                        <pic:spPr>
                          <a:xfrm>
                            <a:off x="0" y="0"/>
                            <a:ext cx="4984115" cy="3503930"/>
                          </a:xfrm>
                          <a:prstGeom prst="rect">
                            <a:avLst/>
                          </a:prstGeom>
                          <a:noFill/>
                          <a:ln>
                            <a:noFill/>
                          </a:ln>
                        </pic:spPr>
                      </pic:pic>
                    </a:graphicData>
                  </a:graphic>
                </wp:inline>
              </w:drawing>
            </w:r>
          </w:p>
          <w:p>
            <w:pPr>
              <w:pStyle w:val="138"/>
              <w:ind w:firstLineChars="83"/>
              <w:jc w:val="center"/>
              <w:rPr>
                <w:rFonts w:hint="eastAsia"/>
                <w:b/>
                <w:bCs/>
              </w:rPr>
            </w:pPr>
            <w:r>
              <w:rPr>
                <w:rFonts w:hint="eastAsia"/>
                <w:b/>
                <w:bCs/>
              </w:rPr>
              <w:t>图</w:t>
            </w:r>
            <w:r>
              <w:rPr>
                <w:b/>
                <w:bCs/>
              </w:rPr>
              <w:t xml:space="preserve">1-1 </w:t>
            </w:r>
            <w:r>
              <w:rPr>
                <w:rFonts w:hint="eastAsia"/>
                <w:b/>
                <w:bCs/>
              </w:rPr>
              <w:t>乐山市生态红线分布图</w:t>
            </w:r>
          </w:p>
          <w:p>
            <w:pPr>
              <w:pStyle w:val="138"/>
              <w:ind w:firstLine="480"/>
            </w:pPr>
            <w:r>
              <w:t>根据上表可知，本项目位于</w:t>
            </w:r>
            <w:r>
              <w:rPr>
                <w:rFonts w:hint="eastAsia"/>
              </w:rPr>
              <w:t>乐山市市中区牟子镇、剑锋镇等</w:t>
            </w:r>
            <w:r>
              <w:t>，不在生态红线区域范围之内，符合四川省及乐山市生态保护红线相关要求。</w:t>
            </w:r>
          </w:p>
          <w:p>
            <w:pPr>
              <w:wordWrap w:val="0"/>
              <w:adjustRightInd w:val="0"/>
              <w:snapToGrid w:val="0"/>
              <w:spacing w:line="360" w:lineRule="auto"/>
              <w:ind w:firstLine="480" w:firstLineChars="200"/>
              <w:jc w:val="left"/>
              <w:rPr>
                <w:sz w:val="24"/>
              </w:rPr>
            </w:pPr>
            <w:r>
              <w:rPr>
                <w:rFonts w:hint="eastAsia"/>
                <w:sz w:val="24"/>
              </w:rPr>
              <w:t>根据乐山市环境管控单元图，项目属于要素重点管控单元，《关于落实生态保护红线、环境质量底线、资源利用上线制定生态环境准入清单实施生态环境分区管控的通知》，本项目与要素重点管控单元符合性见下表：</w:t>
            </w:r>
          </w:p>
          <w:p>
            <w:pPr>
              <w:wordWrap w:val="0"/>
              <w:adjustRightInd w:val="0"/>
              <w:snapToGrid w:val="0"/>
              <w:spacing w:line="360" w:lineRule="auto"/>
              <w:ind w:firstLine="480" w:firstLineChars="200"/>
              <w:jc w:val="left"/>
              <w:rPr>
                <w:rFonts w:hint="eastAsia"/>
                <w:sz w:val="24"/>
              </w:rPr>
            </w:pPr>
            <w:r>
              <mc:AlternateContent>
                <mc:Choice Requires="wps">
                  <w:drawing>
                    <wp:anchor distT="0" distB="0" distL="114300" distR="114300" simplePos="0" relativeHeight="251660288" behindDoc="0" locked="0" layoutInCell="1" allowOverlap="1">
                      <wp:simplePos x="0" y="0"/>
                      <wp:positionH relativeFrom="column">
                        <wp:posOffset>2889250</wp:posOffset>
                      </wp:positionH>
                      <wp:positionV relativeFrom="paragraph">
                        <wp:posOffset>1352550</wp:posOffset>
                      </wp:positionV>
                      <wp:extent cx="668020" cy="302260"/>
                      <wp:effectExtent l="67945" t="369570" r="6985" b="13970"/>
                      <wp:wrapNone/>
                      <wp:docPr id="191" name="圆角矩形标注 191"/>
                      <wp:cNvGraphicFramePr/>
                      <a:graphic xmlns:a="http://schemas.openxmlformats.org/drawingml/2006/main">
                        <a:graphicData uri="http://schemas.microsoft.com/office/word/2010/wordprocessingShape">
                          <wps:wsp>
                            <wps:cNvSpPr/>
                            <wps:spPr>
                              <a:xfrm>
                                <a:off x="0" y="0"/>
                                <a:ext cx="668020" cy="302260"/>
                              </a:xfrm>
                              <a:prstGeom prst="wedgeRoundRectCallout">
                                <a:avLst>
                                  <a:gd name="adj1" fmla="val -57699"/>
                                  <a:gd name="adj2" fmla="val -164074"/>
                                  <a:gd name="adj3" fmla="val 16667"/>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本项目</w:t>
                                  </w:r>
                                </w:p>
                              </w:txbxContent>
                            </wps:txbx>
                            <wps:bodyPr upright="1"/>
                          </wps:wsp>
                        </a:graphicData>
                      </a:graphic>
                    </wp:anchor>
                  </w:drawing>
                </mc:Choice>
                <mc:Fallback>
                  <w:pict>
                    <v:shape id="_x0000_s1026" o:spid="_x0000_s1026" o:spt="62" type="#_x0000_t62" style="position:absolute;left:0pt;margin-left:227.5pt;margin-top:106.5pt;height:23.8pt;width:52.6pt;z-index:251660288;mso-width-relative:page;mso-height-relative:page;" coordsize="21600,21600" o:gfxdata="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v41EHYAAAACwEA&#10;AA8AAAAAAAAAAQAgAAAAIgAAAGRycy9kb3ducmV2LnhtbFBLAQIUABQAAAAIAIdO4kBDaQakUwIA&#10;AMEEAAAOAAAAAAAAAAEAIAAAACcBAABkcnMvZTJvRG9jLnhtbFBLBQYAAAAABgAGAFkBAADsBQAA&#10;AAA=&#10;" adj="-1663,-24640">
                      <v:path/>
                      <v:fill focussize="0,0"/>
                      <v:stroke/>
                      <v:imagedata o:title=""/>
                      <o:lock v:ext="edit"/>
                      <o:callout minusx="t" minusy="t"/>
                      <v:textbox>
                        <w:txbxContent>
                          <w:p>
                            <w:r>
                              <w:rPr>
                                <w:rFonts w:hint="eastAsia"/>
                              </w:rPr>
                              <w:t>本项目</w:t>
                            </w:r>
                          </w:p>
                        </w:txbxContent>
                      </v:textbox>
                    </v:shape>
                  </w:pict>
                </mc:Fallback>
              </mc:AlternateContent>
            </w:r>
            <w:r>
              <w:drawing>
                <wp:inline distT="0" distB="0" distL="114300" distR="114300">
                  <wp:extent cx="5039360" cy="3740785"/>
                  <wp:effectExtent l="0" t="0" r="8890" b="12065"/>
                  <wp:docPr id="1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
                          <pic:cNvPicPr>
                            <a:picLocks noChangeAspect="1"/>
                          </pic:cNvPicPr>
                        </pic:nvPicPr>
                        <pic:blipFill>
                          <a:blip r:embed="rId13"/>
                          <a:stretch>
                            <a:fillRect/>
                          </a:stretch>
                        </pic:blipFill>
                        <pic:spPr>
                          <a:xfrm>
                            <a:off x="0" y="0"/>
                            <a:ext cx="5039360" cy="3740785"/>
                          </a:xfrm>
                          <a:prstGeom prst="rect">
                            <a:avLst/>
                          </a:prstGeom>
                          <a:noFill/>
                          <a:ln>
                            <a:noFill/>
                          </a:ln>
                        </pic:spPr>
                      </pic:pic>
                    </a:graphicData>
                  </a:graphic>
                </wp:inline>
              </w:drawing>
            </w:r>
          </w:p>
          <w:p>
            <w:pPr>
              <w:adjustRightInd w:val="0"/>
              <w:snapToGrid w:val="0"/>
              <w:spacing w:line="360" w:lineRule="auto"/>
              <w:jc w:val="center"/>
              <w:rPr>
                <w:rFonts w:hint="eastAsia"/>
                <w:b/>
                <w:bCs/>
                <w:sz w:val="24"/>
              </w:rPr>
            </w:pPr>
            <w:r>
              <w:rPr>
                <w:rFonts w:hint="eastAsia"/>
                <w:b/>
                <w:bCs/>
                <w:sz w:val="24"/>
              </w:rPr>
              <w:t>表1</w:t>
            </w:r>
            <w:r>
              <w:rPr>
                <w:b/>
                <w:bCs/>
                <w:sz w:val="24"/>
              </w:rPr>
              <w:t xml:space="preserve">-4 </w:t>
            </w:r>
            <w:r>
              <w:rPr>
                <w:rFonts w:hint="eastAsia"/>
                <w:b/>
                <w:bCs/>
                <w:sz w:val="24"/>
              </w:rPr>
              <w:t>与要素管控单元符合性分析表</w:t>
            </w:r>
          </w:p>
          <w:tbl>
            <w:tblPr>
              <w:tblStyle w:val="39"/>
              <w:tblW w:w="7965" w:type="dxa"/>
              <w:tblInd w:w="3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8"/>
              <w:gridCol w:w="2550"/>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9" w:type="pct"/>
                  <w:noWrap w:val="0"/>
                  <w:vAlign w:val="center"/>
                </w:tcPr>
                <w:p>
                  <w:pPr>
                    <w:autoSpaceDE w:val="0"/>
                    <w:autoSpaceDN w:val="0"/>
                    <w:adjustRightInd w:val="0"/>
                    <w:snapToGrid w:val="0"/>
                    <w:jc w:val="center"/>
                    <w:rPr>
                      <w:rFonts w:hint="eastAsia"/>
                      <w:bCs/>
                      <w:szCs w:val="21"/>
                    </w:rPr>
                  </w:pPr>
                  <w:r>
                    <w:rPr>
                      <w:rFonts w:hint="eastAsia"/>
                      <w:bCs/>
                      <w:szCs w:val="21"/>
                    </w:rPr>
                    <w:t>文件要求</w:t>
                  </w:r>
                </w:p>
              </w:tc>
              <w:tc>
                <w:tcPr>
                  <w:tcW w:w="1601" w:type="pct"/>
                  <w:noWrap w:val="0"/>
                  <w:vAlign w:val="center"/>
                </w:tcPr>
                <w:p>
                  <w:pPr>
                    <w:autoSpaceDE w:val="0"/>
                    <w:autoSpaceDN w:val="0"/>
                    <w:adjustRightInd w:val="0"/>
                    <w:snapToGrid w:val="0"/>
                    <w:jc w:val="center"/>
                    <w:rPr>
                      <w:rFonts w:hint="eastAsia"/>
                      <w:bCs/>
                      <w:szCs w:val="21"/>
                    </w:rPr>
                  </w:pPr>
                  <w:r>
                    <w:rPr>
                      <w:rFonts w:hint="eastAsia"/>
                      <w:bCs/>
                      <w:szCs w:val="21"/>
                    </w:rPr>
                    <w:t>本项目情况</w:t>
                  </w:r>
                </w:p>
              </w:tc>
              <w:tc>
                <w:tcPr>
                  <w:tcW w:w="550" w:type="pct"/>
                  <w:noWrap w:val="0"/>
                  <w:vAlign w:val="center"/>
                </w:tcPr>
                <w:p>
                  <w:pPr>
                    <w:autoSpaceDE w:val="0"/>
                    <w:autoSpaceDN w:val="0"/>
                    <w:adjustRightInd w:val="0"/>
                    <w:snapToGrid w:val="0"/>
                    <w:jc w:val="center"/>
                    <w:rPr>
                      <w:rFonts w:hint="eastAsia"/>
                      <w:bCs/>
                      <w:szCs w:val="21"/>
                    </w:rPr>
                  </w:pPr>
                  <w:r>
                    <w:rPr>
                      <w:rFonts w:hint="eastAsia"/>
                      <w:bCs/>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9" w:type="pct"/>
                  <w:noWrap w:val="0"/>
                  <w:vAlign w:val="center"/>
                </w:tcPr>
                <w:p>
                  <w:pPr>
                    <w:autoSpaceDE w:val="0"/>
                    <w:autoSpaceDN w:val="0"/>
                    <w:adjustRightInd w:val="0"/>
                    <w:snapToGrid w:val="0"/>
                    <w:jc w:val="left"/>
                    <w:rPr>
                      <w:rFonts w:hint="eastAsia"/>
                      <w:bCs/>
                      <w:szCs w:val="21"/>
                    </w:rPr>
                  </w:pPr>
                  <w:r>
                    <w:rPr>
                      <w:rFonts w:hint="eastAsia"/>
                      <w:bCs/>
                      <w:szCs w:val="21"/>
                    </w:rPr>
                    <w:t>重点管控单元生态环境管控要求：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tc>
              <w:tc>
                <w:tcPr>
                  <w:tcW w:w="1601" w:type="pct"/>
                  <w:noWrap w:val="0"/>
                  <w:vAlign w:val="center"/>
                </w:tcPr>
                <w:p>
                  <w:pPr>
                    <w:autoSpaceDE w:val="0"/>
                    <w:autoSpaceDN w:val="0"/>
                    <w:adjustRightInd w:val="0"/>
                    <w:snapToGrid w:val="0"/>
                    <w:jc w:val="left"/>
                    <w:rPr>
                      <w:rFonts w:hint="eastAsia"/>
                      <w:bCs/>
                      <w:szCs w:val="21"/>
                    </w:rPr>
                  </w:pPr>
                  <w:r>
                    <w:rPr>
                      <w:rFonts w:hint="eastAsia"/>
                      <w:bCs/>
                      <w:szCs w:val="21"/>
                    </w:rPr>
                    <w:t>本项目生产过程中无生产废气产生，废水经处理达标后排入土主镇污水处理厂进一步处理，项目水污染物执行倍量削减替代</w:t>
                  </w:r>
                </w:p>
              </w:tc>
              <w:tc>
                <w:tcPr>
                  <w:tcW w:w="550" w:type="pct"/>
                  <w:noWrap w:val="0"/>
                  <w:vAlign w:val="center"/>
                </w:tcPr>
                <w:p>
                  <w:pPr>
                    <w:autoSpaceDE w:val="0"/>
                    <w:autoSpaceDN w:val="0"/>
                    <w:adjustRightInd w:val="0"/>
                    <w:snapToGrid w:val="0"/>
                    <w:jc w:val="left"/>
                    <w:rPr>
                      <w:rFonts w:hint="eastAsia"/>
                      <w:bCs/>
                      <w:szCs w:val="21"/>
                    </w:rPr>
                  </w:pPr>
                  <w:r>
                    <w:rPr>
                      <w:rFonts w:hint="eastAsia"/>
                      <w:bCs/>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9" w:type="pct"/>
                  <w:noWrap w:val="0"/>
                  <w:vAlign w:val="center"/>
                </w:tcPr>
                <w:p>
                  <w:pPr>
                    <w:autoSpaceDE w:val="0"/>
                    <w:autoSpaceDN w:val="0"/>
                    <w:adjustRightInd w:val="0"/>
                    <w:snapToGrid w:val="0"/>
                    <w:jc w:val="left"/>
                    <w:rPr>
                      <w:rFonts w:hint="eastAsia"/>
                      <w:b/>
                      <w:bCs/>
                      <w:szCs w:val="21"/>
                    </w:rPr>
                  </w:pPr>
                  <w:r>
                    <w:rPr>
                      <w:rFonts w:hint="eastAsia"/>
                      <w:b/>
                      <w:bCs/>
                      <w:szCs w:val="21"/>
                    </w:rPr>
                    <w:t>乐山市要素重点管控单元生态环境管控要求：</w:t>
                  </w:r>
                </w:p>
                <w:p>
                  <w:pPr>
                    <w:autoSpaceDE w:val="0"/>
                    <w:autoSpaceDN w:val="0"/>
                    <w:adjustRightInd w:val="0"/>
                    <w:snapToGrid w:val="0"/>
                    <w:jc w:val="left"/>
                    <w:rPr>
                      <w:rFonts w:hint="eastAsia"/>
                      <w:bCs/>
                      <w:szCs w:val="21"/>
                    </w:rPr>
                  </w:pPr>
                  <w:r>
                    <w:rPr>
                      <w:rFonts w:hint="eastAsia"/>
                      <w:bCs/>
                      <w:szCs w:val="21"/>
                    </w:rPr>
                    <w:t>1、对化工、钢铁、水泥、陶瓷、造纸、铁合金、砖瓦等重点产业提出资源环境绩效水平要求；</w:t>
                  </w:r>
                </w:p>
                <w:p>
                  <w:pPr>
                    <w:autoSpaceDE w:val="0"/>
                    <w:autoSpaceDN w:val="0"/>
                    <w:adjustRightInd w:val="0"/>
                    <w:snapToGrid w:val="0"/>
                    <w:jc w:val="left"/>
                    <w:rPr>
                      <w:rFonts w:hint="eastAsia"/>
                      <w:bCs/>
                      <w:szCs w:val="21"/>
                    </w:rPr>
                  </w:pPr>
                  <w:r>
                    <w:rPr>
                      <w:rFonts w:hint="eastAsia"/>
                      <w:bCs/>
                      <w:szCs w:val="21"/>
                    </w:rPr>
                    <w:t>2、禁止在长江干支流岸线一公里范围内新建、扩建化工园区和化工项目；鼓励现有化工企业逐步搬入合规园区；</w:t>
                  </w:r>
                </w:p>
                <w:p>
                  <w:pPr>
                    <w:autoSpaceDE w:val="0"/>
                    <w:autoSpaceDN w:val="0"/>
                    <w:adjustRightInd w:val="0"/>
                    <w:snapToGrid w:val="0"/>
                    <w:jc w:val="left"/>
                    <w:rPr>
                      <w:rFonts w:hint="eastAsia"/>
                      <w:bCs/>
                      <w:szCs w:val="21"/>
                    </w:rPr>
                  </w:pPr>
                  <w:r>
                    <w:rPr>
                      <w:rFonts w:hint="eastAsia"/>
                      <w:bCs/>
                      <w:szCs w:val="21"/>
                    </w:rPr>
                    <w:t>3、按照“一总部五基地”工业总体布局，推进城区以及布局不合理的高排放、高耗能企业“退城入园”，引导企业在搬迁改造中压减低端、低效、负效产能；</w:t>
                  </w:r>
                </w:p>
                <w:p>
                  <w:pPr>
                    <w:autoSpaceDE w:val="0"/>
                    <w:autoSpaceDN w:val="0"/>
                    <w:adjustRightInd w:val="0"/>
                    <w:snapToGrid w:val="0"/>
                    <w:jc w:val="left"/>
                    <w:rPr>
                      <w:rFonts w:hint="eastAsia"/>
                      <w:bCs/>
                      <w:szCs w:val="21"/>
                    </w:rPr>
                  </w:pPr>
                  <w:r>
                    <w:rPr>
                      <w:rFonts w:hint="eastAsia"/>
                      <w:bCs/>
                      <w:szCs w:val="21"/>
                    </w:rPr>
                    <w:t>4、严格控制高排放、高耗能项目准入；严格执行能源消费总量和强度双控制度；严格执行煤炭消费总量控制要求；</w:t>
                  </w:r>
                </w:p>
                <w:p>
                  <w:pPr>
                    <w:autoSpaceDE w:val="0"/>
                    <w:autoSpaceDN w:val="0"/>
                    <w:adjustRightInd w:val="0"/>
                    <w:snapToGrid w:val="0"/>
                    <w:jc w:val="left"/>
                    <w:rPr>
                      <w:rFonts w:hint="eastAsia"/>
                      <w:bCs/>
                      <w:szCs w:val="21"/>
                    </w:rPr>
                  </w:pPr>
                  <w:r>
                    <w:rPr>
                      <w:rFonts w:hint="eastAsia"/>
                      <w:bCs/>
                      <w:szCs w:val="21"/>
                    </w:rPr>
                    <w:t>5、引进项目应符合园区规划环评和区域产业准入清单要求。</w:t>
                  </w:r>
                </w:p>
              </w:tc>
              <w:tc>
                <w:tcPr>
                  <w:tcW w:w="1601" w:type="pct"/>
                  <w:noWrap w:val="0"/>
                  <w:vAlign w:val="top"/>
                </w:tcPr>
                <w:p>
                  <w:pPr>
                    <w:autoSpaceDE w:val="0"/>
                    <w:autoSpaceDN w:val="0"/>
                    <w:adjustRightInd w:val="0"/>
                    <w:snapToGrid w:val="0"/>
                    <w:jc w:val="left"/>
                    <w:rPr>
                      <w:rFonts w:hint="eastAsia"/>
                      <w:bCs/>
                      <w:szCs w:val="21"/>
                    </w:rPr>
                  </w:pPr>
                  <w:r>
                    <w:rPr>
                      <w:rFonts w:hint="eastAsia"/>
                      <w:szCs w:val="21"/>
                    </w:rPr>
                    <w:t>本项目位于乐山市市中区，属于自来水生产和供应以及引水工程，项目建成后，为童家镇、白马镇、青平镇、牟子镇、全福镇、剑锋镇等地提供生产生活用水，项目废水经处理达标后排入</w:t>
                  </w:r>
                  <w:r>
                    <w:rPr>
                      <w:rFonts w:hint="eastAsia"/>
                      <w:bCs/>
                      <w:szCs w:val="21"/>
                    </w:rPr>
                    <w:t>土主镇污水处理厂处理</w:t>
                  </w:r>
                </w:p>
                <w:p>
                  <w:pPr>
                    <w:autoSpaceDE w:val="0"/>
                    <w:autoSpaceDN w:val="0"/>
                    <w:adjustRightInd w:val="0"/>
                    <w:snapToGrid w:val="0"/>
                    <w:jc w:val="left"/>
                    <w:rPr>
                      <w:rFonts w:hint="eastAsia"/>
                      <w:bCs/>
                      <w:szCs w:val="21"/>
                    </w:rPr>
                  </w:pPr>
                </w:p>
              </w:tc>
              <w:tc>
                <w:tcPr>
                  <w:tcW w:w="550" w:type="pct"/>
                  <w:noWrap w:val="0"/>
                  <w:vAlign w:val="center"/>
                </w:tcPr>
                <w:p>
                  <w:pPr>
                    <w:autoSpaceDE w:val="0"/>
                    <w:autoSpaceDN w:val="0"/>
                    <w:adjustRightInd w:val="0"/>
                    <w:snapToGrid w:val="0"/>
                    <w:jc w:val="left"/>
                    <w:rPr>
                      <w:rFonts w:hint="eastAsia"/>
                      <w:bCs/>
                      <w:szCs w:val="21"/>
                    </w:rPr>
                  </w:pPr>
                  <w:r>
                    <w:rPr>
                      <w:rFonts w:hint="eastAsia"/>
                      <w:bCs/>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9" w:type="pct"/>
                  <w:noWrap w:val="0"/>
                  <w:vAlign w:val="top"/>
                </w:tcPr>
                <w:p>
                  <w:pPr>
                    <w:autoSpaceDE w:val="0"/>
                    <w:autoSpaceDN w:val="0"/>
                    <w:adjustRightInd w:val="0"/>
                    <w:snapToGrid w:val="0"/>
                    <w:jc w:val="left"/>
                    <w:rPr>
                      <w:b/>
                      <w:bCs/>
                      <w:szCs w:val="21"/>
                    </w:rPr>
                  </w:pPr>
                  <w:r>
                    <w:rPr>
                      <w:rFonts w:hint="eastAsia"/>
                      <w:b/>
                      <w:bCs/>
                      <w:szCs w:val="21"/>
                    </w:rPr>
                    <w:t>市中区生态环境管控要求：</w:t>
                  </w:r>
                </w:p>
                <w:p>
                  <w:pPr>
                    <w:autoSpaceDE w:val="0"/>
                    <w:autoSpaceDN w:val="0"/>
                    <w:adjustRightInd w:val="0"/>
                    <w:snapToGrid w:val="0"/>
                    <w:jc w:val="left"/>
                    <w:rPr>
                      <w:rFonts w:hint="eastAsia"/>
                      <w:bCs/>
                      <w:color w:val="000000"/>
                      <w:szCs w:val="21"/>
                    </w:rPr>
                  </w:pPr>
                  <w:r>
                    <w:rPr>
                      <w:rFonts w:hint="eastAsia"/>
                      <w:bCs/>
                      <w:color w:val="000000"/>
                      <w:szCs w:val="21"/>
                    </w:rPr>
                    <w:t>1.优化调整产业结构，严格生态环境准入要求；</w:t>
                  </w:r>
                </w:p>
                <w:p>
                  <w:pPr>
                    <w:autoSpaceDE w:val="0"/>
                    <w:autoSpaceDN w:val="0"/>
                    <w:adjustRightInd w:val="0"/>
                    <w:snapToGrid w:val="0"/>
                    <w:jc w:val="left"/>
                    <w:rPr>
                      <w:rFonts w:hint="eastAsia"/>
                      <w:bCs/>
                      <w:color w:val="000000"/>
                      <w:szCs w:val="21"/>
                    </w:rPr>
                  </w:pPr>
                  <w:r>
                    <w:rPr>
                      <w:rFonts w:hint="eastAsia"/>
                      <w:bCs/>
                      <w:color w:val="000000"/>
                      <w:szCs w:val="21"/>
                    </w:rPr>
                    <w:t>2.推动城市建成区内企业“退城入园”，严格控制园外企业无序扩张；</w:t>
                  </w:r>
                </w:p>
                <w:p>
                  <w:pPr>
                    <w:autoSpaceDE w:val="0"/>
                    <w:autoSpaceDN w:val="0"/>
                    <w:adjustRightInd w:val="0"/>
                    <w:snapToGrid w:val="0"/>
                    <w:jc w:val="left"/>
                    <w:rPr>
                      <w:rFonts w:hint="eastAsia"/>
                      <w:bCs/>
                      <w:color w:val="000000"/>
                      <w:szCs w:val="21"/>
                    </w:rPr>
                  </w:pPr>
                  <w:r>
                    <w:rPr>
                      <w:rFonts w:hint="eastAsia"/>
                      <w:bCs/>
                      <w:color w:val="000000"/>
                      <w:szCs w:val="21"/>
                    </w:rPr>
                    <w:t>3.加强泥溪河、茫溪河等小流域污染治理，严控泥溪河、茫溪河流域涉水排放项目及水产养殖规模；加强农业面源污染治理，严格控制化肥农药使用量，积极推广畜禽清洁养殖和畜禽粪污无害化、资源化利用技术；</w:t>
                  </w:r>
                </w:p>
                <w:p>
                  <w:pPr>
                    <w:autoSpaceDE w:val="0"/>
                    <w:autoSpaceDN w:val="0"/>
                    <w:adjustRightInd w:val="0"/>
                    <w:snapToGrid w:val="0"/>
                    <w:jc w:val="left"/>
                    <w:rPr>
                      <w:rFonts w:hint="eastAsia"/>
                      <w:bCs/>
                      <w:color w:val="000000"/>
                      <w:szCs w:val="21"/>
                    </w:rPr>
                  </w:pPr>
                  <w:r>
                    <w:rPr>
                      <w:rFonts w:hint="eastAsia"/>
                      <w:bCs/>
                      <w:color w:val="000000"/>
                      <w:szCs w:val="21"/>
                    </w:rPr>
                    <w:t>4.加强区域大气污染治理，推进涉挥发性有机物排放项目、砖瓦企业深度治理改造；执行大气污染物特别排放限值；</w:t>
                  </w:r>
                </w:p>
                <w:p>
                  <w:pPr>
                    <w:autoSpaceDE w:val="0"/>
                    <w:autoSpaceDN w:val="0"/>
                    <w:adjustRightInd w:val="0"/>
                    <w:snapToGrid w:val="0"/>
                    <w:jc w:val="left"/>
                    <w:rPr>
                      <w:rFonts w:hint="eastAsia"/>
                      <w:bCs/>
                      <w:color w:val="000000"/>
                      <w:szCs w:val="21"/>
                    </w:rPr>
                  </w:pPr>
                  <w:r>
                    <w:rPr>
                      <w:rFonts w:hint="eastAsia"/>
                      <w:bCs/>
                      <w:color w:val="000000"/>
                      <w:szCs w:val="21"/>
                    </w:rPr>
                    <w:t>5.加强涉危涉化企业管控，严控环境风险；</w:t>
                  </w:r>
                </w:p>
                <w:p>
                  <w:pPr>
                    <w:autoSpaceDE w:val="0"/>
                    <w:autoSpaceDN w:val="0"/>
                    <w:adjustRightInd w:val="0"/>
                    <w:snapToGrid w:val="0"/>
                    <w:jc w:val="left"/>
                    <w:rPr>
                      <w:rFonts w:hint="eastAsia"/>
                      <w:bCs/>
                      <w:szCs w:val="21"/>
                    </w:rPr>
                  </w:pPr>
                  <w:r>
                    <w:rPr>
                      <w:rFonts w:hint="eastAsia"/>
                      <w:bCs/>
                      <w:color w:val="000000"/>
                      <w:szCs w:val="21"/>
                    </w:rPr>
                    <w:t>6.加强城乡生态环境保护基础设施建设。</w:t>
                  </w:r>
                </w:p>
              </w:tc>
              <w:tc>
                <w:tcPr>
                  <w:tcW w:w="1601" w:type="pct"/>
                  <w:noWrap w:val="0"/>
                  <w:vAlign w:val="top"/>
                </w:tcPr>
                <w:p>
                  <w:pPr>
                    <w:autoSpaceDE w:val="0"/>
                    <w:autoSpaceDN w:val="0"/>
                    <w:adjustRightInd w:val="0"/>
                    <w:snapToGrid w:val="0"/>
                    <w:jc w:val="left"/>
                    <w:rPr>
                      <w:rFonts w:hint="eastAsia"/>
                      <w:bCs/>
                      <w:szCs w:val="21"/>
                    </w:rPr>
                  </w:pPr>
                  <w:r>
                    <w:rPr>
                      <w:rFonts w:hint="eastAsia"/>
                      <w:szCs w:val="21"/>
                    </w:rPr>
                    <w:t>本项目位于乐山市市中区，属于自来水生产和供应以及引水工程，项目建成后，为童家镇、白马镇、青平镇、牟子镇、全福镇、剑锋镇等地提供生产生活用水，项目废水经处理达标后排入土主镇污水处理厂处理</w:t>
                  </w:r>
                </w:p>
                <w:p>
                  <w:pPr>
                    <w:autoSpaceDE w:val="0"/>
                    <w:autoSpaceDN w:val="0"/>
                    <w:adjustRightInd w:val="0"/>
                    <w:snapToGrid w:val="0"/>
                    <w:jc w:val="left"/>
                    <w:rPr>
                      <w:rFonts w:hint="eastAsia"/>
                      <w:bCs/>
                      <w:szCs w:val="21"/>
                    </w:rPr>
                  </w:pPr>
                </w:p>
              </w:tc>
              <w:tc>
                <w:tcPr>
                  <w:tcW w:w="550" w:type="pct"/>
                  <w:noWrap w:val="0"/>
                  <w:vAlign w:val="top"/>
                </w:tcPr>
                <w:p>
                  <w:pPr>
                    <w:autoSpaceDE w:val="0"/>
                    <w:autoSpaceDN w:val="0"/>
                    <w:adjustRightInd w:val="0"/>
                    <w:snapToGrid w:val="0"/>
                    <w:jc w:val="left"/>
                    <w:rPr>
                      <w:rFonts w:hint="eastAsia"/>
                      <w:bCs/>
                      <w:szCs w:val="21"/>
                    </w:rPr>
                  </w:pPr>
                  <w:r>
                    <w:rPr>
                      <w:rFonts w:hint="eastAsia"/>
                      <w:bCs/>
                      <w:szCs w:val="21"/>
                    </w:rPr>
                    <w:t>符合</w:t>
                  </w:r>
                </w:p>
              </w:tc>
            </w:tr>
          </w:tbl>
          <w:p>
            <w:pPr>
              <w:adjustRightInd w:val="0"/>
              <w:snapToGrid w:val="0"/>
              <w:spacing w:line="360" w:lineRule="auto"/>
              <w:rPr>
                <w:rFonts w:ascii="黑体" w:hAnsi="黑体" w:eastAsia="黑体"/>
                <w:snapToGrid w:val="0"/>
                <w:sz w:val="30"/>
                <w:szCs w:val="30"/>
              </w:rPr>
            </w:pPr>
          </w:p>
        </w:tc>
      </w:tr>
    </w:tbl>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ascii="黑体" w:hAnsi="黑体" w:eastAsia="黑体"/>
          <w:snapToGrid w:val="0"/>
          <w:sz w:val="30"/>
          <w:szCs w:val="30"/>
        </w:rPr>
      </w:pPr>
    </w:p>
    <w:p>
      <w:pPr>
        <w:adjustRightInd w:val="0"/>
        <w:snapToGrid w:val="0"/>
        <w:spacing w:line="360" w:lineRule="auto"/>
        <w:ind w:firstLine="600" w:firstLineChars="200"/>
        <w:rPr>
          <w:rFonts w:hint="eastAsia" w:ascii="黑体" w:hAnsi="黑体" w:eastAsia="黑体"/>
          <w:snapToGrid w:val="0"/>
          <w:sz w:val="30"/>
          <w:szCs w:val="30"/>
        </w:rPr>
      </w:pPr>
    </w:p>
    <w:p>
      <w:pPr>
        <w:pStyle w:val="34"/>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0" w:hRule="atLeast"/>
          <w:jc w:val="center"/>
        </w:trPr>
        <w:tc>
          <w:tcPr>
            <w:tcW w:w="823" w:type="dxa"/>
            <w:noWrap w:val="0"/>
            <w:vAlign w:val="center"/>
          </w:tcPr>
          <w:p>
            <w:pPr>
              <w:pStyle w:val="34"/>
              <w:adjustRightInd w:val="0"/>
              <w:snapToGrid w:val="0"/>
              <w:spacing w:before="0" w:beforeAutospacing="0" w:after="0" w:afterAutospacing="0"/>
              <w:jc w:val="center"/>
              <w:rPr>
                <w:rFonts w:hint="eastAsia" w:cs="宋体"/>
                <w:sz w:val="21"/>
                <w:szCs w:val="21"/>
              </w:rPr>
            </w:pPr>
            <w:r>
              <w:rPr>
                <w:rFonts w:hint="eastAsia" w:cs="宋体"/>
                <w:sz w:val="21"/>
                <w:szCs w:val="21"/>
              </w:rPr>
              <w:t>项目由来</w:t>
            </w:r>
          </w:p>
        </w:tc>
        <w:tc>
          <w:tcPr>
            <w:tcW w:w="8161" w:type="dxa"/>
            <w:noWrap w:val="0"/>
            <w:vAlign w:val="top"/>
          </w:tcPr>
          <w:p>
            <w:pPr>
              <w:adjustRightInd w:val="0"/>
              <w:snapToGrid w:val="0"/>
              <w:spacing w:line="360" w:lineRule="auto"/>
              <w:ind w:firstLine="480" w:firstLineChars="200"/>
              <w:rPr>
                <w:sz w:val="24"/>
                <w:szCs w:val="20"/>
              </w:rPr>
            </w:pPr>
            <w:r>
              <w:rPr>
                <w:rFonts w:hint="eastAsia"/>
                <w:sz w:val="24"/>
                <w:szCs w:val="20"/>
              </w:rPr>
              <w:t>根据岷东片区供水、河流水环境及水资源配置的现状，该片区生产、生活及河道生态水资源严重缺乏。为解决岷东片区水资源贫乏、农村饮水困难、河道水量不足纳污能力较差等问题，可采用跨区域引调水的方式对岷东片区进行水资源配置，新建供水工程及补充岷东片区几座水库蓄水量并形成水库与河道水系连通，增加供水保证率及河道纳污能力。</w:t>
            </w:r>
          </w:p>
          <w:p>
            <w:pPr>
              <w:adjustRightInd w:val="0"/>
              <w:snapToGrid w:val="0"/>
              <w:spacing w:line="360" w:lineRule="auto"/>
              <w:ind w:firstLine="480" w:firstLineChars="200"/>
              <w:rPr>
                <w:rFonts w:hint="eastAsia"/>
                <w:b/>
                <w:sz w:val="24"/>
              </w:rPr>
            </w:pPr>
            <w:r>
              <w:rPr>
                <w:rFonts w:hint="eastAsia"/>
                <w:sz w:val="24"/>
                <w:szCs w:val="20"/>
              </w:rPr>
              <w:t>乐山浩淼生态环境工程有限公司拟建设乐山市市中区引水工程建设项目，通过跨区域引调岷江水源对岷东片区进行水资源配置。乐山市市中区岷东片区水资源配置工程拟解决12.16万人生活用水、土主纺织工业园区以及全福商贸物流园的工业生产用水、新增灌溉面积9000亩，改善灌面1.2万亩，鱼塘补水1.5万亩以及解决泥溪河、磨池河、剑峰河及凌云河的生态补水任务。乐山市市中区引水工程建设项目建设内容主要包括：1、新建供水工程，缓解水源匮乏与岷东片区人畜、工业生产用水需求之间的矛盾，提高供水保证率；2、新建连通工程及渠系配套工程，实现岷东片区主要水库与河道水系连通，解决农业用水、养殖用水、工业用水矛盾，缓解泥溪河、磨池河、剑峰河及凌云河水量不足导致的生态环境问题。目前，乐山市市中区引水工程建设项目可行性研究报告（代项目建议书）已取得乐山市市中区发展和改革局的批复（乐中发改政策[</w:t>
            </w:r>
            <w:r>
              <w:rPr>
                <w:sz w:val="24"/>
                <w:szCs w:val="20"/>
              </w:rPr>
              <w:t>2022]224</w:t>
            </w:r>
            <w:r>
              <w:rPr>
                <w:rFonts w:hint="eastAsia"/>
                <w:sz w:val="24"/>
                <w:szCs w:val="20"/>
              </w:rPr>
              <w:t>号、乐中发改政策[</w:t>
            </w:r>
            <w:r>
              <w:rPr>
                <w:sz w:val="24"/>
                <w:szCs w:val="20"/>
              </w:rPr>
              <w:t>2022]283</w:t>
            </w:r>
            <w:r>
              <w:rPr>
                <w:rFonts w:hint="eastAsia"/>
                <w:sz w:val="24"/>
                <w:szCs w:val="20"/>
              </w:rPr>
              <w:t>号）。</w:t>
            </w:r>
            <w:r>
              <w:rPr>
                <w:rFonts w:hint="eastAsia"/>
                <w:b/>
                <w:bCs/>
                <w:sz w:val="24"/>
                <w:szCs w:val="20"/>
              </w:rPr>
              <w:t>由于项目建设进度安排，同时由于</w:t>
            </w:r>
            <w:r>
              <w:rPr>
                <w:rFonts w:hint="eastAsia"/>
                <w:b/>
                <w:bCs/>
                <w:sz w:val="24"/>
              </w:rPr>
              <w:t>净水厂配水管网设计未完成，因此本次评价范围仅包括取水工程、原水输送工程（包括备用事故管）、净水厂工程以及配水工程中的送水泵房以及一座高位水池，其余连通工程及灌区工程部分按相关要求另行环评，不在本次评价范围内。故本项目建设内容主要包括：取水工程（取水口、提水泵站及配套设施）、原水管线（包括原水主管以及备用事故管，其中原水主管为从泵站至净水厂管径5</w:t>
            </w:r>
            <w:r>
              <w:rPr>
                <w:b/>
                <w:bCs/>
                <w:sz w:val="24"/>
              </w:rPr>
              <w:t>50mm</w:t>
            </w:r>
            <w:r>
              <w:rPr>
                <w:rFonts w:hint="eastAsia"/>
                <w:b/>
                <w:bCs/>
                <w:sz w:val="24"/>
              </w:rPr>
              <w:t>设计引用流量为0</w:t>
            </w:r>
            <w:r>
              <w:rPr>
                <w:b/>
                <w:bCs/>
                <w:sz w:val="24"/>
              </w:rPr>
              <w:t>.4 m</w:t>
            </w:r>
            <w:r>
              <w:rPr>
                <w:b/>
                <w:bCs/>
                <w:sz w:val="24"/>
                <w:vertAlign w:val="superscript"/>
              </w:rPr>
              <w:t>3</w:t>
            </w:r>
            <w:r>
              <w:rPr>
                <w:b/>
                <w:bCs/>
                <w:sz w:val="24"/>
              </w:rPr>
              <w:t>/s</w:t>
            </w:r>
            <w:r>
              <w:rPr>
                <w:rFonts w:hint="eastAsia"/>
                <w:b/>
                <w:bCs/>
                <w:sz w:val="24"/>
              </w:rPr>
              <w:t>的原水主管线6</w:t>
            </w:r>
            <w:r>
              <w:rPr>
                <w:b/>
                <w:bCs/>
                <w:sz w:val="24"/>
              </w:rPr>
              <w:t>984.04m</w:t>
            </w:r>
            <w:r>
              <w:rPr>
                <w:rFonts w:hint="eastAsia"/>
                <w:b/>
                <w:bCs/>
                <w:sz w:val="24"/>
              </w:rPr>
              <w:t>，从泵站至联合村火地铺管径9</w:t>
            </w:r>
            <w:r>
              <w:rPr>
                <w:b/>
                <w:bCs/>
                <w:sz w:val="24"/>
              </w:rPr>
              <w:t>00mm</w:t>
            </w:r>
            <w:r>
              <w:rPr>
                <w:rFonts w:hint="eastAsia"/>
                <w:b/>
                <w:bCs/>
                <w:sz w:val="24"/>
              </w:rPr>
              <w:t>设计引用流量1</w:t>
            </w:r>
            <w:r>
              <w:rPr>
                <w:b/>
                <w:bCs/>
                <w:sz w:val="24"/>
              </w:rPr>
              <w:t>.1 m</w:t>
            </w:r>
            <w:r>
              <w:rPr>
                <w:b/>
                <w:bCs/>
                <w:sz w:val="24"/>
                <w:vertAlign w:val="superscript"/>
              </w:rPr>
              <w:t>3</w:t>
            </w:r>
            <w:r>
              <w:rPr>
                <w:b/>
                <w:bCs/>
                <w:sz w:val="24"/>
              </w:rPr>
              <w:t>/s</w:t>
            </w:r>
            <w:r>
              <w:rPr>
                <w:rFonts w:hint="eastAsia"/>
                <w:b/>
                <w:bCs/>
                <w:sz w:val="24"/>
              </w:rPr>
              <w:t>的备用事故管道与原水主管并行铺设，从火地铺至净水厂管径5</w:t>
            </w:r>
            <w:r>
              <w:rPr>
                <w:b/>
                <w:bCs/>
                <w:sz w:val="24"/>
              </w:rPr>
              <w:t>50m</w:t>
            </w:r>
            <w:r>
              <w:rPr>
                <w:rFonts w:hint="eastAsia"/>
                <w:b/>
                <w:bCs/>
                <w:sz w:val="24"/>
              </w:rPr>
              <w:t>引用流量为0</w:t>
            </w:r>
            <w:r>
              <w:rPr>
                <w:b/>
                <w:bCs/>
                <w:sz w:val="24"/>
              </w:rPr>
              <w:t>.4 m</w:t>
            </w:r>
            <w:r>
              <w:rPr>
                <w:b/>
                <w:bCs/>
                <w:sz w:val="24"/>
                <w:vertAlign w:val="superscript"/>
              </w:rPr>
              <w:t>3</w:t>
            </w:r>
            <w:r>
              <w:rPr>
                <w:b/>
                <w:bCs/>
                <w:sz w:val="24"/>
              </w:rPr>
              <w:t>/s</w:t>
            </w:r>
            <w:r>
              <w:rPr>
                <w:rFonts w:hint="eastAsia"/>
                <w:b/>
                <w:bCs/>
                <w:sz w:val="24"/>
              </w:rPr>
              <w:t>的备用事故管道与原水主管并行铺设）、净水厂（供水能力为3</w:t>
            </w:r>
            <w:r>
              <w:rPr>
                <w:b/>
                <w:bCs/>
                <w:sz w:val="24"/>
              </w:rPr>
              <w:t>.0</w:t>
            </w:r>
            <w:r>
              <w:rPr>
                <w:rFonts w:hint="eastAsia"/>
                <w:b/>
                <w:bCs/>
                <w:sz w:val="24"/>
              </w:rPr>
              <w:t>万m</w:t>
            </w:r>
            <w:r>
              <w:rPr>
                <w:b/>
                <w:bCs/>
                <w:sz w:val="24"/>
                <w:vertAlign w:val="superscript"/>
              </w:rPr>
              <w:t>3</w:t>
            </w:r>
            <w:r>
              <w:rPr>
                <w:b/>
                <w:bCs/>
                <w:sz w:val="24"/>
              </w:rPr>
              <w:t>/d</w:t>
            </w:r>
            <w:r>
              <w:rPr>
                <w:rFonts w:hint="eastAsia"/>
                <w:b/>
                <w:bCs/>
                <w:sz w:val="24"/>
              </w:rPr>
              <w:t>）、配水工程（送水泵房一座、高位水池一座）。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88" w:hRule="atLeast"/>
          <w:jc w:val="center"/>
        </w:trPr>
        <w:tc>
          <w:tcPr>
            <w:tcW w:w="823" w:type="dxa"/>
            <w:noWrap w:val="0"/>
            <w:vAlign w:val="center"/>
          </w:tcPr>
          <w:p>
            <w:pPr>
              <w:pStyle w:val="34"/>
              <w:adjustRightInd w:val="0"/>
              <w:snapToGrid w:val="0"/>
              <w:spacing w:before="0" w:beforeAutospacing="0" w:after="0" w:afterAutospacing="0"/>
              <w:jc w:val="center"/>
              <w:rPr>
                <w:rFonts w:cs="宋体"/>
                <w:sz w:val="21"/>
                <w:szCs w:val="21"/>
              </w:rPr>
            </w:pPr>
            <w:r>
              <w:rPr>
                <w:rFonts w:hint="eastAsia" w:cs="宋体"/>
                <w:sz w:val="21"/>
                <w:szCs w:val="21"/>
              </w:rPr>
              <w:t>建设内容</w:t>
            </w:r>
          </w:p>
        </w:tc>
        <w:tc>
          <w:tcPr>
            <w:tcW w:w="8161" w:type="dxa"/>
            <w:noWrap w:val="0"/>
            <w:vAlign w:val="top"/>
          </w:tcPr>
          <w:p>
            <w:pPr>
              <w:adjustRightInd w:val="0"/>
              <w:snapToGrid w:val="0"/>
              <w:spacing w:line="360" w:lineRule="auto"/>
              <w:ind w:firstLine="482" w:firstLineChars="200"/>
              <w:rPr>
                <w:rFonts w:eastAsia="黑体"/>
                <w:sz w:val="28"/>
                <w:szCs w:val="28"/>
              </w:rPr>
            </w:pPr>
            <w:r>
              <w:rPr>
                <w:rFonts w:hint="eastAsia"/>
                <w:b/>
                <w:sz w:val="24"/>
              </w:rPr>
              <w:t>1、</w:t>
            </w:r>
            <w:r>
              <w:rPr>
                <w:rFonts w:hint="eastAsia"/>
                <w:b/>
                <w:bCs/>
                <w:sz w:val="24"/>
              </w:rPr>
              <w:t>项目名称、建设单位、建设地点、性质</w:t>
            </w:r>
          </w:p>
          <w:p>
            <w:pPr>
              <w:adjustRightInd w:val="0"/>
              <w:snapToGrid w:val="0"/>
              <w:spacing w:line="360" w:lineRule="auto"/>
              <w:ind w:firstLine="480" w:firstLineChars="200"/>
              <w:rPr>
                <w:sz w:val="24"/>
              </w:rPr>
            </w:pPr>
            <w:r>
              <w:rPr>
                <w:rFonts w:hint="eastAsia"/>
                <w:sz w:val="24"/>
              </w:rPr>
              <w:t>项目名称：乐山市市中区引水工程建设项目（一期工程）-岷东片区水资源配置工程</w:t>
            </w:r>
          </w:p>
          <w:p>
            <w:pPr>
              <w:adjustRightInd w:val="0"/>
              <w:snapToGrid w:val="0"/>
              <w:spacing w:line="360" w:lineRule="auto"/>
              <w:ind w:firstLine="480" w:firstLineChars="200"/>
              <w:rPr>
                <w:sz w:val="24"/>
              </w:rPr>
            </w:pPr>
            <w:r>
              <w:rPr>
                <w:rFonts w:hint="eastAsia"/>
                <w:sz w:val="24"/>
              </w:rPr>
              <w:t>建设单位：乐山浩淼生态环境工程有限公司</w:t>
            </w:r>
          </w:p>
          <w:p>
            <w:pPr>
              <w:adjustRightInd w:val="0"/>
              <w:snapToGrid w:val="0"/>
              <w:spacing w:line="360" w:lineRule="auto"/>
              <w:ind w:firstLine="480" w:firstLineChars="200"/>
              <w:rPr>
                <w:rFonts w:hint="eastAsia"/>
                <w:sz w:val="24"/>
              </w:rPr>
            </w:pPr>
            <w:r>
              <w:rPr>
                <w:rFonts w:hint="eastAsia"/>
                <w:sz w:val="24"/>
              </w:rPr>
              <w:t>建设地点：乐山市市中区牟子镇、剑锋镇</w:t>
            </w:r>
          </w:p>
          <w:p>
            <w:pPr>
              <w:adjustRightInd w:val="0"/>
              <w:snapToGrid w:val="0"/>
              <w:spacing w:line="360" w:lineRule="auto"/>
              <w:ind w:firstLine="480" w:firstLineChars="200"/>
              <w:rPr>
                <w:sz w:val="24"/>
              </w:rPr>
            </w:pPr>
            <w:r>
              <w:rPr>
                <w:rFonts w:hint="eastAsia"/>
                <w:sz w:val="24"/>
              </w:rPr>
              <w:t>建设性质：新建</w:t>
            </w:r>
          </w:p>
          <w:p>
            <w:pPr>
              <w:adjustRightInd w:val="0"/>
              <w:snapToGrid w:val="0"/>
              <w:spacing w:line="360" w:lineRule="auto"/>
              <w:ind w:firstLine="480" w:firstLineChars="200"/>
              <w:rPr>
                <w:sz w:val="24"/>
              </w:rPr>
            </w:pPr>
            <w:r>
              <w:rPr>
                <w:rFonts w:hint="eastAsia"/>
                <w:sz w:val="24"/>
              </w:rPr>
              <w:t>建设内容：本项目建设内容包括取水工程、原水管线以及净水厂工程、配水工程等。</w:t>
            </w:r>
          </w:p>
          <w:p>
            <w:pPr>
              <w:spacing w:line="360" w:lineRule="auto"/>
              <w:ind w:firstLine="480" w:firstLineChars="200"/>
              <w:rPr>
                <w:sz w:val="24"/>
              </w:rPr>
            </w:pPr>
            <w:r>
              <w:rPr>
                <w:rFonts w:hint="eastAsia"/>
                <w:sz w:val="24"/>
              </w:rPr>
              <w:t>1）取水工程：根据《乐山市市中区关子门堰王沟集中式饮用水水源保护区划分技术报告》（送审稿），乐山市市中区关子门堰王沟（东经103°48′36.43″北纬29°42′31.17″），采用吸水管配套集水井取水方式，在王沟右岸岸处新建集水井配套引水槽、拦污栅的取水方式，新建取水泵站一座及配套设施，设计最大流量1</w:t>
            </w:r>
            <w:r>
              <w:rPr>
                <w:sz w:val="24"/>
              </w:rPr>
              <w:t>.5m</w:t>
            </w:r>
            <w:r>
              <w:rPr>
                <w:sz w:val="24"/>
                <w:vertAlign w:val="superscript"/>
              </w:rPr>
              <w:t>3</w:t>
            </w:r>
            <w:r>
              <w:rPr>
                <w:sz w:val="24"/>
              </w:rPr>
              <w:t>/s</w:t>
            </w:r>
            <w:r>
              <w:rPr>
                <w:rFonts w:hint="eastAsia"/>
                <w:sz w:val="24"/>
              </w:rPr>
              <w:t>；该取水口为剑锋河流域生态生产供水以及净水厂供水。本项目仅包括为净水厂供水。</w:t>
            </w:r>
          </w:p>
          <w:p>
            <w:pPr>
              <w:adjustRightInd w:val="0"/>
              <w:snapToGrid w:val="0"/>
              <w:spacing w:line="360" w:lineRule="auto"/>
              <w:ind w:firstLine="480" w:firstLineChars="200"/>
              <w:rPr>
                <w:rFonts w:hint="eastAsia"/>
                <w:sz w:val="24"/>
              </w:rPr>
            </w:pPr>
            <w:r>
              <w:rPr>
                <w:sz w:val="24"/>
              </w:rPr>
              <w:t>2</w:t>
            </w:r>
            <w:r>
              <w:rPr>
                <w:rFonts w:hint="eastAsia"/>
                <w:sz w:val="24"/>
              </w:rPr>
              <w:t>）原水管线：包括原水主管以及备用事故管，其中原水主管为从泵站至净水厂管径5</w:t>
            </w:r>
            <w:r>
              <w:rPr>
                <w:sz w:val="24"/>
              </w:rPr>
              <w:t>50mm</w:t>
            </w:r>
            <w:r>
              <w:rPr>
                <w:rFonts w:hint="eastAsia"/>
                <w:sz w:val="24"/>
              </w:rPr>
              <w:t>设计引用流量为0</w:t>
            </w:r>
            <w:r>
              <w:rPr>
                <w:sz w:val="24"/>
              </w:rPr>
              <w:t>.4 m</w:t>
            </w:r>
            <w:r>
              <w:rPr>
                <w:sz w:val="24"/>
                <w:vertAlign w:val="superscript"/>
              </w:rPr>
              <w:t>3</w:t>
            </w:r>
            <w:r>
              <w:rPr>
                <w:sz w:val="24"/>
              </w:rPr>
              <w:t>/s</w:t>
            </w:r>
            <w:r>
              <w:rPr>
                <w:rFonts w:hint="eastAsia"/>
                <w:sz w:val="24"/>
              </w:rPr>
              <w:t>的原水主管线6</w:t>
            </w:r>
            <w:r>
              <w:rPr>
                <w:sz w:val="24"/>
              </w:rPr>
              <w:t>984.04m</w:t>
            </w:r>
            <w:r>
              <w:rPr>
                <w:rFonts w:hint="eastAsia"/>
                <w:sz w:val="24"/>
              </w:rPr>
              <w:t>，从泵站至联合村火地铺管径9</w:t>
            </w:r>
            <w:r>
              <w:rPr>
                <w:sz w:val="24"/>
              </w:rPr>
              <w:t>00mm</w:t>
            </w:r>
            <w:r>
              <w:rPr>
                <w:rFonts w:hint="eastAsia"/>
                <w:sz w:val="24"/>
              </w:rPr>
              <w:t>设计引用流量1</w:t>
            </w:r>
            <w:r>
              <w:rPr>
                <w:sz w:val="24"/>
              </w:rPr>
              <w:t>.1 m</w:t>
            </w:r>
            <w:r>
              <w:rPr>
                <w:sz w:val="24"/>
                <w:vertAlign w:val="superscript"/>
              </w:rPr>
              <w:t>3</w:t>
            </w:r>
            <w:r>
              <w:rPr>
                <w:sz w:val="24"/>
              </w:rPr>
              <w:t>/s</w:t>
            </w:r>
            <w:r>
              <w:rPr>
                <w:rFonts w:hint="eastAsia"/>
                <w:sz w:val="24"/>
              </w:rPr>
              <w:t>的备用事故管道与原水主管并行铺设，从火地铺至净水厂管径5</w:t>
            </w:r>
            <w:r>
              <w:rPr>
                <w:sz w:val="24"/>
              </w:rPr>
              <w:t>50m</w:t>
            </w:r>
            <w:r>
              <w:rPr>
                <w:rFonts w:hint="eastAsia"/>
                <w:sz w:val="24"/>
              </w:rPr>
              <w:t>引用流量为0</w:t>
            </w:r>
            <w:r>
              <w:rPr>
                <w:sz w:val="24"/>
              </w:rPr>
              <w:t>.4 m</w:t>
            </w:r>
            <w:r>
              <w:rPr>
                <w:sz w:val="24"/>
                <w:vertAlign w:val="superscript"/>
              </w:rPr>
              <w:t>3</w:t>
            </w:r>
            <w:r>
              <w:rPr>
                <w:sz w:val="24"/>
              </w:rPr>
              <w:t>/s</w:t>
            </w:r>
            <w:r>
              <w:rPr>
                <w:rFonts w:hint="eastAsia"/>
                <w:sz w:val="24"/>
              </w:rPr>
              <w:t>的的备用事故管道与原水主管并行铺设。</w:t>
            </w:r>
          </w:p>
          <w:p>
            <w:pPr>
              <w:adjustRightInd w:val="0"/>
              <w:snapToGrid w:val="0"/>
              <w:spacing w:line="360" w:lineRule="auto"/>
              <w:ind w:firstLine="480" w:firstLineChars="200"/>
              <w:rPr>
                <w:sz w:val="24"/>
              </w:rPr>
            </w:pPr>
            <w:r>
              <w:rPr>
                <w:sz w:val="24"/>
              </w:rPr>
              <w:t>3</w:t>
            </w:r>
            <w:r>
              <w:rPr>
                <w:rFonts w:hint="eastAsia"/>
                <w:sz w:val="24"/>
              </w:rPr>
              <w:t>）净水厂工程：占地约</w:t>
            </w:r>
            <w:r>
              <w:rPr>
                <w:sz w:val="24"/>
              </w:rPr>
              <w:t>115.30</w:t>
            </w:r>
            <w:r>
              <w:rPr>
                <w:rFonts w:hint="eastAsia"/>
                <w:sz w:val="24"/>
              </w:rPr>
              <w:t>亩，其中包括为远期供水预留用地。新建净水厂一座及配套设施，净水厂近期供水能力为3</w:t>
            </w:r>
            <w:r>
              <w:rPr>
                <w:sz w:val="24"/>
              </w:rPr>
              <w:t>.0</w:t>
            </w:r>
            <w:r>
              <w:rPr>
                <w:rFonts w:hint="eastAsia"/>
                <w:sz w:val="24"/>
              </w:rPr>
              <w:t>万m</w:t>
            </w:r>
            <w:r>
              <w:rPr>
                <w:sz w:val="24"/>
                <w:vertAlign w:val="superscript"/>
              </w:rPr>
              <w:t>3</w:t>
            </w:r>
            <w:r>
              <w:rPr>
                <w:sz w:val="24"/>
              </w:rPr>
              <w:t>/d</w:t>
            </w:r>
            <w:r>
              <w:rPr>
                <w:rFonts w:hint="eastAsia"/>
                <w:sz w:val="24"/>
              </w:rPr>
              <w:t>，远期供水能力为1</w:t>
            </w:r>
            <w:r>
              <w:rPr>
                <w:sz w:val="24"/>
              </w:rPr>
              <w:t>0</w:t>
            </w:r>
            <w:r>
              <w:rPr>
                <w:rFonts w:hint="eastAsia"/>
                <w:sz w:val="24"/>
              </w:rPr>
              <w:t>万m</w:t>
            </w:r>
            <w:r>
              <w:rPr>
                <w:sz w:val="24"/>
                <w:vertAlign w:val="superscript"/>
              </w:rPr>
              <w:t>3</w:t>
            </w:r>
            <w:r>
              <w:rPr>
                <w:sz w:val="24"/>
              </w:rPr>
              <w:t>/d</w:t>
            </w:r>
            <w:r>
              <w:rPr>
                <w:rFonts w:hint="eastAsia"/>
                <w:sz w:val="24"/>
              </w:rPr>
              <w:t>。</w:t>
            </w:r>
          </w:p>
          <w:p>
            <w:pPr>
              <w:adjustRightInd w:val="0"/>
              <w:snapToGrid w:val="0"/>
              <w:spacing w:line="360" w:lineRule="auto"/>
              <w:ind w:firstLine="480" w:firstLineChars="200"/>
              <w:rPr>
                <w:rFonts w:hint="eastAsia"/>
                <w:sz w:val="24"/>
              </w:rPr>
            </w:pPr>
            <w:r>
              <w:rPr>
                <w:sz w:val="24"/>
              </w:rPr>
              <w:t>4</w:t>
            </w:r>
            <w:r>
              <w:rPr>
                <w:rFonts w:hint="eastAsia"/>
                <w:sz w:val="24"/>
              </w:rPr>
              <w:t>）配水工程：由于配水管网设计未完成，本次评价仅包括配水工程内的一座送水泵房以及一座高位水池，其余管网部分待设计完成后按相关要求另行环评。</w:t>
            </w:r>
          </w:p>
          <w:p>
            <w:pPr>
              <w:adjustRightInd w:val="0"/>
              <w:snapToGrid w:val="0"/>
              <w:spacing w:line="360" w:lineRule="auto"/>
              <w:ind w:firstLine="480" w:firstLineChars="200"/>
              <w:rPr>
                <w:sz w:val="24"/>
              </w:rPr>
            </w:pPr>
            <w:r>
              <w:rPr>
                <w:rFonts w:hint="eastAsia"/>
                <w:sz w:val="24"/>
              </w:rPr>
              <w:t>项目总投资：</w:t>
            </w:r>
            <w:r>
              <w:rPr>
                <w:sz w:val="24"/>
              </w:rPr>
              <w:t>42744.66</w:t>
            </w:r>
            <w:r>
              <w:rPr>
                <w:rFonts w:hint="eastAsia"/>
                <w:sz w:val="24"/>
              </w:rPr>
              <w:t>万元</w:t>
            </w:r>
          </w:p>
          <w:p>
            <w:pPr>
              <w:adjustRightInd w:val="0"/>
              <w:snapToGrid w:val="0"/>
              <w:spacing w:line="360" w:lineRule="auto"/>
              <w:ind w:firstLine="482" w:firstLineChars="200"/>
              <w:rPr>
                <w:b/>
                <w:sz w:val="24"/>
              </w:rPr>
            </w:pPr>
            <w:r>
              <w:rPr>
                <w:b/>
                <w:sz w:val="24"/>
              </w:rPr>
              <w:t>2</w:t>
            </w:r>
            <w:r>
              <w:rPr>
                <w:rFonts w:hint="eastAsia"/>
                <w:b/>
                <w:sz w:val="24"/>
              </w:rPr>
              <w:t>、产品方案和产品规模</w:t>
            </w:r>
          </w:p>
          <w:p>
            <w:pPr>
              <w:adjustRightInd w:val="0"/>
              <w:snapToGrid w:val="0"/>
              <w:spacing w:line="360" w:lineRule="auto"/>
              <w:ind w:firstLine="480" w:firstLineChars="200"/>
              <w:rPr>
                <w:sz w:val="24"/>
              </w:rPr>
            </w:pPr>
            <w:r>
              <w:rPr>
                <w:rFonts w:hint="eastAsia"/>
                <w:sz w:val="24"/>
              </w:rPr>
              <w:t>本项目生产规模及产品方案见表2-1。</w:t>
            </w:r>
          </w:p>
          <w:p>
            <w:pPr>
              <w:pStyle w:val="184"/>
              <w:rPr>
                <w:color w:val="auto"/>
              </w:rPr>
            </w:pPr>
            <w:r>
              <w:rPr>
                <w:rFonts w:hint="eastAsia"/>
                <w:color w:val="auto"/>
              </w:rPr>
              <w:t>表2-1</w:t>
            </w:r>
            <w:r>
              <w:rPr>
                <w:color w:val="auto"/>
              </w:rPr>
              <w:t xml:space="preserve">  </w:t>
            </w:r>
            <w:r>
              <w:rPr>
                <w:rFonts w:hint="eastAsia"/>
                <w:color w:val="auto"/>
              </w:rPr>
              <w:t>生产规模及产品方案</w:t>
            </w:r>
          </w:p>
          <w:tbl>
            <w:tblPr>
              <w:tblStyle w:val="39"/>
              <w:tblW w:w="69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984"/>
              <w:gridCol w:w="1301"/>
              <w:gridCol w:w="1217"/>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4" w:type="dxa"/>
                  <w:tcBorders>
                    <w:top w:val="single" w:color="auto" w:sz="4" w:space="0"/>
                    <w:left w:val="single" w:color="auto" w:sz="4" w:space="0"/>
                    <w:bottom w:val="single" w:color="auto" w:sz="4" w:space="0"/>
                    <w:right w:val="single" w:color="auto" w:sz="4" w:space="0"/>
                  </w:tcBorders>
                  <w:noWrap w:val="0"/>
                  <w:vAlign w:val="center"/>
                </w:tcPr>
                <w:p>
                  <w:pPr>
                    <w:pStyle w:val="182"/>
                    <w:rPr>
                      <w:b/>
                    </w:rPr>
                  </w:pPr>
                  <w:r>
                    <w:rPr>
                      <w:rFonts w:hint="eastAsia"/>
                      <w:b/>
                    </w:rPr>
                    <w:t>序号</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pStyle w:val="182"/>
                    <w:rPr>
                      <w:b/>
                    </w:rPr>
                  </w:pPr>
                  <w:r>
                    <w:rPr>
                      <w:rFonts w:hint="eastAsia"/>
                      <w:b/>
                    </w:rPr>
                    <w:t>产品名称</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pStyle w:val="182"/>
                    <w:rPr>
                      <w:b/>
                    </w:rPr>
                  </w:pPr>
                  <w:r>
                    <w:rPr>
                      <w:rFonts w:hint="eastAsia"/>
                      <w:b/>
                    </w:rPr>
                    <w:t>单位</w:t>
                  </w:r>
                </w:p>
              </w:tc>
              <w:tc>
                <w:tcPr>
                  <w:tcW w:w="1217" w:type="dxa"/>
                  <w:tcBorders>
                    <w:top w:val="single" w:color="auto" w:sz="4" w:space="0"/>
                    <w:left w:val="single" w:color="auto" w:sz="4" w:space="0"/>
                    <w:bottom w:val="single" w:color="auto" w:sz="4" w:space="0"/>
                    <w:right w:val="single" w:color="auto" w:sz="4" w:space="0"/>
                  </w:tcBorders>
                  <w:noWrap w:val="0"/>
                  <w:vAlign w:val="center"/>
                </w:tcPr>
                <w:p>
                  <w:pPr>
                    <w:pStyle w:val="182"/>
                    <w:rPr>
                      <w:b/>
                    </w:rPr>
                  </w:pPr>
                  <w:r>
                    <w:rPr>
                      <w:rFonts w:hint="eastAsia"/>
                      <w:b/>
                    </w:rPr>
                    <w:t>数量</w:t>
                  </w:r>
                </w:p>
              </w:tc>
              <w:tc>
                <w:tcPr>
                  <w:tcW w:w="1217" w:type="dxa"/>
                  <w:tcBorders>
                    <w:top w:val="single" w:color="auto" w:sz="4" w:space="0"/>
                    <w:left w:val="single" w:color="auto" w:sz="4" w:space="0"/>
                    <w:bottom w:val="single" w:color="auto" w:sz="4" w:space="0"/>
                    <w:right w:val="single" w:color="auto" w:sz="4" w:space="0"/>
                  </w:tcBorders>
                  <w:noWrap w:val="0"/>
                  <w:vAlign w:val="top"/>
                </w:tcPr>
                <w:p>
                  <w:pPr>
                    <w:pStyle w:val="182"/>
                    <w:rPr>
                      <w:rFonts w:hint="eastAsia"/>
                      <w:b/>
                    </w:rPr>
                  </w:pPr>
                  <w:r>
                    <w:rPr>
                      <w:rFonts w:hint="eastAsia"/>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4" w:type="dxa"/>
                  <w:tcBorders>
                    <w:top w:val="single" w:color="auto" w:sz="4" w:space="0"/>
                    <w:left w:val="single" w:color="auto" w:sz="4" w:space="0"/>
                    <w:bottom w:val="single" w:color="auto" w:sz="4" w:space="0"/>
                    <w:right w:val="single" w:color="auto" w:sz="4" w:space="0"/>
                  </w:tcBorders>
                  <w:noWrap w:val="0"/>
                  <w:vAlign w:val="center"/>
                </w:tcPr>
                <w:p>
                  <w:pPr>
                    <w:pStyle w:val="182"/>
                  </w:pPr>
                  <w:r>
                    <w:rPr>
                      <w:rFonts w:hint="eastAsia"/>
                    </w:rPr>
                    <w:t>1</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pStyle w:val="182"/>
                    <w:rPr>
                      <w:rFonts w:hint="eastAsia"/>
                    </w:rPr>
                  </w:pPr>
                  <w:r>
                    <w:rPr>
                      <w:rFonts w:hint="eastAsia"/>
                    </w:rPr>
                    <w:t>净水厂自来水</w:t>
                  </w:r>
                </w:p>
              </w:tc>
              <w:tc>
                <w:tcPr>
                  <w:tcW w:w="1301" w:type="dxa"/>
                  <w:tcBorders>
                    <w:top w:val="single" w:color="auto" w:sz="4" w:space="0"/>
                    <w:left w:val="single" w:color="auto" w:sz="4" w:space="0"/>
                    <w:bottom w:val="single" w:color="auto" w:sz="4" w:space="0"/>
                    <w:right w:val="single" w:color="auto" w:sz="4" w:space="0"/>
                  </w:tcBorders>
                  <w:noWrap w:val="0"/>
                  <w:vAlign w:val="top"/>
                </w:tcPr>
                <w:p>
                  <w:pPr>
                    <w:widowControl/>
                    <w:adjustRightInd w:val="0"/>
                    <w:snapToGrid w:val="0"/>
                    <w:jc w:val="center"/>
                    <w:rPr>
                      <w:rFonts w:ascii="宋体" w:hAnsi="宋体" w:cs="宋体"/>
                      <w:color w:val="000000"/>
                      <w:kern w:val="0"/>
                      <w:szCs w:val="21"/>
                    </w:rPr>
                  </w:pPr>
                  <w:r>
                    <w:rPr>
                      <w:rFonts w:hint="eastAsia" w:ascii="宋体" w:hAnsi="宋体" w:cs="宋体"/>
                      <w:color w:val="000000"/>
                      <w:kern w:val="0"/>
                      <w:szCs w:val="21"/>
                    </w:rPr>
                    <w:t>m³/d</w:t>
                  </w:r>
                </w:p>
              </w:tc>
              <w:tc>
                <w:tcPr>
                  <w:tcW w:w="1217" w:type="dxa"/>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ascii="宋体" w:hAnsi="宋体" w:cs="宋体"/>
                      <w:color w:val="000000"/>
                      <w:kern w:val="0"/>
                      <w:szCs w:val="21"/>
                    </w:rPr>
                  </w:pPr>
                  <w:r>
                    <w:rPr>
                      <w:rFonts w:ascii="宋体" w:hAnsi="宋体" w:cs="宋体"/>
                      <w:color w:val="000000"/>
                      <w:kern w:val="0"/>
                      <w:szCs w:val="21"/>
                    </w:rPr>
                    <w:t>3</w:t>
                  </w:r>
                  <w:r>
                    <w:rPr>
                      <w:rFonts w:hint="eastAsia" w:ascii="宋体" w:hAnsi="宋体" w:cs="宋体"/>
                      <w:color w:val="000000"/>
                      <w:kern w:val="0"/>
                      <w:szCs w:val="21"/>
                    </w:rPr>
                    <w:t>0</w:t>
                  </w:r>
                  <w:r>
                    <w:rPr>
                      <w:rFonts w:ascii="宋体" w:hAnsi="宋体" w:cs="宋体"/>
                      <w:color w:val="000000"/>
                      <w:kern w:val="0"/>
                      <w:szCs w:val="21"/>
                    </w:rPr>
                    <w:t>000</w:t>
                  </w:r>
                </w:p>
              </w:tc>
              <w:tc>
                <w:tcPr>
                  <w:tcW w:w="1217" w:type="dxa"/>
                  <w:tcBorders>
                    <w:top w:val="single" w:color="auto" w:sz="4" w:space="0"/>
                    <w:left w:val="single" w:color="auto" w:sz="4" w:space="0"/>
                    <w:bottom w:val="single" w:color="auto" w:sz="4" w:space="0"/>
                    <w:right w:val="single" w:color="auto" w:sz="4" w:space="0"/>
                  </w:tcBorders>
                  <w:noWrap w:val="0"/>
                  <w:vAlign w:val="top"/>
                </w:tcPr>
                <w:p>
                  <w:pPr>
                    <w:widowControl/>
                    <w:adjustRightInd w:val="0"/>
                    <w:snapToGrid w:val="0"/>
                    <w:jc w:val="center"/>
                    <w:rPr>
                      <w:rFonts w:hint="eastAsia" w:ascii="宋体" w:hAnsi="宋体" w:cs="宋体"/>
                      <w:color w:val="000000"/>
                      <w:kern w:val="0"/>
                      <w:szCs w:val="21"/>
                    </w:rPr>
                  </w:pPr>
                  <w:r>
                    <w:rPr>
                      <w:rFonts w:hint="eastAsia" w:ascii="宋体" w:hAnsi="宋体" w:cs="宋体"/>
                      <w:color w:val="000000"/>
                      <w:kern w:val="0"/>
                      <w:szCs w:val="21"/>
                    </w:rPr>
                    <w:t>近期</w:t>
                  </w:r>
                </w:p>
              </w:tc>
            </w:tr>
          </w:tbl>
          <w:p>
            <w:pPr>
              <w:pStyle w:val="183"/>
              <w:ind w:firstLine="482"/>
              <w:rPr>
                <w:b/>
                <w:bCs/>
              </w:rPr>
            </w:pPr>
            <w:r>
              <w:rPr>
                <w:b/>
                <w:bCs/>
              </w:rPr>
              <w:t>3</w:t>
            </w:r>
            <w:r>
              <w:rPr>
                <w:rFonts w:hint="eastAsia"/>
                <w:b/>
                <w:bCs/>
              </w:rPr>
              <w:t>、项目建设内容及规模</w:t>
            </w:r>
          </w:p>
          <w:p>
            <w:pPr>
              <w:pStyle w:val="183"/>
            </w:pPr>
            <w:r>
              <w:rPr>
                <w:rFonts w:hint="eastAsia"/>
              </w:rPr>
              <w:t>本项目为自来水生产和供应、引水工程项目，主要由主体工程、公用工程、办公生活设施以及环保工程等项目组成，本项目在运营期的项目组成及主要的环境问题列表如下表：</w:t>
            </w:r>
          </w:p>
          <w:p>
            <w:pPr>
              <w:pStyle w:val="184"/>
              <w:rPr>
                <w:rFonts w:hint="eastAsia"/>
                <w:color w:val="auto"/>
              </w:rPr>
            </w:pPr>
            <w:r>
              <w:rPr>
                <w:rFonts w:hint="eastAsia"/>
                <w:color w:val="auto"/>
              </w:rPr>
              <w:t>表2-2</w:t>
            </w:r>
            <w:r>
              <w:rPr>
                <w:color w:val="auto"/>
              </w:rPr>
              <w:t xml:space="preserve">  </w:t>
            </w:r>
            <w:r>
              <w:rPr>
                <w:rFonts w:hint="eastAsia"/>
                <w:color w:val="auto"/>
              </w:rPr>
              <w:t>项目组成及主要的环境问题</w:t>
            </w:r>
          </w:p>
          <w:tbl>
            <w:tblPr>
              <w:tblStyle w:val="39"/>
              <w:tblW w:w="8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851"/>
              <w:gridCol w:w="4494"/>
              <w:gridCol w:w="948"/>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743" w:type="dxa"/>
                  <w:gridSpan w:val="2"/>
                  <w:vMerge w:val="restart"/>
                  <w:noWrap w:val="0"/>
                  <w:vAlign w:val="center"/>
                </w:tcPr>
                <w:p>
                  <w:pPr>
                    <w:pStyle w:val="126"/>
                    <w:rPr>
                      <w:rFonts w:hint="eastAsia" w:ascii="宋体" w:hAnsi="宋体" w:cs="宋体"/>
                      <w:b/>
                    </w:rPr>
                  </w:pPr>
                  <w:r>
                    <w:rPr>
                      <w:rFonts w:hint="eastAsia" w:ascii="宋体" w:hAnsi="宋体" w:cs="宋体"/>
                      <w:b/>
                    </w:rPr>
                    <w:t>工程分类及项目名称</w:t>
                  </w:r>
                </w:p>
              </w:tc>
              <w:tc>
                <w:tcPr>
                  <w:tcW w:w="4494" w:type="dxa"/>
                  <w:vMerge w:val="restart"/>
                  <w:noWrap w:val="0"/>
                  <w:vAlign w:val="center"/>
                </w:tcPr>
                <w:p>
                  <w:pPr>
                    <w:pStyle w:val="126"/>
                    <w:rPr>
                      <w:rFonts w:hint="eastAsia" w:ascii="宋体" w:hAnsi="宋体" w:cs="宋体"/>
                      <w:b/>
                    </w:rPr>
                  </w:pPr>
                  <w:r>
                    <w:rPr>
                      <w:rFonts w:hint="eastAsia" w:ascii="宋体" w:hAnsi="宋体" w:cs="宋体"/>
                      <w:b/>
                    </w:rPr>
                    <w:t>工程内容</w:t>
                  </w:r>
                </w:p>
              </w:tc>
              <w:tc>
                <w:tcPr>
                  <w:tcW w:w="1799" w:type="dxa"/>
                  <w:gridSpan w:val="2"/>
                  <w:noWrap w:val="0"/>
                  <w:vAlign w:val="top"/>
                </w:tcPr>
                <w:p>
                  <w:pPr>
                    <w:pStyle w:val="126"/>
                    <w:rPr>
                      <w:rFonts w:hint="eastAsia" w:ascii="宋体" w:hAnsi="宋体" w:cs="宋体"/>
                      <w:b/>
                    </w:rPr>
                  </w:pPr>
                  <w:r>
                    <w:rPr>
                      <w:rFonts w:hint="eastAsia" w:ascii="宋体" w:hAnsi="宋体" w:cs="宋体"/>
                      <w:b/>
                    </w:rPr>
                    <w:t>主要环境问题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743" w:type="dxa"/>
                  <w:gridSpan w:val="2"/>
                  <w:vMerge w:val="continue"/>
                  <w:noWrap w:val="0"/>
                  <w:vAlign w:val="center"/>
                </w:tcPr>
                <w:p>
                  <w:pPr>
                    <w:pStyle w:val="126"/>
                    <w:rPr>
                      <w:rFonts w:hint="eastAsia" w:ascii="宋体" w:hAnsi="宋体" w:cs="宋体"/>
                    </w:rPr>
                  </w:pPr>
                </w:p>
              </w:tc>
              <w:tc>
                <w:tcPr>
                  <w:tcW w:w="4494" w:type="dxa"/>
                  <w:vMerge w:val="continue"/>
                  <w:noWrap w:val="0"/>
                  <w:vAlign w:val="center"/>
                </w:tcPr>
                <w:p>
                  <w:pPr>
                    <w:pStyle w:val="126"/>
                    <w:rPr>
                      <w:rFonts w:hint="eastAsia" w:ascii="宋体" w:hAnsi="宋体" w:cs="宋体"/>
                    </w:rPr>
                  </w:pPr>
                </w:p>
              </w:tc>
              <w:tc>
                <w:tcPr>
                  <w:tcW w:w="948" w:type="dxa"/>
                  <w:noWrap w:val="0"/>
                  <w:vAlign w:val="top"/>
                </w:tcPr>
                <w:p>
                  <w:pPr>
                    <w:pStyle w:val="126"/>
                    <w:rPr>
                      <w:rFonts w:hint="eastAsia" w:ascii="宋体" w:hAnsi="宋体" w:cs="宋体"/>
                    </w:rPr>
                  </w:pPr>
                  <w:r>
                    <w:rPr>
                      <w:rFonts w:hint="eastAsia" w:ascii="宋体" w:hAnsi="宋体" w:cs="宋体"/>
                    </w:rPr>
                    <w:t>施工期</w:t>
                  </w:r>
                </w:p>
              </w:tc>
              <w:tc>
                <w:tcPr>
                  <w:tcW w:w="851" w:type="dxa"/>
                  <w:noWrap w:val="0"/>
                  <w:vAlign w:val="center"/>
                </w:tcPr>
                <w:p>
                  <w:pPr>
                    <w:pStyle w:val="126"/>
                    <w:rPr>
                      <w:rFonts w:hint="eastAsia" w:ascii="宋体" w:hAnsi="宋体" w:cs="宋体"/>
                    </w:rPr>
                  </w:pPr>
                  <w:r>
                    <w:rPr>
                      <w:rFonts w:hint="eastAsia" w:ascii="宋体" w:hAnsi="宋体" w:cs="宋体"/>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restart"/>
                  <w:noWrap w:val="0"/>
                  <w:vAlign w:val="center"/>
                </w:tcPr>
                <w:p>
                  <w:pPr>
                    <w:pStyle w:val="126"/>
                    <w:rPr>
                      <w:rFonts w:hint="eastAsia" w:ascii="宋体" w:hAnsi="宋体" w:cs="宋体"/>
                    </w:rPr>
                  </w:pPr>
                  <w:r>
                    <w:rPr>
                      <w:rFonts w:hint="eastAsia" w:ascii="宋体" w:hAnsi="宋体" w:cs="宋体"/>
                    </w:rPr>
                    <w:t>主体</w:t>
                  </w:r>
                </w:p>
                <w:p>
                  <w:pPr>
                    <w:pStyle w:val="126"/>
                    <w:rPr>
                      <w:rFonts w:hint="eastAsia" w:ascii="宋体" w:hAnsi="宋体" w:cs="宋体"/>
                    </w:rPr>
                  </w:pPr>
                  <w:r>
                    <w:rPr>
                      <w:rFonts w:hint="eastAsia" w:ascii="宋体" w:hAnsi="宋体" w:cs="宋体"/>
                    </w:rPr>
                    <w:t>工程</w:t>
                  </w:r>
                </w:p>
              </w:tc>
              <w:tc>
                <w:tcPr>
                  <w:tcW w:w="851" w:type="dxa"/>
                  <w:noWrap w:val="0"/>
                  <w:vAlign w:val="center"/>
                </w:tcPr>
                <w:p>
                  <w:pPr>
                    <w:pStyle w:val="126"/>
                    <w:rPr>
                      <w:rFonts w:hint="eastAsia" w:ascii="宋体" w:hAnsi="宋体" w:cs="宋体"/>
                    </w:rPr>
                  </w:pPr>
                  <w:r>
                    <w:rPr>
                      <w:rFonts w:hint="eastAsia" w:ascii="宋体" w:hAnsi="宋体" w:cs="宋体"/>
                    </w:rPr>
                    <w:t>取水工程</w:t>
                  </w:r>
                </w:p>
              </w:tc>
              <w:tc>
                <w:tcPr>
                  <w:tcW w:w="4494" w:type="dxa"/>
                  <w:noWrap w:val="0"/>
                  <w:vAlign w:val="center"/>
                </w:tcPr>
                <w:p>
                  <w:pPr>
                    <w:snapToGrid w:val="0"/>
                    <w:rPr>
                      <w:rFonts w:hint="eastAsia"/>
                      <w:szCs w:val="21"/>
                    </w:rPr>
                  </w:pPr>
                  <w:r>
                    <w:rPr>
                      <w:rFonts w:hint="eastAsia"/>
                      <w:szCs w:val="21"/>
                    </w:rPr>
                    <w:t>根据《乐山市市中区关子门堰王沟集中式饮用水水源保护区划分技术报告》（送审稿），乐山市市中区关子门堰王沟（东经103°48′36.43″北纬29°42′31.17″），采用吸水管配套集水井取水方案，</w:t>
                  </w:r>
                  <w:r>
                    <w:rPr>
                      <w:rFonts w:hint="eastAsia" w:ascii="宋体" w:hAnsi="宋体" w:cs="宋体"/>
                    </w:rPr>
                    <w:t>取水泵房采用集水井式泵房，建筑面积为50.24m</w:t>
                  </w:r>
                  <w:r>
                    <w:rPr>
                      <w:rFonts w:hint="eastAsia" w:ascii="宋体" w:hAnsi="宋体" w:cs="宋体"/>
                      <w:vertAlign w:val="superscript"/>
                    </w:rPr>
                    <w:t>2</w:t>
                  </w:r>
                  <w:r>
                    <w:rPr>
                      <w:rFonts w:hint="eastAsia" w:ascii="宋体" w:hAnsi="宋体" w:cs="宋体"/>
                    </w:rPr>
                    <w:t>，取水泵房配置集水池，集水池尺寸（长×宽×高）5.0×3.0×5.5m</w:t>
                  </w:r>
                  <w:r>
                    <w:rPr>
                      <w:rFonts w:hint="eastAsia"/>
                      <w:szCs w:val="21"/>
                    </w:rPr>
                    <w:t>；</w:t>
                  </w:r>
                </w:p>
              </w:tc>
              <w:tc>
                <w:tcPr>
                  <w:tcW w:w="948" w:type="dxa"/>
                  <w:vMerge w:val="restart"/>
                  <w:noWrap w:val="0"/>
                  <w:vAlign w:val="center"/>
                </w:tcPr>
                <w:p>
                  <w:pPr>
                    <w:pStyle w:val="126"/>
                    <w:rPr>
                      <w:rFonts w:hint="eastAsia" w:ascii="宋体" w:hAnsi="宋体" w:cs="宋体"/>
                    </w:rPr>
                  </w:pPr>
                  <w:r>
                    <w:rPr>
                      <w:rFonts w:hint="eastAsia" w:ascii="宋体" w:hAnsi="宋体" w:cs="宋体"/>
                    </w:rPr>
                    <w:t>施工废气、施工废水、施工噪声、施工固废</w:t>
                  </w:r>
                </w:p>
              </w:tc>
              <w:tc>
                <w:tcPr>
                  <w:tcW w:w="851" w:type="dxa"/>
                  <w:vMerge w:val="restart"/>
                  <w:noWrap w:val="0"/>
                  <w:vAlign w:val="center"/>
                </w:tcPr>
                <w:p>
                  <w:pPr>
                    <w:pStyle w:val="126"/>
                    <w:rPr>
                      <w:rFonts w:hint="eastAsia" w:ascii="宋体" w:hAnsi="宋体" w:cs="宋体"/>
                    </w:rPr>
                  </w:pPr>
                  <w:r>
                    <w:rPr>
                      <w:rFonts w:hint="eastAsia" w:ascii="宋体" w:hAnsi="宋体" w:cs="宋体"/>
                    </w:rPr>
                    <w:t>废水、噪声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原水管线</w:t>
                  </w:r>
                </w:p>
              </w:tc>
              <w:tc>
                <w:tcPr>
                  <w:tcW w:w="4494" w:type="dxa"/>
                  <w:noWrap w:val="0"/>
                  <w:vAlign w:val="center"/>
                </w:tcPr>
                <w:p>
                  <w:pPr>
                    <w:pStyle w:val="182"/>
                    <w:wordWrap/>
                    <w:snapToGrid w:val="0"/>
                    <w:jc w:val="left"/>
                    <w:rPr>
                      <w:kern w:val="2"/>
                    </w:rPr>
                  </w:pPr>
                  <w:r>
                    <w:rPr>
                      <w:rFonts w:hint="eastAsia"/>
                      <w:kern w:val="2"/>
                    </w:rPr>
                    <w:t>本项目净水厂采用双管供水，包括原水主管以及备用事故管。</w:t>
                  </w:r>
                </w:p>
                <w:p>
                  <w:pPr>
                    <w:adjustRightInd w:val="0"/>
                    <w:snapToGrid w:val="0"/>
                    <w:jc w:val="left"/>
                    <w:rPr>
                      <w:szCs w:val="21"/>
                    </w:rPr>
                  </w:pPr>
                  <w:r>
                    <w:rPr>
                      <w:rFonts w:hint="eastAsia"/>
                      <w:b/>
                      <w:bCs/>
                      <w:szCs w:val="21"/>
                    </w:rPr>
                    <w:t>原水主管</w:t>
                  </w:r>
                  <w:r>
                    <w:rPr>
                      <w:rFonts w:hint="eastAsia"/>
                      <w:szCs w:val="21"/>
                    </w:rPr>
                    <w:t>：从泵站至净水厂管径5</w:t>
                  </w:r>
                  <w:r>
                    <w:rPr>
                      <w:szCs w:val="21"/>
                    </w:rPr>
                    <w:t>50mm</w:t>
                  </w:r>
                  <w:r>
                    <w:rPr>
                      <w:rFonts w:hint="eastAsia"/>
                      <w:szCs w:val="21"/>
                    </w:rPr>
                    <w:t>设计引用流量为0</w:t>
                  </w:r>
                  <w:r>
                    <w:rPr>
                      <w:szCs w:val="21"/>
                    </w:rPr>
                    <w:t>.4 m</w:t>
                  </w:r>
                  <w:r>
                    <w:rPr>
                      <w:szCs w:val="21"/>
                      <w:vertAlign w:val="superscript"/>
                    </w:rPr>
                    <w:t>3</w:t>
                  </w:r>
                  <w:r>
                    <w:rPr>
                      <w:szCs w:val="21"/>
                    </w:rPr>
                    <w:t>/s</w:t>
                  </w:r>
                  <w:r>
                    <w:rPr>
                      <w:rFonts w:hint="eastAsia"/>
                      <w:szCs w:val="21"/>
                    </w:rPr>
                    <w:t>的原水主管线6</w:t>
                  </w:r>
                  <w:r>
                    <w:rPr>
                      <w:szCs w:val="21"/>
                    </w:rPr>
                    <w:t>984.04m</w:t>
                  </w:r>
                  <w:r>
                    <w:rPr>
                      <w:rFonts w:hint="eastAsia"/>
                      <w:szCs w:val="21"/>
                    </w:rPr>
                    <w:t>。</w:t>
                  </w:r>
                </w:p>
                <w:p>
                  <w:pPr>
                    <w:adjustRightInd w:val="0"/>
                    <w:snapToGrid w:val="0"/>
                    <w:jc w:val="left"/>
                    <w:rPr>
                      <w:rFonts w:hint="eastAsia"/>
                      <w:szCs w:val="21"/>
                    </w:rPr>
                  </w:pPr>
                  <w:r>
                    <w:rPr>
                      <w:rFonts w:hint="eastAsia"/>
                      <w:b/>
                      <w:bCs/>
                      <w:szCs w:val="21"/>
                    </w:rPr>
                    <w:t>备用事故管：</w:t>
                  </w:r>
                  <w:r>
                    <w:rPr>
                      <w:rFonts w:hint="eastAsia"/>
                      <w:szCs w:val="21"/>
                    </w:rPr>
                    <w:t>从泵站至联合村火地铺管径9</w:t>
                  </w:r>
                  <w:r>
                    <w:rPr>
                      <w:szCs w:val="21"/>
                    </w:rPr>
                    <w:t>00mm</w:t>
                  </w:r>
                  <w:r>
                    <w:rPr>
                      <w:rFonts w:hint="eastAsia"/>
                      <w:szCs w:val="21"/>
                    </w:rPr>
                    <w:t>设计引用流量1</w:t>
                  </w:r>
                  <w:r>
                    <w:rPr>
                      <w:szCs w:val="21"/>
                    </w:rPr>
                    <w:t>.1 m</w:t>
                  </w:r>
                  <w:r>
                    <w:rPr>
                      <w:szCs w:val="21"/>
                      <w:vertAlign w:val="superscript"/>
                    </w:rPr>
                    <w:t>3</w:t>
                  </w:r>
                  <w:r>
                    <w:rPr>
                      <w:szCs w:val="21"/>
                    </w:rPr>
                    <w:t>/s</w:t>
                  </w:r>
                  <w:r>
                    <w:rPr>
                      <w:rFonts w:hint="eastAsia"/>
                      <w:szCs w:val="21"/>
                    </w:rPr>
                    <w:t>的备用事故管道与原水主管并行铺设，该管线后期主要为两健生态生产供水，从火地铺至净水厂管径5</w:t>
                  </w:r>
                  <w:r>
                    <w:rPr>
                      <w:szCs w:val="21"/>
                    </w:rPr>
                    <w:t>50m</w:t>
                  </w:r>
                  <w:r>
                    <w:rPr>
                      <w:rFonts w:hint="eastAsia"/>
                      <w:szCs w:val="21"/>
                    </w:rPr>
                    <w:t>引用流量为0</w:t>
                  </w:r>
                  <w:r>
                    <w:rPr>
                      <w:szCs w:val="21"/>
                    </w:rPr>
                    <w:t>.4 m</w:t>
                  </w:r>
                  <w:r>
                    <w:rPr>
                      <w:szCs w:val="21"/>
                      <w:vertAlign w:val="superscript"/>
                    </w:rPr>
                    <w:t>3</w:t>
                  </w:r>
                  <w:r>
                    <w:rPr>
                      <w:szCs w:val="21"/>
                    </w:rPr>
                    <w:t>/s</w:t>
                  </w:r>
                  <w:r>
                    <w:rPr>
                      <w:rFonts w:hint="eastAsia"/>
                      <w:szCs w:val="21"/>
                    </w:rPr>
                    <w:t>的备用事故管道与原水主管并行铺设。</w:t>
                  </w:r>
                </w:p>
              </w:tc>
              <w:tc>
                <w:tcPr>
                  <w:tcW w:w="948" w:type="dxa"/>
                  <w:vMerge w:val="continue"/>
                  <w:noWrap w:val="0"/>
                  <w:vAlign w:val="center"/>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净水厂工程</w:t>
                  </w:r>
                </w:p>
              </w:tc>
              <w:tc>
                <w:tcPr>
                  <w:tcW w:w="4494" w:type="dxa"/>
                  <w:noWrap w:val="0"/>
                  <w:vAlign w:val="center"/>
                </w:tcPr>
                <w:p>
                  <w:pPr>
                    <w:pStyle w:val="182"/>
                    <w:rPr>
                      <w:rFonts w:hint="eastAsia"/>
                      <w:kern w:val="2"/>
                    </w:rPr>
                  </w:pPr>
                  <w:r>
                    <w:rPr>
                      <w:rFonts w:hint="eastAsia"/>
                      <w:kern w:val="2"/>
                    </w:rPr>
                    <w:t>供水能力为3</w:t>
                  </w:r>
                  <w:r>
                    <w:rPr>
                      <w:kern w:val="2"/>
                    </w:rPr>
                    <w:t>.0</w:t>
                  </w:r>
                  <w:r>
                    <w:rPr>
                      <w:rFonts w:hint="eastAsia"/>
                      <w:kern w:val="2"/>
                    </w:rPr>
                    <w:t>万m</w:t>
                  </w:r>
                  <w:r>
                    <w:rPr>
                      <w:kern w:val="2"/>
                      <w:vertAlign w:val="superscript"/>
                    </w:rPr>
                    <w:t>3</w:t>
                  </w:r>
                  <w:r>
                    <w:rPr>
                      <w:kern w:val="2"/>
                    </w:rPr>
                    <w:t>/d</w:t>
                  </w:r>
                  <w:r>
                    <w:rPr>
                      <w:rFonts w:hint="eastAsia"/>
                      <w:kern w:val="2"/>
                    </w:rPr>
                    <w:t>的净水厂一座，采用絮凝沉淀+气水反冲洗工艺，包括分配井一座，混合反应斜管沉淀池两座，气水反冲滤池两座（2组/座），加药加氯间一座，鼓风机房、配电室、反冲洗水回收池两座，清水池两座、脱水车间等</w:t>
                  </w:r>
                </w:p>
              </w:tc>
              <w:tc>
                <w:tcPr>
                  <w:tcW w:w="948" w:type="dxa"/>
                  <w:vMerge w:val="continue"/>
                  <w:noWrap w:val="0"/>
                  <w:vAlign w:val="center"/>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配水管网工程</w:t>
                  </w:r>
                </w:p>
              </w:tc>
              <w:tc>
                <w:tcPr>
                  <w:tcW w:w="4494" w:type="dxa"/>
                  <w:noWrap w:val="0"/>
                  <w:vAlign w:val="center"/>
                </w:tcPr>
                <w:p>
                  <w:pPr>
                    <w:pStyle w:val="182"/>
                    <w:rPr>
                      <w:rFonts w:hint="eastAsia"/>
                    </w:rPr>
                  </w:pPr>
                  <w:r>
                    <w:rPr>
                      <w:rFonts w:hint="eastAsia"/>
                    </w:rPr>
                    <w:t>包括送水泵房一座、高位水池一座（1</w:t>
                  </w:r>
                  <w:r>
                    <w:t>500m</w:t>
                  </w:r>
                  <w:r>
                    <w:rPr>
                      <w:vertAlign w:val="superscript"/>
                    </w:rPr>
                    <w:t>3</w:t>
                  </w:r>
                  <w:r>
                    <w:rPr>
                      <w:rFonts w:hint="eastAsia"/>
                    </w:rPr>
                    <w:t>）、</w:t>
                  </w:r>
                </w:p>
              </w:tc>
              <w:tc>
                <w:tcPr>
                  <w:tcW w:w="948" w:type="dxa"/>
                  <w:vMerge w:val="continue"/>
                  <w:noWrap w:val="0"/>
                  <w:vAlign w:val="center"/>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restart"/>
                  <w:noWrap w:val="0"/>
                  <w:vAlign w:val="center"/>
                </w:tcPr>
                <w:p>
                  <w:pPr>
                    <w:pStyle w:val="126"/>
                    <w:rPr>
                      <w:rFonts w:hint="eastAsia" w:ascii="宋体" w:hAnsi="宋体" w:cs="宋体"/>
                    </w:rPr>
                  </w:pPr>
                  <w:r>
                    <w:rPr>
                      <w:rFonts w:hint="eastAsia" w:ascii="宋体" w:hAnsi="宋体" w:cs="宋体"/>
                    </w:rPr>
                    <w:t>辅助工程</w:t>
                  </w:r>
                </w:p>
              </w:tc>
              <w:tc>
                <w:tcPr>
                  <w:tcW w:w="851" w:type="dxa"/>
                  <w:noWrap w:val="0"/>
                  <w:vAlign w:val="center"/>
                </w:tcPr>
                <w:p>
                  <w:pPr>
                    <w:pStyle w:val="126"/>
                    <w:rPr>
                      <w:rFonts w:hint="eastAsia" w:ascii="宋体" w:hAnsi="宋体" w:cs="宋体"/>
                    </w:rPr>
                  </w:pPr>
                  <w:r>
                    <w:rPr>
                      <w:rFonts w:hint="eastAsia" w:ascii="宋体" w:hAnsi="宋体" w:cs="宋体"/>
                    </w:rPr>
                    <w:t>综合楼</w:t>
                  </w:r>
                </w:p>
              </w:tc>
              <w:tc>
                <w:tcPr>
                  <w:tcW w:w="4494" w:type="dxa"/>
                  <w:noWrap w:val="0"/>
                  <w:vAlign w:val="center"/>
                </w:tcPr>
                <w:p>
                  <w:pPr>
                    <w:pStyle w:val="126"/>
                    <w:rPr>
                      <w:rFonts w:hint="eastAsia" w:ascii="宋体" w:hAnsi="宋体" w:cs="宋体"/>
                    </w:rPr>
                  </w:pPr>
                  <w:r>
                    <w:rPr>
                      <w:rFonts w:hint="eastAsia" w:ascii="宋体" w:hAnsi="宋体" w:cs="宋体"/>
                    </w:rPr>
                    <w:t>位于净水厂内，3层，建筑面积4</w:t>
                  </w:r>
                  <w:r>
                    <w:rPr>
                      <w:rFonts w:ascii="宋体" w:hAnsi="宋体" w:cs="宋体"/>
                    </w:rPr>
                    <w:t>53.6</w:t>
                  </w:r>
                  <w:r>
                    <w:rPr>
                      <w:rFonts w:hint="eastAsia" w:ascii="宋体" w:hAnsi="宋体" w:cs="宋体"/>
                    </w:rPr>
                    <w:t>m</w:t>
                  </w:r>
                  <w:r>
                    <w:rPr>
                      <w:rFonts w:ascii="宋体" w:hAnsi="宋体" w:cs="宋体"/>
                      <w:vertAlign w:val="superscript"/>
                    </w:rPr>
                    <w:t>2</w:t>
                  </w:r>
                  <w:r>
                    <w:rPr>
                      <w:rFonts w:hint="eastAsia" w:ascii="宋体" w:hAnsi="宋体" w:cs="宋体"/>
                    </w:rPr>
                    <w:t>。</w:t>
                  </w:r>
                </w:p>
              </w:tc>
              <w:tc>
                <w:tcPr>
                  <w:tcW w:w="948" w:type="dxa"/>
                  <w:vMerge w:val="continue"/>
                  <w:noWrap w:val="0"/>
                  <w:vAlign w:val="top"/>
                </w:tcPr>
                <w:p>
                  <w:pPr>
                    <w:pStyle w:val="126"/>
                    <w:rPr>
                      <w:rFonts w:hint="eastAsia" w:ascii="宋体" w:hAnsi="宋体" w:cs="宋体"/>
                    </w:rPr>
                  </w:pPr>
                </w:p>
              </w:tc>
              <w:tc>
                <w:tcPr>
                  <w:tcW w:w="851" w:type="dxa"/>
                  <w:vMerge w:val="restart"/>
                  <w:noWrap w:val="0"/>
                  <w:vAlign w:val="center"/>
                </w:tcPr>
                <w:p>
                  <w:pPr>
                    <w:pStyle w:val="126"/>
                    <w:rPr>
                      <w:rFonts w:hint="eastAsia" w:ascii="宋体" w:hAnsi="宋体" w:cs="宋体"/>
                    </w:rPr>
                  </w:pPr>
                  <w:r>
                    <w:rPr>
                      <w:rFonts w:hint="eastAsia" w:ascii="宋体" w:hAnsi="宋体" w:cs="宋体"/>
                    </w:rPr>
                    <w:t>生活污水、生活垃圾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维修车间</w:t>
                  </w:r>
                </w:p>
              </w:tc>
              <w:tc>
                <w:tcPr>
                  <w:tcW w:w="4494" w:type="dxa"/>
                  <w:noWrap w:val="0"/>
                  <w:vAlign w:val="center"/>
                </w:tcPr>
                <w:p>
                  <w:pPr>
                    <w:pStyle w:val="182"/>
                    <w:rPr>
                      <w:rFonts w:hint="eastAsia"/>
                    </w:rPr>
                  </w:pPr>
                  <w:r>
                    <w:t>1</w:t>
                  </w:r>
                  <w:r>
                    <w:rPr>
                      <w:rFonts w:hint="eastAsia"/>
                    </w:rPr>
                    <w:t>层，建筑面积1</w:t>
                  </w:r>
                  <w:r>
                    <w:t>18.8m2</w:t>
                  </w:r>
                  <w:r>
                    <w:rPr>
                      <w:rFonts w:hint="eastAsia"/>
                    </w:rPr>
                    <w:t>，层高3</w:t>
                  </w:r>
                  <w:r>
                    <w:t>.72m</w:t>
                  </w:r>
                </w:p>
              </w:tc>
              <w:tc>
                <w:tcPr>
                  <w:tcW w:w="948" w:type="dxa"/>
                  <w:vMerge w:val="continue"/>
                  <w:noWrap w:val="0"/>
                  <w:vAlign w:val="top"/>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宿舍</w:t>
                  </w:r>
                </w:p>
              </w:tc>
              <w:tc>
                <w:tcPr>
                  <w:tcW w:w="4494" w:type="dxa"/>
                  <w:noWrap w:val="0"/>
                  <w:vAlign w:val="center"/>
                </w:tcPr>
                <w:p>
                  <w:pPr>
                    <w:pStyle w:val="182"/>
                    <w:rPr>
                      <w:rFonts w:hint="eastAsia"/>
                    </w:rPr>
                  </w:pPr>
                  <w:r>
                    <w:rPr>
                      <w:rFonts w:hint="eastAsia"/>
                    </w:rPr>
                    <w:t>位于净水厂西面，占地1</w:t>
                  </w:r>
                  <w:r>
                    <w:t>60m</w:t>
                  </w:r>
                  <w:r>
                    <w:rPr>
                      <w:vertAlign w:val="superscript"/>
                    </w:rPr>
                    <w:t>2</w:t>
                  </w:r>
                </w:p>
              </w:tc>
              <w:tc>
                <w:tcPr>
                  <w:tcW w:w="948" w:type="dxa"/>
                  <w:vMerge w:val="continue"/>
                  <w:noWrap w:val="0"/>
                  <w:vAlign w:val="top"/>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食堂</w:t>
                  </w:r>
                </w:p>
              </w:tc>
              <w:tc>
                <w:tcPr>
                  <w:tcW w:w="4494" w:type="dxa"/>
                  <w:noWrap w:val="0"/>
                  <w:vAlign w:val="center"/>
                </w:tcPr>
                <w:p>
                  <w:pPr>
                    <w:pStyle w:val="182"/>
                  </w:pPr>
                  <w:r>
                    <w:rPr>
                      <w:rFonts w:hint="eastAsia"/>
                    </w:rPr>
                    <w:t>位于净水厂西面，占地面积1</w:t>
                  </w:r>
                  <w:r>
                    <w:t>10m</w:t>
                  </w:r>
                  <w:r>
                    <w:rPr>
                      <w:vertAlign w:val="superscript"/>
                    </w:rPr>
                    <w:t>2</w:t>
                  </w:r>
                </w:p>
              </w:tc>
              <w:tc>
                <w:tcPr>
                  <w:tcW w:w="948" w:type="dxa"/>
                  <w:vMerge w:val="continue"/>
                  <w:noWrap w:val="0"/>
                  <w:vAlign w:val="top"/>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门卫</w:t>
                  </w:r>
                </w:p>
              </w:tc>
              <w:tc>
                <w:tcPr>
                  <w:tcW w:w="4494" w:type="dxa"/>
                  <w:noWrap w:val="0"/>
                  <w:vAlign w:val="center"/>
                </w:tcPr>
                <w:p>
                  <w:pPr>
                    <w:pStyle w:val="182"/>
                  </w:pPr>
                  <w:r>
                    <w:rPr>
                      <w:rFonts w:hint="eastAsia"/>
                    </w:rPr>
                    <w:t>占地面积4</w:t>
                  </w:r>
                  <w:r>
                    <w:t>1m2</w:t>
                  </w:r>
                </w:p>
              </w:tc>
              <w:tc>
                <w:tcPr>
                  <w:tcW w:w="948" w:type="dxa"/>
                  <w:vMerge w:val="continue"/>
                  <w:noWrap w:val="0"/>
                  <w:vAlign w:val="top"/>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restart"/>
                  <w:noWrap w:val="0"/>
                  <w:vAlign w:val="center"/>
                </w:tcPr>
                <w:p>
                  <w:pPr>
                    <w:pStyle w:val="126"/>
                    <w:rPr>
                      <w:rFonts w:hint="eastAsia" w:ascii="宋体" w:hAnsi="宋体" w:cs="宋体"/>
                    </w:rPr>
                  </w:pPr>
                  <w:r>
                    <w:rPr>
                      <w:rFonts w:hint="eastAsia" w:ascii="宋体" w:hAnsi="宋体" w:cs="宋体"/>
                    </w:rPr>
                    <w:t>公用</w:t>
                  </w:r>
                </w:p>
                <w:p>
                  <w:pPr>
                    <w:pStyle w:val="126"/>
                    <w:rPr>
                      <w:rFonts w:hint="eastAsia" w:ascii="宋体" w:hAnsi="宋体" w:cs="宋体"/>
                    </w:rPr>
                  </w:pPr>
                  <w:r>
                    <w:rPr>
                      <w:rFonts w:hint="eastAsia" w:ascii="宋体" w:hAnsi="宋体" w:cs="宋体"/>
                    </w:rPr>
                    <w:t>工程</w:t>
                  </w:r>
                </w:p>
              </w:tc>
              <w:tc>
                <w:tcPr>
                  <w:tcW w:w="851" w:type="dxa"/>
                  <w:noWrap w:val="0"/>
                  <w:vAlign w:val="center"/>
                </w:tcPr>
                <w:p>
                  <w:pPr>
                    <w:pStyle w:val="126"/>
                    <w:rPr>
                      <w:rFonts w:hint="eastAsia" w:ascii="宋体" w:hAnsi="宋体" w:cs="宋体"/>
                    </w:rPr>
                  </w:pPr>
                  <w:r>
                    <w:rPr>
                      <w:rFonts w:hint="eastAsia" w:ascii="宋体" w:hAnsi="宋体" w:cs="宋体"/>
                    </w:rPr>
                    <w:t>供配电</w:t>
                  </w:r>
                </w:p>
              </w:tc>
              <w:tc>
                <w:tcPr>
                  <w:tcW w:w="4494" w:type="dxa"/>
                  <w:noWrap w:val="0"/>
                  <w:vAlign w:val="center"/>
                </w:tcPr>
                <w:p>
                  <w:pPr>
                    <w:pStyle w:val="126"/>
                    <w:rPr>
                      <w:rFonts w:ascii="宋体" w:hAnsi="宋体" w:cs="宋体"/>
                    </w:rPr>
                  </w:pPr>
                  <w:r>
                    <w:rPr>
                      <w:rFonts w:hint="eastAsia" w:ascii="宋体" w:hAnsi="宋体" w:cs="宋体"/>
                    </w:rPr>
                    <w:t>提水泵站：本项目提水泵站由悦来镇引入，在悦来镇设置配电站，引至提水泵站的配电房内，为提水泵站供电；</w:t>
                  </w:r>
                </w:p>
                <w:p>
                  <w:pPr>
                    <w:rPr>
                      <w:rFonts w:hint="eastAsia"/>
                    </w:rPr>
                  </w:pPr>
                  <w:r>
                    <w:rPr>
                      <w:rFonts w:hint="eastAsia"/>
                    </w:rPr>
                    <w:t>净水厂：项目净水厂用电由剑锋镇输电线路接入厂内配电房。</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供水</w:t>
                  </w:r>
                </w:p>
              </w:tc>
              <w:tc>
                <w:tcPr>
                  <w:tcW w:w="4494" w:type="dxa"/>
                  <w:noWrap w:val="0"/>
                  <w:vAlign w:val="center"/>
                </w:tcPr>
                <w:p>
                  <w:pPr>
                    <w:pStyle w:val="126"/>
                    <w:rPr>
                      <w:rFonts w:hint="eastAsia" w:ascii="宋体" w:hAnsi="宋体" w:cs="宋体"/>
                    </w:rPr>
                  </w:pPr>
                  <w:r>
                    <w:rPr>
                      <w:rFonts w:hint="eastAsia" w:ascii="宋体" w:hAnsi="宋体" w:cs="宋体"/>
                    </w:rPr>
                    <w:t>生活用水来源要净水厂</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restart"/>
                  <w:noWrap w:val="0"/>
                  <w:vAlign w:val="center"/>
                </w:tcPr>
                <w:p>
                  <w:pPr>
                    <w:pStyle w:val="126"/>
                    <w:rPr>
                      <w:rFonts w:hint="eastAsia" w:ascii="宋体" w:hAnsi="宋体" w:cs="宋体"/>
                    </w:rPr>
                  </w:pPr>
                  <w:r>
                    <w:rPr>
                      <w:rFonts w:hint="eastAsia" w:ascii="宋体" w:hAnsi="宋体" w:cs="宋体"/>
                    </w:rPr>
                    <w:t>环保</w:t>
                  </w:r>
                </w:p>
                <w:p>
                  <w:pPr>
                    <w:pStyle w:val="126"/>
                    <w:rPr>
                      <w:rFonts w:hint="eastAsia" w:ascii="宋体" w:hAnsi="宋体" w:cs="宋体"/>
                    </w:rPr>
                  </w:pPr>
                  <w:r>
                    <w:rPr>
                      <w:rFonts w:hint="eastAsia" w:ascii="宋体" w:hAnsi="宋体" w:cs="宋体"/>
                    </w:rPr>
                    <w:t>工程</w:t>
                  </w:r>
                </w:p>
              </w:tc>
              <w:tc>
                <w:tcPr>
                  <w:tcW w:w="851" w:type="dxa"/>
                  <w:vMerge w:val="restart"/>
                  <w:noWrap w:val="0"/>
                  <w:vAlign w:val="center"/>
                </w:tcPr>
                <w:p>
                  <w:pPr>
                    <w:pStyle w:val="126"/>
                    <w:rPr>
                      <w:rFonts w:hint="eastAsia" w:ascii="宋体" w:hAnsi="宋体" w:cs="宋体"/>
                    </w:rPr>
                  </w:pPr>
                  <w:r>
                    <w:rPr>
                      <w:rFonts w:hint="eastAsia" w:ascii="宋体" w:hAnsi="宋体" w:cs="宋体"/>
                    </w:rPr>
                    <w:t>废水</w:t>
                  </w:r>
                </w:p>
              </w:tc>
              <w:tc>
                <w:tcPr>
                  <w:tcW w:w="4494" w:type="dxa"/>
                  <w:noWrap w:val="0"/>
                  <w:vAlign w:val="center"/>
                </w:tcPr>
                <w:p>
                  <w:pPr>
                    <w:pStyle w:val="126"/>
                    <w:rPr>
                      <w:rFonts w:hint="eastAsia" w:ascii="宋体" w:hAnsi="宋体" w:cs="宋体"/>
                    </w:rPr>
                  </w:pPr>
                  <w:r>
                    <w:rPr>
                      <w:rFonts w:hint="eastAsia" w:ascii="宋体" w:hAnsi="宋体" w:cs="宋体"/>
                    </w:rPr>
                    <w:t>排泥水、污泥脱水废水：经厂内污水处理设施处理（浓缩+离心脱水）达标后设置污水管道接入土主镇污水管网进一步处理。由于项目设计未完成，本项目废水排口至碰管处的污水管网不在本次评价范围内。</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c>
                <w:tcPr>
                  <w:tcW w:w="4494" w:type="dxa"/>
                  <w:noWrap w:val="0"/>
                  <w:vAlign w:val="center"/>
                </w:tcPr>
                <w:p>
                  <w:pPr>
                    <w:pStyle w:val="126"/>
                    <w:rPr>
                      <w:rFonts w:hint="eastAsia" w:ascii="宋体" w:hAnsi="宋体" w:cs="宋体"/>
                    </w:rPr>
                  </w:pPr>
                  <w:r>
                    <w:rPr>
                      <w:rFonts w:hint="eastAsia" w:ascii="宋体" w:hAnsi="宋体" w:cs="宋体"/>
                    </w:rPr>
                    <w:t>生活污水：食堂废水先经隔油池处理后与其他生活污水一起进入化粪池处理后用作周边农田、林地农肥</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废气</w:t>
                  </w:r>
                </w:p>
              </w:tc>
              <w:tc>
                <w:tcPr>
                  <w:tcW w:w="4494" w:type="dxa"/>
                  <w:noWrap w:val="0"/>
                  <w:vAlign w:val="center"/>
                </w:tcPr>
                <w:p>
                  <w:pPr>
                    <w:pStyle w:val="126"/>
                    <w:jc w:val="left"/>
                    <w:rPr>
                      <w:rFonts w:hint="eastAsia" w:ascii="宋体" w:hAnsi="宋体" w:cs="宋体"/>
                    </w:rPr>
                  </w:pPr>
                  <w:r>
                    <w:rPr>
                      <w:rFonts w:hint="eastAsia" w:ascii="宋体" w:hAnsi="宋体" w:cs="宋体"/>
                    </w:rPr>
                    <w:t>食堂油烟：设置抽油烟机</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噪声</w:t>
                  </w:r>
                </w:p>
              </w:tc>
              <w:tc>
                <w:tcPr>
                  <w:tcW w:w="4494" w:type="dxa"/>
                  <w:noWrap w:val="0"/>
                  <w:vAlign w:val="center"/>
                </w:tcPr>
                <w:p>
                  <w:pPr>
                    <w:pStyle w:val="70"/>
                    <w:rPr>
                      <w:rFonts w:hAnsi="宋体"/>
                    </w:rPr>
                  </w:pPr>
                  <w:r>
                    <w:rPr>
                      <w:rFonts w:hint="eastAsia"/>
                    </w:rPr>
                    <w:t>厂房隔声、</w:t>
                  </w:r>
                  <w:r>
                    <w:t>基础减震、合理布局</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vMerge w:val="restart"/>
                  <w:noWrap w:val="0"/>
                  <w:vAlign w:val="center"/>
                </w:tcPr>
                <w:p>
                  <w:pPr>
                    <w:pStyle w:val="126"/>
                    <w:rPr>
                      <w:rFonts w:hint="eastAsia" w:ascii="宋体" w:hAnsi="宋体" w:cs="宋体"/>
                    </w:rPr>
                  </w:pPr>
                  <w:r>
                    <w:rPr>
                      <w:rFonts w:hint="eastAsia" w:ascii="宋体" w:hAnsi="宋体" w:cs="宋体"/>
                    </w:rPr>
                    <w:t>固废</w:t>
                  </w:r>
                </w:p>
              </w:tc>
              <w:tc>
                <w:tcPr>
                  <w:tcW w:w="4494" w:type="dxa"/>
                  <w:noWrap w:val="0"/>
                  <w:vAlign w:val="center"/>
                </w:tcPr>
                <w:p>
                  <w:pPr>
                    <w:pStyle w:val="126"/>
                    <w:rPr>
                      <w:rFonts w:hint="eastAsia" w:ascii="宋体" w:hAnsi="宋体" w:cs="宋体"/>
                    </w:rPr>
                  </w:pPr>
                  <w:r>
                    <w:rPr>
                      <w:rFonts w:hint="eastAsia" w:ascii="宋体" w:hAnsi="宋体" w:cs="宋体"/>
                    </w:rPr>
                    <w:t>泥饼：收集后送垃圾填埋场填埋处理</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892" w:type="dxa"/>
                  <w:vMerge w:val="continue"/>
                  <w:noWrap w:val="0"/>
                  <w:vAlign w:val="center"/>
                </w:tcPr>
                <w:p>
                  <w:pPr>
                    <w:pStyle w:val="126"/>
                    <w:rPr>
                      <w:rFonts w:hint="eastAsia" w:ascii="宋体" w:hAnsi="宋体" w:cs="宋体"/>
                    </w:rPr>
                  </w:pPr>
                </w:p>
              </w:tc>
              <w:tc>
                <w:tcPr>
                  <w:tcW w:w="851" w:type="dxa"/>
                  <w:vMerge w:val="continue"/>
                  <w:noWrap w:val="0"/>
                  <w:vAlign w:val="center"/>
                </w:tcPr>
                <w:p>
                  <w:pPr>
                    <w:pStyle w:val="126"/>
                    <w:rPr>
                      <w:rFonts w:hint="eastAsia" w:ascii="宋体" w:hAnsi="宋体" w:cs="宋体"/>
                    </w:rPr>
                  </w:pPr>
                </w:p>
              </w:tc>
              <w:tc>
                <w:tcPr>
                  <w:tcW w:w="4494" w:type="dxa"/>
                  <w:noWrap w:val="0"/>
                  <w:vAlign w:val="center"/>
                </w:tcPr>
                <w:p>
                  <w:pPr>
                    <w:pStyle w:val="126"/>
                    <w:rPr>
                      <w:rFonts w:hint="eastAsia" w:ascii="宋体" w:hAnsi="宋体" w:cs="宋体"/>
                    </w:rPr>
                  </w:pPr>
                  <w:r>
                    <w:rPr>
                      <w:rFonts w:hint="eastAsia" w:ascii="宋体" w:hAnsi="宋体" w:cs="宋体"/>
                    </w:rPr>
                    <w:t>生活垃圾：交由环卫部门统一收集处理</w:t>
                  </w:r>
                </w:p>
              </w:tc>
              <w:tc>
                <w:tcPr>
                  <w:tcW w:w="948" w:type="dxa"/>
                  <w:vMerge w:val="continue"/>
                  <w:noWrap w:val="0"/>
                  <w:vAlign w:val="top"/>
                </w:tcPr>
                <w:p>
                  <w:pPr>
                    <w:pStyle w:val="126"/>
                    <w:rPr>
                      <w:rFonts w:hint="eastAsia" w:ascii="宋体" w:hAnsi="宋体" w:cs="宋体"/>
                    </w:rPr>
                  </w:pPr>
                </w:p>
              </w:tc>
              <w:tc>
                <w:tcPr>
                  <w:tcW w:w="851" w:type="dxa"/>
                  <w:noWrap w:val="0"/>
                  <w:vAlign w:val="center"/>
                </w:tcPr>
                <w:p>
                  <w:pPr>
                    <w:pStyle w:val="126"/>
                    <w:rPr>
                      <w:rFonts w:hint="eastAsia" w:ascii="宋体" w:hAnsi="宋体" w:cs="宋体"/>
                    </w:rPr>
                  </w:pPr>
                  <w:r>
                    <w:rPr>
                      <w:rFonts w:hint="eastAsia" w:ascii="宋体" w:hAnsi="宋体" w:cs="宋体"/>
                    </w:rPr>
                    <w:t>/</w:t>
                  </w:r>
                </w:p>
              </w:tc>
            </w:tr>
          </w:tbl>
          <w:p>
            <w:pPr>
              <w:pStyle w:val="183"/>
              <w:ind w:firstLine="482"/>
              <w:rPr>
                <w:b/>
              </w:rPr>
            </w:pPr>
            <w:r>
              <w:rPr>
                <w:rFonts w:hint="eastAsia"/>
                <w:b/>
              </w:rPr>
              <w:t>本项目详细建设内容如下：</w:t>
            </w:r>
          </w:p>
          <w:p>
            <w:pPr>
              <w:adjustRightInd w:val="0"/>
              <w:snapToGrid w:val="0"/>
              <w:spacing w:line="360" w:lineRule="auto"/>
              <w:ind w:firstLine="482" w:firstLineChars="200"/>
              <w:rPr>
                <w:b/>
                <w:bCs/>
                <w:sz w:val="24"/>
              </w:rPr>
            </w:pPr>
            <w:r>
              <w:rPr>
                <w:rFonts w:hint="eastAsia"/>
                <w:b/>
                <w:bCs/>
                <w:sz w:val="24"/>
              </w:rPr>
              <w:t>（1）取水工程</w:t>
            </w:r>
          </w:p>
          <w:p>
            <w:pPr>
              <w:pStyle w:val="7"/>
              <w:ind w:firstLine="480"/>
              <w:rPr>
                <w:rFonts w:ascii="宋体" w:hAnsi="宋体" w:cs="宋体"/>
              </w:rPr>
            </w:pPr>
            <w:r>
              <w:rPr>
                <w:rFonts w:hint="eastAsia"/>
              </w:rPr>
              <w:t>洪水标准：根据设计资料，本项目</w:t>
            </w:r>
            <w:r>
              <w:rPr>
                <w:rFonts w:hint="eastAsia" w:ascii="宋体" w:hAnsi="宋体" w:cs="宋体"/>
              </w:rPr>
              <w:t>泵站设计洪水标准为20年一遇，校核洪水标准为100年一遇；供水管道设计洪水标准为10年，校核洪水标准为20年。</w:t>
            </w:r>
          </w:p>
          <w:p>
            <w:pPr>
              <w:pStyle w:val="7"/>
              <w:ind w:firstLine="480"/>
              <w:rPr>
                <w:rFonts w:hint="eastAsia"/>
              </w:rPr>
            </w:pPr>
            <w:r>
              <w:rPr>
                <w:rFonts w:hint="eastAsia" w:ascii="宋体" w:hAnsi="宋体" w:cs="宋体"/>
              </w:rPr>
              <w:t>使用年限：根据设计资料，泵站、管道合理使用年限为30年。</w:t>
            </w:r>
          </w:p>
          <w:p>
            <w:pPr>
              <w:pStyle w:val="7"/>
              <w:ind w:firstLine="480"/>
              <w:rPr>
                <w:rFonts w:ascii="宋体" w:hAnsi="宋体" w:cs="宋体"/>
              </w:rPr>
            </w:pPr>
            <w:r>
              <w:rPr>
                <w:rFonts w:hint="eastAsia"/>
              </w:rPr>
              <w:t>根据《乐山市市中区关子门堰王沟集中式饮用水水源保护区划分技术报告》（送审稿），乐山市市中区关子门堰王沟（东经103°48′36.43″北纬29°42′31.17″），采用吸水管+集水井取水方式，</w:t>
            </w:r>
            <w:r>
              <w:rPr>
                <w:rFonts w:hint="eastAsia" w:ascii="宋体" w:hAnsi="宋体" w:cs="宋体"/>
              </w:rPr>
              <w:t>取水泵房井径13.0m，取水泵房高度为13m。井壁采用C30钢筋砼，厚0.8m，基础采用厚0.8m，盖板为C30钢筋砼，厚0.3m。取水泵房采用集水井式泵房，建筑面积为50.24m2，采用C30钢筋砼框架结构，屋顶厚0.2m，圈梁尺寸为0.24×0.2m，行车梁尺寸为0.25×0.4m，窗子尺寸为C1015，门的尺寸为M1020，集水井采用C30砼排架与路面相接。取水泵房配置集水池，集水池尺寸（长×宽×高）5.0×3.0×5.5m，采用C30钢筋砼结构，集水池壁厚50cm，集水池底板高程为325.50m，顶部高程为331.50m，在集水池长边侧设置三个进水口，进水口尺寸（长×宽×高）0.5×0.5×0.5m。</w:t>
            </w:r>
          </w:p>
          <w:p>
            <w:pPr>
              <w:adjustRightInd w:val="0"/>
              <w:snapToGrid w:val="0"/>
              <w:spacing w:line="360" w:lineRule="auto"/>
              <w:ind w:firstLine="480" w:firstLineChars="200"/>
              <w:rPr>
                <w:sz w:val="24"/>
              </w:rPr>
            </w:pPr>
            <w:r>
              <w:rPr>
                <w:rFonts w:hint="eastAsia"/>
                <w:sz w:val="24"/>
              </w:rPr>
              <w:t>新建取水泵站一座及配套设施，设计最大流量1</w:t>
            </w:r>
            <w:r>
              <w:rPr>
                <w:sz w:val="24"/>
              </w:rPr>
              <w:t>.5m</w:t>
            </w:r>
            <w:r>
              <w:rPr>
                <w:sz w:val="24"/>
                <w:vertAlign w:val="superscript"/>
              </w:rPr>
              <w:t>3</w:t>
            </w:r>
            <w:r>
              <w:rPr>
                <w:sz w:val="24"/>
              </w:rPr>
              <w:t>/s</w:t>
            </w:r>
            <w:r>
              <w:rPr>
                <w:rFonts w:hint="eastAsia"/>
                <w:sz w:val="24"/>
              </w:rPr>
              <w:t>。</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主要工程量见下表：</w:t>
            </w:r>
          </w:p>
          <w:p>
            <w:pPr>
              <w:adjustRightInd w:val="0"/>
              <w:snapToGrid w:val="0"/>
              <w:spacing w:line="360" w:lineRule="auto"/>
              <w:jc w:val="center"/>
              <w:rPr>
                <w:rFonts w:hint="eastAsia"/>
                <w:b/>
                <w:bCs/>
                <w:sz w:val="24"/>
              </w:rPr>
            </w:pPr>
            <w:r>
              <w:rPr>
                <w:rFonts w:hint="eastAsia"/>
                <w:b/>
                <w:bCs/>
                <w:sz w:val="24"/>
              </w:rPr>
              <w:t>表2</w:t>
            </w:r>
            <w:r>
              <w:rPr>
                <w:b/>
                <w:bCs/>
                <w:sz w:val="24"/>
              </w:rPr>
              <w:t xml:space="preserve">-3 </w:t>
            </w:r>
            <w:r>
              <w:rPr>
                <w:rFonts w:hint="eastAsia"/>
                <w:b/>
                <w:bCs/>
                <w:sz w:val="24"/>
              </w:rPr>
              <w:t>取水工程主要工程量</w:t>
            </w:r>
          </w:p>
          <w:tbl>
            <w:tblPr>
              <w:tblStyle w:val="39"/>
              <w:tblW w:w="79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3685"/>
              <w:gridCol w:w="1278"/>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编号</w:t>
                  </w:r>
                </w:p>
              </w:tc>
              <w:tc>
                <w:tcPr>
                  <w:tcW w:w="3685" w:type="dxa"/>
                  <w:noWrap w:val="0"/>
                  <w:vAlign w:val="center"/>
                </w:tcPr>
                <w:p>
                  <w:pPr>
                    <w:pStyle w:val="73"/>
                  </w:pPr>
                  <w:r>
                    <w:rPr>
                      <w:rFonts w:hint="eastAsia"/>
                    </w:rPr>
                    <w:t>工程或费用名称</w:t>
                  </w:r>
                </w:p>
              </w:tc>
              <w:tc>
                <w:tcPr>
                  <w:tcW w:w="1278" w:type="dxa"/>
                  <w:noWrap w:val="0"/>
                  <w:vAlign w:val="center"/>
                </w:tcPr>
                <w:p>
                  <w:pPr>
                    <w:pStyle w:val="73"/>
                  </w:pPr>
                  <w:r>
                    <w:rPr>
                      <w:rFonts w:hint="eastAsia"/>
                    </w:rPr>
                    <w:t>单位</w:t>
                  </w:r>
                </w:p>
              </w:tc>
              <w:tc>
                <w:tcPr>
                  <w:tcW w:w="1983" w:type="dxa"/>
                  <w:noWrap w:val="0"/>
                  <w:vAlign w:val="center"/>
                </w:tcPr>
                <w:p>
                  <w:pPr>
                    <w:pStyle w:val="73"/>
                  </w:pPr>
                  <w:r>
                    <w:rPr>
                      <w:rFonts w:hint="eastAsia"/>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rPr>
                      <w:rFonts w:hint="eastAsia"/>
                    </w:rPr>
                  </w:pPr>
                </w:p>
              </w:tc>
              <w:tc>
                <w:tcPr>
                  <w:tcW w:w="3685" w:type="dxa"/>
                  <w:noWrap w:val="0"/>
                  <w:vAlign w:val="center"/>
                </w:tcPr>
                <w:p>
                  <w:pPr>
                    <w:pStyle w:val="73"/>
                    <w:rPr>
                      <w:rFonts w:hint="eastAsia"/>
                    </w:rPr>
                  </w:pPr>
                  <w:r>
                    <w:rPr>
                      <w:rFonts w:hint="eastAsia"/>
                    </w:rPr>
                    <w:t>第一部分 建筑工程</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一</w:t>
                  </w:r>
                </w:p>
              </w:tc>
              <w:tc>
                <w:tcPr>
                  <w:tcW w:w="3685" w:type="dxa"/>
                  <w:noWrap w:val="0"/>
                  <w:vAlign w:val="center"/>
                </w:tcPr>
                <w:p>
                  <w:pPr>
                    <w:pStyle w:val="73"/>
                  </w:pPr>
                  <w:r>
                    <w:rPr>
                      <w:rFonts w:hint="eastAsia"/>
                    </w:rPr>
                    <w:t>取水工程</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&lt;一&gt;</w:t>
                  </w:r>
                </w:p>
              </w:tc>
              <w:tc>
                <w:tcPr>
                  <w:tcW w:w="3685" w:type="dxa"/>
                  <w:noWrap w:val="0"/>
                  <w:vAlign w:val="center"/>
                </w:tcPr>
                <w:p>
                  <w:pPr>
                    <w:pStyle w:val="73"/>
                  </w:pPr>
                  <w:r>
                    <w:rPr>
                      <w:rFonts w:hint="eastAsia"/>
                    </w:rPr>
                    <w:t>集水井</w:t>
                  </w:r>
                </w:p>
              </w:tc>
              <w:tc>
                <w:tcPr>
                  <w:tcW w:w="1278" w:type="dxa"/>
                  <w:noWrap w:val="0"/>
                  <w:vAlign w:val="center"/>
                </w:tcPr>
                <w:p>
                  <w:pPr>
                    <w:pStyle w:val="73"/>
                  </w:pPr>
                  <w:r>
                    <w:rPr>
                      <w:rFonts w:hint="eastAsia"/>
                    </w:rPr>
                    <w:t>座</w:t>
                  </w:r>
                </w:p>
              </w:tc>
              <w:tc>
                <w:tcPr>
                  <w:tcW w:w="1983" w:type="dxa"/>
                  <w:noWrap w:val="0"/>
                  <w:vAlign w:val="center"/>
                </w:tcPr>
                <w:p>
                  <w:pPr>
                    <w:pStyle w:val="73"/>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土方开挖</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3652.43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石方开挖</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2434.95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土方回填</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3348.06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C30钢筋砼现浇井壁</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571.98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C30钢筋砼现浇底座</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249.55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C30砼现浇基座</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55.26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C30砼现浇泵房墙壁</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96.31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C30钢筋砼楼板（工作间）</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164.96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C30钢筋砼井顶</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58.29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C30钢筋砼工作桥</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13.20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C30砼现浇工作桥桥墩</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49.50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钢筋制安(含固定预埋筋)</w:t>
                  </w:r>
                </w:p>
              </w:tc>
              <w:tc>
                <w:tcPr>
                  <w:tcW w:w="1278" w:type="dxa"/>
                  <w:noWrap w:val="0"/>
                  <w:vAlign w:val="center"/>
                </w:tcPr>
                <w:p>
                  <w:pPr>
                    <w:pStyle w:val="73"/>
                  </w:pPr>
                  <w:r>
                    <w:rPr>
                      <w:rFonts w:hint="eastAsia"/>
                    </w:rPr>
                    <w:t>t</w:t>
                  </w:r>
                </w:p>
              </w:tc>
              <w:tc>
                <w:tcPr>
                  <w:tcW w:w="1983" w:type="dxa"/>
                  <w:noWrap w:val="0"/>
                  <w:vAlign w:val="center"/>
                </w:tcPr>
                <w:p>
                  <w:pPr>
                    <w:pStyle w:val="73"/>
                  </w:pPr>
                  <w:r>
                    <w:rPr>
                      <w:rFonts w:hint="eastAsia"/>
                    </w:rPr>
                    <w:t>223.1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钢桁架</w:t>
                  </w:r>
                </w:p>
              </w:tc>
              <w:tc>
                <w:tcPr>
                  <w:tcW w:w="1278" w:type="dxa"/>
                  <w:noWrap w:val="0"/>
                  <w:vAlign w:val="center"/>
                </w:tcPr>
                <w:p>
                  <w:pPr>
                    <w:pStyle w:val="73"/>
                  </w:pPr>
                  <w:r>
                    <w:rPr>
                      <w:rFonts w:hint="eastAsia"/>
                    </w:rPr>
                    <w:t>座</w:t>
                  </w:r>
                </w:p>
              </w:tc>
              <w:tc>
                <w:tcPr>
                  <w:tcW w:w="1983" w:type="dxa"/>
                  <w:noWrap w:val="0"/>
                  <w:vAlign w:val="center"/>
                </w:tcPr>
                <w:p>
                  <w:pPr>
                    <w:pStyle w:val="73"/>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爬梯</w:t>
                  </w:r>
                </w:p>
              </w:tc>
              <w:tc>
                <w:tcPr>
                  <w:tcW w:w="1278" w:type="dxa"/>
                  <w:noWrap w:val="0"/>
                  <w:vAlign w:val="center"/>
                </w:tcPr>
                <w:p>
                  <w:pPr>
                    <w:pStyle w:val="73"/>
                  </w:pPr>
                  <w:r>
                    <w:rPr>
                      <w:rFonts w:hint="eastAsia"/>
                    </w:rPr>
                    <w:t>个</w:t>
                  </w:r>
                </w:p>
              </w:tc>
              <w:tc>
                <w:tcPr>
                  <w:tcW w:w="1983" w:type="dxa"/>
                  <w:noWrap w:val="0"/>
                  <w:vAlign w:val="center"/>
                </w:tcPr>
                <w:p>
                  <w:pPr>
                    <w:pStyle w:val="73"/>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曲面钢模板</w:t>
                  </w:r>
                </w:p>
              </w:tc>
              <w:tc>
                <w:tcPr>
                  <w:tcW w:w="1278" w:type="dxa"/>
                  <w:noWrap w:val="0"/>
                  <w:vAlign w:val="center"/>
                </w:tcPr>
                <w:p>
                  <w:pPr>
                    <w:pStyle w:val="73"/>
                  </w:pPr>
                  <w:r>
                    <w:rPr>
                      <w:rFonts w:hint="eastAsia"/>
                    </w:rPr>
                    <w:t>m2</w:t>
                  </w:r>
                </w:p>
              </w:tc>
              <w:tc>
                <w:tcPr>
                  <w:tcW w:w="1983" w:type="dxa"/>
                  <w:noWrap w:val="0"/>
                  <w:vAlign w:val="center"/>
                </w:tcPr>
                <w:p>
                  <w:pPr>
                    <w:pStyle w:val="73"/>
                  </w:pPr>
                  <w:r>
                    <w:rPr>
                      <w:rFonts w:hint="eastAsia"/>
                    </w:rPr>
                    <w:t>1432.37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标准钢模板</w:t>
                  </w:r>
                </w:p>
              </w:tc>
              <w:tc>
                <w:tcPr>
                  <w:tcW w:w="1278" w:type="dxa"/>
                  <w:noWrap w:val="0"/>
                  <w:vAlign w:val="center"/>
                </w:tcPr>
                <w:p>
                  <w:pPr>
                    <w:pStyle w:val="73"/>
                  </w:pPr>
                  <w:r>
                    <w:rPr>
                      <w:rFonts w:hint="eastAsia"/>
                    </w:rPr>
                    <w:t>m2</w:t>
                  </w:r>
                </w:p>
              </w:tc>
              <w:tc>
                <w:tcPr>
                  <w:tcW w:w="1983" w:type="dxa"/>
                  <w:noWrap w:val="0"/>
                  <w:vAlign w:val="center"/>
                </w:tcPr>
                <w:p>
                  <w:pPr>
                    <w:pStyle w:val="73"/>
                  </w:pPr>
                  <w:r>
                    <w:rPr>
                      <w:rFonts w:hint="eastAsia"/>
                    </w:rPr>
                    <w:t>654.65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M7.5浆砌石挡墙</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1180.94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&lt;二&gt;</w:t>
                  </w:r>
                </w:p>
              </w:tc>
              <w:tc>
                <w:tcPr>
                  <w:tcW w:w="3685" w:type="dxa"/>
                  <w:noWrap w:val="0"/>
                  <w:vAlign w:val="center"/>
                </w:tcPr>
                <w:p>
                  <w:pPr>
                    <w:pStyle w:val="73"/>
                  </w:pPr>
                  <w:r>
                    <w:rPr>
                      <w:rFonts w:hint="eastAsia"/>
                    </w:rPr>
                    <w:t>集水池（6.0m*4.0m*5.0m）</w:t>
                  </w:r>
                </w:p>
              </w:tc>
              <w:tc>
                <w:tcPr>
                  <w:tcW w:w="1278" w:type="dxa"/>
                  <w:noWrap w:val="0"/>
                  <w:vAlign w:val="center"/>
                </w:tcPr>
                <w:p>
                  <w:pPr>
                    <w:pStyle w:val="73"/>
                  </w:pPr>
                  <w:r>
                    <w:rPr>
                      <w:rFonts w:hint="eastAsia"/>
                    </w:rPr>
                    <w:t>口</w:t>
                  </w:r>
                </w:p>
              </w:tc>
              <w:tc>
                <w:tcPr>
                  <w:tcW w:w="1983" w:type="dxa"/>
                  <w:noWrap w:val="0"/>
                  <w:vAlign w:val="center"/>
                </w:tcPr>
                <w:p>
                  <w:pPr>
                    <w:pStyle w:val="73"/>
                  </w:pPr>
                  <w:r>
                    <w:rPr>
                      <w:rFonts w:hint="eastAsia"/>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土方开挖</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252.00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石方开挖</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50.40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砂砾石回填</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126.00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C30钢筋砼现浇（井壁、井底及顶板）</w:t>
                  </w:r>
                </w:p>
              </w:tc>
              <w:tc>
                <w:tcPr>
                  <w:tcW w:w="1278" w:type="dxa"/>
                  <w:noWrap w:val="0"/>
                  <w:vAlign w:val="center"/>
                </w:tcPr>
                <w:p>
                  <w:pPr>
                    <w:pStyle w:val="73"/>
                  </w:pPr>
                  <w:r>
                    <w:rPr>
                      <w:rFonts w:hint="eastAsia"/>
                    </w:rPr>
                    <w:t>m³</w:t>
                  </w:r>
                </w:p>
              </w:tc>
              <w:tc>
                <w:tcPr>
                  <w:tcW w:w="1983" w:type="dxa"/>
                  <w:noWrap w:val="0"/>
                  <w:vAlign w:val="center"/>
                </w:tcPr>
                <w:p>
                  <w:pPr>
                    <w:pStyle w:val="73"/>
                  </w:pPr>
                  <w:r>
                    <w:rPr>
                      <w:rFonts w:hint="eastAsia"/>
                    </w:rPr>
                    <w:t>170.50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钢筋制安(含固定预埋筋)</w:t>
                  </w:r>
                </w:p>
              </w:tc>
              <w:tc>
                <w:tcPr>
                  <w:tcW w:w="1278" w:type="dxa"/>
                  <w:noWrap w:val="0"/>
                  <w:vAlign w:val="center"/>
                </w:tcPr>
                <w:p>
                  <w:pPr>
                    <w:pStyle w:val="73"/>
                  </w:pPr>
                  <w:r>
                    <w:rPr>
                      <w:rFonts w:hint="eastAsia"/>
                    </w:rPr>
                    <w:t>t</w:t>
                  </w:r>
                </w:p>
              </w:tc>
              <w:tc>
                <w:tcPr>
                  <w:tcW w:w="1983" w:type="dxa"/>
                  <w:noWrap w:val="0"/>
                  <w:vAlign w:val="center"/>
                </w:tcPr>
                <w:p>
                  <w:pPr>
                    <w:pStyle w:val="73"/>
                  </w:pPr>
                  <w:r>
                    <w:rPr>
                      <w:rFonts w:hint="eastAsia"/>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标准钢模板</w:t>
                  </w:r>
                </w:p>
              </w:tc>
              <w:tc>
                <w:tcPr>
                  <w:tcW w:w="1278" w:type="dxa"/>
                  <w:noWrap w:val="0"/>
                  <w:vAlign w:val="center"/>
                </w:tcPr>
                <w:p>
                  <w:pPr>
                    <w:pStyle w:val="73"/>
                  </w:pPr>
                  <w:r>
                    <w:rPr>
                      <w:rFonts w:hint="eastAsia"/>
                    </w:rPr>
                    <w:t>m2</w:t>
                  </w:r>
                </w:p>
              </w:tc>
              <w:tc>
                <w:tcPr>
                  <w:tcW w:w="1983" w:type="dxa"/>
                  <w:noWrap w:val="0"/>
                  <w:vAlign w:val="center"/>
                </w:tcPr>
                <w:p>
                  <w:pPr>
                    <w:pStyle w:val="73"/>
                  </w:pPr>
                  <w:r>
                    <w:rPr>
                      <w:rFonts w:hint="eastAsia"/>
                    </w:rPr>
                    <w:t>252.00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&lt;三&gt;</w:t>
                  </w:r>
                </w:p>
              </w:tc>
              <w:tc>
                <w:tcPr>
                  <w:tcW w:w="3685" w:type="dxa"/>
                  <w:noWrap w:val="0"/>
                  <w:vAlign w:val="center"/>
                </w:tcPr>
                <w:p>
                  <w:pPr>
                    <w:pStyle w:val="73"/>
                  </w:pPr>
                  <w:r>
                    <w:rPr>
                      <w:rFonts w:hint="eastAsia"/>
                    </w:rPr>
                    <w:t>取水工程附属设施</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配电间</w:t>
                  </w:r>
                </w:p>
              </w:tc>
              <w:tc>
                <w:tcPr>
                  <w:tcW w:w="1278" w:type="dxa"/>
                  <w:noWrap w:val="0"/>
                  <w:vAlign w:val="center"/>
                </w:tcPr>
                <w:p>
                  <w:pPr>
                    <w:pStyle w:val="73"/>
                  </w:pPr>
                  <w:r>
                    <w:rPr>
                      <w:rFonts w:hint="eastAsia"/>
                    </w:rPr>
                    <w:t>m2</w:t>
                  </w:r>
                </w:p>
              </w:tc>
              <w:tc>
                <w:tcPr>
                  <w:tcW w:w="1983" w:type="dxa"/>
                  <w:noWrap w:val="0"/>
                  <w:vAlign w:val="center"/>
                </w:tcPr>
                <w:p>
                  <w:pPr>
                    <w:pStyle w:val="73"/>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提水泵站管理房</w:t>
                  </w:r>
                </w:p>
              </w:tc>
              <w:tc>
                <w:tcPr>
                  <w:tcW w:w="1278" w:type="dxa"/>
                  <w:noWrap w:val="0"/>
                  <w:vAlign w:val="center"/>
                </w:tcPr>
                <w:p>
                  <w:pPr>
                    <w:pStyle w:val="73"/>
                  </w:pPr>
                  <w:r>
                    <w:rPr>
                      <w:rFonts w:hint="eastAsia"/>
                    </w:rPr>
                    <w:t>m2</w:t>
                  </w:r>
                </w:p>
              </w:tc>
              <w:tc>
                <w:tcPr>
                  <w:tcW w:w="1983" w:type="dxa"/>
                  <w:noWrap w:val="0"/>
                  <w:vAlign w:val="center"/>
                </w:tcPr>
                <w:p>
                  <w:pPr>
                    <w:pStyle w:val="73"/>
                  </w:pPr>
                  <w:r>
                    <w:rPr>
                      <w:rFonts w:hint="eastAsia"/>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水源保护碑</w:t>
                  </w:r>
                </w:p>
              </w:tc>
              <w:tc>
                <w:tcPr>
                  <w:tcW w:w="1278" w:type="dxa"/>
                  <w:noWrap w:val="0"/>
                  <w:vAlign w:val="center"/>
                </w:tcPr>
                <w:p>
                  <w:pPr>
                    <w:pStyle w:val="73"/>
                  </w:pPr>
                  <w:r>
                    <w:rPr>
                      <w:rFonts w:hint="eastAsia"/>
                    </w:rPr>
                    <w:t>座</w:t>
                  </w:r>
                </w:p>
              </w:tc>
              <w:tc>
                <w:tcPr>
                  <w:tcW w:w="1983" w:type="dxa"/>
                  <w:noWrap w:val="0"/>
                  <w:vAlign w:val="center"/>
                </w:tcPr>
                <w:p>
                  <w:pPr>
                    <w:pStyle w:val="73"/>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提水泵站道路（C30砼路面，宽度6m）</w:t>
                  </w:r>
                </w:p>
              </w:tc>
              <w:tc>
                <w:tcPr>
                  <w:tcW w:w="1278" w:type="dxa"/>
                  <w:noWrap w:val="0"/>
                  <w:vAlign w:val="center"/>
                </w:tcPr>
                <w:p>
                  <w:pPr>
                    <w:pStyle w:val="73"/>
                  </w:pPr>
                  <w:r>
                    <w:rPr>
                      <w:rFonts w:hint="eastAsia"/>
                    </w:rPr>
                    <w:t>km</w:t>
                  </w:r>
                </w:p>
              </w:tc>
              <w:tc>
                <w:tcPr>
                  <w:tcW w:w="1983" w:type="dxa"/>
                  <w:noWrap w:val="0"/>
                  <w:vAlign w:val="center"/>
                </w:tcPr>
                <w:p>
                  <w:pPr>
                    <w:pStyle w:val="73"/>
                  </w:pPr>
                  <w:r>
                    <w:rPr>
                      <w:rFonts w:hint="eastAsia"/>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rPr>
                      <w:rFonts w:hint="eastAsia"/>
                    </w:rPr>
                  </w:pPr>
                </w:p>
              </w:tc>
              <w:tc>
                <w:tcPr>
                  <w:tcW w:w="3685" w:type="dxa"/>
                  <w:noWrap w:val="0"/>
                  <w:vAlign w:val="center"/>
                </w:tcPr>
                <w:p>
                  <w:pPr>
                    <w:pStyle w:val="73"/>
                    <w:rPr>
                      <w:rFonts w:hint="eastAsia"/>
                    </w:rPr>
                  </w:pPr>
                  <w:r>
                    <w:rPr>
                      <w:rFonts w:hint="eastAsia"/>
                    </w:rPr>
                    <w:t>第二部分 机电设备及安装工程</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一</w:t>
                  </w:r>
                </w:p>
              </w:tc>
              <w:tc>
                <w:tcPr>
                  <w:tcW w:w="3685" w:type="dxa"/>
                  <w:noWrap w:val="0"/>
                  <w:vAlign w:val="center"/>
                </w:tcPr>
                <w:p>
                  <w:pPr>
                    <w:pStyle w:val="73"/>
                  </w:pPr>
                  <w:r>
                    <w:rPr>
                      <w:rFonts w:hint="eastAsia"/>
                    </w:rPr>
                    <w:t>取水工程</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&lt;一&gt;</w:t>
                  </w:r>
                </w:p>
              </w:tc>
              <w:tc>
                <w:tcPr>
                  <w:tcW w:w="3685" w:type="dxa"/>
                  <w:noWrap w:val="0"/>
                  <w:vAlign w:val="center"/>
                </w:tcPr>
                <w:p>
                  <w:pPr>
                    <w:pStyle w:val="73"/>
                  </w:pPr>
                  <w:r>
                    <w:rPr>
                      <w:rFonts w:hint="eastAsia"/>
                    </w:rPr>
                    <w:t>水泵及启动柜</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DS800-70×2型多级水泵</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高压电动机YB500M2-4-6KV</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6KV高压固态变频软启动柜(功率500kw)</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排污泵</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启动柜</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电磁流量计（DN1000）</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压力表</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&lt;二&gt;</w:t>
                  </w:r>
                </w:p>
              </w:tc>
              <w:tc>
                <w:tcPr>
                  <w:tcW w:w="3685" w:type="dxa"/>
                  <w:noWrap w:val="0"/>
                  <w:vAlign w:val="center"/>
                </w:tcPr>
                <w:p>
                  <w:pPr>
                    <w:pStyle w:val="73"/>
                  </w:pPr>
                  <w:r>
                    <w:rPr>
                      <w:rFonts w:hint="eastAsia"/>
                    </w:rPr>
                    <w:t>供电系统</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高压线路（LGT-35）(含电杆)</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高压进线电缆（YJLV22-8.7/15-3*70）</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跌落开关（RW10-50/10）</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高压霹雷器（HY5WS-17/50）</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箱式变压器（S11-1000/11）</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箱式变压器（S11-1250/11）</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高压配电柜（KYN28A-12（Z）(GZS1)）</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低压配电柜（GGD-2）</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高压进线电线（YJV（6/10KV）-8.7/15-3*70）</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低压电线</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柴油发电机（1200kw）</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配件</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&lt;三&gt;</w:t>
                  </w:r>
                </w:p>
              </w:tc>
              <w:tc>
                <w:tcPr>
                  <w:tcW w:w="3685" w:type="dxa"/>
                  <w:noWrap w:val="0"/>
                  <w:vAlign w:val="center"/>
                </w:tcPr>
                <w:p>
                  <w:pPr>
                    <w:pStyle w:val="73"/>
                  </w:pPr>
                  <w:r>
                    <w:rPr>
                      <w:rFonts w:hint="eastAsia"/>
                    </w:rPr>
                    <w:t>自动化控制系统</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取水控制站（1#PLC）</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变配电管理系统</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中央控制室</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软件及其他</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CCTV监控机</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rPr>
                      <w:rFonts w:hint="eastAsia"/>
                    </w:rPr>
                  </w:pPr>
                </w:p>
              </w:tc>
              <w:tc>
                <w:tcPr>
                  <w:tcW w:w="3685" w:type="dxa"/>
                  <w:noWrap w:val="0"/>
                  <w:vAlign w:val="center"/>
                </w:tcPr>
                <w:p>
                  <w:pPr>
                    <w:pStyle w:val="73"/>
                    <w:rPr>
                      <w:rFonts w:hint="eastAsia"/>
                    </w:rPr>
                  </w:pPr>
                  <w:r>
                    <w:rPr>
                      <w:rFonts w:hint="eastAsia"/>
                    </w:rPr>
                    <w:t>第三部分 金属结构设备及安装工程</w:t>
                  </w:r>
                </w:p>
              </w:tc>
              <w:tc>
                <w:tcPr>
                  <w:tcW w:w="1278" w:type="dxa"/>
                  <w:noWrap w:val="0"/>
                  <w:vAlign w:val="center"/>
                </w:tcPr>
                <w:p>
                  <w:pPr>
                    <w:pStyle w:val="73"/>
                    <w:rPr>
                      <w:rFonts w:hint="eastAsia"/>
                    </w:rPr>
                  </w:pPr>
                </w:p>
              </w:tc>
              <w:tc>
                <w:tcPr>
                  <w:tcW w:w="1983" w:type="dxa"/>
                  <w:noWrap w:val="0"/>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一</w:t>
                  </w:r>
                </w:p>
              </w:tc>
              <w:tc>
                <w:tcPr>
                  <w:tcW w:w="3685" w:type="dxa"/>
                  <w:noWrap w:val="0"/>
                  <w:vAlign w:val="center"/>
                </w:tcPr>
                <w:p>
                  <w:pPr>
                    <w:pStyle w:val="73"/>
                  </w:pPr>
                  <w:r>
                    <w:rPr>
                      <w:rFonts w:hint="eastAsia"/>
                    </w:rPr>
                    <w:t>取水工程</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&lt;一&gt;</w:t>
                  </w:r>
                </w:p>
              </w:tc>
              <w:tc>
                <w:tcPr>
                  <w:tcW w:w="3685" w:type="dxa"/>
                  <w:noWrap w:val="0"/>
                  <w:vAlign w:val="center"/>
                </w:tcPr>
                <w:p>
                  <w:pPr>
                    <w:pStyle w:val="73"/>
                  </w:pPr>
                  <w:r>
                    <w:rPr>
                      <w:rFonts w:hint="eastAsia"/>
                    </w:rPr>
                    <w:t>取水泵站</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LDT型电动单梁起重机（起吊重量：5.0T,1.5kw）</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DN300无缝钢管吸水管及上水管</w:t>
                  </w:r>
                </w:p>
              </w:tc>
              <w:tc>
                <w:tcPr>
                  <w:tcW w:w="1278" w:type="dxa"/>
                  <w:noWrap w:val="0"/>
                  <w:vAlign w:val="center"/>
                </w:tcPr>
                <w:p>
                  <w:pPr>
                    <w:pStyle w:val="73"/>
                  </w:pPr>
                  <w:r>
                    <w:rPr>
                      <w:rFonts w:hint="eastAsia"/>
                    </w:rPr>
                    <w:t>m</w:t>
                  </w:r>
                </w:p>
              </w:tc>
              <w:tc>
                <w:tcPr>
                  <w:tcW w:w="1983" w:type="dxa"/>
                  <w:noWrap w:val="0"/>
                  <w:vAlign w:val="center"/>
                </w:tcPr>
                <w:p>
                  <w:pPr>
                    <w:pStyle w:val="73"/>
                  </w:pPr>
                  <w:r>
                    <w:rPr>
                      <w:rFonts w:hint="eastAsia"/>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DN1000无缝钢管联通管</w:t>
                  </w:r>
                </w:p>
              </w:tc>
              <w:tc>
                <w:tcPr>
                  <w:tcW w:w="1278" w:type="dxa"/>
                  <w:noWrap w:val="0"/>
                  <w:vAlign w:val="center"/>
                </w:tcPr>
                <w:p>
                  <w:pPr>
                    <w:pStyle w:val="73"/>
                  </w:pPr>
                  <w:r>
                    <w:rPr>
                      <w:rFonts w:hint="eastAsia"/>
                    </w:rPr>
                    <w:t>m</w:t>
                  </w:r>
                </w:p>
              </w:tc>
              <w:tc>
                <w:tcPr>
                  <w:tcW w:w="1983" w:type="dxa"/>
                  <w:noWrap w:val="0"/>
                  <w:vAlign w:val="center"/>
                </w:tcPr>
                <w:p>
                  <w:pPr>
                    <w:pStyle w:val="73"/>
                  </w:pPr>
                  <w:r>
                    <w:rPr>
                      <w:rFonts w:hint="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DN50无缝钢管排水管</w:t>
                  </w:r>
                </w:p>
              </w:tc>
              <w:tc>
                <w:tcPr>
                  <w:tcW w:w="1278" w:type="dxa"/>
                  <w:noWrap w:val="0"/>
                  <w:vAlign w:val="center"/>
                </w:tcPr>
                <w:p>
                  <w:pPr>
                    <w:pStyle w:val="73"/>
                  </w:pPr>
                  <w:r>
                    <w:rPr>
                      <w:rFonts w:hint="eastAsia"/>
                    </w:rPr>
                    <w:t>m</w:t>
                  </w:r>
                </w:p>
              </w:tc>
              <w:tc>
                <w:tcPr>
                  <w:tcW w:w="1983" w:type="dxa"/>
                  <w:noWrap w:val="0"/>
                  <w:vAlign w:val="center"/>
                </w:tcPr>
                <w:p>
                  <w:pPr>
                    <w:pStyle w:val="73"/>
                  </w:pPr>
                  <w:r>
                    <w:rPr>
                      <w:rFonts w:hint="eastAsia"/>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管道配件</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&lt;二&gt;</w:t>
                  </w:r>
                </w:p>
              </w:tc>
              <w:tc>
                <w:tcPr>
                  <w:tcW w:w="3685" w:type="dxa"/>
                  <w:noWrap w:val="0"/>
                  <w:vAlign w:val="center"/>
                </w:tcPr>
                <w:p>
                  <w:pPr>
                    <w:pStyle w:val="73"/>
                  </w:pPr>
                  <w:r>
                    <w:rPr>
                      <w:rFonts w:hint="eastAsia"/>
                    </w:rPr>
                    <w:t>附属设施</w:t>
                  </w:r>
                </w:p>
              </w:tc>
              <w:tc>
                <w:tcPr>
                  <w:tcW w:w="1278" w:type="dxa"/>
                  <w:noWrap w:val="0"/>
                  <w:vAlign w:val="center"/>
                </w:tcPr>
                <w:p>
                  <w:pPr>
                    <w:pStyle w:val="73"/>
                  </w:pPr>
                  <w:r>
                    <w:rPr>
                      <w:rFonts w:hint="eastAsia"/>
                    </w:rPr>
                    <w:t>　</w:t>
                  </w:r>
                </w:p>
              </w:tc>
              <w:tc>
                <w:tcPr>
                  <w:tcW w:w="1983" w:type="dxa"/>
                  <w:noWrap w:val="0"/>
                  <w:vAlign w:val="center"/>
                </w:tcPr>
                <w:p>
                  <w:pPr>
                    <w:pStyle w:val="73"/>
                  </w:pPr>
                  <w:r>
                    <w:rPr>
                      <w:rFonts w:hint="eastAsia"/>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闸阀DN300（Z41H-1.6C）</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止回阀DN300（HH41X-1.6）</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止回阀DN1000（HH41X-1.6）</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喇叭口式取水头部</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6" w:type="dxa"/>
                  <w:noWrap w:val="0"/>
                  <w:vAlign w:val="center"/>
                </w:tcPr>
                <w:p>
                  <w:pPr>
                    <w:pStyle w:val="73"/>
                  </w:pPr>
                  <w:r>
                    <w:rPr>
                      <w:rFonts w:hint="eastAsia"/>
                    </w:rPr>
                    <w:t>　</w:t>
                  </w:r>
                </w:p>
              </w:tc>
              <w:tc>
                <w:tcPr>
                  <w:tcW w:w="3685" w:type="dxa"/>
                  <w:noWrap w:val="0"/>
                  <w:vAlign w:val="center"/>
                </w:tcPr>
                <w:p>
                  <w:pPr>
                    <w:pStyle w:val="73"/>
                  </w:pPr>
                  <w:r>
                    <w:rPr>
                      <w:rFonts w:hint="eastAsia"/>
                    </w:rPr>
                    <w:t>ZXWCS水质检测仪（检测指标：温度、电导、溶解氧、酸碱度、浊度、水深、污泥浓度）</w:t>
                  </w:r>
                </w:p>
              </w:tc>
              <w:tc>
                <w:tcPr>
                  <w:tcW w:w="1278" w:type="dxa"/>
                  <w:noWrap w:val="0"/>
                  <w:vAlign w:val="center"/>
                </w:tcPr>
                <w:p>
                  <w:pPr>
                    <w:pStyle w:val="73"/>
                  </w:pPr>
                  <w:r>
                    <w:rPr>
                      <w:rFonts w:hint="eastAsia"/>
                    </w:rPr>
                    <w:t>套</w:t>
                  </w:r>
                </w:p>
              </w:tc>
              <w:tc>
                <w:tcPr>
                  <w:tcW w:w="1983" w:type="dxa"/>
                  <w:noWrap w:val="0"/>
                  <w:vAlign w:val="center"/>
                </w:tcPr>
                <w:p>
                  <w:pPr>
                    <w:pStyle w:val="73"/>
                  </w:pPr>
                  <w:r>
                    <w:rPr>
                      <w:rFonts w:hint="eastAsia"/>
                    </w:rPr>
                    <w:t>1</w:t>
                  </w:r>
                </w:p>
              </w:tc>
            </w:tr>
          </w:tbl>
          <w:p>
            <w:pPr>
              <w:adjustRightInd w:val="0"/>
              <w:snapToGrid w:val="0"/>
              <w:spacing w:line="360" w:lineRule="auto"/>
              <w:ind w:firstLine="480" w:firstLineChars="200"/>
              <w:rPr>
                <w:rFonts w:hint="eastAsia"/>
                <w:sz w:val="24"/>
              </w:rPr>
            </w:pPr>
          </w:p>
          <w:p>
            <w:pPr>
              <w:adjustRightInd w:val="0"/>
              <w:snapToGrid w:val="0"/>
              <w:spacing w:line="360" w:lineRule="auto"/>
              <w:ind w:firstLine="482" w:firstLineChars="200"/>
              <w:rPr>
                <w:b/>
                <w:bCs/>
                <w:sz w:val="24"/>
              </w:rPr>
            </w:pPr>
            <w:r>
              <w:rPr>
                <w:rFonts w:hint="eastAsia"/>
                <w:b/>
                <w:bCs/>
                <w:sz w:val="24"/>
              </w:rPr>
              <w:t>（2）原水管线</w:t>
            </w:r>
          </w:p>
          <w:p>
            <w:pPr>
              <w:adjustRightInd w:val="0"/>
              <w:snapToGrid w:val="0"/>
              <w:spacing w:line="360" w:lineRule="auto"/>
              <w:ind w:firstLine="480" w:firstLineChars="200"/>
              <w:rPr>
                <w:rFonts w:hint="eastAsia"/>
                <w:sz w:val="24"/>
              </w:rPr>
            </w:pPr>
            <w:r>
              <w:rPr>
                <w:rFonts w:hint="eastAsia"/>
                <w:sz w:val="24"/>
              </w:rPr>
              <w:t>本项目净水厂采用双管线供水，因此原水管线包括原水主管以及备用事故管。</w:t>
            </w:r>
          </w:p>
          <w:p>
            <w:pPr>
              <w:adjustRightInd w:val="0"/>
              <w:snapToGrid w:val="0"/>
              <w:spacing w:line="360" w:lineRule="auto"/>
              <w:ind w:firstLine="480"/>
              <w:rPr>
                <w:sz w:val="24"/>
              </w:rPr>
            </w:pPr>
            <w:r>
              <w:rPr>
                <w:rFonts w:hint="eastAsia" w:ascii="宋体" w:hAnsi="宋体"/>
                <w:sz w:val="24"/>
              </w:rPr>
              <w:t>①</w:t>
            </w:r>
            <w:r>
              <w:rPr>
                <w:rFonts w:hint="eastAsia"/>
                <w:sz w:val="24"/>
              </w:rPr>
              <w:t>原水主管</w:t>
            </w:r>
          </w:p>
          <w:p>
            <w:pPr>
              <w:adjustRightInd w:val="0"/>
              <w:snapToGrid w:val="0"/>
              <w:spacing w:line="360" w:lineRule="auto"/>
              <w:ind w:firstLine="480" w:firstLineChars="200"/>
              <w:rPr>
                <w:rFonts w:hint="eastAsia"/>
                <w:b/>
                <w:bCs/>
                <w:sz w:val="24"/>
              </w:rPr>
            </w:pPr>
            <w:r>
              <w:rPr>
                <w:rFonts w:hint="eastAsia" w:ascii="宋体" w:hAnsi="宋体" w:cs="宋体"/>
                <w:sz w:val="24"/>
              </w:rPr>
              <w:t>原水主管（CK0+000～CK6+984.04）：设计引水流量0.4m³/s，引水管采用DN550涂塑无缝钢管翻越陈坳儿山，沿村道经联合村、见风垭山坳、龙头寺、东月膀进入水厂配水井，管长6984.04m，出水控制高程464.00m，水厂清水池水位464.60m。</w:t>
            </w:r>
            <w:r>
              <w:rPr>
                <w:rFonts w:hint="eastAsia"/>
                <w:sz w:val="24"/>
              </w:rPr>
              <w:t>配套阀门、镇墩、支墩等附属设施。管道采用地埋方式，管顶埋深不小于1</w:t>
            </w:r>
            <w:r>
              <w:rPr>
                <w:sz w:val="24"/>
              </w:rPr>
              <w:t>.0m</w:t>
            </w:r>
            <w:r>
              <w:rPr>
                <w:rFonts w:hint="eastAsia"/>
                <w:sz w:val="24"/>
              </w:rPr>
              <w:t>。</w:t>
            </w:r>
          </w:p>
          <w:p>
            <w:pPr>
              <w:adjustRightInd w:val="0"/>
              <w:snapToGrid w:val="0"/>
              <w:spacing w:line="360" w:lineRule="auto"/>
              <w:ind w:firstLine="480" w:firstLineChars="200"/>
              <w:rPr>
                <w:sz w:val="24"/>
              </w:rPr>
            </w:pPr>
            <w:r>
              <w:rPr>
                <w:rFonts w:hint="eastAsia" w:ascii="宋体" w:hAnsi="宋体"/>
                <w:sz w:val="24"/>
              </w:rPr>
              <w:t>②</w:t>
            </w:r>
            <w:r>
              <w:rPr>
                <w:rFonts w:hint="eastAsia"/>
                <w:sz w:val="24"/>
              </w:rPr>
              <w:t>事故备用管</w:t>
            </w:r>
          </w:p>
          <w:p>
            <w:pPr>
              <w:adjustRightInd w:val="0"/>
              <w:snapToGrid w:val="0"/>
              <w:spacing w:line="360" w:lineRule="auto"/>
              <w:ind w:firstLine="480" w:firstLineChars="200"/>
              <w:rPr>
                <w:sz w:val="24"/>
              </w:rPr>
            </w:pPr>
            <w:r>
              <w:rPr>
                <w:rFonts w:hint="eastAsia"/>
                <w:sz w:val="24"/>
              </w:rPr>
              <w:t>本项目事故备用管包括两段，从泵站至联合村火地铺段以及从联合村火地铺至净水厂段。</w:t>
            </w:r>
          </w:p>
          <w:p>
            <w:pPr>
              <w:adjustRightInd w:val="0"/>
              <w:snapToGrid w:val="0"/>
              <w:spacing w:line="360" w:lineRule="auto"/>
              <w:ind w:firstLine="480" w:firstLineChars="200"/>
              <w:rPr>
                <w:rFonts w:ascii="宋体" w:hAnsi="宋体" w:cs="宋体"/>
              </w:rPr>
            </w:pPr>
            <w:r>
              <w:rPr>
                <w:rFonts w:hint="eastAsia"/>
                <w:sz w:val="24"/>
              </w:rPr>
              <w:t>从泵站至联合村火地铺段</w:t>
            </w:r>
            <w:r>
              <w:rPr>
                <w:rFonts w:hint="eastAsia" w:ascii="宋体" w:hAnsi="宋体" w:cs="宋体"/>
                <w:sz w:val="24"/>
              </w:rPr>
              <w:t>（AK0+000～AK</w:t>
            </w:r>
            <w:r>
              <w:rPr>
                <w:rFonts w:ascii="宋体" w:hAnsi="宋体" w:cs="宋体"/>
                <w:sz w:val="24"/>
              </w:rPr>
              <w:t>2+150.84</w:t>
            </w:r>
            <w:r>
              <w:rPr>
                <w:rFonts w:hint="eastAsia" w:ascii="宋体" w:hAnsi="宋体" w:cs="宋体"/>
                <w:sz w:val="24"/>
              </w:rPr>
              <w:t>）：设计输水流量1.10m³/s，采用DN900涂塑钢管翻越陈坳儿山，沿联合村村道布置，在AK</w:t>
            </w:r>
            <w:r>
              <w:rPr>
                <w:rFonts w:ascii="宋体" w:hAnsi="宋体" w:cs="宋体"/>
                <w:sz w:val="24"/>
              </w:rPr>
              <w:t>2+150.84</w:t>
            </w:r>
            <w:r>
              <w:rPr>
                <w:rFonts w:hint="eastAsia" w:ascii="宋体" w:hAnsi="宋体" w:cs="宋体"/>
                <w:sz w:val="24"/>
              </w:rPr>
              <w:t>设置DN550连通管10m与供水主管及备用事故管连接，待连通工程建设完成后，该段管道主要用作两健生产生态供水。</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从联合村火地铺至净水厂段（YK0+000～YK4+832.86）：设计引水流量0.4m³/s，引水管采用DN550涂塑无缝钢管沿村道布置，经火地铺、见风垭山坳、龙头寺、东月膀进入水厂配水井，管长4832.86m，出水控制高程464.00m，水厂清水池水位464.60m。</w:t>
            </w:r>
          </w:p>
          <w:p>
            <w:pPr>
              <w:pStyle w:val="7"/>
              <w:ind w:firstLine="480"/>
            </w:pPr>
            <w:bookmarkStart w:id="2" w:name="_Toc197079499"/>
            <w:r>
              <w:rPr>
                <w:rFonts w:hint="eastAsia"/>
              </w:rPr>
              <w:t>A、控制阀门</w:t>
            </w:r>
            <w:bookmarkEnd w:id="2"/>
          </w:p>
          <w:p>
            <w:pPr>
              <w:pStyle w:val="7"/>
              <w:ind w:firstLine="480"/>
            </w:pPr>
            <w:r>
              <w:rPr>
                <w:rFonts w:hint="eastAsia"/>
              </w:rPr>
              <w:t>①功能：在输水管道上设立阀门的目的，是为了控制水的流向，调节水的流量；同时可在管道上出现故障时，立即关闭有关阀门，使出现故障的管段断流以便进行检修。</w:t>
            </w:r>
          </w:p>
          <w:p>
            <w:pPr>
              <w:pStyle w:val="7"/>
              <w:numPr>
                <w:ilvl w:val="0"/>
                <w:numId w:val="5"/>
              </w:numPr>
              <w:ind w:left="0" w:firstLine="480"/>
              <w:jc w:val="both"/>
            </w:pPr>
            <w:r>
              <w:rPr>
                <w:rFonts w:hint="eastAsia"/>
              </w:rPr>
              <w:t>布置原则:每隔1～1.5km设1个控制蝶阀，分水节点及预留放水口分别设1个控制蝶阀。</w:t>
            </w:r>
          </w:p>
          <w:p>
            <w:pPr>
              <w:pStyle w:val="7"/>
              <w:ind w:firstLine="480"/>
            </w:pPr>
            <w:r>
              <w:rPr>
                <w:rFonts w:hint="eastAsia"/>
              </w:rPr>
              <w:t>③阀门型号:选用手动蝶阀，充分运用蝶阀体积小、重量轻、启闭快、设置深度较浅的特点。</w:t>
            </w:r>
          </w:p>
          <w:p>
            <w:pPr>
              <w:pStyle w:val="7"/>
              <w:ind w:firstLine="480"/>
            </w:pPr>
            <w:bookmarkStart w:id="3" w:name="_Toc197079500"/>
            <w:r>
              <w:rPr>
                <w:rFonts w:hint="eastAsia"/>
              </w:rPr>
              <w:t>B、排</w:t>
            </w:r>
            <w:r>
              <w:t>气阀</w:t>
            </w:r>
            <w:bookmarkEnd w:id="3"/>
          </w:p>
          <w:p>
            <w:pPr>
              <w:pStyle w:val="7"/>
              <w:ind w:firstLine="480"/>
            </w:pPr>
            <w:r>
              <w:rPr>
                <w:rFonts w:hint="eastAsia"/>
              </w:rPr>
              <w:t>①</w:t>
            </w:r>
            <w:r>
              <w:t>功能</w:t>
            </w:r>
            <w:r>
              <w:rPr>
                <w:rFonts w:hint="eastAsia"/>
              </w:rPr>
              <w:t>：冲水期间排出空气，防止通水不畅或空气受压，引起水锤，破坏管道；正常运行时排出空气，避免形成气团妨碍通水；管道排放期间进气（正常排放或维护排放）防止管道出现负压。</w:t>
            </w:r>
          </w:p>
          <w:p>
            <w:pPr>
              <w:pStyle w:val="7"/>
              <w:ind w:firstLine="480"/>
            </w:pPr>
            <w:r>
              <w:rPr>
                <w:rFonts w:hint="eastAsia"/>
              </w:rPr>
              <w:t>②</w:t>
            </w:r>
            <w:r>
              <w:t>布设原则</w:t>
            </w:r>
            <w:r>
              <w:rPr>
                <w:rFonts w:hint="eastAsia"/>
              </w:rPr>
              <w:t>：在输水管沿线管道隆起处，设1个DN100复合式排气阀（型号CARX-0100）与DN100控制蝶阀（型号FBCX-0100）。</w:t>
            </w:r>
          </w:p>
          <w:p>
            <w:pPr>
              <w:pStyle w:val="7"/>
              <w:ind w:firstLine="480"/>
            </w:pPr>
            <w:bookmarkStart w:id="4" w:name="_Toc197079501"/>
            <w:r>
              <w:rPr>
                <w:rFonts w:hint="eastAsia"/>
              </w:rPr>
              <w:t>C、泄水</w:t>
            </w:r>
            <w:r>
              <w:t>阀</w:t>
            </w:r>
            <w:bookmarkEnd w:id="4"/>
          </w:p>
          <w:p>
            <w:pPr>
              <w:pStyle w:val="7"/>
              <w:ind w:firstLine="480"/>
            </w:pPr>
            <w:r>
              <w:rPr>
                <w:rFonts w:hint="eastAsia"/>
              </w:rPr>
              <w:t>①功能：在管道上设置泄水的目的：一方面在冲洗管道时，能把管内沉淀杂物、泥砂冲刷排净；另一方面在管道检修时，能把管内存水放空。</w:t>
            </w:r>
          </w:p>
          <w:p>
            <w:pPr>
              <w:pStyle w:val="7"/>
              <w:ind w:firstLine="480"/>
            </w:pPr>
            <w:r>
              <w:rPr>
                <w:rFonts w:hint="eastAsia"/>
              </w:rPr>
              <w:t>②布置原则：泄水阀设置在每个检修管段的最低点，泄水阀采用DN250软密封闸阀，型号为SZ45X-16。</w:t>
            </w:r>
          </w:p>
          <w:p>
            <w:pPr>
              <w:pStyle w:val="7"/>
              <w:ind w:firstLine="480"/>
            </w:pPr>
            <w:bookmarkStart w:id="5" w:name="_Toc197079504"/>
            <w:r>
              <w:rPr>
                <w:rFonts w:hint="eastAsia"/>
              </w:rPr>
              <w:t>D、</w:t>
            </w:r>
            <w:r>
              <w:t>阀</w:t>
            </w:r>
            <w:r>
              <w:rPr>
                <w:rFonts w:hint="eastAsia"/>
              </w:rPr>
              <w:t>门</w:t>
            </w:r>
            <w:r>
              <w:t>井设计要点</w:t>
            </w:r>
            <w:bookmarkEnd w:id="5"/>
          </w:p>
          <w:p>
            <w:pPr>
              <w:pStyle w:val="7"/>
              <w:ind w:firstLine="480"/>
            </w:pPr>
            <w:r>
              <w:rPr>
                <w:rFonts w:hint="eastAsia"/>
              </w:rPr>
              <w:t>在管线沿线各闸阀节点设置阀门井，阀井均高出地表0.5m左右，以防止地表水侵入。</w:t>
            </w:r>
          </w:p>
          <w:p>
            <w:pPr>
              <w:pStyle w:val="7"/>
              <w:ind w:firstLine="480"/>
            </w:pPr>
            <w:r>
              <w:rPr>
                <w:rFonts w:hint="eastAsia"/>
              </w:rPr>
              <w:t>E、水表</w:t>
            </w:r>
          </w:p>
          <w:p>
            <w:pPr>
              <w:pStyle w:val="7"/>
              <w:ind w:firstLine="480"/>
            </w:pPr>
            <w:r>
              <w:rPr>
                <w:rFonts w:hint="eastAsia"/>
              </w:rPr>
              <w:t>设计在各管道分水节点及管道预留放水口设置计量水表1座。</w:t>
            </w:r>
          </w:p>
          <w:p>
            <w:pPr>
              <w:pStyle w:val="7"/>
              <w:ind w:firstLine="480"/>
            </w:pPr>
            <w:r>
              <w:rPr>
                <w:rFonts w:hint="eastAsia"/>
              </w:rPr>
              <w:t>F、镇墩</w:t>
            </w:r>
          </w:p>
          <w:p>
            <w:pPr>
              <w:pStyle w:val="7"/>
              <w:ind w:firstLine="480"/>
            </w:pPr>
            <w:r>
              <w:rPr>
                <w:rFonts w:hint="eastAsia"/>
              </w:rPr>
              <w:t>根据《管道输水工程灌溉技术规范》（GBT20203-2017），管道须在以下位置设置镇墩：</w:t>
            </w:r>
          </w:p>
          <w:p>
            <w:pPr>
              <w:pStyle w:val="7"/>
              <w:ind w:firstLine="480"/>
            </w:pPr>
            <w:r>
              <w:rPr>
                <w:rFonts w:hint="eastAsia"/>
              </w:rPr>
              <w:t>①管内压力水头≥6m，且管轴线转角≥15°；</w:t>
            </w:r>
          </w:p>
          <w:p>
            <w:pPr>
              <w:pStyle w:val="7"/>
              <w:ind w:firstLine="480"/>
            </w:pPr>
            <w:r>
              <w:rPr>
                <w:rFonts w:hint="eastAsia"/>
              </w:rPr>
              <w:t>②管内压力水头≥3m，且管轴线转角≥30°；</w:t>
            </w:r>
          </w:p>
          <w:p>
            <w:pPr>
              <w:pStyle w:val="7"/>
              <w:ind w:firstLine="480"/>
            </w:pPr>
            <w:r>
              <w:rPr>
                <w:rFonts w:hint="eastAsia"/>
              </w:rPr>
              <w:t>③管轴线转角≥45°；</w:t>
            </w:r>
          </w:p>
          <w:p>
            <w:pPr>
              <w:pStyle w:val="7"/>
              <w:ind w:firstLine="480"/>
            </w:pPr>
            <w:r>
              <w:rPr>
                <w:rFonts w:hint="eastAsia"/>
              </w:rPr>
              <w:t>④管道末端、弯头、出水口等重要管件连接处；</w:t>
            </w:r>
          </w:p>
          <w:p>
            <w:pPr>
              <w:pStyle w:val="7"/>
              <w:ind w:firstLine="480"/>
            </w:pPr>
            <w:r>
              <w:rPr>
                <w:rFonts w:hint="eastAsia"/>
              </w:rPr>
              <w:t>⑤管道长度超过100m。</w:t>
            </w:r>
          </w:p>
          <w:p>
            <w:pPr>
              <w:pStyle w:val="7"/>
              <w:ind w:firstLine="480"/>
            </w:pPr>
            <w:r>
              <w:rPr>
                <w:rFonts w:hint="eastAsia"/>
              </w:rPr>
              <w:t>本工程共计设置C20镇墩405座，镇墩尺寸详见图纸，镇墩埋深不小于70cm。</w:t>
            </w:r>
          </w:p>
          <w:p>
            <w:pPr>
              <w:pStyle w:val="7"/>
              <w:ind w:firstLine="480"/>
            </w:pPr>
            <w:r>
              <w:rPr>
                <w:rFonts w:hint="eastAsia"/>
              </w:rPr>
              <w:t>G、支墩</w:t>
            </w:r>
          </w:p>
          <w:p>
            <w:pPr>
              <w:pStyle w:val="7"/>
              <w:ind w:firstLine="480"/>
            </w:pPr>
            <w:r>
              <w:rPr>
                <w:rFonts w:hint="eastAsia"/>
              </w:rPr>
              <w:t>管道跨越鱼塘、沟渠等管道间隔6-10m设置C20砼支墩，支墩（管顶）覆土厚度不小于700mm。支墩采用柔性接口给水管道支墩标准图集《</w:t>
            </w:r>
            <w:r>
              <w:t>10S505</w:t>
            </w:r>
            <w:r>
              <w:rPr>
                <w:rFonts w:hint="eastAsia"/>
              </w:rPr>
              <w:t>》中对应支墩尺寸。</w:t>
            </w:r>
          </w:p>
          <w:p>
            <w:pPr>
              <w:pStyle w:val="7"/>
              <w:ind w:firstLine="480"/>
            </w:pPr>
            <w:bookmarkStart w:id="6" w:name="_Toc340452976"/>
            <w:bookmarkStart w:id="7" w:name="_Toc363806941"/>
            <w:bookmarkStart w:id="8" w:name="_Toc359589030"/>
            <w:r>
              <w:t>H</w:t>
            </w:r>
            <w:r>
              <w:rPr>
                <w:rFonts w:hint="eastAsia"/>
              </w:rPr>
              <w:t>、管道标识和标志桩</w:t>
            </w:r>
            <w:bookmarkEnd w:id="6"/>
            <w:bookmarkEnd w:id="7"/>
            <w:bookmarkEnd w:id="8"/>
          </w:p>
          <w:p>
            <w:pPr>
              <w:pStyle w:val="7"/>
              <w:ind w:firstLine="480"/>
            </w:pPr>
            <w:r>
              <w:rPr>
                <w:rFonts w:hint="eastAsia"/>
              </w:rPr>
              <w:t>为避免管道的误认，应将企业名称、敷设年代、行业类别等标识标注在管道上方的标志物上。</w:t>
            </w:r>
          </w:p>
          <w:p>
            <w:pPr>
              <w:pStyle w:val="7"/>
              <w:ind w:firstLine="480"/>
            </w:pPr>
            <w:r>
              <w:rPr>
                <w:rFonts w:hint="eastAsia"/>
              </w:rPr>
              <w:t>本设计在管线折点和管线穿越河流的的上、下游两岸均应设置</w:t>
            </w:r>
            <w:r>
              <w:t>明显的</w:t>
            </w:r>
            <w:r>
              <w:rPr>
                <w:rFonts w:hint="eastAsia"/>
              </w:rPr>
              <w:t>永久性钢筋混凝土标志桩。</w:t>
            </w:r>
          </w:p>
          <w:p>
            <w:pPr>
              <w:adjustRightInd w:val="0"/>
              <w:snapToGrid w:val="0"/>
              <w:spacing w:line="360" w:lineRule="auto"/>
              <w:ind w:firstLine="480" w:firstLineChars="200"/>
              <w:rPr>
                <w:sz w:val="24"/>
              </w:rPr>
            </w:pPr>
            <w:r>
              <w:rPr>
                <w:rFonts w:hint="eastAsia" w:ascii="宋体" w:hAnsi="宋体"/>
                <w:sz w:val="24"/>
              </w:rPr>
              <w:t>②</w:t>
            </w:r>
            <w:r>
              <w:rPr>
                <w:rFonts w:hint="eastAsia"/>
                <w:sz w:val="24"/>
              </w:rPr>
              <w:t>D</w:t>
            </w:r>
            <w:r>
              <w:rPr>
                <w:sz w:val="24"/>
              </w:rPr>
              <w:t>N600</w:t>
            </w:r>
            <w:r>
              <w:rPr>
                <w:rFonts w:hint="eastAsia"/>
                <w:sz w:val="24"/>
              </w:rPr>
              <w:t>输水管线</w:t>
            </w:r>
          </w:p>
          <w:p>
            <w:pPr>
              <w:adjustRightInd w:val="0"/>
              <w:snapToGrid w:val="0"/>
              <w:spacing w:line="360" w:lineRule="auto"/>
              <w:ind w:firstLine="480" w:firstLineChars="200"/>
              <w:rPr>
                <w:sz w:val="24"/>
              </w:rPr>
            </w:pPr>
            <w:r>
              <w:rPr>
                <w:rFonts w:hint="eastAsia"/>
                <w:sz w:val="24"/>
              </w:rPr>
              <w:t>项目在引水主干管</w:t>
            </w:r>
            <w:r>
              <w:rPr>
                <w:sz w:val="24"/>
              </w:rPr>
              <w:t>GK1+800.67</w:t>
            </w:r>
            <w:r>
              <w:rPr>
                <w:rFonts w:hint="eastAsia"/>
                <w:sz w:val="24"/>
              </w:rPr>
              <w:t>处设置分水闸阀，引水管（CK0+000～CK4+285.96）采用DN600涂塑无缝钢管沿村道布置，经联合村、见风垭山坳、龙头寺、东月膀进入剑锋镇桂花村新建的净水厂配水井，设计流量0</w:t>
            </w:r>
            <w:r>
              <w:rPr>
                <w:sz w:val="24"/>
              </w:rPr>
              <w:t>.4m</w:t>
            </w:r>
            <w:r>
              <w:rPr>
                <w:sz w:val="24"/>
                <w:vertAlign w:val="superscript"/>
              </w:rPr>
              <w:t>3</w:t>
            </w:r>
            <w:r>
              <w:rPr>
                <w:sz w:val="24"/>
              </w:rPr>
              <w:t>/s</w:t>
            </w:r>
            <w:r>
              <w:rPr>
                <w:rFonts w:hint="eastAsia"/>
                <w:sz w:val="24"/>
              </w:rPr>
              <w:t>。配套阀门等附属设施。</w:t>
            </w:r>
          </w:p>
          <w:p>
            <w:pPr>
              <w:adjustRightInd w:val="0"/>
              <w:snapToGrid w:val="0"/>
              <w:spacing w:line="360" w:lineRule="auto"/>
              <w:ind w:firstLine="482" w:firstLineChars="200"/>
              <w:rPr>
                <w:b/>
                <w:bCs/>
                <w:sz w:val="24"/>
              </w:rPr>
            </w:pPr>
            <w:r>
              <w:rPr>
                <w:rFonts w:hint="eastAsia"/>
                <w:b/>
                <w:bCs/>
                <w:sz w:val="24"/>
              </w:rPr>
              <w:t>（</w:t>
            </w:r>
            <w:r>
              <w:rPr>
                <w:b/>
                <w:bCs/>
                <w:sz w:val="24"/>
              </w:rPr>
              <w:t>3</w:t>
            </w:r>
            <w:r>
              <w:rPr>
                <w:rFonts w:hint="eastAsia"/>
                <w:b/>
                <w:bCs/>
                <w:sz w:val="24"/>
              </w:rPr>
              <w:t>）净水厂工程</w:t>
            </w:r>
          </w:p>
          <w:p>
            <w:pPr>
              <w:adjustRightInd w:val="0"/>
              <w:snapToGrid w:val="0"/>
              <w:spacing w:line="360" w:lineRule="auto"/>
              <w:ind w:firstLine="480" w:firstLineChars="200"/>
              <w:rPr>
                <w:rFonts w:hint="eastAsia"/>
                <w:sz w:val="24"/>
              </w:rPr>
            </w:pPr>
            <w:r>
              <w:rPr>
                <w:rFonts w:hint="eastAsia"/>
                <w:sz w:val="24"/>
              </w:rPr>
              <w:t>在剑锋镇桂花村长冲岺山顶新建净水厂，供水能力为3</w:t>
            </w:r>
            <w:r>
              <w:rPr>
                <w:sz w:val="24"/>
              </w:rPr>
              <w:t>.0</w:t>
            </w:r>
            <w:r>
              <w:rPr>
                <w:rFonts w:hint="eastAsia"/>
                <w:sz w:val="24"/>
              </w:rPr>
              <w:t>万m</w:t>
            </w:r>
            <w:r>
              <w:rPr>
                <w:sz w:val="24"/>
                <w:vertAlign w:val="superscript"/>
              </w:rPr>
              <w:t>3</w:t>
            </w:r>
            <w:r>
              <w:rPr>
                <w:sz w:val="24"/>
              </w:rPr>
              <w:t>/d</w:t>
            </w:r>
            <w:r>
              <w:rPr>
                <w:rFonts w:hint="eastAsia"/>
                <w:sz w:val="24"/>
              </w:rPr>
              <w:t>，采用絮凝沉淀+气水反冲洗工艺。净水厂主要建构筑物设计如下：</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①分配井</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设计参数：设计流量：</w:t>
            </w:r>
            <w:r>
              <w:rPr>
                <w:rFonts w:ascii="宋体" w:hAnsi="宋体" w:cs="System"/>
                <w:color w:val="000000"/>
                <w:kern w:val="0"/>
                <w:sz w:val="24"/>
              </w:rPr>
              <w:t>Q</w:t>
            </w:r>
            <w:r>
              <w:rPr>
                <w:rFonts w:hint="eastAsia" w:ascii="宋体" w:hAnsi="宋体" w:cs="System"/>
                <w:color w:val="000000"/>
                <w:kern w:val="0"/>
                <w:sz w:val="24"/>
              </w:rPr>
              <w:t>＝</w:t>
            </w:r>
            <w:r>
              <w:rPr>
                <w:rFonts w:ascii="宋体" w:hAnsi="宋体" w:cs="System"/>
                <w:color w:val="000000"/>
                <w:kern w:val="0"/>
                <w:sz w:val="24"/>
              </w:rPr>
              <w:t>1375m|/h;</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构筑物：</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分配井</w:t>
            </w:r>
            <w:r>
              <w:rPr>
                <w:rFonts w:ascii="宋体" w:hAnsi="宋体" w:cs="System"/>
                <w:color w:val="000000"/>
                <w:kern w:val="0"/>
                <w:sz w:val="24"/>
              </w:rPr>
              <w:t>1</w:t>
            </w:r>
            <w:r>
              <w:rPr>
                <w:rFonts w:hint="eastAsia" w:ascii="宋体" w:hAnsi="宋体" w:cs="System"/>
                <w:color w:val="000000"/>
                <w:kern w:val="0"/>
                <w:sz w:val="24"/>
              </w:rPr>
              <w:t>座；组合尺寸：</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5.3</w:t>
            </w:r>
            <w:r>
              <w:rPr>
                <w:rFonts w:hint="eastAsia" w:ascii="宋体" w:hAnsi="宋体" w:cs="System"/>
                <w:color w:val="000000"/>
                <w:kern w:val="0"/>
                <w:sz w:val="24"/>
              </w:rPr>
              <w:t>×</w:t>
            </w:r>
            <w:r>
              <w:rPr>
                <w:rFonts w:ascii="宋体" w:hAnsi="宋体" w:cs="System"/>
                <w:color w:val="000000"/>
                <w:kern w:val="0"/>
                <w:sz w:val="24"/>
              </w:rPr>
              <w:t>4.2</w:t>
            </w:r>
            <w:r>
              <w:rPr>
                <w:rFonts w:hint="eastAsia" w:ascii="宋体" w:hAnsi="宋体" w:cs="System"/>
                <w:color w:val="000000"/>
                <w:kern w:val="0"/>
                <w:sz w:val="24"/>
              </w:rPr>
              <w:t>×</w:t>
            </w:r>
            <w:r>
              <w:rPr>
                <w:rFonts w:ascii="宋体" w:hAnsi="宋体" w:cs="System"/>
                <w:color w:val="000000"/>
                <w:kern w:val="0"/>
                <w:sz w:val="24"/>
              </w:rPr>
              <w:t>1.8m</w:t>
            </w:r>
            <w:r>
              <w:rPr>
                <w:rFonts w:hint="eastAsia" w:ascii="宋体" w:hAnsi="宋体" w:cs="System"/>
                <w:color w:val="000000"/>
                <w:kern w:val="0"/>
                <w:sz w:val="24"/>
              </w:rPr>
              <w:t>；</w:t>
            </w:r>
          </w:p>
          <w:p>
            <w:pPr>
              <w:autoSpaceDE w:val="0"/>
              <w:autoSpaceDN w:val="0"/>
              <w:adjustRightInd w:val="0"/>
              <w:snapToGrid w:val="0"/>
              <w:spacing w:line="360" w:lineRule="auto"/>
              <w:ind w:firstLine="482" w:firstLineChars="200"/>
              <w:jc w:val="left"/>
              <w:rPr>
                <w:rFonts w:ascii="宋体" w:hAnsi="宋体" w:cs="System"/>
                <w:color w:val="000000"/>
                <w:kern w:val="0"/>
                <w:sz w:val="24"/>
              </w:rPr>
            </w:pPr>
            <w:r>
              <w:rPr>
                <w:rFonts w:hint="eastAsia" w:ascii="宋体" w:hAnsi="宋体" w:cs="System"/>
                <w:b/>
                <w:bCs/>
                <w:color w:val="000000"/>
                <w:kern w:val="0"/>
                <w:sz w:val="24"/>
              </w:rPr>
              <w:t>②</w:t>
            </w:r>
            <w:r>
              <w:rPr>
                <w:rFonts w:hint="eastAsia" w:ascii="宋体" w:hAnsi="宋体" w:cs="System"/>
                <w:color w:val="000000"/>
                <w:kern w:val="0"/>
                <w:sz w:val="24"/>
              </w:rPr>
              <w:t>混合反应斜管沉淀池</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设计参数：设计流量：</w:t>
            </w:r>
            <w:r>
              <w:rPr>
                <w:rFonts w:ascii="宋体" w:hAnsi="宋体" w:cs="System"/>
                <w:color w:val="000000"/>
                <w:kern w:val="0"/>
                <w:sz w:val="24"/>
              </w:rPr>
              <w:t>Q</w:t>
            </w:r>
            <w:r>
              <w:rPr>
                <w:rFonts w:hint="eastAsia" w:ascii="宋体" w:hAnsi="宋体" w:cs="System"/>
                <w:color w:val="000000"/>
                <w:kern w:val="0"/>
                <w:sz w:val="24"/>
              </w:rPr>
              <w:t>＝</w:t>
            </w:r>
            <w:r>
              <w:rPr>
                <w:rFonts w:ascii="宋体" w:hAnsi="宋体" w:cs="System"/>
                <w:color w:val="000000"/>
                <w:kern w:val="0"/>
                <w:sz w:val="24"/>
              </w:rPr>
              <w:t>688m3/h;</w:t>
            </w:r>
            <w:r>
              <w:rPr>
                <w:rFonts w:hint="eastAsia" w:ascii="宋体" w:hAnsi="宋体" w:cs="System"/>
                <w:color w:val="000000"/>
                <w:kern w:val="0"/>
                <w:sz w:val="24"/>
              </w:rPr>
              <w:t>斜管上升流速：</w:t>
            </w:r>
            <w:r>
              <w:rPr>
                <w:rFonts w:ascii="宋体" w:hAnsi="宋体" w:cs="System"/>
                <w:color w:val="000000"/>
                <w:kern w:val="0"/>
                <w:sz w:val="24"/>
              </w:rPr>
              <w:t>V</w:t>
            </w:r>
            <w:r>
              <w:rPr>
                <w:rFonts w:hint="eastAsia" w:ascii="宋体" w:hAnsi="宋体" w:cs="System"/>
                <w:color w:val="000000"/>
                <w:kern w:val="0"/>
                <w:sz w:val="24"/>
              </w:rPr>
              <w:t>＝</w:t>
            </w:r>
            <w:r>
              <w:rPr>
                <w:rFonts w:ascii="宋体" w:hAnsi="宋体" w:cs="System"/>
                <w:color w:val="000000"/>
                <w:kern w:val="0"/>
                <w:sz w:val="24"/>
              </w:rPr>
              <w:t>2.0mm/s</w:t>
            </w:r>
            <w:r>
              <w:rPr>
                <w:rFonts w:hint="eastAsia" w:ascii="宋体" w:hAnsi="宋体" w:cs="System"/>
                <w:color w:val="000000"/>
                <w:kern w:val="0"/>
                <w:sz w:val="24"/>
              </w:rPr>
              <w:t>；孔室反应时间：</w:t>
            </w:r>
            <w:r>
              <w:rPr>
                <w:rFonts w:ascii="宋体" w:hAnsi="宋体" w:cs="System"/>
                <w:color w:val="000000"/>
                <w:kern w:val="0"/>
                <w:sz w:val="24"/>
              </w:rPr>
              <w:t>t</w:t>
            </w:r>
            <w:r>
              <w:rPr>
                <w:rFonts w:hint="eastAsia" w:ascii="宋体" w:hAnsi="宋体" w:cs="System"/>
                <w:color w:val="000000"/>
                <w:kern w:val="0"/>
                <w:sz w:val="24"/>
              </w:rPr>
              <w:t>＝</w:t>
            </w:r>
            <w:r>
              <w:rPr>
                <w:rFonts w:ascii="宋体" w:hAnsi="宋体" w:cs="System"/>
                <w:color w:val="000000"/>
                <w:kern w:val="0"/>
                <w:sz w:val="24"/>
              </w:rPr>
              <w:t>25min</w:t>
            </w:r>
            <w:r>
              <w:rPr>
                <w:rFonts w:hint="eastAsia" w:ascii="宋体" w:hAnsi="宋体" w:cs="System"/>
                <w:color w:val="000000"/>
                <w:kern w:val="0"/>
                <w:sz w:val="24"/>
              </w:rPr>
              <w:t>。</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构筑物</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斜管沉淀池</w:t>
            </w:r>
            <w:r>
              <w:rPr>
                <w:rFonts w:ascii="宋体" w:hAnsi="宋体" w:cs="System"/>
                <w:color w:val="000000"/>
                <w:kern w:val="0"/>
                <w:sz w:val="24"/>
              </w:rPr>
              <w:t>2</w:t>
            </w:r>
            <w:r>
              <w:rPr>
                <w:rFonts w:hint="eastAsia" w:ascii="宋体" w:hAnsi="宋体" w:cs="System"/>
                <w:color w:val="000000"/>
                <w:kern w:val="0"/>
                <w:sz w:val="24"/>
              </w:rPr>
              <w:t>座，分两组并联运行，组合尺寸</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20.0</w:t>
            </w:r>
            <w:r>
              <w:rPr>
                <w:rFonts w:hint="eastAsia" w:ascii="宋体" w:hAnsi="宋体" w:cs="System"/>
                <w:color w:val="000000"/>
                <w:kern w:val="0"/>
                <w:sz w:val="24"/>
              </w:rPr>
              <w:t>×</w:t>
            </w:r>
            <w:r>
              <w:rPr>
                <w:rFonts w:ascii="宋体" w:hAnsi="宋体" w:cs="System"/>
                <w:color w:val="000000"/>
                <w:kern w:val="0"/>
                <w:sz w:val="24"/>
              </w:rPr>
              <w:t>12.4</w:t>
            </w:r>
            <w:r>
              <w:rPr>
                <w:rFonts w:hint="eastAsia" w:ascii="宋体" w:hAnsi="宋体" w:cs="System"/>
                <w:color w:val="000000"/>
                <w:kern w:val="0"/>
                <w:sz w:val="24"/>
              </w:rPr>
              <w:t>×</w:t>
            </w:r>
            <w:r>
              <w:rPr>
                <w:rFonts w:ascii="宋体" w:hAnsi="宋体" w:cs="System"/>
                <w:color w:val="000000"/>
                <w:kern w:val="0"/>
                <w:sz w:val="24"/>
              </w:rPr>
              <w:t>4.7m</w:t>
            </w:r>
            <w:r>
              <w:rPr>
                <w:rFonts w:hint="eastAsia" w:ascii="宋体" w:hAnsi="宋体" w:cs="System"/>
                <w:color w:val="000000"/>
                <w:kern w:val="0"/>
                <w:sz w:val="24"/>
              </w:rPr>
              <w:t>，采用钢筋砼结构，远期再扩建。采用机械混合，孔室反应，反应室采用穿孔管排泥；沉淀池采用机械排泥。</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主要设备、器材</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混合搅拌机：</w:t>
            </w:r>
            <w:r>
              <w:rPr>
                <w:rFonts w:ascii="宋体" w:hAnsi="宋体" w:cs="System"/>
                <w:color w:val="000000"/>
                <w:kern w:val="0"/>
                <w:sz w:val="24"/>
              </w:rPr>
              <w:t>2</w:t>
            </w:r>
            <w:r>
              <w:rPr>
                <w:rFonts w:hint="eastAsia" w:ascii="宋体" w:hAnsi="宋体" w:cs="System"/>
                <w:color w:val="000000"/>
                <w:kern w:val="0"/>
                <w:sz w:val="24"/>
              </w:rPr>
              <w:t>台；行车式刮吸泥机：数量</w:t>
            </w:r>
            <w:r>
              <w:rPr>
                <w:rFonts w:ascii="宋体" w:hAnsi="宋体" w:cs="System"/>
                <w:color w:val="000000"/>
                <w:kern w:val="0"/>
                <w:sz w:val="24"/>
              </w:rPr>
              <w:t>2</w:t>
            </w:r>
            <w:r>
              <w:rPr>
                <w:rFonts w:hint="eastAsia" w:ascii="宋体" w:hAnsi="宋体" w:cs="System"/>
                <w:color w:val="000000"/>
                <w:kern w:val="0"/>
                <w:sz w:val="24"/>
              </w:rPr>
              <w:t>台</w:t>
            </w:r>
            <w:r>
              <w:rPr>
                <w:rFonts w:ascii="宋体" w:hAnsi="宋体" w:cs="System"/>
                <w:color w:val="000000"/>
                <w:kern w:val="0"/>
                <w:sz w:val="24"/>
              </w:rPr>
              <w:t>;</w:t>
            </w:r>
            <w:r>
              <w:rPr>
                <w:rFonts w:hint="eastAsia" w:ascii="宋体" w:hAnsi="宋体" w:cs="System"/>
                <w:color w:val="000000"/>
                <w:kern w:val="0"/>
                <w:sz w:val="24"/>
              </w:rPr>
              <w:t>蜂窝斜管：数量</w:t>
            </w:r>
            <w:r>
              <w:rPr>
                <w:rFonts w:ascii="宋体" w:hAnsi="宋体" w:cs="System"/>
                <w:color w:val="000000"/>
                <w:kern w:val="0"/>
                <w:sz w:val="24"/>
              </w:rPr>
              <w:t>98m2</w:t>
            </w:r>
            <w:r>
              <w:rPr>
                <w:rFonts w:hint="eastAsia" w:ascii="宋体" w:hAnsi="宋体" w:cs="System"/>
                <w:color w:val="000000"/>
                <w:kern w:val="0"/>
                <w:sz w:val="24"/>
              </w:rPr>
              <w:t>，φ＝</w:t>
            </w:r>
            <w:r>
              <w:rPr>
                <w:rFonts w:ascii="宋体" w:hAnsi="宋体" w:cs="System"/>
                <w:color w:val="000000"/>
                <w:kern w:val="0"/>
                <w:sz w:val="24"/>
              </w:rPr>
              <w:t>35mm</w:t>
            </w:r>
            <w:r>
              <w:rPr>
                <w:rFonts w:hint="eastAsia" w:ascii="宋体" w:hAnsi="宋体" w:cs="System"/>
                <w:color w:val="000000"/>
                <w:kern w:val="0"/>
                <w:sz w:val="24"/>
              </w:rPr>
              <w:t>，α＝</w:t>
            </w:r>
            <w:r>
              <w:rPr>
                <w:rFonts w:ascii="宋体" w:hAnsi="宋体" w:cs="System"/>
                <w:color w:val="000000"/>
                <w:kern w:val="0"/>
                <w:sz w:val="24"/>
              </w:rPr>
              <w:t>60</w:t>
            </w:r>
            <w:r>
              <w:rPr>
                <w:rFonts w:hint="eastAsia" w:ascii="宋体" w:hAnsi="宋体" w:cs="System"/>
                <w:color w:val="000000"/>
                <w:kern w:val="0"/>
                <w:sz w:val="24"/>
              </w:rPr>
              <w:t>°，</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1m</w:t>
            </w:r>
            <w:r>
              <w:rPr>
                <w:rFonts w:hint="eastAsia" w:ascii="宋体" w:hAnsi="宋体" w:cs="System"/>
                <w:color w:val="000000"/>
                <w:kern w:val="0"/>
                <w:sz w:val="24"/>
              </w:rPr>
              <w:t>；液动排泥角阀：</w:t>
            </w:r>
            <w:r>
              <w:rPr>
                <w:rFonts w:ascii="宋体" w:hAnsi="宋体" w:cs="System"/>
                <w:color w:val="000000"/>
                <w:kern w:val="0"/>
                <w:sz w:val="24"/>
              </w:rPr>
              <w:t>10</w:t>
            </w:r>
            <w:r>
              <w:rPr>
                <w:rFonts w:hint="eastAsia" w:ascii="宋体" w:hAnsi="宋体" w:cs="System"/>
                <w:color w:val="000000"/>
                <w:kern w:val="0"/>
                <w:sz w:val="24"/>
              </w:rPr>
              <w:t>台；三角堰集水槽：</w:t>
            </w:r>
            <w:r>
              <w:rPr>
                <w:rFonts w:ascii="宋体" w:hAnsi="宋体" w:cs="System"/>
                <w:color w:val="000000"/>
                <w:kern w:val="0"/>
                <w:sz w:val="24"/>
              </w:rPr>
              <w:t>10</w:t>
            </w:r>
            <w:r>
              <w:rPr>
                <w:rFonts w:hint="eastAsia" w:ascii="宋体" w:hAnsi="宋体" w:cs="System"/>
                <w:color w:val="000000"/>
                <w:kern w:val="0"/>
                <w:sz w:val="24"/>
              </w:rPr>
              <w:t>根。</w:t>
            </w:r>
          </w:p>
          <w:p>
            <w:pPr>
              <w:autoSpaceDE w:val="0"/>
              <w:autoSpaceDN w:val="0"/>
              <w:adjustRightInd w:val="0"/>
              <w:snapToGrid w:val="0"/>
              <w:spacing w:line="360" w:lineRule="auto"/>
              <w:ind w:firstLine="495"/>
              <w:jc w:val="left"/>
              <w:rPr>
                <w:rFonts w:ascii="宋体" w:hAnsi="宋体" w:cs="System"/>
                <w:color w:val="000000"/>
                <w:kern w:val="0"/>
                <w:sz w:val="24"/>
              </w:rPr>
            </w:pPr>
            <w:r>
              <w:rPr>
                <w:rFonts w:hint="eastAsia" w:ascii="宋体" w:hAnsi="宋体" w:cs="System"/>
                <w:b/>
                <w:bCs/>
                <w:color w:val="000000"/>
                <w:kern w:val="0"/>
                <w:sz w:val="24"/>
              </w:rPr>
              <w:t>③</w:t>
            </w:r>
            <w:r>
              <w:rPr>
                <w:rFonts w:hint="eastAsia" w:ascii="宋体" w:hAnsi="宋体" w:cs="System"/>
                <w:color w:val="000000"/>
                <w:kern w:val="0"/>
                <w:sz w:val="24"/>
              </w:rPr>
              <w:t>气水反冲滤池</w:t>
            </w:r>
          </w:p>
          <w:p>
            <w:pPr>
              <w:autoSpaceDE w:val="0"/>
              <w:autoSpaceDN w:val="0"/>
              <w:adjustRightInd w:val="0"/>
              <w:snapToGrid w:val="0"/>
              <w:spacing w:line="360" w:lineRule="auto"/>
              <w:ind w:firstLine="495"/>
              <w:jc w:val="left"/>
              <w:rPr>
                <w:rFonts w:ascii="宋体" w:hAnsi="宋体" w:cs="System"/>
                <w:color w:val="000000"/>
                <w:kern w:val="0"/>
                <w:sz w:val="24"/>
              </w:rPr>
            </w:pPr>
            <w:r>
              <w:rPr>
                <w:rFonts w:hint="eastAsia" w:ascii="宋体" w:hAnsi="宋体" w:cs="System"/>
                <w:color w:val="000000"/>
                <w:kern w:val="0"/>
                <w:sz w:val="24"/>
              </w:rPr>
              <w:t>设计参数：设计流量：</w:t>
            </w:r>
            <w:r>
              <w:rPr>
                <w:rFonts w:ascii="宋体" w:hAnsi="宋体" w:cs="System"/>
                <w:color w:val="000000"/>
                <w:kern w:val="0"/>
                <w:sz w:val="24"/>
              </w:rPr>
              <w:t>Q</w:t>
            </w:r>
            <w:r>
              <w:rPr>
                <w:rFonts w:hint="eastAsia" w:ascii="宋体" w:hAnsi="宋体" w:cs="System"/>
                <w:color w:val="000000"/>
                <w:kern w:val="0"/>
                <w:sz w:val="24"/>
              </w:rPr>
              <w:t>＝</w:t>
            </w:r>
            <w:r>
              <w:rPr>
                <w:rFonts w:ascii="宋体" w:hAnsi="宋体" w:cs="System"/>
                <w:color w:val="000000"/>
                <w:kern w:val="0"/>
                <w:sz w:val="24"/>
              </w:rPr>
              <w:t>688m3/h;</w:t>
            </w:r>
            <w:r>
              <w:rPr>
                <w:rFonts w:hint="eastAsia" w:ascii="宋体" w:hAnsi="宋体" w:cs="System"/>
                <w:color w:val="000000"/>
                <w:kern w:val="0"/>
                <w:sz w:val="24"/>
              </w:rPr>
              <w:t>过滤速度：</w:t>
            </w:r>
            <w:r>
              <w:rPr>
                <w:rFonts w:ascii="宋体" w:hAnsi="宋体" w:cs="System"/>
                <w:color w:val="000000"/>
                <w:kern w:val="0"/>
                <w:sz w:val="24"/>
              </w:rPr>
              <w:t>V</w:t>
            </w:r>
            <w:r>
              <w:rPr>
                <w:rFonts w:hint="eastAsia" w:ascii="宋体" w:hAnsi="宋体" w:cs="System"/>
                <w:color w:val="000000"/>
                <w:kern w:val="0"/>
                <w:sz w:val="24"/>
              </w:rPr>
              <w:t>＝</w:t>
            </w:r>
            <w:r>
              <w:rPr>
                <w:rFonts w:ascii="宋体" w:hAnsi="宋体" w:cs="System"/>
                <w:color w:val="000000"/>
                <w:kern w:val="0"/>
                <w:sz w:val="24"/>
              </w:rPr>
              <w:t>8m/h;</w:t>
            </w:r>
            <w:r>
              <w:rPr>
                <w:rFonts w:hint="eastAsia" w:ascii="宋体" w:hAnsi="宋体" w:cs="System"/>
                <w:color w:val="000000"/>
                <w:kern w:val="0"/>
                <w:sz w:val="24"/>
              </w:rPr>
              <w:t>冲洗强度</w:t>
            </w:r>
            <w:r>
              <w:rPr>
                <w:rFonts w:ascii="宋体" w:hAnsi="宋体" w:cs="System"/>
                <w:color w:val="000000"/>
                <w:kern w:val="0"/>
                <w:sz w:val="24"/>
              </w:rPr>
              <w:t>:</w:t>
            </w:r>
            <w:r>
              <w:rPr>
                <w:rFonts w:hint="eastAsia" w:ascii="宋体" w:hAnsi="宋体" w:cs="System"/>
                <w:color w:val="000000"/>
                <w:kern w:val="0"/>
                <w:sz w:val="24"/>
              </w:rPr>
              <w:t>水冲</w:t>
            </w:r>
            <w:r>
              <w:rPr>
                <w:rFonts w:ascii="宋体" w:hAnsi="宋体" w:cs="System"/>
                <w:color w:val="000000"/>
                <w:kern w:val="0"/>
                <w:sz w:val="24"/>
              </w:rPr>
              <w:t>7</w:t>
            </w:r>
            <w:r>
              <w:rPr>
                <w:rFonts w:hint="eastAsia" w:ascii="宋体" w:hAnsi="宋体" w:cs="System"/>
                <w:color w:val="000000"/>
                <w:kern w:val="0"/>
                <w:sz w:val="24"/>
              </w:rPr>
              <w:t>～</w:t>
            </w:r>
            <w:r>
              <w:rPr>
                <w:rFonts w:ascii="宋体" w:hAnsi="宋体" w:cs="System"/>
                <w:color w:val="000000"/>
                <w:kern w:val="0"/>
                <w:sz w:val="24"/>
              </w:rPr>
              <w:t>9 L/s.m2</w:t>
            </w:r>
            <w:r>
              <w:rPr>
                <w:rFonts w:hint="eastAsia" w:ascii="宋体" w:hAnsi="宋体" w:cs="System"/>
                <w:color w:val="000000"/>
                <w:kern w:val="0"/>
                <w:sz w:val="24"/>
              </w:rPr>
              <w:t>，气冲</w:t>
            </w:r>
            <w:r>
              <w:rPr>
                <w:rFonts w:ascii="宋体" w:hAnsi="宋体" w:cs="System"/>
                <w:color w:val="000000"/>
                <w:kern w:val="0"/>
                <w:sz w:val="24"/>
              </w:rPr>
              <w:t>8-12 L/s.m2;</w:t>
            </w:r>
            <w:r>
              <w:rPr>
                <w:rFonts w:hint="eastAsia" w:ascii="宋体" w:hAnsi="宋体" w:cs="System"/>
                <w:color w:val="000000"/>
                <w:kern w:val="0"/>
                <w:sz w:val="24"/>
              </w:rPr>
              <w:t>滤料</w:t>
            </w:r>
            <w:r>
              <w:rPr>
                <w:rFonts w:ascii="宋体" w:hAnsi="宋体" w:cs="System"/>
                <w:color w:val="000000"/>
                <w:kern w:val="0"/>
                <w:sz w:val="24"/>
              </w:rPr>
              <w:t>:</w:t>
            </w:r>
            <w:r>
              <w:rPr>
                <w:rFonts w:hint="eastAsia" w:ascii="宋体" w:hAnsi="宋体" w:cs="System"/>
                <w:color w:val="000000"/>
                <w:kern w:val="0"/>
                <w:sz w:val="24"/>
              </w:rPr>
              <w:t>采用锰砂均质滤料，</w:t>
            </w:r>
            <w:r>
              <w:rPr>
                <w:rFonts w:ascii="宋体" w:hAnsi="宋体" w:cs="System"/>
                <w:color w:val="000000"/>
                <w:kern w:val="0"/>
                <w:sz w:val="24"/>
              </w:rPr>
              <w:t>d</w:t>
            </w:r>
            <w:r>
              <w:rPr>
                <w:rFonts w:hint="eastAsia" w:ascii="宋体" w:hAnsi="宋体" w:cs="System"/>
                <w:color w:val="000000"/>
                <w:kern w:val="0"/>
                <w:sz w:val="24"/>
              </w:rPr>
              <w:t>＝</w:t>
            </w:r>
            <w:r>
              <w:rPr>
                <w:rFonts w:ascii="宋体" w:hAnsi="宋体" w:cs="System"/>
                <w:color w:val="000000"/>
                <w:kern w:val="0"/>
                <w:sz w:val="24"/>
              </w:rPr>
              <w:t>0.8-1.0mm</w:t>
            </w:r>
            <w:r>
              <w:rPr>
                <w:rFonts w:hint="eastAsia" w:ascii="宋体" w:hAnsi="宋体" w:cs="System"/>
                <w:color w:val="000000"/>
                <w:kern w:val="0"/>
                <w:sz w:val="24"/>
              </w:rPr>
              <w:t>，厚度</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0.7m</w:t>
            </w:r>
            <w:r>
              <w:rPr>
                <w:rFonts w:hint="eastAsia" w:ascii="宋体" w:hAnsi="宋体" w:cs="System"/>
                <w:color w:val="000000"/>
                <w:kern w:val="0"/>
                <w:sz w:val="24"/>
              </w:rPr>
              <w:t>；</w:t>
            </w:r>
          </w:p>
          <w:p>
            <w:pPr>
              <w:autoSpaceDE w:val="0"/>
              <w:autoSpaceDN w:val="0"/>
              <w:adjustRightInd w:val="0"/>
              <w:snapToGrid w:val="0"/>
              <w:spacing w:line="360" w:lineRule="auto"/>
              <w:ind w:firstLine="495"/>
              <w:jc w:val="left"/>
              <w:rPr>
                <w:rFonts w:ascii="宋体" w:hAnsi="宋体" w:cs="System"/>
                <w:color w:val="000000"/>
                <w:kern w:val="0"/>
                <w:sz w:val="24"/>
              </w:rPr>
            </w:pPr>
            <w:r>
              <w:rPr>
                <w:rFonts w:hint="eastAsia" w:ascii="宋体" w:hAnsi="宋体" w:cs="System"/>
                <w:color w:val="000000"/>
                <w:kern w:val="0"/>
                <w:sz w:val="24"/>
              </w:rPr>
              <w:t>构筑物</w:t>
            </w:r>
          </w:p>
          <w:p>
            <w:pPr>
              <w:autoSpaceDE w:val="0"/>
              <w:autoSpaceDN w:val="0"/>
              <w:adjustRightInd w:val="0"/>
              <w:snapToGrid w:val="0"/>
              <w:spacing w:line="360" w:lineRule="auto"/>
              <w:ind w:firstLine="495"/>
              <w:jc w:val="left"/>
              <w:rPr>
                <w:rFonts w:ascii="宋体" w:hAnsi="宋体" w:cs="System"/>
                <w:color w:val="000000"/>
                <w:kern w:val="0"/>
                <w:sz w:val="24"/>
              </w:rPr>
            </w:pPr>
            <w:r>
              <w:rPr>
                <w:rFonts w:hint="eastAsia" w:ascii="宋体" w:hAnsi="宋体" w:cs="System"/>
                <w:color w:val="000000"/>
                <w:kern w:val="0"/>
                <w:sz w:val="24"/>
              </w:rPr>
              <w:t>采用单阀气水反冲滤池</w:t>
            </w:r>
            <w:r>
              <w:rPr>
                <w:rFonts w:ascii="宋体" w:hAnsi="宋体" w:cs="System"/>
                <w:color w:val="000000"/>
                <w:kern w:val="0"/>
                <w:sz w:val="24"/>
              </w:rPr>
              <w:t>2</w:t>
            </w:r>
            <w:r>
              <w:rPr>
                <w:rFonts w:hint="eastAsia" w:ascii="宋体" w:hAnsi="宋体" w:cs="System"/>
                <w:color w:val="000000"/>
                <w:kern w:val="0"/>
                <w:sz w:val="24"/>
              </w:rPr>
              <w:t>组，每组二格，共壁联建，钢筋砼结构；组合尺寸</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19.65</w:t>
            </w:r>
            <w:r>
              <w:rPr>
                <w:rFonts w:hint="eastAsia" w:ascii="宋体" w:hAnsi="宋体" w:cs="System"/>
                <w:color w:val="000000"/>
                <w:kern w:val="0"/>
                <w:sz w:val="24"/>
              </w:rPr>
              <w:t>×</w:t>
            </w:r>
            <w:r>
              <w:rPr>
                <w:rFonts w:ascii="宋体" w:hAnsi="宋体" w:cs="System"/>
                <w:color w:val="000000"/>
                <w:kern w:val="0"/>
                <w:sz w:val="24"/>
              </w:rPr>
              <w:t>5.10</w:t>
            </w:r>
            <w:r>
              <w:rPr>
                <w:rFonts w:hint="eastAsia" w:ascii="宋体" w:hAnsi="宋体" w:cs="System"/>
                <w:color w:val="000000"/>
                <w:kern w:val="0"/>
                <w:sz w:val="24"/>
              </w:rPr>
              <w:t>×</w:t>
            </w:r>
            <w:r>
              <w:rPr>
                <w:rFonts w:ascii="宋体" w:hAnsi="宋体" w:cs="System"/>
                <w:color w:val="000000"/>
                <w:kern w:val="0"/>
                <w:sz w:val="24"/>
              </w:rPr>
              <w:t>4.95m</w:t>
            </w:r>
            <w:r>
              <w:rPr>
                <w:rFonts w:hint="eastAsia" w:ascii="宋体" w:hAnsi="宋体" w:cs="System"/>
                <w:color w:val="000000"/>
                <w:kern w:val="0"/>
                <w:sz w:val="24"/>
              </w:rPr>
              <w:t>，远期再扩建；</w:t>
            </w:r>
            <w:r>
              <w:rPr>
                <w:rFonts w:ascii="宋体" w:hAnsi="宋体" w:cs="System"/>
                <w:color w:val="000000"/>
                <w:kern w:val="0"/>
                <w:sz w:val="24"/>
              </w:rPr>
              <w:t xml:space="preserve"> </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主要设备、器材</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滤板：采用钢砼滤板，数量</w:t>
            </w:r>
            <w:r>
              <w:rPr>
                <w:rFonts w:ascii="宋体" w:hAnsi="宋体" w:cs="System"/>
                <w:color w:val="000000"/>
                <w:kern w:val="0"/>
                <w:sz w:val="24"/>
              </w:rPr>
              <w:t>144</w:t>
            </w:r>
            <w:r>
              <w:rPr>
                <w:rFonts w:hint="eastAsia" w:ascii="宋体" w:hAnsi="宋体" w:cs="System"/>
                <w:color w:val="000000"/>
                <w:kern w:val="0"/>
                <w:sz w:val="24"/>
              </w:rPr>
              <w:t>个，</w:t>
            </w:r>
          </w:p>
          <w:p>
            <w:pPr>
              <w:autoSpaceDE w:val="0"/>
              <w:autoSpaceDN w:val="0"/>
              <w:adjustRightInd w:val="0"/>
              <w:snapToGrid w:val="0"/>
              <w:spacing w:line="360" w:lineRule="auto"/>
              <w:ind w:firstLine="480"/>
              <w:jc w:val="left"/>
              <w:rPr>
                <w:rFonts w:ascii="宋体" w:hAnsi="宋体" w:cs="System"/>
                <w:color w:val="000000"/>
                <w:kern w:val="0"/>
                <w:sz w:val="24"/>
              </w:rPr>
            </w:pPr>
            <w:r>
              <w:rPr>
                <w:rFonts w:hint="eastAsia" w:ascii="宋体" w:hAnsi="宋体" w:cs="System"/>
                <w:color w:val="000000"/>
                <w:kern w:val="0"/>
                <w:sz w:val="24"/>
              </w:rPr>
              <w:t>滤头：采用塑料滤头，数量</w:t>
            </w:r>
            <w:r>
              <w:rPr>
                <w:rFonts w:ascii="宋体" w:hAnsi="宋体" w:cs="System"/>
                <w:color w:val="000000"/>
                <w:kern w:val="0"/>
                <w:sz w:val="24"/>
              </w:rPr>
              <w:t>6816</w:t>
            </w:r>
            <w:r>
              <w:rPr>
                <w:rFonts w:hint="eastAsia" w:ascii="宋体" w:hAnsi="宋体" w:cs="System"/>
                <w:color w:val="000000"/>
                <w:kern w:val="0"/>
                <w:sz w:val="24"/>
              </w:rPr>
              <w:t>个；</w:t>
            </w:r>
          </w:p>
          <w:p>
            <w:pPr>
              <w:autoSpaceDE w:val="0"/>
              <w:autoSpaceDN w:val="0"/>
              <w:adjustRightInd w:val="0"/>
              <w:snapToGrid w:val="0"/>
              <w:spacing w:line="360" w:lineRule="auto"/>
              <w:ind w:firstLine="480"/>
              <w:jc w:val="left"/>
              <w:rPr>
                <w:rFonts w:ascii="宋体" w:hAnsi="宋体" w:cs="System"/>
                <w:color w:val="000000"/>
                <w:kern w:val="0"/>
                <w:sz w:val="24"/>
              </w:rPr>
            </w:pPr>
            <w:r>
              <w:rPr>
                <w:rFonts w:hint="eastAsia" w:ascii="宋体" w:hAnsi="宋体" w:cs="System"/>
                <w:color w:val="000000"/>
                <w:kern w:val="0"/>
                <w:sz w:val="24"/>
              </w:rPr>
              <w:t>④加药、加氯间</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建筑物</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合建加药、加氯间</w:t>
            </w:r>
            <w:r>
              <w:rPr>
                <w:rFonts w:ascii="宋体" w:hAnsi="宋体" w:cs="System"/>
                <w:color w:val="000000"/>
                <w:kern w:val="0"/>
                <w:sz w:val="24"/>
              </w:rPr>
              <w:t>1</w:t>
            </w:r>
            <w:r>
              <w:rPr>
                <w:rFonts w:hint="eastAsia" w:ascii="宋体" w:hAnsi="宋体" w:cs="System"/>
                <w:color w:val="000000"/>
                <w:kern w:val="0"/>
                <w:sz w:val="24"/>
              </w:rPr>
              <w:t>座，组合</w:t>
            </w:r>
            <w:r>
              <w:rPr>
                <w:rFonts w:ascii="宋体" w:hAnsi="宋体" w:cs="System"/>
                <w:color w:val="000000"/>
                <w:kern w:val="0"/>
                <w:sz w:val="24"/>
              </w:rPr>
              <w:t>18.0</w:t>
            </w:r>
            <w:r>
              <w:rPr>
                <w:rFonts w:hint="eastAsia" w:ascii="宋体" w:hAnsi="宋体" w:cs="System"/>
                <w:color w:val="000000"/>
                <w:kern w:val="0"/>
                <w:sz w:val="24"/>
              </w:rPr>
              <w:t>×</w:t>
            </w:r>
            <w:r>
              <w:rPr>
                <w:rFonts w:ascii="宋体" w:hAnsi="宋体" w:cs="System"/>
                <w:color w:val="000000"/>
                <w:kern w:val="0"/>
                <w:sz w:val="24"/>
              </w:rPr>
              <w:t>8.50m</w:t>
            </w:r>
            <w:r>
              <w:rPr>
                <w:rFonts w:hint="eastAsia" w:ascii="宋体" w:hAnsi="宋体" w:cs="System"/>
                <w:color w:val="000000"/>
                <w:kern w:val="0"/>
                <w:sz w:val="24"/>
              </w:rPr>
              <w:t>，单层，层高</w:t>
            </w:r>
            <w:r>
              <w:rPr>
                <w:rFonts w:ascii="宋体" w:hAnsi="宋体" w:cs="System"/>
                <w:color w:val="000000"/>
                <w:kern w:val="0"/>
                <w:sz w:val="24"/>
              </w:rPr>
              <w:t>6.0m</w:t>
            </w:r>
            <w:r>
              <w:rPr>
                <w:rFonts w:hint="eastAsia" w:ascii="宋体" w:hAnsi="宋体" w:cs="System"/>
                <w:color w:val="000000"/>
                <w:kern w:val="0"/>
                <w:sz w:val="24"/>
              </w:rPr>
              <w:t>；</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加药间：</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加药采用碱式氯化铝，平时不加药，雨季浊度增加的时候平均加药量</w:t>
            </w:r>
            <w:r>
              <w:rPr>
                <w:rFonts w:ascii="宋体" w:hAnsi="宋体" w:cs="System"/>
                <w:color w:val="000000"/>
                <w:kern w:val="0"/>
                <w:sz w:val="24"/>
              </w:rPr>
              <w:t>20mg/L</w:t>
            </w:r>
            <w:r>
              <w:rPr>
                <w:rFonts w:hint="eastAsia" w:ascii="宋体" w:hAnsi="宋体" w:cs="System"/>
                <w:color w:val="000000"/>
                <w:kern w:val="0"/>
                <w:sz w:val="24"/>
              </w:rPr>
              <w:t>。</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主要设备</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玻璃钢溶药罐</w:t>
            </w:r>
            <w:r>
              <w:rPr>
                <w:rFonts w:ascii="宋体" w:hAnsi="宋体" w:cs="System"/>
                <w:color w:val="000000"/>
                <w:kern w:val="0"/>
                <w:sz w:val="24"/>
              </w:rPr>
              <w:t>:</w:t>
            </w:r>
            <w:r>
              <w:rPr>
                <w:rFonts w:hint="eastAsia" w:ascii="宋体" w:hAnsi="宋体" w:cs="System"/>
                <w:color w:val="000000"/>
                <w:kern w:val="0"/>
                <w:sz w:val="24"/>
              </w:rPr>
              <w:t>数量</w:t>
            </w:r>
            <w:r>
              <w:rPr>
                <w:rFonts w:ascii="宋体" w:hAnsi="宋体" w:cs="System"/>
                <w:color w:val="000000"/>
                <w:kern w:val="0"/>
                <w:sz w:val="24"/>
              </w:rPr>
              <w:t>2</w:t>
            </w:r>
            <w:r>
              <w:rPr>
                <w:rFonts w:hint="eastAsia" w:ascii="宋体" w:hAnsi="宋体" w:cs="System"/>
                <w:color w:val="000000"/>
                <w:kern w:val="0"/>
                <w:sz w:val="24"/>
              </w:rPr>
              <w:t>个，φ＝</w:t>
            </w:r>
            <w:r>
              <w:rPr>
                <w:rFonts w:ascii="宋体" w:hAnsi="宋体" w:cs="System"/>
                <w:color w:val="000000"/>
                <w:kern w:val="0"/>
                <w:sz w:val="24"/>
              </w:rPr>
              <w:t>1.0m</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1.2m</w:t>
            </w:r>
            <w:r>
              <w:rPr>
                <w:rFonts w:hint="eastAsia" w:ascii="宋体" w:hAnsi="宋体" w:cs="System"/>
                <w:color w:val="000000"/>
                <w:kern w:val="0"/>
                <w:sz w:val="24"/>
              </w:rPr>
              <w:t>；溶药搅拌机：</w:t>
            </w:r>
            <w:r>
              <w:rPr>
                <w:rFonts w:ascii="宋体" w:hAnsi="宋体" w:cs="System"/>
                <w:color w:val="000000"/>
                <w:kern w:val="0"/>
                <w:sz w:val="24"/>
              </w:rPr>
              <w:t>2</w:t>
            </w:r>
            <w:r>
              <w:rPr>
                <w:rFonts w:hint="eastAsia" w:ascii="宋体" w:hAnsi="宋体" w:cs="System"/>
                <w:color w:val="000000"/>
                <w:kern w:val="0"/>
                <w:sz w:val="24"/>
              </w:rPr>
              <w:t>台；溶液池：</w:t>
            </w:r>
            <w:r>
              <w:rPr>
                <w:rFonts w:ascii="宋体" w:hAnsi="宋体" w:cs="System"/>
                <w:color w:val="000000"/>
                <w:kern w:val="0"/>
                <w:sz w:val="24"/>
              </w:rPr>
              <w:t>2</w:t>
            </w:r>
            <w:r>
              <w:rPr>
                <w:rFonts w:hint="eastAsia" w:ascii="宋体" w:hAnsi="宋体" w:cs="System"/>
                <w:color w:val="000000"/>
                <w:kern w:val="0"/>
                <w:sz w:val="24"/>
              </w:rPr>
              <w:t>个；膈膜计量泵：</w:t>
            </w:r>
            <w:r>
              <w:rPr>
                <w:rFonts w:ascii="宋体" w:hAnsi="宋体" w:cs="System"/>
                <w:color w:val="000000"/>
                <w:kern w:val="0"/>
                <w:sz w:val="24"/>
              </w:rPr>
              <w:t>2</w:t>
            </w:r>
            <w:r>
              <w:rPr>
                <w:rFonts w:hint="eastAsia" w:ascii="宋体" w:hAnsi="宋体" w:cs="System"/>
                <w:color w:val="000000"/>
                <w:kern w:val="0"/>
                <w:sz w:val="24"/>
              </w:rPr>
              <w:t>台；</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加氯间：</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w:t>
            </w:r>
            <w:r>
              <w:rPr>
                <w:rFonts w:ascii="宋体" w:hAnsi="宋体" w:cs="System"/>
                <w:color w:val="000000"/>
                <w:kern w:val="0"/>
                <w:sz w:val="24"/>
              </w:rPr>
              <w:t>1</w:t>
            </w:r>
            <w:r>
              <w:rPr>
                <w:rFonts w:hint="eastAsia" w:ascii="宋体" w:hAnsi="宋体" w:cs="System"/>
                <w:color w:val="000000"/>
                <w:kern w:val="0"/>
                <w:sz w:val="24"/>
              </w:rPr>
              <w:t>）采用二氯化消毒</w:t>
            </w:r>
            <w:r>
              <w:rPr>
                <w:rFonts w:ascii="宋体" w:hAnsi="宋体" w:cs="System"/>
                <w:color w:val="000000"/>
                <w:kern w:val="0"/>
                <w:sz w:val="24"/>
              </w:rPr>
              <w:t>,</w:t>
            </w:r>
            <w:r>
              <w:rPr>
                <w:rFonts w:hint="eastAsia" w:ascii="宋体" w:hAnsi="宋体" w:cs="System"/>
                <w:color w:val="000000"/>
                <w:kern w:val="0"/>
                <w:sz w:val="24"/>
              </w:rPr>
              <w:t>有效氯总投加量按</w:t>
            </w:r>
            <w:r>
              <w:rPr>
                <w:rFonts w:ascii="宋体" w:hAnsi="宋体" w:cs="System"/>
                <w:color w:val="000000"/>
                <w:kern w:val="0"/>
                <w:sz w:val="24"/>
              </w:rPr>
              <w:t>1</w:t>
            </w:r>
            <w:r>
              <w:rPr>
                <w:rFonts w:hint="eastAsia" w:ascii="宋体" w:hAnsi="宋体" w:cs="System"/>
                <w:color w:val="000000"/>
                <w:kern w:val="0"/>
                <w:sz w:val="24"/>
              </w:rPr>
              <w:t>～</w:t>
            </w:r>
            <w:r>
              <w:rPr>
                <w:rFonts w:ascii="宋体" w:hAnsi="宋体" w:cs="System"/>
                <w:color w:val="000000"/>
                <w:kern w:val="0"/>
                <w:sz w:val="24"/>
              </w:rPr>
              <w:t>2mg/l</w:t>
            </w:r>
            <w:r>
              <w:rPr>
                <w:rFonts w:hint="eastAsia" w:ascii="宋体" w:hAnsi="宋体" w:cs="System"/>
                <w:color w:val="000000"/>
                <w:kern w:val="0"/>
                <w:sz w:val="24"/>
              </w:rPr>
              <w:t>，日最大投加量</w:t>
            </w:r>
            <w:r>
              <w:rPr>
                <w:rFonts w:ascii="宋体" w:hAnsi="宋体" w:cs="System"/>
                <w:color w:val="000000"/>
                <w:kern w:val="0"/>
                <w:sz w:val="24"/>
              </w:rPr>
              <w:t>30kg/d;</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w:t>
            </w:r>
            <w:r>
              <w:rPr>
                <w:rFonts w:ascii="宋体" w:hAnsi="宋体" w:cs="System"/>
                <w:color w:val="000000"/>
                <w:kern w:val="0"/>
                <w:sz w:val="24"/>
              </w:rPr>
              <w:t>2</w:t>
            </w:r>
            <w:r>
              <w:rPr>
                <w:rFonts w:hint="eastAsia" w:ascii="宋体" w:hAnsi="宋体" w:cs="System"/>
                <w:color w:val="000000"/>
                <w:kern w:val="0"/>
                <w:sz w:val="24"/>
              </w:rPr>
              <w:t>）主要设备</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二氯化氯发生器：数量</w:t>
            </w:r>
            <w:r>
              <w:rPr>
                <w:rFonts w:ascii="宋体" w:hAnsi="宋体" w:cs="System"/>
                <w:color w:val="000000"/>
                <w:kern w:val="0"/>
                <w:sz w:val="24"/>
              </w:rPr>
              <w:t>2</w:t>
            </w:r>
            <w:r>
              <w:rPr>
                <w:rFonts w:hint="eastAsia" w:ascii="宋体" w:hAnsi="宋体" w:cs="System"/>
                <w:color w:val="000000"/>
                <w:kern w:val="0"/>
                <w:sz w:val="24"/>
              </w:rPr>
              <w:t>台。盐酸储罐：数量</w:t>
            </w:r>
            <w:r>
              <w:rPr>
                <w:rFonts w:ascii="宋体" w:hAnsi="宋体" w:cs="System"/>
                <w:color w:val="000000"/>
                <w:kern w:val="0"/>
                <w:sz w:val="24"/>
              </w:rPr>
              <w:t>1</w:t>
            </w:r>
            <w:r>
              <w:rPr>
                <w:rFonts w:hint="eastAsia" w:ascii="宋体" w:hAnsi="宋体" w:cs="System"/>
                <w:color w:val="000000"/>
                <w:kern w:val="0"/>
                <w:sz w:val="24"/>
              </w:rPr>
              <w:t>个，1</w:t>
            </w:r>
            <w:r>
              <w:rPr>
                <w:rFonts w:ascii="宋体" w:hAnsi="宋体" w:cs="System"/>
                <w:color w:val="000000"/>
                <w:kern w:val="0"/>
                <w:sz w:val="24"/>
              </w:rPr>
              <w:t>.0m</w:t>
            </w:r>
            <w:r>
              <w:rPr>
                <w:rFonts w:ascii="宋体" w:hAnsi="宋体" w:cs="System"/>
                <w:color w:val="000000"/>
                <w:kern w:val="0"/>
                <w:sz w:val="24"/>
                <w:vertAlign w:val="superscript"/>
              </w:rPr>
              <w:t>3</w:t>
            </w:r>
            <w:r>
              <w:rPr>
                <w:rFonts w:hint="eastAsia" w:ascii="宋体" w:hAnsi="宋体" w:cs="System"/>
                <w:color w:val="000000"/>
                <w:kern w:val="0"/>
                <w:sz w:val="24"/>
              </w:rPr>
              <w:t>；氯酸钠化料器</w:t>
            </w:r>
            <w:r>
              <w:rPr>
                <w:rFonts w:ascii="宋体" w:hAnsi="宋体" w:cs="System"/>
                <w:color w:val="000000"/>
                <w:kern w:val="0"/>
                <w:sz w:val="24"/>
              </w:rPr>
              <w:t>1</w:t>
            </w:r>
            <w:r>
              <w:rPr>
                <w:rFonts w:hint="eastAsia" w:ascii="宋体" w:hAnsi="宋体" w:cs="System"/>
                <w:color w:val="000000"/>
                <w:kern w:val="0"/>
                <w:sz w:val="24"/>
              </w:rPr>
              <w:t>台；</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⑤鼓风机房、配电室</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鼓风机房与配电室合建，</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18.0</w:t>
            </w:r>
            <w:r>
              <w:rPr>
                <w:rFonts w:hint="eastAsia" w:ascii="宋体" w:hAnsi="宋体" w:cs="System"/>
                <w:color w:val="000000"/>
                <w:kern w:val="0"/>
                <w:sz w:val="24"/>
              </w:rPr>
              <w:t>×</w:t>
            </w:r>
            <w:r>
              <w:rPr>
                <w:rFonts w:ascii="宋体" w:hAnsi="宋体" w:cs="System"/>
                <w:color w:val="000000"/>
                <w:kern w:val="0"/>
                <w:sz w:val="24"/>
              </w:rPr>
              <w:t>6.00</w:t>
            </w:r>
            <w:r>
              <w:rPr>
                <w:rFonts w:hint="eastAsia" w:ascii="宋体" w:hAnsi="宋体" w:cs="System"/>
                <w:color w:val="000000"/>
                <w:kern w:val="0"/>
                <w:sz w:val="24"/>
              </w:rPr>
              <w:t>×</w:t>
            </w:r>
            <w:r>
              <w:rPr>
                <w:rFonts w:ascii="宋体" w:hAnsi="宋体" w:cs="System"/>
                <w:color w:val="000000"/>
                <w:kern w:val="0"/>
                <w:sz w:val="24"/>
              </w:rPr>
              <w:t>5.10m</w:t>
            </w:r>
            <w:r>
              <w:rPr>
                <w:rFonts w:hint="eastAsia" w:ascii="宋体" w:hAnsi="宋体" w:cs="System"/>
                <w:color w:val="000000"/>
                <w:kern w:val="0"/>
                <w:sz w:val="24"/>
              </w:rPr>
              <w:t>。</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主要设备：罗茨鼓风机</w:t>
            </w:r>
            <w:r>
              <w:rPr>
                <w:rFonts w:ascii="宋体" w:hAnsi="宋体" w:cs="System"/>
                <w:color w:val="000000"/>
                <w:kern w:val="0"/>
                <w:sz w:val="24"/>
              </w:rPr>
              <w:t>2</w:t>
            </w:r>
            <w:r>
              <w:rPr>
                <w:rFonts w:hint="eastAsia" w:ascii="宋体" w:hAnsi="宋体" w:cs="System"/>
                <w:color w:val="000000"/>
                <w:kern w:val="0"/>
                <w:sz w:val="24"/>
              </w:rPr>
              <w:t>台（</w:t>
            </w:r>
            <w:r>
              <w:rPr>
                <w:rFonts w:ascii="宋体" w:hAnsi="宋体" w:cs="System"/>
                <w:color w:val="000000"/>
                <w:kern w:val="0"/>
                <w:sz w:val="24"/>
              </w:rPr>
              <w:t>1</w:t>
            </w:r>
            <w:r>
              <w:rPr>
                <w:rFonts w:hint="eastAsia" w:ascii="宋体" w:hAnsi="宋体" w:cs="System"/>
                <w:color w:val="000000"/>
                <w:kern w:val="0"/>
                <w:sz w:val="24"/>
              </w:rPr>
              <w:t>用</w:t>
            </w:r>
            <w:r>
              <w:rPr>
                <w:rFonts w:ascii="宋体" w:hAnsi="宋体" w:cs="System"/>
                <w:color w:val="000000"/>
                <w:kern w:val="0"/>
                <w:sz w:val="24"/>
              </w:rPr>
              <w:t>1</w:t>
            </w:r>
            <w:r>
              <w:rPr>
                <w:rFonts w:hint="eastAsia" w:ascii="宋体" w:hAnsi="宋体" w:cs="System"/>
                <w:color w:val="000000"/>
                <w:kern w:val="0"/>
                <w:sz w:val="24"/>
              </w:rPr>
              <w:t>备）。</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⑥反冲洗水回收池</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反冲洗水回收池按远期设计，单格滤池每日进行冲洗</w:t>
            </w:r>
            <w:r>
              <w:rPr>
                <w:rFonts w:ascii="宋体" w:hAnsi="宋体" w:cs="System"/>
                <w:color w:val="000000"/>
                <w:kern w:val="0"/>
                <w:sz w:val="24"/>
              </w:rPr>
              <w:t>1</w:t>
            </w:r>
            <w:r>
              <w:rPr>
                <w:rFonts w:hint="eastAsia" w:ascii="宋体" w:hAnsi="宋体" w:cs="System"/>
                <w:color w:val="000000"/>
                <w:kern w:val="0"/>
                <w:sz w:val="24"/>
              </w:rPr>
              <w:t>次，每格滤池每次排出冲洗水量约</w:t>
            </w:r>
            <w:r>
              <w:rPr>
                <w:rFonts w:ascii="宋体" w:hAnsi="宋体" w:cs="System"/>
                <w:color w:val="000000"/>
                <w:kern w:val="0"/>
                <w:sz w:val="24"/>
              </w:rPr>
              <w:t>70m</w:t>
            </w:r>
            <w:r>
              <w:rPr>
                <w:rFonts w:ascii="宋体" w:hAnsi="宋体" w:cs="System"/>
                <w:color w:val="000000"/>
                <w:kern w:val="0"/>
                <w:sz w:val="24"/>
                <w:vertAlign w:val="superscript"/>
              </w:rPr>
              <w:t>3</w:t>
            </w:r>
            <w:r>
              <w:rPr>
                <w:rFonts w:hint="eastAsia" w:ascii="宋体" w:hAnsi="宋体" w:cs="System"/>
                <w:color w:val="000000"/>
                <w:kern w:val="0"/>
                <w:sz w:val="24"/>
              </w:rPr>
              <w:t>，每日总排出量约</w:t>
            </w:r>
            <w:r>
              <w:rPr>
                <w:rFonts w:ascii="宋体" w:hAnsi="宋体" w:cs="System"/>
                <w:color w:val="000000"/>
                <w:kern w:val="0"/>
                <w:sz w:val="24"/>
              </w:rPr>
              <w:t>560m</w:t>
            </w:r>
            <w:r>
              <w:rPr>
                <w:rFonts w:ascii="宋体" w:hAnsi="宋体" w:cs="System"/>
                <w:color w:val="000000"/>
                <w:kern w:val="0"/>
                <w:sz w:val="24"/>
                <w:vertAlign w:val="superscript"/>
              </w:rPr>
              <w:t>3</w:t>
            </w:r>
            <w:r>
              <w:rPr>
                <w:rFonts w:hint="eastAsia" w:ascii="宋体" w:hAnsi="宋体" w:cs="System"/>
                <w:color w:val="000000"/>
                <w:kern w:val="0"/>
                <w:sz w:val="24"/>
              </w:rPr>
              <w:t>。滤池反冲洗出水含泥浓度不高，且具有活性，易沉淀。为减少水厂排水量和节能，设计要求对这部分水回收再利用，因此，设反冲洗水回收池，用潜水泵将反冲洗水回送至分配井，再进行处理。</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反冲洗水回收池</w:t>
            </w:r>
            <w:r>
              <w:rPr>
                <w:rFonts w:ascii="宋体" w:hAnsi="宋体" w:cs="System"/>
                <w:color w:val="000000"/>
                <w:kern w:val="0"/>
                <w:sz w:val="24"/>
              </w:rPr>
              <w:t>1</w:t>
            </w:r>
            <w:r>
              <w:rPr>
                <w:rFonts w:hint="eastAsia" w:ascii="宋体" w:hAnsi="宋体" w:cs="System"/>
                <w:color w:val="000000"/>
                <w:kern w:val="0"/>
                <w:sz w:val="24"/>
              </w:rPr>
              <w:t>座，</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8.50</w:t>
            </w:r>
            <w:r>
              <w:rPr>
                <w:rFonts w:hint="eastAsia" w:ascii="宋体" w:hAnsi="宋体" w:cs="System"/>
                <w:color w:val="000000"/>
                <w:kern w:val="0"/>
                <w:sz w:val="24"/>
              </w:rPr>
              <w:t>×</w:t>
            </w:r>
            <w:r>
              <w:rPr>
                <w:rFonts w:ascii="宋体" w:hAnsi="宋体" w:cs="System"/>
                <w:color w:val="000000"/>
                <w:kern w:val="0"/>
                <w:sz w:val="24"/>
              </w:rPr>
              <w:t>6.50</w:t>
            </w:r>
            <w:r>
              <w:rPr>
                <w:rFonts w:hint="eastAsia" w:ascii="宋体" w:hAnsi="宋体" w:cs="System"/>
                <w:color w:val="000000"/>
                <w:kern w:val="0"/>
                <w:sz w:val="24"/>
              </w:rPr>
              <w:t>×</w:t>
            </w:r>
            <w:r>
              <w:rPr>
                <w:rFonts w:ascii="宋体" w:hAnsi="宋体" w:cs="System"/>
                <w:color w:val="000000"/>
                <w:kern w:val="0"/>
                <w:sz w:val="24"/>
              </w:rPr>
              <w:t xml:space="preserve">4.0m </w:t>
            </w:r>
            <w:r>
              <w:rPr>
                <w:rFonts w:hint="eastAsia" w:ascii="宋体" w:hAnsi="宋体" w:cs="System"/>
                <w:color w:val="000000"/>
                <w:kern w:val="0"/>
                <w:sz w:val="24"/>
              </w:rPr>
              <w:t>，钢混凝土结构。</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主要设备：潜污泵</w:t>
            </w:r>
            <w:r>
              <w:rPr>
                <w:rFonts w:ascii="宋体" w:hAnsi="宋体" w:cs="System"/>
                <w:color w:val="000000"/>
                <w:kern w:val="0"/>
                <w:sz w:val="24"/>
              </w:rPr>
              <w:t>2</w:t>
            </w:r>
            <w:r>
              <w:rPr>
                <w:rFonts w:hint="eastAsia" w:ascii="宋体" w:hAnsi="宋体" w:cs="System"/>
                <w:color w:val="000000"/>
                <w:kern w:val="0"/>
                <w:sz w:val="24"/>
              </w:rPr>
              <w:t>台（</w:t>
            </w:r>
            <w:r>
              <w:rPr>
                <w:rFonts w:ascii="宋体" w:hAnsi="宋体" w:cs="System"/>
                <w:color w:val="000000"/>
                <w:kern w:val="0"/>
                <w:sz w:val="24"/>
              </w:rPr>
              <w:t>1</w:t>
            </w:r>
            <w:r>
              <w:rPr>
                <w:rFonts w:hint="eastAsia" w:ascii="宋体" w:hAnsi="宋体" w:cs="System"/>
                <w:color w:val="000000"/>
                <w:kern w:val="0"/>
                <w:sz w:val="24"/>
              </w:rPr>
              <w:t>用</w:t>
            </w:r>
            <w:r>
              <w:rPr>
                <w:rFonts w:ascii="宋体" w:hAnsi="宋体" w:cs="System"/>
                <w:color w:val="000000"/>
                <w:kern w:val="0"/>
                <w:sz w:val="24"/>
              </w:rPr>
              <w:t>1</w:t>
            </w:r>
            <w:r>
              <w:rPr>
                <w:rFonts w:hint="eastAsia" w:ascii="宋体" w:hAnsi="宋体" w:cs="System"/>
                <w:color w:val="000000"/>
                <w:kern w:val="0"/>
                <w:sz w:val="24"/>
              </w:rPr>
              <w:t>备）。</w:t>
            </w:r>
          </w:p>
          <w:p>
            <w:pPr>
              <w:autoSpaceDE w:val="0"/>
              <w:autoSpaceDN w:val="0"/>
              <w:adjustRightInd w:val="0"/>
              <w:snapToGrid w:val="0"/>
              <w:spacing w:line="360" w:lineRule="auto"/>
              <w:ind w:firstLine="480" w:firstLineChars="200"/>
              <w:jc w:val="left"/>
              <w:rPr>
                <w:rFonts w:ascii="宋体" w:hAnsi="宋体" w:cs="System"/>
                <w:color w:val="000000"/>
                <w:kern w:val="0"/>
                <w:sz w:val="24"/>
              </w:rPr>
            </w:pPr>
            <w:r>
              <w:rPr>
                <w:rFonts w:hint="eastAsia" w:ascii="宋体" w:hAnsi="宋体" w:cs="System"/>
                <w:color w:val="000000"/>
                <w:kern w:val="0"/>
                <w:sz w:val="24"/>
              </w:rPr>
              <w:t>⑦清水池</w:t>
            </w:r>
          </w:p>
          <w:p>
            <w:pPr>
              <w:autoSpaceDE w:val="0"/>
              <w:autoSpaceDN w:val="0"/>
              <w:adjustRightInd w:val="0"/>
              <w:snapToGrid w:val="0"/>
              <w:spacing w:line="360" w:lineRule="auto"/>
              <w:ind w:firstLine="480"/>
              <w:jc w:val="left"/>
              <w:rPr>
                <w:rFonts w:ascii="宋体" w:hAnsi="宋体" w:cs="System"/>
                <w:color w:val="000000"/>
                <w:kern w:val="0"/>
                <w:sz w:val="24"/>
              </w:rPr>
            </w:pPr>
            <w:r>
              <w:rPr>
                <w:rFonts w:hint="eastAsia" w:ascii="宋体" w:hAnsi="宋体" w:cs="System"/>
                <w:color w:val="000000"/>
                <w:kern w:val="0"/>
                <w:sz w:val="24"/>
              </w:rPr>
              <w:t>清水池</w:t>
            </w:r>
            <w:r>
              <w:rPr>
                <w:rFonts w:ascii="宋体" w:hAnsi="宋体" w:cs="System"/>
                <w:color w:val="000000"/>
                <w:kern w:val="0"/>
                <w:sz w:val="24"/>
              </w:rPr>
              <w:t>2</w:t>
            </w:r>
            <w:r>
              <w:rPr>
                <w:rFonts w:hint="eastAsia" w:ascii="宋体" w:hAnsi="宋体" w:cs="System"/>
                <w:color w:val="000000"/>
                <w:kern w:val="0"/>
                <w:sz w:val="24"/>
              </w:rPr>
              <w:t>座（远期再扩建），单池</w:t>
            </w:r>
            <w:r>
              <w:rPr>
                <w:rFonts w:ascii="宋体" w:hAnsi="宋体" w:cs="System"/>
                <w:color w:val="000000"/>
                <w:kern w:val="0"/>
                <w:sz w:val="24"/>
              </w:rPr>
              <w:t>L</w:t>
            </w:r>
            <w:r>
              <w:rPr>
                <w:rFonts w:hint="eastAsia" w:ascii="宋体" w:hAnsi="宋体" w:cs="System"/>
                <w:color w:val="000000"/>
                <w:kern w:val="0"/>
                <w:sz w:val="24"/>
              </w:rPr>
              <w:t>×</w:t>
            </w:r>
            <w:r>
              <w:rPr>
                <w:rFonts w:ascii="宋体" w:hAnsi="宋体" w:cs="System"/>
                <w:color w:val="000000"/>
                <w:kern w:val="0"/>
                <w:sz w:val="24"/>
              </w:rPr>
              <w:t>B</w:t>
            </w:r>
            <w:r>
              <w:rPr>
                <w:rFonts w:hint="eastAsia" w:ascii="宋体" w:hAnsi="宋体" w:cs="System"/>
                <w:color w:val="000000"/>
                <w:kern w:val="0"/>
                <w:sz w:val="24"/>
              </w:rPr>
              <w:t>×</w:t>
            </w:r>
            <w:r>
              <w:rPr>
                <w:rFonts w:ascii="宋体" w:hAnsi="宋体" w:cs="System"/>
                <w:color w:val="000000"/>
                <w:kern w:val="0"/>
                <w:sz w:val="24"/>
              </w:rPr>
              <w:t>H</w:t>
            </w:r>
            <w:r>
              <w:rPr>
                <w:rFonts w:hint="eastAsia" w:ascii="宋体" w:hAnsi="宋体" w:cs="System"/>
                <w:color w:val="000000"/>
                <w:kern w:val="0"/>
                <w:sz w:val="24"/>
              </w:rPr>
              <w:t>＝</w:t>
            </w:r>
            <w:r>
              <w:rPr>
                <w:rFonts w:ascii="宋体" w:hAnsi="宋体" w:cs="System"/>
                <w:color w:val="000000"/>
                <w:kern w:val="0"/>
                <w:sz w:val="24"/>
              </w:rPr>
              <w:t>28.7</w:t>
            </w:r>
            <w:r>
              <w:rPr>
                <w:rFonts w:hint="eastAsia" w:ascii="宋体" w:hAnsi="宋体" w:cs="System"/>
                <w:color w:val="000000"/>
                <w:kern w:val="0"/>
                <w:sz w:val="24"/>
              </w:rPr>
              <w:t>×</w:t>
            </w:r>
            <w:r>
              <w:rPr>
                <w:rFonts w:ascii="宋体" w:hAnsi="宋体" w:cs="System"/>
                <w:color w:val="000000"/>
                <w:kern w:val="0"/>
                <w:sz w:val="24"/>
              </w:rPr>
              <w:t>23.2</w:t>
            </w:r>
            <w:r>
              <w:rPr>
                <w:rFonts w:hint="eastAsia" w:ascii="宋体" w:hAnsi="宋体" w:cs="System"/>
                <w:color w:val="000000"/>
                <w:kern w:val="0"/>
                <w:sz w:val="24"/>
              </w:rPr>
              <w:t>×</w:t>
            </w:r>
            <w:r>
              <w:rPr>
                <w:rFonts w:ascii="宋体" w:hAnsi="宋体" w:cs="System"/>
                <w:color w:val="000000"/>
                <w:kern w:val="0"/>
                <w:sz w:val="24"/>
              </w:rPr>
              <w:t>4.5m</w:t>
            </w:r>
            <w:r>
              <w:rPr>
                <w:rFonts w:hint="eastAsia" w:ascii="宋体" w:hAnsi="宋体" w:cs="System"/>
                <w:color w:val="000000"/>
                <w:kern w:val="0"/>
                <w:sz w:val="24"/>
              </w:rPr>
              <w:t>，钢筋砼结构。</w:t>
            </w:r>
          </w:p>
          <w:p>
            <w:pPr>
              <w:autoSpaceDE w:val="0"/>
              <w:autoSpaceDN w:val="0"/>
              <w:adjustRightInd w:val="0"/>
              <w:snapToGrid w:val="0"/>
              <w:spacing w:line="360" w:lineRule="auto"/>
              <w:ind w:firstLine="480"/>
              <w:jc w:val="left"/>
              <w:rPr>
                <w:rFonts w:ascii="宋体" w:hAnsi="宋体" w:cs="System"/>
                <w:color w:val="000000"/>
                <w:kern w:val="0"/>
                <w:sz w:val="24"/>
              </w:rPr>
            </w:pPr>
            <w:r>
              <w:rPr>
                <w:rFonts w:hint="eastAsia" w:ascii="宋体" w:hAnsi="宋体" w:cs="System"/>
                <w:color w:val="000000"/>
                <w:kern w:val="0"/>
                <w:sz w:val="24"/>
              </w:rPr>
              <w:t>⑧自用水泵房</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一座</w:t>
            </w:r>
            <w:r>
              <w:rPr>
                <w:rFonts w:ascii="宋体" w:hAnsi="宋体" w:cs="System"/>
                <w:color w:val="000000"/>
                <w:kern w:val="0"/>
                <w:sz w:val="24"/>
              </w:rPr>
              <w:t>,</w:t>
            </w:r>
            <w:r>
              <w:rPr>
                <w:rFonts w:hint="eastAsia" w:ascii="宋体" w:hAnsi="宋体" w:cs="System"/>
                <w:color w:val="000000"/>
                <w:kern w:val="0"/>
                <w:sz w:val="24"/>
              </w:rPr>
              <w:t>组合尺寸为</w:t>
            </w:r>
            <w:r>
              <w:rPr>
                <w:rFonts w:ascii="宋体" w:hAnsi="宋体" w:cs="System"/>
                <w:color w:val="000000"/>
                <w:kern w:val="0"/>
                <w:sz w:val="24"/>
              </w:rPr>
              <w:t>7.2</w:t>
            </w:r>
            <w:r>
              <w:rPr>
                <w:rFonts w:hint="eastAsia" w:ascii="宋体" w:hAnsi="宋体" w:cs="System"/>
                <w:color w:val="000000"/>
                <w:kern w:val="0"/>
                <w:sz w:val="24"/>
              </w:rPr>
              <w:t>×</w:t>
            </w:r>
            <w:r>
              <w:rPr>
                <w:rFonts w:ascii="宋体" w:hAnsi="宋体" w:cs="System"/>
                <w:color w:val="000000"/>
                <w:kern w:val="0"/>
                <w:sz w:val="24"/>
              </w:rPr>
              <w:t>4.5</w:t>
            </w:r>
            <w:r>
              <w:rPr>
                <w:rFonts w:hint="eastAsia" w:ascii="宋体" w:hAnsi="宋体" w:cs="System"/>
                <w:color w:val="000000"/>
                <w:kern w:val="0"/>
                <w:sz w:val="24"/>
              </w:rPr>
              <w:t>，层高</w:t>
            </w:r>
            <w:r>
              <w:rPr>
                <w:rFonts w:ascii="宋体" w:hAnsi="宋体" w:cs="System"/>
                <w:color w:val="000000"/>
                <w:kern w:val="0"/>
                <w:sz w:val="24"/>
              </w:rPr>
              <w:t>5.1m,</w:t>
            </w:r>
            <w:r>
              <w:rPr>
                <w:rFonts w:hint="eastAsia" w:ascii="宋体" w:hAnsi="宋体" w:cs="System"/>
                <w:color w:val="000000"/>
                <w:kern w:val="0"/>
                <w:sz w:val="24"/>
              </w:rPr>
              <w:t>钢筋砼结构</w:t>
            </w:r>
            <w:r>
              <w:rPr>
                <w:rFonts w:ascii="宋体" w:hAnsi="宋体" w:cs="System"/>
                <w:color w:val="000000"/>
                <w:kern w:val="0"/>
                <w:sz w:val="24"/>
              </w:rPr>
              <w:t>.</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主要设备：气压供水设备</w:t>
            </w:r>
            <w:r>
              <w:rPr>
                <w:rFonts w:ascii="宋体" w:hAnsi="宋体" w:cs="System"/>
                <w:color w:val="000000"/>
                <w:kern w:val="0"/>
                <w:sz w:val="24"/>
              </w:rPr>
              <w:t>1</w:t>
            </w:r>
            <w:r>
              <w:rPr>
                <w:rFonts w:hint="eastAsia" w:ascii="宋体" w:hAnsi="宋体" w:cs="System"/>
                <w:color w:val="000000"/>
                <w:kern w:val="0"/>
                <w:sz w:val="24"/>
              </w:rPr>
              <w:t>套</w:t>
            </w:r>
            <w:r>
              <w:rPr>
                <w:rFonts w:ascii="宋体" w:hAnsi="宋体" w:cs="System"/>
                <w:color w:val="000000"/>
                <w:kern w:val="0"/>
                <w:sz w:val="24"/>
              </w:rPr>
              <w:t>.</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b/>
                <w:bCs/>
                <w:color w:val="000000"/>
                <w:kern w:val="0"/>
                <w:sz w:val="24"/>
              </w:rPr>
              <w:t xml:space="preserve">  </w:t>
            </w:r>
            <w:r>
              <w:rPr>
                <w:rFonts w:ascii="宋体" w:hAnsi="宋体" w:cs="System"/>
                <w:color w:val="000000"/>
                <w:kern w:val="0"/>
                <w:sz w:val="24"/>
              </w:rPr>
              <w:t xml:space="preserve">  </w:t>
            </w:r>
            <w:r>
              <w:rPr>
                <w:rFonts w:hint="eastAsia" w:ascii="宋体" w:hAnsi="宋体" w:cs="System"/>
                <w:color w:val="000000"/>
                <w:kern w:val="0"/>
                <w:sz w:val="24"/>
              </w:rPr>
              <w:t>⑨综合楼</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w:t>
            </w:r>
            <w:r>
              <w:rPr>
                <w:rFonts w:hint="eastAsia" w:ascii="宋体" w:hAnsi="宋体" w:cs="System"/>
                <w:color w:val="000000"/>
                <w:kern w:val="0"/>
                <w:sz w:val="24"/>
              </w:rPr>
              <w:t>由于自来水公司有集中办公场所，因此，水厂内仅考虑少量的办公用房及值班控制室，组合尺寸为</w:t>
            </w:r>
            <w:r>
              <w:rPr>
                <w:rFonts w:ascii="宋体" w:hAnsi="宋体" w:cs="System"/>
                <w:color w:val="000000"/>
                <w:kern w:val="0"/>
                <w:sz w:val="24"/>
              </w:rPr>
              <w:t>7.2</w:t>
            </w:r>
            <w:r>
              <w:rPr>
                <w:rFonts w:hint="eastAsia" w:ascii="宋体" w:hAnsi="宋体" w:cs="System"/>
                <w:color w:val="000000"/>
                <w:kern w:val="0"/>
                <w:sz w:val="24"/>
              </w:rPr>
              <w:t>×</w:t>
            </w:r>
            <w:r>
              <w:rPr>
                <w:rFonts w:ascii="宋体" w:hAnsi="宋体" w:cs="System"/>
                <w:color w:val="000000"/>
                <w:kern w:val="0"/>
                <w:sz w:val="24"/>
              </w:rPr>
              <w:t>21</w:t>
            </w:r>
            <w:r>
              <w:rPr>
                <w:rFonts w:hint="eastAsia" w:ascii="宋体" w:hAnsi="宋体" w:cs="System"/>
                <w:color w:val="000000"/>
                <w:kern w:val="0"/>
                <w:sz w:val="24"/>
              </w:rPr>
              <w:t>，总高</w:t>
            </w:r>
            <w:r>
              <w:rPr>
                <w:rFonts w:ascii="宋体" w:hAnsi="宋体" w:cs="System"/>
                <w:color w:val="000000"/>
                <w:kern w:val="0"/>
                <w:sz w:val="24"/>
              </w:rPr>
              <w:t>9.9m</w:t>
            </w:r>
            <w:r>
              <w:rPr>
                <w:rFonts w:hint="eastAsia" w:ascii="宋体" w:hAnsi="宋体" w:cs="System"/>
                <w:color w:val="000000"/>
                <w:kern w:val="0"/>
                <w:sz w:val="24"/>
              </w:rPr>
              <w:t>（共三层）</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b/>
                <w:bCs/>
                <w:color w:val="000000"/>
                <w:kern w:val="0"/>
                <w:sz w:val="24"/>
              </w:rPr>
              <w:t xml:space="preserve">  </w:t>
            </w:r>
            <w:r>
              <w:rPr>
                <w:rFonts w:ascii="宋体" w:hAnsi="宋体" w:cs="System"/>
                <w:color w:val="000000"/>
                <w:kern w:val="0"/>
                <w:sz w:val="24"/>
              </w:rPr>
              <w:t xml:space="preserve">  </w:t>
            </w:r>
            <w:r>
              <w:rPr>
                <w:rFonts w:hint="eastAsia" w:ascii="宋体" w:hAnsi="宋体" w:cs="System"/>
                <w:color w:val="000000"/>
                <w:kern w:val="0"/>
                <w:sz w:val="24"/>
              </w:rPr>
              <w:t>⑩维修间、仓库</w:t>
            </w:r>
          </w:p>
          <w:p>
            <w:pPr>
              <w:autoSpaceDE w:val="0"/>
              <w:autoSpaceDN w:val="0"/>
              <w:adjustRightInd w:val="0"/>
              <w:snapToGrid w:val="0"/>
              <w:spacing w:line="360" w:lineRule="auto"/>
              <w:jc w:val="left"/>
              <w:rPr>
                <w:rFonts w:ascii="宋体" w:hAnsi="宋体" w:cs="System"/>
                <w:color w:val="000000"/>
                <w:kern w:val="0"/>
                <w:sz w:val="24"/>
              </w:rPr>
            </w:pPr>
            <w:r>
              <w:rPr>
                <w:rFonts w:ascii="宋体" w:hAnsi="宋体" w:cs="System"/>
                <w:color w:val="000000"/>
                <w:kern w:val="0"/>
                <w:sz w:val="24"/>
              </w:rPr>
              <w:t xml:space="preserve">    19.8</w:t>
            </w:r>
            <w:r>
              <w:rPr>
                <w:rFonts w:hint="eastAsia" w:ascii="宋体" w:hAnsi="宋体" w:cs="System"/>
                <w:color w:val="000000"/>
                <w:kern w:val="0"/>
                <w:sz w:val="24"/>
              </w:rPr>
              <w:t>×</w:t>
            </w:r>
            <w:r>
              <w:rPr>
                <w:rFonts w:ascii="宋体" w:hAnsi="宋体" w:cs="System"/>
                <w:color w:val="000000"/>
                <w:kern w:val="0"/>
                <w:sz w:val="24"/>
              </w:rPr>
              <w:t>6.0m</w:t>
            </w:r>
            <w:r>
              <w:rPr>
                <w:rFonts w:hint="eastAsia" w:ascii="宋体" w:hAnsi="宋体" w:cs="System"/>
                <w:color w:val="000000"/>
                <w:kern w:val="0"/>
                <w:sz w:val="24"/>
              </w:rPr>
              <w:t>，单层，层高</w:t>
            </w:r>
            <w:r>
              <w:rPr>
                <w:rFonts w:ascii="宋体" w:hAnsi="宋体" w:cs="System"/>
                <w:color w:val="000000"/>
                <w:kern w:val="0"/>
                <w:sz w:val="24"/>
              </w:rPr>
              <w:t>3.9m</w:t>
            </w:r>
            <w:r>
              <w:rPr>
                <w:rFonts w:hint="eastAsia" w:ascii="宋体" w:hAnsi="宋体" w:cs="System"/>
                <w:color w:val="000000"/>
                <w:kern w:val="0"/>
                <w:sz w:val="24"/>
              </w:rPr>
              <w:t>。</w:t>
            </w:r>
          </w:p>
          <w:p>
            <w:pPr>
              <w:autoSpaceDE w:val="0"/>
              <w:autoSpaceDN w:val="0"/>
              <w:adjustRightInd w:val="0"/>
              <w:snapToGrid w:val="0"/>
              <w:spacing w:line="360" w:lineRule="auto"/>
              <w:jc w:val="center"/>
              <w:rPr>
                <w:rFonts w:ascii="宋体" w:hAnsi="宋体" w:cs="宋体"/>
                <w:b/>
              </w:rPr>
            </w:pPr>
            <w:r>
              <w:rPr>
                <w:rFonts w:hint="eastAsia" w:ascii="宋体" w:hAnsi="宋体" w:cs="宋体"/>
                <w:b/>
              </w:rPr>
              <w:t>表</w:t>
            </w:r>
            <w:r>
              <w:rPr>
                <w:rFonts w:ascii="宋体" w:hAnsi="宋体" w:cs="宋体"/>
                <w:b/>
              </w:rPr>
              <w:t>2-4</w:t>
            </w:r>
            <w:r>
              <w:rPr>
                <w:rFonts w:hint="eastAsia" w:ascii="宋体" w:hAnsi="宋体" w:cs="宋体"/>
                <w:b/>
              </w:rPr>
              <w:t xml:space="preserve"> 主要构筑物一览表</w:t>
            </w:r>
          </w:p>
          <w:tbl>
            <w:tblPr>
              <w:tblStyle w:val="39"/>
              <w:tblW w:w="497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446"/>
              <w:gridCol w:w="2422"/>
              <w:gridCol w:w="1452"/>
              <w:gridCol w:w="899"/>
              <w:gridCol w:w="9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441" w:type="pct"/>
                  <w:noWrap w:val="0"/>
                  <w:vAlign w:val="center"/>
                </w:tcPr>
                <w:p>
                  <w:pPr>
                    <w:widowControl/>
                    <w:jc w:val="center"/>
                    <w:rPr>
                      <w:rFonts w:ascii="宋体" w:hAnsi="宋体" w:cs="宋体"/>
                      <w:kern w:val="0"/>
                      <w:szCs w:val="21"/>
                    </w:rPr>
                  </w:pPr>
                  <w:r>
                    <w:rPr>
                      <w:rFonts w:hint="eastAsia" w:ascii="宋体" w:hAnsi="宋体" w:cs="宋体"/>
                      <w:kern w:val="0"/>
                      <w:szCs w:val="21"/>
                    </w:rPr>
                    <w:t>序号</w:t>
                  </w:r>
                </w:p>
              </w:tc>
              <w:tc>
                <w:tcPr>
                  <w:tcW w:w="917" w:type="pct"/>
                  <w:noWrap w:val="0"/>
                  <w:vAlign w:val="center"/>
                </w:tcPr>
                <w:p>
                  <w:pPr>
                    <w:widowControl/>
                    <w:jc w:val="center"/>
                    <w:rPr>
                      <w:rFonts w:ascii="宋体" w:hAnsi="宋体" w:cs="宋体"/>
                      <w:kern w:val="0"/>
                      <w:szCs w:val="21"/>
                    </w:rPr>
                  </w:pPr>
                  <w:r>
                    <w:rPr>
                      <w:rFonts w:hint="eastAsia" w:ascii="宋体" w:hAnsi="宋体" w:cs="宋体"/>
                      <w:kern w:val="0"/>
                      <w:szCs w:val="21"/>
                    </w:rPr>
                    <w:t>名称</w:t>
                  </w:r>
                </w:p>
              </w:tc>
              <w:tc>
                <w:tcPr>
                  <w:tcW w:w="1537" w:type="pct"/>
                  <w:noWrap w:val="0"/>
                  <w:vAlign w:val="center"/>
                </w:tcPr>
                <w:p>
                  <w:pPr>
                    <w:widowControl/>
                    <w:jc w:val="center"/>
                    <w:rPr>
                      <w:rFonts w:ascii="宋体" w:hAnsi="宋体" w:cs="宋体"/>
                      <w:kern w:val="0"/>
                      <w:szCs w:val="21"/>
                    </w:rPr>
                  </w:pPr>
                  <w:r>
                    <w:rPr>
                      <w:rFonts w:hint="eastAsia" w:ascii="宋体" w:hAnsi="宋体" w:cs="宋体"/>
                      <w:kern w:val="0"/>
                      <w:szCs w:val="21"/>
                    </w:rPr>
                    <w:t>主要几何尺寸（m）</w:t>
                  </w:r>
                </w:p>
              </w:tc>
              <w:tc>
                <w:tcPr>
                  <w:tcW w:w="921" w:type="pct"/>
                  <w:noWrap w:val="0"/>
                  <w:vAlign w:val="center"/>
                </w:tcPr>
                <w:p>
                  <w:pPr>
                    <w:widowControl/>
                    <w:jc w:val="center"/>
                    <w:rPr>
                      <w:rFonts w:ascii="宋体" w:hAnsi="宋体" w:cs="宋体"/>
                      <w:kern w:val="0"/>
                      <w:szCs w:val="21"/>
                    </w:rPr>
                  </w:pPr>
                  <w:r>
                    <w:rPr>
                      <w:rFonts w:hint="eastAsia" w:ascii="宋体" w:hAnsi="宋体" w:cs="宋体"/>
                      <w:kern w:val="0"/>
                      <w:szCs w:val="21"/>
                    </w:rPr>
                    <w:t>结构形式</w:t>
                  </w:r>
                </w:p>
              </w:tc>
              <w:tc>
                <w:tcPr>
                  <w:tcW w:w="571" w:type="pct"/>
                  <w:noWrap w:val="0"/>
                  <w:vAlign w:val="center"/>
                </w:tcPr>
                <w:p>
                  <w:pPr>
                    <w:widowControl/>
                    <w:jc w:val="center"/>
                    <w:rPr>
                      <w:rFonts w:ascii="宋体" w:hAnsi="宋体" w:cs="宋体"/>
                      <w:kern w:val="0"/>
                      <w:szCs w:val="21"/>
                    </w:rPr>
                  </w:pPr>
                  <w:r>
                    <w:rPr>
                      <w:rFonts w:hint="eastAsia" w:ascii="宋体" w:hAnsi="宋体" w:cs="宋体"/>
                      <w:kern w:val="0"/>
                      <w:szCs w:val="21"/>
                    </w:rPr>
                    <w:t>数量</w:t>
                  </w:r>
                </w:p>
              </w:tc>
              <w:tc>
                <w:tcPr>
                  <w:tcW w:w="610" w:type="pct"/>
                  <w:noWrap w:val="0"/>
                  <w:vAlign w:val="center"/>
                </w:tcPr>
                <w:p>
                  <w:pPr>
                    <w:widowControl/>
                    <w:jc w:val="center"/>
                    <w:rPr>
                      <w:rFonts w:ascii="宋体" w:hAnsi="宋体" w:cs="宋体"/>
                      <w:kern w:val="0"/>
                      <w:szCs w:val="21"/>
                    </w:rPr>
                  </w:pPr>
                  <w:r>
                    <w:rPr>
                      <w:rFonts w:hint="eastAsia" w:ascii="宋体" w:hAnsi="宋体" w:cs="宋体"/>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441" w:type="pct"/>
                  <w:noWrap w:val="0"/>
                  <w:vAlign w:val="center"/>
                </w:tcPr>
                <w:p>
                  <w:pPr>
                    <w:widowControl/>
                    <w:jc w:val="center"/>
                    <w:rPr>
                      <w:rFonts w:ascii="宋体" w:hAnsi="宋体" w:cs="宋体"/>
                      <w:kern w:val="0"/>
                      <w:szCs w:val="21"/>
                    </w:rPr>
                  </w:pPr>
                  <w:r>
                    <w:rPr>
                      <w:rFonts w:hint="eastAsia" w:ascii="宋体" w:hAnsi="宋体" w:cs="宋体"/>
                      <w:kern w:val="0"/>
                      <w:szCs w:val="21"/>
                    </w:rPr>
                    <w:t>1</w:t>
                  </w:r>
                </w:p>
              </w:tc>
              <w:tc>
                <w:tcPr>
                  <w:tcW w:w="917" w:type="pct"/>
                  <w:noWrap w:val="0"/>
                  <w:vAlign w:val="center"/>
                </w:tcPr>
                <w:p>
                  <w:pPr>
                    <w:widowControl/>
                    <w:jc w:val="center"/>
                    <w:rPr>
                      <w:rFonts w:ascii="宋体" w:hAnsi="宋体" w:cs="宋体"/>
                      <w:kern w:val="0"/>
                      <w:szCs w:val="21"/>
                    </w:rPr>
                  </w:pPr>
                  <w:r>
                    <w:rPr>
                      <w:rFonts w:hint="eastAsia" w:ascii="宋体" w:hAnsi="宋体" w:cs="宋体"/>
                      <w:kern w:val="0"/>
                      <w:szCs w:val="21"/>
                    </w:rPr>
                    <w:t>混合反应斜管沉淀池</w:t>
                  </w:r>
                </w:p>
              </w:tc>
              <w:tc>
                <w:tcPr>
                  <w:tcW w:w="1537" w:type="pct"/>
                  <w:noWrap/>
                  <w:vAlign w:val="center"/>
                </w:tcPr>
                <w:p>
                  <w:pPr>
                    <w:widowControl/>
                    <w:jc w:val="center"/>
                    <w:rPr>
                      <w:rFonts w:ascii="宋体" w:hAnsi="宋体" w:cs="宋体"/>
                      <w:kern w:val="0"/>
                      <w:szCs w:val="21"/>
                    </w:rPr>
                  </w:pPr>
                  <w:r>
                    <w:rPr>
                      <w:rFonts w:hint="eastAsia" w:ascii="宋体" w:hAnsi="宋体" w:cs="宋体"/>
                      <w:kern w:val="0"/>
                      <w:szCs w:val="21"/>
                    </w:rPr>
                    <w:t>L×B×H=20.00×12.40×5.15</w:t>
                  </w:r>
                </w:p>
              </w:tc>
              <w:tc>
                <w:tcPr>
                  <w:tcW w:w="921" w:type="pct"/>
                  <w:noWrap w:val="0"/>
                  <w:vAlign w:val="center"/>
                </w:tcPr>
                <w:p>
                  <w:pPr>
                    <w:widowControl/>
                    <w:jc w:val="center"/>
                    <w:rPr>
                      <w:rFonts w:ascii="宋体" w:hAnsi="宋体" w:cs="宋体"/>
                      <w:kern w:val="0"/>
                      <w:szCs w:val="21"/>
                    </w:rPr>
                  </w:pPr>
                  <w:r>
                    <w:rPr>
                      <w:rFonts w:hint="eastAsia" w:ascii="宋体" w:hAnsi="宋体" w:cs="宋体"/>
                      <w:szCs w:val="21"/>
                    </w:rPr>
                    <w:t>C30钢筋砼结构</w:t>
                  </w:r>
                </w:p>
              </w:tc>
              <w:tc>
                <w:tcPr>
                  <w:tcW w:w="571" w:type="pct"/>
                  <w:noWrap w:val="0"/>
                  <w:vAlign w:val="center"/>
                </w:tcPr>
                <w:p>
                  <w:pPr>
                    <w:widowControl/>
                    <w:jc w:val="center"/>
                    <w:rPr>
                      <w:rFonts w:ascii="宋体" w:hAnsi="宋体" w:cs="宋体"/>
                      <w:kern w:val="0"/>
                      <w:szCs w:val="21"/>
                    </w:rPr>
                  </w:pPr>
                  <w:r>
                    <w:rPr>
                      <w:rFonts w:hint="eastAsia" w:ascii="宋体" w:hAnsi="宋体" w:cs="宋体"/>
                      <w:kern w:val="0"/>
                      <w:szCs w:val="21"/>
                    </w:rPr>
                    <w:t>2座</w:t>
                  </w:r>
                </w:p>
              </w:tc>
              <w:tc>
                <w:tcPr>
                  <w:tcW w:w="610" w:type="pct"/>
                  <w:noWrap w:val="0"/>
                  <w:vAlign w:val="center"/>
                </w:tcPr>
                <w:p>
                  <w:pPr>
                    <w:widowControl/>
                    <w:jc w:val="center"/>
                    <w:rPr>
                      <w:rFonts w:ascii="宋体" w:hAnsi="宋体" w:cs="宋体"/>
                      <w:kern w:val="0"/>
                      <w:szCs w:val="21"/>
                    </w:rPr>
                  </w:pPr>
                  <w:r>
                    <w:rPr>
                      <w:rFonts w:hint="eastAsia" w:ascii="宋体" w:hAnsi="宋体" w:cs="宋体"/>
                      <w:kern w:val="0"/>
                      <w:szCs w:val="21"/>
                    </w:rPr>
                    <w:t>两组并联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441" w:type="pct"/>
                  <w:noWrap w:val="0"/>
                  <w:vAlign w:val="center"/>
                </w:tcPr>
                <w:p>
                  <w:pPr>
                    <w:widowControl/>
                    <w:jc w:val="center"/>
                    <w:rPr>
                      <w:rFonts w:ascii="宋体" w:hAnsi="宋体" w:cs="宋体"/>
                      <w:kern w:val="0"/>
                      <w:szCs w:val="21"/>
                    </w:rPr>
                  </w:pPr>
                  <w:r>
                    <w:rPr>
                      <w:rFonts w:hint="eastAsia" w:ascii="宋体" w:hAnsi="宋体" w:cs="宋体"/>
                      <w:kern w:val="0"/>
                      <w:szCs w:val="21"/>
                    </w:rPr>
                    <w:t>2</w:t>
                  </w:r>
                </w:p>
              </w:tc>
              <w:tc>
                <w:tcPr>
                  <w:tcW w:w="917" w:type="pct"/>
                  <w:noWrap w:val="0"/>
                  <w:vAlign w:val="center"/>
                </w:tcPr>
                <w:p>
                  <w:pPr>
                    <w:widowControl/>
                    <w:jc w:val="center"/>
                    <w:rPr>
                      <w:rFonts w:ascii="宋体" w:hAnsi="宋体" w:cs="宋体"/>
                      <w:kern w:val="0"/>
                      <w:szCs w:val="21"/>
                    </w:rPr>
                  </w:pPr>
                  <w:r>
                    <w:rPr>
                      <w:rFonts w:hint="eastAsia" w:ascii="宋体" w:hAnsi="宋体" w:cs="宋体"/>
                      <w:kern w:val="0"/>
                      <w:szCs w:val="21"/>
                    </w:rPr>
                    <w:t>单阀滤池</w:t>
                  </w:r>
                </w:p>
              </w:tc>
              <w:tc>
                <w:tcPr>
                  <w:tcW w:w="1537" w:type="pct"/>
                  <w:noWrap/>
                  <w:vAlign w:val="center"/>
                </w:tcPr>
                <w:p>
                  <w:pPr>
                    <w:widowControl/>
                    <w:jc w:val="center"/>
                    <w:rPr>
                      <w:rFonts w:ascii="宋体" w:hAnsi="宋体" w:cs="宋体"/>
                      <w:kern w:val="0"/>
                      <w:szCs w:val="21"/>
                    </w:rPr>
                  </w:pPr>
                  <w:r>
                    <w:rPr>
                      <w:rFonts w:hint="eastAsia" w:ascii="宋体" w:hAnsi="宋体" w:cs="宋体"/>
                      <w:kern w:val="0"/>
                      <w:szCs w:val="21"/>
                    </w:rPr>
                    <w:t>L×B×H=9.95×5.10×4.90</w:t>
                  </w:r>
                </w:p>
              </w:tc>
              <w:tc>
                <w:tcPr>
                  <w:tcW w:w="921" w:type="pct"/>
                  <w:noWrap w:val="0"/>
                  <w:vAlign w:val="center"/>
                </w:tcPr>
                <w:p>
                  <w:pPr>
                    <w:widowControl/>
                    <w:jc w:val="center"/>
                    <w:rPr>
                      <w:rFonts w:ascii="宋体" w:hAnsi="宋体" w:cs="宋体"/>
                      <w:kern w:val="0"/>
                      <w:szCs w:val="21"/>
                    </w:rPr>
                  </w:pPr>
                  <w:r>
                    <w:rPr>
                      <w:rFonts w:hint="eastAsia" w:ascii="宋体" w:hAnsi="宋体" w:cs="宋体"/>
                      <w:szCs w:val="21"/>
                    </w:rPr>
                    <w:t>C30钢筋砼结构</w:t>
                  </w:r>
                </w:p>
              </w:tc>
              <w:tc>
                <w:tcPr>
                  <w:tcW w:w="571" w:type="pct"/>
                  <w:noWrap w:val="0"/>
                  <w:vAlign w:val="center"/>
                </w:tcPr>
                <w:p>
                  <w:pPr>
                    <w:widowControl/>
                    <w:jc w:val="center"/>
                    <w:rPr>
                      <w:rFonts w:ascii="宋体" w:hAnsi="宋体" w:cs="宋体"/>
                      <w:kern w:val="0"/>
                      <w:szCs w:val="21"/>
                    </w:rPr>
                  </w:pPr>
                  <w:r>
                    <w:rPr>
                      <w:rFonts w:hint="eastAsia" w:ascii="宋体" w:hAnsi="宋体" w:cs="宋体"/>
                      <w:kern w:val="0"/>
                      <w:szCs w:val="21"/>
                    </w:rPr>
                    <w:t>2组</w:t>
                  </w:r>
                </w:p>
              </w:tc>
              <w:tc>
                <w:tcPr>
                  <w:tcW w:w="610" w:type="pct"/>
                  <w:noWrap w:val="0"/>
                  <w:vAlign w:val="center"/>
                </w:tcPr>
                <w:p>
                  <w:pPr>
                    <w:widowControl/>
                    <w:jc w:val="center"/>
                    <w:rPr>
                      <w:rFonts w:ascii="宋体" w:hAnsi="宋体" w:cs="宋体"/>
                      <w:kern w:val="0"/>
                      <w:szCs w:val="21"/>
                    </w:rPr>
                  </w:pPr>
                  <w:r>
                    <w:rPr>
                      <w:rFonts w:hint="eastAsia" w:ascii="宋体" w:hAnsi="宋体" w:cs="宋体"/>
                      <w:kern w:val="0"/>
                      <w:szCs w:val="21"/>
                    </w:rPr>
                    <w:t>4座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441" w:type="pct"/>
                  <w:noWrap w:val="0"/>
                  <w:vAlign w:val="center"/>
                </w:tcPr>
                <w:p>
                  <w:pPr>
                    <w:widowControl/>
                    <w:jc w:val="center"/>
                    <w:rPr>
                      <w:rFonts w:ascii="宋体" w:hAnsi="宋体" w:cs="宋体"/>
                      <w:kern w:val="0"/>
                      <w:szCs w:val="21"/>
                    </w:rPr>
                  </w:pPr>
                  <w:r>
                    <w:rPr>
                      <w:rFonts w:hint="eastAsia" w:ascii="宋体" w:hAnsi="宋体" w:cs="宋体"/>
                      <w:kern w:val="0"/>
                      <w:szCs w:val="21"/>
                    </w:rPr>
                    <w:t>3</w:t>
                  </w:r>
                </w:p>
              </w:tc>
              <w:tc>
                <w:tcPr>
                  <w:tcW w:w="917" w:type="pct"/>
                  <w:noWrap w:val="0"/>
                  <w:vAlign w:val="center"/>
                </w:tcPr>
                <w:p>
                  <w:pPr>
                    <w:widowControl/>
                    <w:jc w:val="center"/>
                    <w:rPr>
                      <w:rFonts w:ascii="宋体" w:hAnsi="宋体" w:cs="宋体"/>
                      <w:kern w:val="0"/>
                      <w:szCs w:val="21"/>
                    </w:rPr>
                  </w:pPr>
                  <w:r>
                    <w:rPr>
                      <w:rFonts w:hint="eastAsia" w:ascii="宋体" w:hAnsi="宋体" w:cs="宋体"/>
                      <w:kern w:val="0"/>
                      <w:szCs w:val="21"/>
                    </w:rPr>
                    <w:t>清水池</w:t>
                  </w:r>
                </w:p>
              </w:tc>
              <w:tc>
                <w:tcPr>
                  <w:tcW w:w="1537" w:type="pct"/>
                  <w:noWrap/>
                  <w:vAlign w:val="center"/>
                </w:tcPr>
                <w:p>
                  <w:pPr>
                    <w:widowControl/>
                    <w:jc w:val="center"/>
                    <w:rPr>
                      <w:rFonts w:ascii="宋体" w:hAnsi="宋体" w:cs="宋体"/>
                      <w:kern w:val="0"/>
                      <w:szCs w:val="21"/>
                    </w:rPr>
                  </w:pPr>
                  <w:r>
                    <w:rPr>
                      <w:rFonts w:hint="eastAsia" w:ascii="宋体" w:hAnsi="宋体" w:cs="宋体"/>
                      <w:kern w:val="0"/>
                      <w:szCs w:val="21"/>
                    </w:rPr>
                    <w:t>L×B×H=25.50×25.50×4.45</w:t>
                  </w:r>
                </w:p>
              </w:tc>
              <w:tc>
                <w:tcPr>
                  <w:tcW w:w="921" w:type="pct"/>
                  <w:noWrap w:val="0"/>
                  <w:vAlign w:val="center"/>
                </w:tcPr>
                <w:p>
                  <w:pPr>
                    <w:widowControl/>
                    <w:jc w:val="center"/>
                    <w:rPr>
                      <w:rFonts w:ascii="宋体" w:hAnsi="宋体" w:cs="宋体"/>
                      <w:kern w:val="0"/>
                      <w:szCs w:val="21"/>
                    </w:rPr>
                  </w:pPr>
                  <w:r>
                    <w:rPr>
                      <w:rFonts w:hint="eastAsia" w:ascii="宋体" w:hAnsi="宋体" w:cs="宋体"/>
                      <w:szCs w:val="21"/>
                    </w:rPr>
                    <w:t>C30钢筋砼结构</w:t>
                  </w:r>
                </w:p>
              </w:tc>
              <w:tc>
                <w:tcPr>
                  <w:tcW w:w="571" w:type="pct"/>
                  <w:noWrap w:val="0"/>
                  <w:vAlign w:val="center"/>
                </w:tcPr>
                <w:p>
                  <w:pPr>
                    <w:widowControl/>
                    <w:jc w:val="center"/>
                    <w:rPr>
                      <w:rFonts w:ascii="宋体" w:hAnsi="宋体" w:cs="宋体"/>
                      <w:kern w:val="0"/>
                      <w:szCs w:val="21"/>
                    </w:rPr>
                  </w:pPr>
                  <w:r>
                    <w:rPr>
                      <w:rFonts w:hint="eastAsia" w:ascii="宋体" w:hAnsi="宋体" w:cs="宋体"/>
                      <w:kern w:val="0"/>
                      <w:szCs w:val="21"/>
                    </w:rPr>
                    <w:t>2座</w:t>
                  </w:r>
                </w:p>
              </w:tc>
              <w:tc>
                <w:tcPr>
                  <w:tcW w:w="610" w:type="pct"/>
                  <w:noWrap w:val="0"/>
                  <w:vAlign w:val="center"/>
                </w:tcPr>
                <w:p>
                  <w:pPr>
                    <w:widowControl/>
                    <w:jc w:val="center"/>
                    <w:rPr>
                      <w:rFonts w:ascii="宋体" w:hAnsi="宋体" w:cs="宋体"/>
                      <w:kern w:val="0"/>
                      <w:szCs w:val="21"/>
                    </w:rPr>
                  </w:pPr>
                </w:p>
              </w:tc>
            </w:tr>
          </w:tbl>
          <w:p>
            <w:pPr>
              <w:adjustRightInd w:val="0"/>
              <w:snapToGrid w:val="0"/>
              <w:spacing w:line="360" w:lineRule="auto"/>
              <w:ind w:firstLine="482" w:firstLineChars="200"/>
              <w:rPr>
                <w:b/>
                <w:bCs/>
                <w:sz w:val="24"/>
              </w:rPr>
            </w:pPr>
            <w:r>
              <w:rPr>
                <w:rFonts w:hint="eastAsia"/>
                <w:b/>
                <w:bCs/>
                <w:sz w:val="24"/>
              </w:rPr>
              <w:t>（</w:t>
            </w:r>
            <w:r>
              <w:rPr>
                <w:b/>
                <w:bCs/>
                <w:sz w:val="24"/>
              </w:rPr>
              <w:t>4</w:t>
            </w:r>
            <w:r>
              <w:rPr>
                <w:rFonts w:hint="eastAsia"/>
                <w:b/>
                <w:bCs/>
                <w:sz w:val="24"/>
              </w:rPr>
              <w:t>）配水工程</w:t>
            </w:r>
          </w:p>
          <w:p>
            <w:pPr>
              <w:adjustRightInd w:val="0"/>
              <w:snapToGrid w:val="0"/>
              <w:spacing w:line="360" w:lineRule="auto"/>
              <w:ind w:firstLine="480" w:firstLineChars="200"/>
              <w:rPr>
                <w:sz w:val="24"/>
              </w:rPr>
            </w:pPr>
            <w:r>
              <w:rPr>
                <w:rFonts w:hint="eastAsia"/>
                <w:sz w:val="24"/>
              </w:rPr>
              <w:t>本次评价配水工程仅包括一座送水泵房以及一座高位水池。净化后的自来水通过加压供水方式及抽水至高位水池的方式分别向用户供水</w:t>
            </w:r>
          </w:p>
          <w:p>
            <w:pPr>
              <w:adjustRightInd w:val="0"/>
              <w:snapToGrid w:val="0"/>
              <w:spacing w:line="360" w:lineRule="auto"/>
              <w:ind w:firstLine="480" w:firstLineChars="200"/>
              <w:rPr>
                <w:sz w:val="24"/>
              </w:rPr>
            </w:pPr>
            <w:r>
              <w:rPr>
                <w:rFonts w:hint="eastAsia"/>
                <w:sz w:val="24"/>
              </w:rPr>
              <w:t>送水泵房：设置送水泵房一座，位于净水厂南侧，内设K</w:t>
            </w:r>
            <w:r>
              <w:rPr>
                <w:sz w:val="24"/>
              </w:rPr>
              <w:t>QSN250-N4</w:t>
            </w:r>
            <w:r>
              <w:rPr>
                <w:rFonts w:hint="eastAsia"/>
                <w:sz w:val="24"/>
              </w:rPr>
              <w:t>离心泵三台，两用一备，为自来水加压。</w:t>
            </w:r>
          </w:p>
          <w:p>
            <w:pPr>
              <w:jc w:val="center"/>
              <w:rPr>
                <w:rFonts w:ascii="宋体" w:hAnsi="宋体" w:cs="宋体"/>
                <w:b/>
                <w:bCs/>
              </w:rPr>
            </w:pPr>
            <w:r>
              <w:rPr>
                <w:rFonts w:hint="eastAsia" w:ascii="宋体" w:hAnsi="宋体" w:cs="宋体"/>
                <w:b/>
                <w:bCs/>
              </w:rPr>
              <w:t>表</w:t>
            </w:r>
            <w:r>
              <w:rPr>
                <w:rFonts w:ascii="宋体" w:hAnsi="宋体" w:cs="宋体"/>
                <w:b/>
                <w:bCs/>
              </w:rPr>
              <w:t>2-5</w:t>
            </w:r>
            <w:r>
              <w:rPr>
                <w:rFonts w:hint="eastAsia" w:ascii="宋体" w:hAnsi="宋体" w:cs="宋体"/>
                <w:b/>
                <w:bCs/>
              </w:rPr>
              <w:t xml:space="preserve">  单台水泵工作主要性能参数表</w:t>
            </w:r>
          </w:p>
          <w:tbl>
            <w:tblPr>
              <w:tblStyle w:val="39"/>
              <w:tblW w:w="504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35"/>
              <w:gridCol w:w="1171"/>
              <w:gridCol w:w="1138"/>
              <w:gridCol w:w="694"/>
              <w:gridCol w:w="1771"/>
              <w:gridCol w:w="785"/>
              <w:gridCol w:w="9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96" w:type="pct"/>
                  <w:noWrap w:val="0"/>
                  <w:vAlign w:val="center"/>
                </w:tcPr>
                <w:p>
                  <w:pPr>
                    <w:widowControl/>
                    <w:jc w:val="center"/>
                    <w:rPr>
                      <w:rFonts w:ascii="宋体" w:hAnsi="宋体" w:cs="宋体"/>
                      <w:bCs/>
                      <w:kern w:val="0"/>
                    </w:rPr>
                  </w:pPr>
                  <w:r>
                    <w:rPr>
                      <w:rFonts w:hint="eastAsia" w:ascii="宋体" w:hAnsi="宋体" w:cs="宋体"/>
                      <w:bCs/>
                      <w:kern w:val="0"/>
                    </w:rPr>
                    <w:t>规格型号</w:t>
                  </w:r>
                </w:p>
              </w:tc>
              <w:tc>
                <w:tcPr>
                  <w:tcW w:w="733" w:type="pct"/>
                  <w:noWrap w:val="0"/>
                  <w:vAlign w:val="center"/>
                </w:tcPr>
                <w:p>
                  <w:pPr>
                    <w:widowControl/>
                    <w:jc w:val="center"/>
                    <w:rPr>
                      <w:rFonts w:ascii="宋体" w:hAnsi="宋体" w:cs="宋体"/>
                      <w:bCs/>
                      <w:kern w:val="0"/>
                    </w:rPr>
                  </w:pPr>
                  <w:r>
                    <w:rPr>
                      <w:rFonts w:hint="eastAsia" w:ascii="宋体" w:hAnsi="宋体" w:cs="宋体"/>
                      <w:bCs/>
                      <w:kern w:val="0"/>
                    </w:rPr>
                    <w:t>额定流量</w:t>
                  </w:r>
                </w:p>
                <w:p>
                  <w:pPr>
                    <w:jc w:val="center"/>
                    <w:rPr>
                      <w:rFonts w:ascii="宋体" w:hAnsi="宋体" w:cs="宋体"/>
                      <w:bCs/>
                      <w:kern w:val="0"/>
                    </w:rPr>
                  </w:pPr>
                  <w:r>
                    <w:rPr>
                      <w:rFonts w:hint="eastAsia" w:ascii="宋体" w:hAnsi="宋体" w:cs="宋体"/>
                      <w:bCs/>
                      <w:kern w:val="0"/>
                    </w:rPr>
                    <w:t>m³/h</w:t>
                  </w:r>
                </w:p>
              </w:tc>
              <w:tc>
                <w:tcPr>
                  <w:tcW w:w="712" w:type="pct"/>
                  <w:noWrap w:val="0"/>
                  <w:vAlign w:val="center"/>
                </w:tcPr>
                <w:p>
                  <w:pPr>
                    <w:widowControl/>
                    <w:jc w:val="center"/>
                    <w:rPr>
                      <w:rFonts w:ascii="宋体" w:hAnsi="宋体" w:cs="宋体"/>
                      <w:bCs/>
                      <w:kern w:val="0"/>
                    </w:rPr>
                  </w:pPr>
                  <w:r>
                    <w:rPr>
                      <w:rFonts w:hint="eastAsia" w:ascii="宋体" w:hAnsi="宋体" w:cs="宋体"/>
                      <w:bCs/>
                      <w:kern w:val="0"/>
                    </w:rPr>
                    <w:t>额定扬程</w:t>
                  </w:r>
                </w:p>
                <w:p>
                  <w:pPr>
                    <w:jc w:val="center"/>
                    <w:rPr>
                      <w:rFonts w:ascii="宋体" w:hAnsi="宋体" w:cs="宋体"/>
                      <w:bCs/>
                      <w:kern w:val="0"/>
                    </w:rPr>
                  </w:pPr>
                  <w:r>
                    <w:rPr>
                      <w:rFonts w:hint="eastAsia" w:ascii="宋体" w:hAnsi="宋体" w:cs="宋体"/>
                      <w:bCs/>
                      <w:kern w:val="0"/>
                    </w:rPr>
                    <w:t>m</w:t>
                  </w:r>
                </w:p>
              </w:tc>
              <w:tc>
                <w:tcPr>
                  <w:tcW w:w="434" w:type="pct"/>
                  <w:noWrap w:val="0"/>
                  <w:vAlign w:val="center"/>
                </w:tcPr>
                <w:p>
                  <w:pPr>
                    <w:widowControl/>
                    <w:jc w:val="center"/>
                    <w:rPr>
                      <w:rFonts w:ascii="宋体" w:hAnsi="宋体" w:cs="宋体"/>
                      <w:bCs/>
                      <w:kern w:val="0"/>
                    </w:rPr>
                  </w:pPr>
                  <w:r>
                    <w:rPr>
                      <w:rFonts w:hint="eastAsia" w:ascii="宋体" w:hAnsi="宋体" w:cs="宋体"/>
                      <w:bCs/>
                      <w:kern w:val="0"/>
                    </w:rPr>
                    <w:t>功率</w:t>
                  </w:r>
                </w:p>
                <w:p>
                  <w:pPr>
                    <w:widowControl/>
                    <w:jc w:val="center"/>
                    <w:rPr>
                      <w:rFonts w:ascii="宋体" w:hAnsi="宋体" w:cs="宋体"/>
                      <w:bCs/>
                      <w:kern w:val="0"/>
                    </w:rPr>
                  </w:pPr>
                  <w:r>
                    <w:rPr>
                      <w:rFonts w:hint="eastAsia" w:ascii="宋体" w:hAnsi="宋体" w:cs="宋体"/>
                      <w:bCs/>
                      <w:kern w:val="0"/>
                    </w:rPr>
                    <w:t>Kw</w:t>
                  </w:r>
                </w:p>
              </w:tc>
              <w:tc>
                <w:tcPr>
                  <w:tcW w:w="1107" w:type="pct"/>
                  <w:noWrap w:val="0"/>
                  <w:vAlign w:val="center"/>
                </w:tcPr>
                <w:p>
                  <w:pPr>
                    <w:widowControl/>
                    <w:jc w:val="center"/>
                    <w:rPr>
                      <w:rFonts w:ascii="宋体" w:hAnsi="宋体" w:cs="宋体"/>
                      <w:bCs/>
                      <w:kern w:val="0"/>
                    </w:rPr>
                  </w:pPr>
                  <w:r>
                    <w:rPr>
                      <w:rFonts w:hint="eastAsia" w:ascii="宋体" w:hAnsi="宋体" w:cs="宋体"/>
                      <w:bCs/>
                      <w:kern w:val="0"/>
                    </w:rPr>
                    <w:t>水泵长</w:t>
                  </w:r>
                  <w:r>
                    <w:rPr>
                      <w:rFonts w:hint="eastAsia" w:ascii="宋体" w:hAnsi="宋体" w:cs="宋体"/>
                    </w:rPr>
                    <w:t>×</w:t>
                  </w:r>
                  <w:r>
                    <w:rPr>
                      <w:rFonts w:hint="eastAsia" w:ascii="宋体" w:hAnsi="宋体" w:cs="宋体"/>
                      <w:bCs/>
                      <w:kern w:val="0"/>
                    </w:rPr>
                    <w:t>宽</w:t>
                  </w:r>
                  <w:r>
                    <w:rPr>
                      <w:rFonts w:hint="eastAsia" w:ascii="宋体" w:hAnsi="宋体" w:cs="宋体"/>
                    </w:rPr>
                    <w:t>×</w:t>
                  </w:r>
                  <w:r>
                    <w:rPr>
                      <w:rFonts w:hint="eastAsia" w:ascii="宋体" w:hAnsi="宋体" w:cs="宋体"/>
                      <w:bCs/>
                      <w:kern w:val="0"/>
                    </w:rPr>
                    <w:t>高</w:t>
                  </w:r>
                </w:p>
                <w:p>
                  <w:pPr>
                    <w:widowControl/>
                    <w:jc w:val="center"/>
                    <w:rPr>
                      <w:rFonts w:ascii="宋体" w:hAnsi="宋体" w:cs="宋体"/>
                      <w:bCs/>
                      <w:kern w:val="0"/>
                    </w:rPr>
                  </w:pPr>
                  <w:r>
                    <w:rPr>
                      <w:rFonts w:hint="eastAsia" w:ascii="宋体" w:hAnsi="宋体" w:cs="宋体"/>
                      <w:bCs/>
                      <w:kern w:val="0"/>
                    </w:rPr>
                    <w:t>L</w:t>
                  </w:r>
                  <w:r>
                    <w:rPr>
                      <w:rFonts w:hint="eastAsia" w:ascii="宋体" w:hAnsi="宋体" w:cs="宋体"/>
                    </w:rPr>
                    <w:t>×</w:t>
                  </w:r>
                  <w:r>
                    <w:rPr>
                      <w:rFonts w:hint="eastAsia" w:ascii="宋体" w:hAnsi="宋体" w:cs="宋体"/>
                      <w:bCs/>
                      <w:kern w:val="0"/>
                    </w:rPr>
                    <w:t>B</w:t>
                  </w:r>
                  <w:r>
                    <w:rPr>
                      <w:rFonts w:hint="eastAsia" w:ascii="宋体" w:hAnsi="宋体" w:cs="宋体"/>
                    </w:rPr>
                    <w:t>×</w:t>
                  </w:r>
                  <w:r>
                    <w:rPr>
                      <w:rFonts w:hint="eastAsia" w:ascii="宋体" w:hAnsi="宋体" w:cs="宋体"/>
                      <w:bCs/>
                      <w:kern w:val="0"/>
                    </w:rPr>
                    <w:t>H（mm）</w:t>
                  </w:r>
                </w:p>
              </w:tc>
              <w:tc>
                <w:tcPr>
                  <w:tcW w:w="491" w:type="pct"/>
                  <w:noWrap w:val="0"/>
                  <w:vAlign w:val="center"/>
                </w:tcPr>
                <w:p>
                  <w:pPr>
                    <w:widowControl/>
                    <w:jc w:val="center"/>
                    <w:rPr>
                      <w:rFonts w:ascii="宋体" w:hAnsi="宋体" w:cs="宋体"/>
                      <w:bCs/>
                      <w:kern w:val="0"/>
                    </w:rPr>
                  </w:pPr>
                  <w:r>
                    <w:rPr>
                      <w:rFonts w:hint="eastAsia" w:ascii="宋体" w:hAnsi="宋体" w:cs="宋体"/>
                      <w:bCs/>
                      <w:kern w:val="0"/>
                    </w:rPr>
                    <w:t>汽蚀余量</w:t>
                  </w:r>
                </w:p>
              </w:tc>
              <w:tc>
                <w:tcPr>
                  <w:tcW w:w="624" w:type="pct"/>
                  <w:noWrap w:val="0"/>
                  <w:vAlign w:val="center"/>
                </w:tcPr>
                <w:p>
                  <w:pPr>
                    <w:widowControl/>
                    <w:jc w:val="center"/>
                    <w:rPr>
                      <w:rFonts w:ascii="宋体" w:hAnsi="宋体" w:cs="宋体"/>
                      <w:bCs/>
                      <w:kern w:val="0"/>
                    </w:rPr>
                  </w:pPr>
                  <w:r>
                    <w:rPr>
                      <w:rFonts w:hint="eastAsia" w:ascii="宋体" w:hAnsi="宋体" w:cs="宋体"/>
                      <w:bCs/>
                      <w:kern w:val="0"/>
                    </w:rPr>
                    <w:t>额定电压/v</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96" w:type="pct"/>
                  <w:noWrap w:val="0"/>
                  <w:vAlign w:val="center"/>
                </w:tcPr>
                <w:p>
                  <w:pPr>
                    <w:widowControl/>
                    <w:jc w:val="center"/>
                    <w:rPr>
                      <w:rFonts w:ascii="宋体" w:hAnsi="宋体" w:cs="宋体"/>
                    </w:rPr>
                  </w:pPr>
                  <w:r>
                    <w:rPr>
                      <w:rFonts w:hint="eastAsia" w:ascii="宋体" w:hAnsi="宋体" w:cs="宋体"/>
                    </w:rPr>
                    <w:t>离心泵KQSN250-N4</w:t>
                  </w:r>
                </w:p>
              </w:tc>
              <w:tc>
                <w:tcPr>
                  <w:tcW w:w="733" w:type="pct"/>
                  <w:noWrap w:val="0"/>
                  <w:vAlign w:val="center"/>
                </w:tcPr>
                <w:p>
                  <w:pPr>
                    <w:widowControl/>
                    <w:jc w:val="center"/>
                    <w:rPr>
                      <w:rFonts w:ascii="宋体" w:hAnsi="宋体" w:cs="宋体"/>
                      <w:bCs/>
                      <w:kern w:val="0"/>
                    </w:rPr>
                  </w:pPr>
                  <w:r>
                    <w:rPr>
                      <w:rFonts w:hint="eastAsia" w:ascii="宋体" w:hAnsi="宋体" w:cs="宋体"/>
                    </w:rPr>
                    <w:t>494</w:t>
                  </w:r>
                </w:p>
              </w:tc>
              <w:tc>
                <w:tcPr>
                  <w:tcW w:w="712" w:type="pct"/>
                  <w:noWrap w:val="0"/>
                  <w:vAlign w:val="center"/>
                </w:tcPr>
                <w:p>
                  <w:pPr>
                    <w:widowControl/>
                    <w:jc w:val="center"/>
                    <w:rPr>
                      <w:rFonts w:ascii="宋体" w:hAnsi="宋体" w:cs="宋体"/>
                      <w:bCs/>
                      <w:kern w:val="0"/>
                    </w:rPr>
                  </w:pPr>
                  <w:r>
                    <w:rPr>
                      <w:rFonts w:hint="eastAsia" w:ascii="宋体" w:hAnsi="宋体" w:cs="宋体"/>
                    </w:rPr>
                    <w:t>89</w:t>
                  </w:r>
                </w:p>
              </w:tc>
              <w:tc>
                <w:tcPr>
                  <w:tcW w:w="434" w:type="pct"/>
                  <w:noWrap w:val="0"/>
                  <w:vAlign w:val="center"/>
                </w:tcPr>
                <w:p>
                  <w:pPr>
                    <w:widowControl/>
                    <w:jc w:val="center"/>
                    <w:rPr>
                      <w:rFonts w:ascii="宋体" w:hAnsi="宋体" w:cs="宋体"/>
                    </w:rPr>
                  </w:pPr>
                  <w:r>
                    <w:rPr>
                      <w:rFonts w:hint="eastAsia" w:ascii="宋体" w:hAnsi="宋体" w:cs="宋体"/>
                    </w:rPr>
                    <w:t>185</w:t>
                  </w:r>
                </w:p>
              </w:tc>
              <w:tc>
                <w:tcPr>
                  <w:tcW w:w="1107" w:type="pct"/>
                  <w:noWrap w:val="0"/>
                  <w:vAlign w:val="center"/>
                </w:tcPr>
                <w:p>
                  <w:pPr>
                    <w:widowControl/>
                    <w:jc w:val="center"/>
                    <w:rPr>
                      <w:rFonts w:ascii="宋体" w:hAnsi="宋体" w:cs="宋体"/>
                    </w:rPr>
                  </w:pPr>
                  <w:r>
                    <w:rPr>
                      <w:rFonts w:hint="eastAsia" w:ascii="宋体" w:hAnsi="宋体" w:cs="宋体"/>
                    </w:rPr>
                    <w:t>2422×560×1270</w:t>
                  </w:r>
                </w:p>
              </w:tc>
              <w:tc>
                <w:tcPr>
                  <w:tcW w:w="491" w:type="pct"/>
                  <w:noWrap w:val="0"/>
                  <w:vAlign w:val="center"/>
                </w:tcPr>
                <w:p>
                  <w:pPr>
                    <w:widowControl/>
                    <w:jc w:val="center"/>
                    <w:rPr>
                      <w:rFonts w:ascii="宋体" w:hAnsi="宋体" w:cs="宋体"/>
                    </w:rPr>
                  </w:pPr>
                  <w:r>
                    <w:rPr>
                      <w:rFonts w:hint="eastAsia" w:ascii="宋体" w:hAnsi="宋体" w:cs="宋体"/>
                    </w:rPr>
                    <w:t>4.96m</w:t>
                  </w:r>
                </w:p>
              </w:tc>
              <w:tc>
                <w:tcPr>
                  <w:tcW w:w="624" w:type="pct"/>
                  <w:noWrap w:val="0"/>
                  <w:vAlign w:val="center"/>
                </w:tcPr>
                <w:p>
                  <w:pPr>
                    <w:widowControl/>
                    <w:jc w:val="center"/>
                    <w:rPr>
                      <w:rFonts w:ascii="宋体" w:hAnsi="宋体" w:cs="宋体"/>
                      <w:bCs/>
                      <w:kern w:val="0"/>
                    </w:rPr>
                  </w:pPr>
                  <w:r>
                    <w:rPr>
                      <w:rFonts w:hint="eastAsia" w:ascii="宋体" w:hAnsi="宋体" w:cs="宋体"/>
                    </w:rPr>
                    <w:t>380</w:t>
                  </w:r>
                </w:p>
              </w:tc>
            </w:tr>
          </w:tbl>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ascii="宋体" w:hAnsi="宋体" w:cs="宋体"/>
                <w:sz w:val="24"/>
              </w:rPr>
            </w:pPr>
            <w:r>
              <w:rPr>
                <w:rFonts w:hint="eastAsia"/>
                <w:sz w:val="24"/>
              </w:rPr>
              <w:t>高位水池：在</w:t>
            </w:r>
            <w:r>
              <w:rPr>
                <w:rFonts w:hint="eastAsia" w:ascii="宋体" w:hAnsi="宋体" w:cs="宋体"/>
                <w:sz w:val="24"/>
              </w:rPr>
              <w:t>剑锋镇敬老院背后山顶修建高位水池一座，容积取1500 m³；为圆形钢筋砼结构，设计直径为18.75m，半埋式。</w:t>
            </w:r>
          </w:p>
          <w:p>
            <w:pPr>
              <w:pStyle w:val="183"/>
              <w:ind w:firstLine="482"/>
              <w:rPr>
                <w:b/>
                <w:szCs w:val="20"/>
              </w:rPr>
            </w:pPr>
            <w:r>
              <w:rPr>
                <w:b/>
              </w:rPr>
              <w:t>4</w:t>
            </w:r>
            <w:r>
              <w:rPr>
                <w:rFonts w:hint="eastAsia"/>
                <w:b/>
              </w:rPr>
              <w:t>、项目主要原辅材料用量、能源消耗及主要设备</w:t>
            </w:r>
          </w:p>
          <w:p>
            <w:pPr>
              <w:adjustRightInd w:val="0"/>
              <w:snapToGrid w:val="0"/>
              <w:spacing w:line="360" w:lineRule="auto"/>
              <w:ind w:firstLine="480" w:firstLineChars="200"/>
              <w:rPr>
                <w:sz w:val="24"/>
              </w:rPr>
            </w:pPr>
            <w:r>
              <w:rPr>
                <w:rFonts w:hint="eastAsia"/>
                <w:sz w:val="24"/>
              </w:rPr>
              <w:t>（</w:t>
            </w:r>
            <w:r>
              <w:rPr>
                <w:sz w:val="24"/>
              </w:rPr>
              <w:t>1</w:t>
            </w:r>
            <w:r>
              <w:rPr>
                <w:rFonts w:hint="eastAsia"/>
                <w:sz w:val="24"/>
              </w:rPr>
              <w:t>）原材料</w:t>
            </w:r>
          </w:p>
          <w:p>
            <w:pPr>
              <w:adjustRightInd w:val="0"/>
              <w:snapToGrid w:val="0"/>
              <w:spacing w:line="360" w:lineRule="auto"/>
              <w:ind w:firstLine="480" w:firstLineChars="200"/>
              <w:rPr>
                <w:sz w:val="24"/>
              </w:rPr>
            </w:pPr>
            <w:r>
              <w:rPr>
                <w:rFonts w:hint="eastAsia"/>
                <w:sz w:val="24"/>
              </w:rPr>
              <w:t>项目运营期主要消耗水、电等。项目主要原辅材料用量及能源消耗见表2-</w:t>
            </w:r>
            <w:r>
              <w:rPr>
                <w:sz w:val="24"/>
              </w:rPr>
              <w:t>6</w:t>
            </w:r>
            <w:r>
              <w:rPr>
                <w:rFonts w:hint="eastAsia"/>
                <w:sz w:val="24"/>
              </w:rPr>
              <w:t>。</w:t>
            </w:r>
          </w:p>
          <w:p>
            <w:pPr>
              <w:pStyle w:val="184"/>
              <w:rPr>
                <w:rFonts w:hint="eastAsia"/>
                <w:color w:val="auto"/>
              </w:rPr>
            </w:pPr>
            <w:r>
              <w:rPr>
                <w:rFonts w:hint="eastAsia"/>
                <w:color w:val="auto"/>
              </w:rPr>
              <w:t>表2-</w:t>
            </w:r>
            <w:r>
              <w:rPr>
                <w:color w:val="auto"/>
              </w:rPr>
              <w:t>6</w:t>
            </w:r>
            <w:r>
              <w:rPr>
                <w:rFonts w:hint="eastAsia"/>
                <w:color w:val="auto"/>
              </w:rPr>
              <w:t xml:space="preserve">  主要原辅材料年需要量表</w:t>
            </w:r>
          </w:p>
          <w:tbl>
            <w:tblPr>
              <w:tblStyle w:val="39"/>
              <w:tblW w:w="7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1"/>
              <w:gridCol w:w="1043"/>
              <w:gridCol w:w="1011"/>
              <w:gridCol w:w="906"/>
              <w:gridCol w:w="2174"/>
              <w:gridCol w:w="1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851" w:type="dxa"/>
                  <w:noWrap w:val="0"/>
                  <w:tcMar>
                    <w:top w:w="15" w:type="dxa"/>
                    <w:left w:w="15" w:type="dxa"/>
                    <w:bottom w:w="0" w:type="dxa"/>
                    <w:right w:w="15" w:type="dxa"/>
                  </w:tcMar>
                  <w:vAlign w:val="center"/>
                </w:tcPr>
                <w:p>
                  <w:pPr>
                    <w:pStyle w:val="182"/>
                    <w:rPr>
                      <w:rFonts w:hint="eastAsia"/>
                      <w:b/>
                    </w:rPr>
                  </w:pPr>
                  <w:r>
                    <w:rPr>
                      <w:rFonts w:hint="eastAsia"/>
                      <w:b/>
                    </w:rPr>
                    <w:t>类别</w:t>
                  </w:r>
                </w:p>
              </w:tc>
              <w:tc>
                <w:tcPr>
                  <w:tcW w:w="1043" w:type="dxa"/>
                  <w:noWrap w:val="0"/>
                  <w:tcMar>
                    <w:top w:w="15" w:type="dxa"/>
                    <w:left w:w="15" w:type="dxa"/>
                    <w:bottom w:w="0" w:type="dxa"/>
                    <w:right w:w="15" w:type="dxa"/>
                  </w:tcMar>
                  <w:vAlign w:val="center"/>
                </w:tcPr>
                <w:p>
                  <w:pPr>
                    <w:pStyle w:val="182"/>
                    <w:rPr>
                      <w:rFonts w:hint="eastAsia"/>
                      <w:b/>
                    </w:rPr>
                  </w:pPr>
                  <w:r>
                    <w:rPr>
                      <w:rFonts w:hint="eastAsia"/>
                      <w:b/>
                    </w:rPr>
                    <w:t>名称</w:t>
                  </w:r>
                </w:p>
              </w:tc>
              <w:tc>
                <w:tcPr>
                  <w:tcW w:w="1011" w:type="dxa"/>
                  <w:noWrap w:val="0"/>
                  <w:tcMar>
                    <w:top w:w="15" w:type="dxa"/>
                    <w:left w:w="15" w:type="dxa"/>
                    <w:bottom w:w="0" w:type="dxa"/>
                    <w:right w:w="15" w:type="dxa"/>
                  </w:tcMar>
                  <w:vAlign w:val="center"/>
                </w:tcPr>
                <w:p>
                  <w:pPr>
                    <w:pStyle w:val="182"/>
                    <w:rPr>
                      <w:rFonts w:hint="eastAsia"/>
                      <w:b/>
                    </w:rPr>
                  </w:pPr>
                  <w:r>
                    <w:rPr>
                      <w:rFonts w:hint="eastAsia"/>
                      <w:b/>
                    </w:rPr>
                    <w:t>单位</w:t>
                  </w:r>
                </w:p>
              </w:tc>
              <w:tc>
                <w:tcPr>
                  <w:tcW w:w="906" w:type="dxa"/>
                  <w:noWrap w:val="0"/>
                  <w:vAlign w:val="center"/>
                </w:tcPr>
                <w:p>
                  <w:pPr>
                    <w:pStyle w:val="182"/>
                    <w:rPr>
                      <w:rFonts w:hint="eastAsia"/>
                      <w:b/>
                    </w:rPr>
                  </w:pPr>
                  <w:r>
                    <w:rPr>
                      <w:rFonts w:hint="eastAsia"/>
                      <w:b/>
                    </w:rPr>
                    <w:t>年需要量</w:t>
                  </w:r>
                </w:p>
              </w:tc>
              <w:tc>
                <w:tcPr>
                  <w:tcW w:w="2174" w:type="dxa"/>
                  <w:noWrap w:val="0"/>
                  <w:tcMar>
                    <w:top w:w="15" w:type="dxa"/>
                    <w:left w:w="15" w:type="dxa"/>
                    <w:bottom w:w="0" w:type="dxa"/>
                    <w:right w:w="15" w:type="dxa"/>
                  </w:tcMar>
                  <w:vAlign w:val="center"/>
                </w:tcPr>
                <w:p>
                  <w:pPr>
                    <w:pStyle w:val="182"/>
                    <w:rPr>
                      <w:rFonts w:hint="eastAsia"/>
                      <w:b/>
                    </w:rPr>
                  </w:pPr>
                  <w:r>
                    <w:rPr>
                      <w:rFonts w:hint="eastAsia"/>
                      <w:b/>
                    </w:rPr>
                    <w:t>来源</w:t>
                  </w:r>
                </w:p>
              </w:tc>
              <w:tc>
                <w:tcPr>
                  <w:tcW w:w="1753" w:type="dxa"/>
                  <w:noWrap w:val="0"/>
                  <w:vAlign w:val="center"/>
                </w:tcPr>
                <w:p>
                  <w:pPr>
                    <w:pStyle w:val="182"/>
                    <w:rPr>
                      <w:rFonts w:hint="eastAsia"/>
                      <w:b/>
                    </w:rPr>
                  </w:pPr>
                  <w:r>
                    <w:rPr>
                      <w:rFonts w:hint="eastAsia"/>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restart"/>
                  <w:noWrap w:val="0"/>
                  <w:tcMar>
                    <w:top w:w="15" w:type="dxa"/>
                    <w:left w:w="15" w:type="dxa"/>
                    <w:bottom w:w="0" w:type="dxa"/>
                    <w:right w:w="15" w:type="dxa"/>
                  </w:tcMar>
                  <w:vAlign w:val="center"/>
                </w:tcPr>
                <w:p>
                  <w:pPr>
                    <w:pStyle w:val="182"/>
                    <w:rPr>
                      <w:rFonts w:hint="eastAsia"/>
                    </w:rPr>
                  </w:pPr>
                  <w:r>
                    <w:rPr>
                      <w:rFonts w:hint="eastAsia"/>
                    </w:rPr>
                    <w:t>原（辅）料</w:t>
                  </w:r>
                </w:p>
              </w:tc>
              <w:tc>
                <w:tcPr>
                  <w:tcW w:w="1043" w:type="dxa"/>
                  <w:noWrap w:val="0"/>
                  <w:tcMar>
                    <w:top w:w="15" w:type="dxa"/>
                    <w:left w:w="15" w:type="dxa"/>
                    <w:bottom w:w="0" w:type="dxa"/>
                    <w:right w:w="15" w:type="dxa"/>
                  </w:tcMar>
                  <w:vAlign w:val="center"/>
                </w:tcPr>
                <w:p>
                  <w:pPr>
                    <w:pStyle w:val="182"/>
                    <w:rPr>
                      <w:rFonts w:hint="eastAsia"/>
                    </w:rPr>
                  </w:pPr>
                  <w:r>
                    <w:rPr>
                      <w:rFonts w:hint="eastAsia"/>
                    </w:rPr>
                    <w:t>地表水</w:t>
                  </w:r>
                </w:p>
              </w:tc>
              <w:tc>
                <w:tcPr>
                  <w:tcW w:w="1011" w:type="dxa"/>
                  <w:noWrap w:val="0"/>
                  <w:tcMar>
                    <w:top w:w="15" w:type="dxa"/>
                    <w:left w:w="15" w:type="dxa"/>
                    <w:bottom w:w="0" w:type="dxa"/>
                    <w:right w:w="15" w:type="dxa"/>
                  </w:tcMar>
                  <w:vAlign w:val="center"/>
                </w:tcPr>
                <w:p>
                  <w:pPr>
                    <w:pStyle w:val="182"/>
                    <w:rPr>
                      <w:rFonts w:hint="eastAsia"/>
                    </w:rPr>
                  </w:pPr>
                  <w:r>
                    <w:rPr>
                      <w:rFonts w:hint="eastAsia"/>
                    </w:rPr>
                    <w:t>t/</w:t>
                  </w:r>
                  <w:r>
                    <w:t>a</w:t>
                  </w:r>
                </w:p>
              </w:tc>
              <w:tc>
                <w:tcPr>
                  <w:tcW w:w="906" w:type="dxa"/>
                  <w:noWrap w:val="0"/>
                  <w:vAlign w:val="center"/>
                </w:tcPr>
                <w:p>
                  <w:pPr>
                    <w:pStyle w:val="182"/>
                    <w:rPr>
                      <w:rFonts w:hint="eastAsia"/>
                    </w:rPr>
                  </w:pPr>
                  <w:r>
                    <w:t>1096.3</w:t>
                  </w:r>
                  <w:r>
                    <w:rPr>
                      <w:rFonts w:hint="eastAsia"/>
                    </w:rPr>
                    <w:t>万</w:t>
                  </w:r>
                </w:p>
              </w:tc>
              <w:tc>
                <w:tcPr>
                  <w:tcW w:w="2174" w:type="dxa"/>
                  <w:noWrap w:val="0"/>
                  <w:tcMar>
                    <w:top w:w="15" w:type="dxa"/>
                    <w:left w:w="15" w:type="dxa"/>
                    <w:bottom w:w="0" w:type="dxa"/>
                    <w:right w:w="15" w:type="dxa"/>
                  </w:tcMar>
                  <w:vAlign w:val="center"/>
                </w:tcPr>
                <w:p>
                  <w:pPr>
                    <w:pStyle w:val="182"/>
                    <w:rPr>
                      <w:rFonts w:hint="eastAsia"/>
                    </w:rPr>
                  </w:pPr>
                  <w:r>
                    <w:rPr>
                      <w:rFonts w:hint="eastAsia"/>
                    </w:rPr>
                    <w:t>王沟</w:t>
                  </w:r>
                </w:p>
              </w:tc>
              <w:tc>
                <w:tcPr>
                  <w:tcW w:w="1753" w:type="dxa"/>
                  <w:noWrap w:val="0"/>
                  <w:vAlign w:val="center"/>
                </w:tcPr>
                <w:p>
                  <w:pPr>
                    <w:pStyle w:val="182"/>
                    <w:rPr>
                      <w:rFonts w:hint="eastAsia"/>
                    </w:rPr>
                  </w:pPr>
                  <w:r>
                    <w:rPr>
                      <w:rFonts w:hint="eastAsia"/>
                    </w:rPr>
                    <w:t>管道输送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continue"/>
                  <w:noWrap w:val="0"/>
                  <w:tcMar>
                    <w:top w:w="15" w:type="dxa"/>
                    <w:left w:w="15" w:type="dxa"/>
                    <w:bottom w:w="0" w:type="dxa"/>
                    <w:right w:w="15" w:type="dxa"/>
                  </w:tcMar>
                  <w:vAlign w:val="center"/>
                </w:tcPr>
                <w:p>
                  <w:pPr>
                    <w:pStyle w:val="182"/>
                    <w:rPr>
                      <w:rFonts w:hint="eastAsia"/>
                    </w:rPr>
                  </w:pPr>
                </w:p>
              </w:tc>
              <w:tc>
                <w:tcPr>
                  <w:tcW w:w="1043" w:type="dxa"/>
                  <w:noWrap w:val="0"/>
                  <w:tcMar>
                    <w:top w:w="15" w:type="dxa"/>
                    <w:left w:w="15" w:type="dxa"/>
                    <w:bottom w:w="0" w:type="dxa"/>
                    <w:right w:w="15" w:type="dxa"/>
                  </w:tcMar>
                  <w:vAlign w:val="center"/>
                </w:tcPr>
                <w:p>
                  <w:pPr>
                    <w:pStyle w:val="182"/>
                    <w:rPr>
                      <w:rFonts w:hint="eastAsia"/>
                    </w:rPr>
                  </w:pPr>
                  <w:r>
                    <w:rPr>
                      <w:rFonts w:hint="eastAsia"/>
                    </w:rPr>
                    <w:t>P</w:t>
                  </w:r>
                  <w:r>
                    <w:t>AC</w:t>
                  </w:r>
                </w:p>
              </w:tc>
              <w:tc>
                <w:tcPr>
                  <w:tcW w:w="1011" w:type="dxa"/>
                  <w:noWrap w:val="0"/>
                  <w:tcMar>
                    <w:top w:w="15" w:type="dxa"/>
                    <w:left w:w="15" w:type="dxa"/>
                    <w:bottom w:w="0" w:type="dxa"/>
                    <w:right w:w="15" w:type="dxa"/>
                  </w:tcMar>
                  <w:vAlign w:val="center"/>
                </w:tcPr>
                <w:p>
                  <w:pPr>
                    <w:pStyle w:val="182"/>
                    <w:rPr>
                      <w:rFonts w:hint="eastAsia"/>
                    </w:rPr>
                  </w:pPr>
                  <w:r>
                    <w:rPr>
                      <w:rFonts w:hint="eastAsia"/>
                    </w:rPr>
                    <w:t>t/</w:t>
                  </w:r>
                  <w:r>
                    <w:t>a</w:t>
                  </w:r>
                </w:p>
              </w:tc>
              <w:tc>
                <w:tcPr>
                  <w:tcW w:w="906" w:type="dxa"/>
                  <w:noWrap w:val="0"/>
                  <w:vAlign w:val="center"/>
                </w:tcPr>
                <w:p>
                  <w:pPr>
                    <w:pStyle w:val="182"/>
                    <w:rPr>
                      <w:rFonts w:hint="eastAsia"/>
                    </w:rPr>
                  </w:pPr>
                  <w:r>
                    <w:t>54.75</w:t>
                  </w:r>
                </w:p>
              </w:tc>
              <w:tc>
                <w:tcPr>
                  <w:tcW w:w="2174" w:type="dxa"/>
                  <w:noWrap w:val="0"/>
                  <w:tcMar>
                    <w:top w:w="15" w:type="dxa"/>
                    <w:left w:w="15" w:type="dxa"/>
                    <w:bottom w:w="0" w:type="dxa"/>
                    <w:right w:w="15" w:type="dxa"/>
                  </w:tcMar>
                  <w:vAlign w:val="center"/>
                </w:tcPr>
                <w:p>
                  <w:pPr>
                    <w:pStyle w:val="182"/>
                    <w:rPr>
                      <w:rFonts w:hint="eastAsia"/>
                    </w:rPr>
                  </w:pPr>
                  <w:r>
                    <w:rPr>
                      <w:rFonts w:hint="eastAsia"/>
                    </w:rPr>
                    <w:t>外购</w:t>
                  </w:r>
                </w:p>
              </w:tc>
              <w:tc>
                <w:tcPr>
                  <w:tcW w:w="1753" w:type="dxa"/>
                  <w:noWrap w:val="0"/>
                  <w:vAlign w:val="center"/>
                </w:tcPr>
                <w:p>
                  <w:pPr>
                    <w:pStyle w:val="182"/>
                    <w:rPr>
                      <w:rFonts w:hint="eastAsia"/>
                    </w:rPr>
                  </w:pPr>
                  <w:r>
                    <w:rPr>
                      <w:rFonts w:hint="eastAsia"/>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continue"/>
                  <w:noWrap w:val="0"/>
                  <w:tcMar>
                    <w:top w:w="15" w:type="dxa"/>
                    <w:left w:w="15" w:type="dxa"/>
                    <w:bottom w:w="0" w:type="dxa"/>
                    <w:right w:w="15" w:type="dxa"/>
                  </w:tcMar>
                  <w:vAlign w:val="center"/>
                </w:tcPr>
                <w:p>
                  <w:pPr>
                    <w:pStyle w:val="182"/>
                    <w:rPr>
                      <w:rFonts w:hint="eastAsia"/>
                    </w:rPr>
                  </w:pPr>
                </w:p>
              </w:tc>
              <w:tc>
                <w:tcPr>
                  <w:tcW w:w="1043" w:type="dxa"/>
                  <w:noWrap w:val="0"/>
                  <w:tcMar>
                    <w:top w:w="15" w:type="dxa"/>
                    <w:left w:w="15" w:type="dxa"/>
                    <w:bottom w:w="0" w:type="dxa"/>
                    <w:right w:w="15" w:type="dxa"/>
                  </w:tcMar>
                  <w:vAlign w:val="center"/>
                </w:tcPr>
                <w:p>
                  <w:pPr>
                    <w:pStyle w:val="182"/>
                    <w:ind w:right="-300" w:rightChars="-125"/>
                    <w:jc w:val="both"/>
                  </w:pPr>
                  <w:r>
                    <w:rPr>
                      <w:rFonts w:hint="eastAsia"/>
                    </w:rPr>
                    <w:t>氯酸钠</w:t>
                  </w:r>
                </w:p>
              </w:tc>
              <w:tc>
                <w:tcPr>
                  <w:tcW w:w="1011" w:type="dxa"/>
                  <w:noWrap w:val="0"/>
                  <w:tcMar>
                    <w:top w:w="15" w:type="dxa"/>
                    <w:left w:w="15" w:type="dxa"/>
                    <w:bottom w:w="0" w:type="dxa"/>
                    <w:right w:w="15" w:type="dxa"/>
                  </w:tcMar>
                  <w:vAlign w:val="center"/>
                </w:tcPr>
                <w:p>
                  <w:pPr>
                    <w:pStyle w:val="182"/>
                    <w:rPr>
                      <w:rFonts w:hint="eastAsia"/>
                    </w:rPr>
                  </w:pPr>
                  <w:r>
                    <w:rPr>
                      <w:rFonts w:hint="eastAsia"/>
                    </w:rPr>
                    <w:t>t/a</w:t>
                  </w:r>
                </w:p>
              </w:tc>
              <w:tc>
                <w:tcPr>
                  <w:tcW w:w="906" w:type="dxa"/>
                  <w:noWrap w:val="0"/>
                  <w:vAlign w:val="center"/>
                </w:tcPr>
                <w:p>
                  <w:pPr>
                    <w:pStyle w:val="182"/>
                  </w:pPr>
                  <w:r>
                    <w:rPr>
                      <w:rFonts w:hint="eastAsia"/>
                    </w:rPr>
                    <w:t>8.8</w:t>
                  </w:r>
                </w:p>
              </w:tc>
              <w:tc>
                <w:tcPr>
                  <w:tcW w:w="2174" w:type="dxa"/>
                  <w:noWrap w:val="0"/>
                  <w:tcMar>
                    <w:top w:w="15" w:type="dxa"/>
                    <w:left w:w="15" w:type="dxa"/>
                    <w:bottom w:w="0" w:type="dxa"/>
                    <w:right w:w="15" w:type="dxa"/>
                  </w:tcMar>
                  <w:vAlign w:val="center"/>
                </w:tcPr>
                <w:p>
                  <w:pPr>
                    <w:pStyle w:val="182"/>
                    <w:rPr>
                      <w:rFonts w:hint="eastAsia"/>
                    </w:rPr>
                  </w:pPr>
                  <w:r>
                    <w:rPr>
                      <w:rFonts w:hint="eastAsia"/>
                    </w:rPr>
                    <w:t>外购</w:t>
                  </w:r>
                </w:p>
              </w:tc>
              <w:tc>
                <w:tcPr>
                  <w:tcW w:w="1753" w:type="dxa"/>
                  <w:noWrap w:val="0"/>
                  <w:vAlign w:val="center"/>
                </w:tcPr>
                <w:p>
                  <w:pPr>
                    <w:pStyle w:val="182"/>
                    <w:rPr>
                      <w:rFonts w:hint="eastAsia"/>
                    </w:rPr>
                  </w:pPr>
                  <w:r>
                    <w:rPr>
                      <w:rFonts w:hint="eastAsia"/>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continue"/>
                  <w:noWrap w:val="0"/>
                  <w:tcMar>
                    <w:top w:w="15" w:type="dxa"/>
                    <w:left w:w="15" w:type="dxa"/>
                    <w:bottom w:w="0" w:type="dxa"/>
                    <w:right w:w="15" w:type="dxa"/>
                  </w:tcMar>
                  <w:vAlign w:val="center"/>
                </w:tcPr>
                <w:p>
                  <w:pPr>
                    <w:pStyle w:val="182"/>
                    <w:rPr>
                      <w:rFonts w:hint="eastAsia"/>
                    </w:rPr>
                  </w:pPr>
                </w:p>
              </w:tc>
              <w:tc>
                <w:tcPr>
                  <w:tcW w:w="1043" w:type="dxa"/>
                  <w:noWrap w:val="0"/>
                  <w:tcMar>
                    <w:top w:w="15" w:type="dxa"/>
                    <w:left w:w="15" w:type="dxa"/>
                    <w:bottom w:w="0" w:type="dxa"/>
                    <w:right w:w="15" w:type="dxa"/>
                  </w:tcMar>
                  <w:vAlign w:val="center"/>
                </w:tcPr>
                <w:p>
                  <w:pPr>
                    <w:pStyle w:val="182"/>
                    <w:rPr>
                      <w:rFonts w:hint="eastAsia"/>
                    </w:rPr>
                  </w:pPr>
                  <w:r>
                    <w:rPr>
                      <w:rFonts w:hint="eastAsia"/>
                    </w:rPr>
                    <w:t>盐酸（31%）</w:t>
                  </w:r>
                </w:p>
              </w:tc>
              <w:tc>
                <w:tcPr>
                  <w:tcW w:w="1011" w:type="dxa"/>
                  <w:noWrap w:val="0"/>
                  <w:tcMar>
                    <w:top w:w="15" w:type="dxa"/>
                    <w:left w:w="15" w:type="dxa"/>
                    <w:bottom w:w="0" w:type="dxa"/>
                    <w:right w:w="15" w:type="dxa"/>
                  </w:tcMar>
                  <w:vAlign w:val="center"/>
                </w:tcPr>
                <w:p>
                  <w:pPr>
                    <w:pStyle w:val="182"/>
                    <w:rPr>
                      <w:rFonts w:hint="eastAsia"/>
                    </w:rPr>
                  </w:pPr>
                  <w:r>
                    <w:rPr>
                      <w:rFonts w:hint="eastAsia"/>
                    </w:rPr>
                    <w:t>t/a</w:t>
                  </w:r>
                </w:p>
              </w:tc>
              <w:tc>
                <w:tcPr>
                  <w:tcW w:w="906" w:type="dxa"/>
                  <w:noWrap w:val="0"/>
                  <w:vAlign w:val="center"/>
                </w:tcPr>
                <w:p>
                  <w:pPr>
                    <w:pStyle w:val="182"/>
                  </w:pPr>
                  <w:r>
                    <w:rPr>
                      <w:rFonts w:hint="eastAsia"/>
                    </w:rPr>
                    <w:t>16.5</w:t>
                  </w:r>
                </w:p>
              </w:tc>
              <w:tc>
                <w:tcPr>
                  <w:tcW w:w="2174" w:type="dxa"/>
                  <w:noWrap w:val="0"/>
                  <w:tcMar>
                    <w:top w:w="15" w:type="dxa"/>
                    <w:left w:w="15" w:type="dxa"/>
                    <w:bottom w:w="0" w:type="dxa"/>
                    <w:right w:w="15" w:type="dxa"/>
                  </w:tcMar>
                  <w:vAlign w:val="center"/>
                </w:tcPr>
                <w:p>
                  <w:pPr>
                    <w:pStyle w:val="182"/>
                    <w:rPr>
                      <w:rFonts w:hint="eastAsia"/>
                    </w:rPr>
                  </w:pPr>
                  <w:r>
                    <w:rPr>
                      <w:rFonts w:hint="eastAsia"/>
                    </w:rPr>
                    <w:t>外购</w:t>
                  </w:r>
                </w:p>
              </w:tc>
              <w:tc>
                <w:tcPr>
                  <w:tcW w:w="1753" w:type="dxa"/>
                  <w:noWrap w:val="0"/>
                  <w:vAlign w:val="center"/>
                </w:tcPr>
                <w:p>
                  <w:pPr>
                    <w:pStyle w:val="182"/>
                  </w:pPr>
                  <w:r>
                    <w:rPr>
                      <w:rFonts w:hint="eastAsia"/>
                    </w:rPr>
                    <w:t>1.0m3储罐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restart"/>
                  <w:noWrap w:val="0"/>
                  <w:tcMar>
                    <w:top w:w="15" w:type="dxa"/>
                    <w:left w:w="15" w:type="dxa"/>
                    <w:bottom w:w="0" w:type="dxa"/>
                    <w:right w:w="15" w:type="dxa"/>
                  </w:tcMar>
                  <w:vAlign w:val="center"/>
                </w:tcPr>
                <w:p>
                  <w:pPr>
                    <w:pStyle w:val="182"/>
                    <w:rPr>
                      <w:rFonts w:hint="eastAsia"/>
                    </w:rPr>
                  </w:pPr>
                  <w:r>
                    <w:rPr>
                      <w:rFonts w:hint="eastAsia"/>
                    </w:rPr>
                    <w:t>能源</w:t>
                  </w:r>
                </w:p>
              </w:tc>
              <w:tc>
                <w:tcPr>
                  <w:tcW w:w="1043" w:type="dxa"/>
                  <w:noWrap w:val="0"/>
                  <w:tcMar>
                    <w:top w:w="15" w:type="dxa"/>
                    <w:left w:w="15" w:type="dxa"/>
                    <w:bottom w:w="0" w:type="dxa"/>
                    <w:right w:w="15" w:type="dxa"/>
                  </w:tcMar>
                  <w:vAlign w:val="center"/>
                </w:tcPr>
                <w:p>
                  <w:pPr>
                    <w:pStyle w:val="182"/>
                    <w:rPr>
                      <w:rFonts w:hint="eastAsia"/>
                    </w:rPr>
                  </w:pPr>
                  <w:r>
                    <w:rPr>
                      <w:rFonts w:hint="eastAsia"/>
                    </w:rPr>
                    <w:t>电</w:t>
                  </w:r>
                </w:p>
              </w:tc>
              <w:tc>
                <w:tcPr>
                  <w:tcW w:w="1011" w:type="dxa"/>
                  <w:noWrap w:val="0"/>
                  <w:tcMar>
                    <w:top w:w="15" w:type="dxa"/>
                    <w:left w:w="15" w:type="dxa"/>
                    <w:bottom w:w="0" w:type="dxa"/>
                    <w:right w:w="15" w:type="dxa"/>
                  </w:tcMar>
                  <w:vAlign w:val="center"/>
                </w:tcPr>
                <w:p>
                  <w:pPr>
                    <w:pStyle w:val="182"/>
                    <w:rPr>
                      <w:rFonts w:hint="eastAsia"/>
                    </w:rPr>
                  </w:pPr>
                  <w:r>
                    <w:rPr>
                      <w:rFonts w:hint="eastAsia"/>
                    </w:rPr>
                    <w:t>kW·h/a</w:t>
                  </w:r>
                </w:p>
              </w:tc>
              <w:tc>
                <w:tcPr>
                  <w:tcW w:w="906" w:type="dxa"/>
                  <w:noWrap w:val="0"/>
                  <w:vAlign w:val="center"/>
                </w:tcPr>
                <w:p>
                  <w:pPr>
                    <w:pStyle w:val="182"/>
                    <w:rPr>
                      <w:rFonts w:hint="eastAsia"/>
                    </w:rPr>
                  </w:pPr>
                  <w:r>
                    <w:t>2221</w:t>
                  </w:r>
                  <w:r>
                    <w:rPr>
                      <w:rFonts w:hint="eastAsia"/>
                    </w:rPr>
                    <w:t>万</w:t>
                  </w:r>
                </w:p>
              </w:tc>
              <w:tc>
                <w:tcPr>
                  <w:tcW w:w="2174" w:type="dxa"/>
                  <w:noWrap w:val="0"/>
                  <w:tcMar>
                    <w:top w:w="15" w:type="dxa"/>
                    <w:left w:w="15" w:type="dxa"/>
                    <w:bottom w:w="0" w:type="dxa"/>
                    <w:right w:w="15" w:type="dxa"/>
                  </w:tcMar>
                  <w:vAlign w:val="center"/>
                </w:tcPr>
                <w:p>
                  <w:pPr>
                    <w:pStyle w:val="182"/>
                    <w:rPr>
                      <w:rFonts w:hint="eastAsia"/>
                    </w:rPr>
                  </w:pPr>
                  <w:r>
                    <w:rPr>
                      <w:rFonts w:hint="eastAsia"/>
                    </w:rPr>
                    <w:t>当地电网经厂区配电室接入供应</w:t>
                  </w:r>
                </w:p>
              </w:tc>
              <w:tc>
                <w:tcPr>
                  <w:tcW w:w="1753" w:type="dxa"/>
                  <w:noWrap w:val="0"/>
                  <w:vAlign w:val="center"/>
                </w:tcPr>
                <w:p>
                  <w:pPr>
                    <w:pStyle w:val="182"/>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 w:type="dxa"/>
                  <w:vMerge w:val="continue"/>
                  <w:noWrap w:val="0"/>
                  <w:tcMar>
                    <w:top w:w="15" w:type="dxa"/>
                    <w:left w:w="15" w:type="dxa"/>
                    <w:bottom w:w="0" w:type="dxa"/>
                    <w:right w:w="15" w:type="dxa"/>
                  </w:tcMar>
                  <w:vAlign w:val="center"/>
                </w:tcPr>
                <w:p>
                  <w:pPr>
                    <w:pStyle w:val="182"/>
                    <w:rPr>
                      <w:rFonts w:hint="eastAsia"/>
                    </w:rPr>
                  </w:pPr>
                </w:p>
              </w:tc>
              <w:tc>
                <w:tcPr>
                  <w:tcW w:w="1043" w:type="dxa"/>
                  <w:noWrap w:val="0"/>
                  <w:tcMar>
                    <w:top w:w="15" w:type="dxa"/>
                    <w:left w:w="15" w:type="dxa"/>
                    <w:bottom w:w="0" w:type="dxa"/>
                    <w:right w:w="15" w:type="dxa"/>
                  </w:tcMar>
                  <w:vAlign w:val="center"/>
                </w:tcPr>
                <w:p>
                  <w:pPr>
                    <w:pStyle w:val="182"/>
                    <w:rPr>
                      <w:rFonts w:hint="eastAsia"/>
                    </w:rPr>
                  </w:pPr>
                  <w:r>
                    <w:rPr>
                      <w:rFonts w:hint="eastAsia"/>
                    </w:rPr>
                    <w:t>水</w:t>
                  </w:r>
                </w:p>
              </w:tc>
              <w:tc>
                <w:tcPr>
                  <w:tcW w:w="1011" w:type="dxa"/>
                  <w:noWrap w:val="0"/>
                  <w:tcMar>
                    <w:top w:w="15" w:type="dxa"/>
                    <w:left w:w="15" w:type="dxa"/>
                    <w:bottom w:w="0" w:type="dxa"/>
                    <w:right w:w="15" w:type="dxa"/>
                  </w:tcMar>
                  <w:vAlign w:val="center"/>
                </w:tcPr>
                <w:p>
                  <w:pPr>
                    <w:pStyle w:val="182"/>
                    <w:rPr>
                      <w:rFonts w:hint="eastAsia"/>
                    </w:rPr>
                  </w:pPr>
                  <w:r>
                    <w:rPr>
                      <w:rFonts w:hint="eastAsia"/>
                    </w:rPr>
                    <w:t>t/a</w:t>
                  </w:r>
                </w:p>
              </w:tc>
              <w:tc>
                <w:tcPr>
                  <w:tcW w:w="906" w:type="dxa"/>
                  <w:noWrap w:val="0"/>
                  <w:vAlign w:val="center"/>
                </w:tcPr>
                <w:p>
                  <w:pPr>
                    <w:pStyle w:val="182"/>
                    <w:rPr>
                      <w:rFonts w:hint="eastAsia"/>
                    </w:rPr>
                  </w:pPr>
                  <w:r>
                    <w:t>/</w:t>
                  </w:r>
                </w:p>
              </w:tc>
              <w:tc>
                <w:tcPr>
                  <w:tcW w:w="2174" w:type="dxa"/>
                  <w:noWrap w:val="0"/>
                  <w:tcMar>
                    <w:top w:w="15" w:type="dxa"/>
                    <w:left w:w="15" w:type="dxa"/>
                    <w:bottom w:w="0" w:type="dxa"/>
                    <w:right w:w="15" w:type="dxa"/>
                  </w:tcMar>
                  <w:vAlign w:val="center"/>
                </w:tcPr>
                <w:p>
                  <w:pPr>
                    <w:pStyle w:val="182"/>
                    <w:rPr>
                      <w:rFonts w:hint="eastAsia"/>
                    </w:rPr>
                  </w:pPr>
                  <w:r>
                    <w:rPr>
                      <w:rFonts w:hint="eastAsia"/>
                    </w:rPr>
                    <w:t>/</w:t>
                  </w:r>
                </w:p>
              </w:tc>
              <w:tc>
                <w:tcPr>
                  <w:tcW w:w="1753" w:type="dxa"/>
                  <w:noWrap w:val="0"/>
                  <w:vAlign w:val="center"/>
                </w:tcPr>
                <w:p>
                  <w:pPr>
                    <w:pStyle w:val="182"/>
                    <w:rPr>
                      <w:rFonts w:hint="eastAsia"/>
                    </w:rPr>
                  </w:pPr>
                  <w:r>
                    <w:rPr>
                      <w:rFonts w:hint="eastAsia"/>
                    </w:rPr>
                    <w:t>/</w:t>
                  </w:r>
                </w:p>
              </w:tc>
            </w:tr>
          </w:tbl>
          <w:p>
            <w:pPr>
              <w:adjustRightInd w:val="0"/>
              <w:snapToGrid w:val="0"/>
              <w:spacing w:line="360" w:lineRule="auto"/>
              <w:ind w:firstLine="480" w:firstLineChars="200"/>
              <w:rPr>
                <w:sz w:val="24"/>
              </w:rPr>
            </w:pPr>
            <w:r>
              <w:rPr>
                <w:rFonts w:hint="eastAsia"/>
                <w:sz w:val="24"/>
              </w:rPr>
              <w:t>原辅料主要理化性质见下表。</w:t>
            </w:r>
          </w:p>
          <w:p>
            <w:pPr>
              <w:adjustRightInd w:val="0"/>
              <w:snapToGrid w:val="0"/>
              <w:spacing w:line="360" w:lineRule="auto"/>
              <w:jc w:val="center"/>
              <w:rPr>
                <w:rFonts w:hint="eastAsia"/>
                <w:b/>
                <w:bCs/>
                <w:sz w:val="24"/>
              </w:rPr>
            </w:pPr>
            <w:r>
              <w:rPr>
                <w:rFonts w:hint="eastAsia"/>
                <w:b/>
                <w:bCs/>
                <w:sz w:val="24"/>
              </w:rPr>
              <w:t>表2</w:t>
            </w:r>
            <w:r>
              <w:rPr>
                <w:b/>
                <w:bCs/>
                <w:sz w:val="24"/>
              </w:rPr>
              <w:t xml:space="preserve">-7 </w:t>
            </w:r>
            <w:r>
              <w:rPr>
                <w:rFonts w:hint="eastAsia"/>
                <w:b/>
                <w:bCs/>
                <w:sz w:val="24"/>
              </w:rPr>
              <w:t>本项目原辅料主要理化性质表</w:t>
            </w:r>
          </w:p>
          <w:tbl>
            <w:tblPr>
              <w:tblStyle w:val="39"/>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2"/>
              <w:gridCol w:w="4315"/>
              <w:gridCol w:w="945"/>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名称</w:t>
                  </w:r>
                </w:p>
              </w:tc>
              <w:tc>
                <w:tcPr>
                  <w:tcW w:w="431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理化性质</w:t>
                  </w:r>
                </w:p>
              </w:tc>
              <w:tc>
                <w:tcPr>
                  <w:tcW w:w="94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燃爆性</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毒性毒理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聚合氯化铝</w:t>
                  </w:r>
                  <w:r>
                    <w:t>(PAC)</w:t>
                  </w:r>
                </w:p>
              </w:tc>
              <w:tc>
                <w:tcPr>
                  <w:tcW w:w="431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淡黄色或微带灰色或颗粒，吸湿性比较强。与金属的卤化物作用时易生产氯化物，还能与氯的氧化物及许多有机化合物结合，所有这些产品都易分解。在水解过程中伴随有电化学，有较强的交联吸附性能。</w:t>
                  </w:r>
                </w:p>
              </w:tc>
              <w:tc>
                <w:tcPr>
                  <w:tcW w:w="94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不易燃烧</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pStyle w:val="258"/>
                  </w:pPr>
                  <w:r>
                    <w:t>LD50:3730mg/kg</w:t>
                  </w:r>
                </w:p>
                <w:p>
                  <w:pPr>
                    <w:pStyle w:val="258"/>
                  </w:pPr>
                  <w:r>
                    <w:rPr>
                      <w:rFonts w:hint="eastAsia"/>
                    </w:rPr>
                    <w:t>（大鼠经口）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op w:val="single" w:color="auto" w:sz="4" w:space="0"/>
                    <w:left w:val="single" w:color="auto" w:sz="4" w:space="0"/>
                    <w:bottom w:val="single" w:color="auto" w:sz="4" w:space="0"/>
                    <w:right w:val="single" w:color="auto" w:sz="4" w:space="0"/>
                  </w:tcBorders>
                  <w:noWrap w:val="0"/>
                  <w:vAlign w:val="center"/>
                </w:tcPr>
                <w:p>
                  <w:pPr>
                    <w:pStyle w:val="258"/>
                    <w:rPr>
                      <w:rFonts w:hint="eastAsia"/>
                    </w:rPr>
                  </w:pPr>
                  <w:r>
                    <w:rPr>
                      <w:rFonts w:hint="eastAsia"/>
                    </w:rPr>
                    <w:t>氯酸钠</w:t>
                  </w:r>
                </w:p>
              </w:tc>
              <w:tc>
                <w:tcPr>
                  <w:tcW w:w="4315" w:type="dxa"/>
                  <w:tcBorders>
                    <w:top w:val="single" w:color="auto" w:sz="4" w:space="0"/>
                    <w:left w:val="single" w:color="auto" w:sz="4" w:space="0"/>
                    <w:bottom w:val="single" w:color="auto" w:sz="4" w:space="0"/>
                    <w:right w:val="single" w:color="auto" w:sz="4" w:space="0"/>
                  </w:tcBorders>
                  <w:noWrap w:val="0"/>
                  <w:vAlign w:val="center"/>
                </w:tcPr>
                <w:p>
                  <w:pPr>
                    <w:pStyle w:val="258"/>
                    <w:rPr>
                      <w:rFonts w:hint="eastAsia"/>
                    </w:rPr>
                  </w:pPr>
                  <w:r>
                    <w:rPr>
                      <w:rFonts w:hint="eastAsia" w:ascii="宋体" w:hAnsi="宋体" w:cs="宋体"/>
                      <w:color w:val="000000"/>
                      <w:shd w:val="clear" w:color="auto" w:fill="FFFFFF"/>
                    </w:rPr>
                    <w:t>无色无臭结晶，味咸而凉，有潮解性</w:t>
                  </w:r>
                  <w:r>
                    <w:rPr>
                      <w:rFonts w:ascii="Helvetica" w:hAnsi="Helvetica"/>
                      <w:color w:val="333333"/>
                      <w:shd w:val="clear" w:color="auto" w:fill="FFFFFF"/>
                    </w:rPr>
                    <w:t>。熔点</w:t>
                  </w:r>
                  <w:r>
                    <w:rPr>
                      <w:rFonts w:hint="eastAsia" w:ascii="宋体" w:hAnsi="宋体" w:cs="宋体"/>
                    </w:rPr>
                    <w:t>248-261</w:t>
                  </w:r>
                  <w:r>
                    <w:rPr>
                      <w:rFonts w:hint="eastAsia" w:ascii="宋体" w:hAnsi="宋体" w:cs="宋体"/>
                      <w:color w:val="333333"/>
                      <w:shd w:val="clear" w:color="auto" w:fill="FFFFFF"/>
                    </w:rPr>
                    <w:t>℃</w:t>
                  </w:r>
                  <w:r>
                    <w:rPr>
                      <w:rFonts w:ascii="Helvetica" w:hAnsi="Helvetica"/>
                      <w:color w:val="333333"/>
                      <w:shd w:val="clear" w:color="auto" w:fill="FFFFFF"/>
                    </w:rPr>
                    <w:t>，</w:t>
                  </w:r>
                  <w:r>
                    <w:rPr>
                      <w:rFonts w:hint="eastAsia" w:ascii="宋体" w:hAnsi="宋体" w:cs="宋体"/>
                      <w:color w:val="000000"/>
                      <w:shd w:val="clear" w:color="auto" w:fill="FFFFFF"/>
                    </w:rPr>
                    <w:t>易溶于水，微溶于乙醇</w:t>
                  </w:r>
                  <w:r>
                    <w:rPr>
                      <w:rFonts w:ascii="Helvetica" w:hAnsi="Helvetica"/>
                      <w:color w:val="333333"/>
                      <w:shd w:val="clear" w:color="auto" w:fill="FFFFFF"/>
                    </w:rPr>
                    <w:t>。</w:t>
                  </w:r>
                  <w:r>
                    <w:rPr>
                      <w:rFonts w:ascii="Helvetica" w:hAnsi="Helvetica"/>
                      <w:color w:val="3366CC"/>
                      <w:sz w:val="18"/>
                      <w:szCs w:val="18"/>
                      <w:shd w:val="clear" w:color="auto" w:fill="FFFFFF"/>
                      <w:vertAlign w:val="superscript"/>
                    </w:rPr>
                    <w:t> </w:t>
                  </w:r>
                </w:p>
              </w:tc>
              <w:tc>
                <w:tcPr>
                  <w:tcW w:w="945" w:type="dxa"/>
                  <w:tcBorders>
                    <w:top w:val="single" w:color="auto" w:sz="4" w:space="0"/>
                    <w:left w:val="single" w:color="auto" w:sz="4" w:space="0"/>
                    <w:bottom w:val="single" w:color="auto" w:sz="4" w:space="0"/>
                    <w:right w:val="single" w:color="auto" w:sz="4" w:space="0"/>
                  </w:tcBorders>
                  <w:noWrap w:val="0"/>
                  <w:vAlign w:val="center"/>
                </w:tcPr>
                <w:p>
                  <w:pPr>
                    <w:pStyle w:val="258"/>
                    <w:rPr>
                      <w:rFonts w:hint="eastAsia"/>
                    </w:rPr>
                  </w:pPr>
                  <w:r>
                    <w:rPr>
                      <w:rFonts w:hint="eastAsia"/>
                    </w:rPr>
                    <w:t>助燃</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pStyle w:val="258"/>
                    <w:rPr>
                      <w:rFonts w:hint="eastAsia"/>
                    </w:rPr>
                  </w:pPr>
                  <w:r>
                    <w:rPr>
                      <w:rFonts w:hint="eastAsia" w:ascii="宋体" w:hAnsi="宋体" w:cs="宋体"/>
                      <w:color w:val="000000"/>
                      <w:shd w:val="clear" w:color="auto" w:fill="FFFFFF"/>
                    </w:rPr>
                    <w:t>LD50：1200 mg/kg(大鼠经口)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2" w:hRule="atLeast"/>
                <w:jc w:val="center"/>
              </w:trPr>
              <w:tc>
                <w:tcPr>
                  <w:tcW w:w="972"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盐酸</w:t>
                  </w:r>
                </w:p>
              </w:tc>
              <w:tc>
                <w:tcPr>
                  <w:tcW w:w="431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常温下通常为无色结晶或白色颗粒。味咸而凉，易溶于水、微溶于乙醇。在酸性溶液中有强氧化作用，</w:t>
                  </w:r>
                  <w:r>
                    <w:t>300</w:t>
                  </w:r>
                  <w:r>
                    <w:rPr>
                      <w:rFonts w:hint="eastAsia"/>
                    </w:rPr>
                    <w:t>℃以上分解出氧气，较高温度全部分解。与有机物或还原性物质摩擦或撞击能引起燃烧或爆炸。工业上主要用于制造二氧化氯、亚氯酸钠、高氯酸盐及其它氯酸盐。</w:t>
                  </w:r>
                </w:p>
              </w:tc>
              <w:tc>
                <w:tcPr>
                  <w:tcW w:w="945" w:type="dxa"/>
                  <w:tcBorders>
                    <w:top w:val="single" w:color="auto" w:sz="4" w:space="0"/>
                    <w:left w:val="single" w:color="auto" w:sz="4" w:space="0"/>
                    <w:bottom w:val="single" w:color="auto" w:sz="4" w:space="0"/>
                    <w:right w:val="single" w:color="auto" w:sz="4" w:space="0"/>
                  </w:tcBorders>
                  <w:noWrap w:val="0"/>
                  <w:vAlign w:val="center"/>
                </w:tcPr>
                <w:p>
                  <w:pPr>
                    <w:pStyle w:val="258"/>
                  </w:pPr>
                  <w:r>
                    <w:rPr>
                      <w:rFonts w:hint="eastAsia"/>
                    </w:rPr>
                    <w:t>不易燃烧</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pStyle w:val="258"/>
                  </w:pPr>
                  <w:r>
                    <w:t>LD50:1200mg/kg</w:t>
                  </w:r>
                </w:p>
                <w:p>
                  <w:pPr>
                    <w:pStyle w:val="258"/>
                  </w:pPr>
                  <w:r>
                    <w:rPr>
                      <w:rFonts w:hint="eastAsia"/>
                    </w:rPr>
                    <w:t>（大鼠经口）</w:t>
                  </w:r>
                </w:p>
              </w:tc>
            </w:tr>
          </w:tbl>
          <w:p>
            <w:pPr>
              <w:adjustRightInd w:val="0"/>
              <w:snapToGrid w:val="0"/>
              <w:spacing w:line="360" w:lineRule="auto"/>
              <w:ind w:firstLine="480" w:firstLineChars="200"/>
              <w:rPr>
                <w:sz w:val="24"/>
              </w:rPr>
            </w:pPr>
            <w:r>
              <w:rPr>
                <w:rFonts w:hint="eastAsia"/>
                <w:sz w:val="24"/>
              </w:rPr>
              <w:t>（</w:t>
            </w:r>
            <w:r>
              <w:rPr>
                <w:sz w:val="24"/>
              </w:rPr>
              <w:t>2</w:t>
            </w:r>
            <w:r>
              <w:rPr>
                <w:rFonts w:hint="eastAsia"/>
                <w:sz w:val="24"/>
              </w:rPr>
              <w:t>）设备</w:t>
            </w:r>
          </w:p>
          <w:p>
            <w:pPr>
              <w:adjustRightInd w:val="0"/>
              <w:snapToGrid w:val="0"/>
              <w:spacing w:line="360" w:lineRule="auto"/>
              <w:ind w:firstLine="480" w:firstLineChars="200"/>
              <w:rPr>
                <w:rFonts w:hint="eastAsia"/>
                <w:sz w:val="24"/>
              </w:rPr>
            </w:pPr>
            <w:r>
              <w:rPr>
                <w:rFonts w:hint="eastAsia"/>
                <w:sz w:val="24"/>
              </w:rPr>
              <w:t>项目运行期主要设备见表2-</w:t>
            </w:r>
            <w:r>
              <w:rPr>
                <w:sz w:val="24"/>
              </w:rPr>
              <w:t>8</w:t>
            </w:r>
            <w:r>
              <w:rPr>
                <w:rFonts w:hint="eastAsia"/>
                <w:sz w:val="24"/>
              </w:rPr>
              <w:t>：</w:t>
            </w:r>
          </w:p>
          <w:p>
            <w:pPr>
              <w:pStyle w:val="184"/>
              <w:rPr>
                <w:rFonts w:hint="eastAsia"/>
                <w:color w:val="auto"/>
              </w:rPr>
            </w:pPr>
            <w:r>
              <w:rPr>
                <w:rFonts w:hint="eastAsia"/>
                <w:color w:val="auto"/>
              </w:rPr>
              <w:t>表2-</w:t>
            </w:r>
            <w:r>
              <w:rPr>
                <w:color w:val="auto"/>
              </w:rPr>
              <w:t>8</w:t>
            </w:r>
            <w:r>
              <w:rPr>
                <w:rFonts w:hint="eastAsia"/>
                <w:color w:val="auto"/>
              </w:rPr>
              <w:t xml:space="preserve">  主要设备一览表</w:t>
            </w:r>
          </w:p>
          <w:tbl>
            <w:tblPr>
              <w:tblStyle w:val="39"/>
              <w:tblW w:w="7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2642"/>
              <w:gridCol w:w="2461"/>
              <w:gridCol w:w="803"/>
              <w:gridCol w:w="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b/>
                    </w:rPr>
                  </w:pPr>
                  <w:r>
                    <w:rPr>
                      <w:rFonts w:hint="eastAsia"/>
                      <w:b/>
                    </w:rPr>
                    <w:t>序号</w:t>
                  </w:r>
                </w:p>
              </w:tc>
              <w:tc>
                <w:tcPr>
                  <w:tcW w:w="2642" w:type="dxa"/>
                  <w:noWrap w:val="0"/>
                  <w:vAlign w:val="center"/>
                </w:tcPr>
                <w:p>
                  <w:pPr>
                    <w:pStyle w:val="182"/>
                    <w:rPr>
                      <w:rFonts w:hint="eastAsia"/>
                      <w:b/>
                    </w:rPr>
                  </w:pPr>
                  <w:r>
                    <w:rPr>
                      <w:rFonts w:hint="eastAsia"/>
                      <w:b/>
                    </w:rPr>
                    <w:t>设备名称</w:t>
                  </w:r>
                </w:p>
              </w:tc>
              <w:tc>
                <w:tcPr>
                  <w:tcW w:w="2461" w:type="dxa"/>
                  <w:noWrap w:val="0"/>
                  <w:vAlign w:val="center"/>
                </w:tcPr>
                <w:p>
                  <w:pPr>
                    <w:pStyle w:val="182"/>
                    <w:rPr>
                      <w:rFonts w:hint="eastAsia"/>
                      <w:b/>
                    </w:rPr>
                  </w:pPr>
                  <w:r>
                    <w:rPr>
                      <w:rFonts w:hint="eastAsia"/>
                      <w:b/>
                    </w:rPr>
                    <w:t>型号</w:t>
                  </w:r>
                </w:p>
              </w:tc>
              <w:tc>
                <w:tcPr>
                  <w:tcW w:w="803" w:type="dxa"/>
                  <w:noWrap w:val="0"/>
                  <w:vAlign w:val="center"/>
                </w:tcPr>
                <w:p>
                  <w:pPr>
                    <w:pStyle w:val="182"/>
                    <w:rPr>
                      <w:rFonts w:hint="eastAsia"/>
                      <w:b/>
                    </w:rPr>
                  </w:pPr>
                  <w:r>
                    <w:rPr>
                      <w:rFonts w:hint="eastAsia"/>
                      <w:b/>
                    </w:rPr>
                    <w:t>数量</w:t>
                  </w:r>
                </w:p>
              </w:tc>
              <w:tc>
                <w:tcPr>
                  <w:tcW w:w="803" w:type="dxa"/>
                  <w:noWrap w:val="0"/>
                  <w:vAlign w:val="top"/>
                </w:tcPr>
                <w:p>
                  <w:pPr>
                    <w:pStyle w:val="182"/>
                    <w:rPr>
                      <w:rFonts w:hint="eastAsia"/>
                      <w:b/>
                    </w:rPr>
                  </w:pPr>
                  <w:r>
                    <w:rPr>
                      <w:rFonts w:hint="eastAsia"/>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56" w:type="dxa"/>
                  <w:gridSpan w:val="4"/>
                  <w:noWrap w:val="0"/>
                  <w:vAlign w:val="center"/>
                </w:tcPr>
                <w:p>
                  <w:pPr>
                    <w:pStyle w:val="182"/>
                    <w:rPr>
                      <w:rFonts w:hint="eastAsia"/>
                      <w:b/>
                      <w:bCs/>
                    </w:rPr>
                  </w:pPr>
                  <w:r>
                    <w:rPr>
                      <w:rFonts w:hint="eastAsia"/>
                      <w:b/>
                      <w:bCs/>
                    </w:rPr>
                    <w:t>一、取水工程</w:t>
                  </w:r>
                </w:p>
              </w:tc>
              <w:tc>
                <w:tcPr>
                  <w:tcW w:w="803" w:type="dxa"/>
                  <w:noWrap w:val="0"/>
                  <w:vAlign w:val="top"/>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p>
              </w:tc>
              <w:tc>
                <w:tcPr>
                  <w:tcW w:w="2642" w:type="dxa"/>
                  <w:noWrap w:val="0"/>
                  <w:vAlign w:val="center"/>
                </w:tcPr>
                <w:p>
                  <w:pPr>
                    <w:pStyle w:val="73"/>
                  </w:pPr>
                  <w:r>
                    <w:rPr>
                      <w:rFonts w:hint="eastAsia"/>
                    </w:rPr>
                    <w:t>DS800-70×2型多级水泵</w:t>
                  </w:r>
                </w:p>
              </w:tc>
              <w:tc>
                <w:tcPr>
                  <w:tcW w:w="2461" w:type="dxa"/>
                  <w:noWrap w:val="0"/>
                  <w:vAlign w:val="center"/>
                </w:tcPr>
                <w:p>
                  <w:pPr>
                    <w:pStyle w:val="70"/>
                  </w:pPr>
                </w:p>
              </w:tc>
              <w:tc>
                <w:tcPr>
                  <w:tcW w:w="803" w:type="dxa"/>
                  <w:noWrap w:val="0"/>
                  <w:vAlign w:val="center"/>
                </w:tcPr>
                <w:p>
                  <w:pPr>
                    <w:pStyle w:val="70"/>
                    <w:rPr>
                      <w:rFonts w:hint="eastAsia"/>
                    </w:rPr>
                  </w:pPr>
                  <w:r>
                    <w:rPr>
                      <w:rFonts w:hint="eastAsia"/>
                    </w:rPr>
                    <w:t>7套</w:t>
                  </w:r>
                </w:p>
              </w:tc>
              <w:tc>
                <w:tcPr>
                  <w:tcW w:w="803" w:type="dxa"/>
                  <w:noWrap w:val="0"/>
                  <w:vAlign w:val="top"/>
                </w:tcPr>
                <w:p>
                  <w:pPr>
                    <w:pStyle w:val="7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2</w:t>
                  </w:r>
                </w:p>
              </w:tc>
              <w:tc>
                <w:tcPr>
                  <w:tcW w:w="2642" w:type="dxa"/>
                  <w:noWrap w:val="0"/>
                  <w:vAlign w:val="center"/>
                </w:tcPr>
                <w:p>
                  <w:pPr>
                    <w:pStyle w:val="70"/>
                  </w:pPr>
                  <w:r>
                    <w:rPr>
                      <w:rFonts w:hint="eastAsia"/>
                    </w:rPr>
                    <w:t>排污泵</w:t>
                  </w:r>
                </w:p>
              </w:tc>
              <w:tc>
                <w:tcPr>
                  <w:tcW w:w="2461" w:type="dxa"/>
                  <w:noWrap w:val="0"/>
                  <w:vAlign w:val="center"/>
                </w:tcPr>
                <w:p>
                  <w:pPr>
                    <w:pStyle w:val="70"/>
                  </w:pPr>
                </w:p>
              </w:tc>
              <w:tc>
                <w:tcPr>
                  <w:tcW w:w="803" w:type="dxa"/>
                  <w:noWrap w:val="0"/>
                  <w:vAlign w:val="center"/>
                </w:tcPr>
                <w:p>
                  <w:pPr>
                    <w:pStyle w:val="70"/>
                    <w:rPr>
                      <w:rFonts w:hint="eastAsia"/>
                    </w:rPr>
                  </w:pPr>
                  <w:r>
                    <w:rPr>
                      <w:rFonts w:hint="eastAsia"/>
                    </w:rPr>
                    <w:t>2台</w:t>
                  </w:r>
                </w:p>
              </w:tc>
              <w:tc>
                <w:tcPr>
                  <w:tcW w:w="803" w:type="dxa"/>
                  <w:noWrap w:val="0"/>
                  <w:vAlign w:val="top"/>
                </w:tcPr>
                <w:p>
                  <w:pPr>
                    <w:pStyle w:val="7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3</w:t>
                  </w:r>
                </w:p>
              </w:tc>
              <w:tc>
                <w:tcPr>
                  <w:tcW w:w="2642" w:type="dxa"/>
                  <w:noWrap w:val="0"/>
                  <w:vAlign w:val="center"/>
                </w:tcPr>
                <w:p>
                  <w:pPr>
                    <w:pStyle w:val="70"/>
                  </w:pPr>
                  <w:r>
                    <w:rPr>
                      <w:rFonts w:hint="eastAsia"/>
                    </w:rPr>
                    <w:t>LDT型电动单梁起重机</w:t>
                  </w:r>
                </w:p>
              </w:tc>
              <w:tc>
                <w:tcPr>
                  <w:tcW w:w="2461" w:type="dxa"/>
                  <w:noWrap w:val="0"/>
                  <w:vAlign w:val="center"/>
                </w:tcPr>
                <w:p>
                  <w:pPr>
                    <w:pStyle w:val="70"/>
                  </w:pPr>
                  <w:r>
                    <w:rPr>
                      <w:rFonts w:hint="eastAsia"/>
                    </w:rPr>
                    <w:t>起吊重量：5.0T,1.5kw</w:t>
                  </w:r>
                </w:p>
              </w:tc>
              <w:tc>
                <w:tcPr>
                  <w:tcW w:w="803" w:type="dxa"/>
                  <w:noWrap w:val="0"/>
                  <w:vAlign w:val="center"/>
                </w:tcPr>
                <w:p>
                  <w:pPr>
                    <w:pStyle w:val="70"/>
                    <w:rPr>
                      <w:rFonts w:hint="eastAsia"/>
                    </w:rPr>
                  </w:pPr>
                  <w:r>
                    <w:rPr>
                      <w:rFonts w:hint="eastAsia"/>
                    </w:rPr>
                    <w:t>2套</w:t>
                  </w:r>
                </w:p>
              </w:tc>
              <w:tc>
                <w:tcPr>
                  <w:tcW w:w="803" w:type="dxa"/>
                  <w:noWrap w:val="0"/>
                  <w:vAlign w:val="top"/>
                </w:tcPr>
                <w:p>
                  <w:pPr>
                    <w:pStyle w:val="7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56" w:type="dxa"/>
                  <w:gridSpan w:val="4"/>
                  <w:noWrap w:val="0"/>
                  <w:vAlign w:val="center"/>
                </w:tcPr>
                <w:p>
                  <w:pPr>
                    <w:pStyle w:val="70"/>
                    <w:rPr>
                      <w:b/>
                      <w:bCs/>
                    </w:rPr>
                  </w:pPr>
                  <w:r>
                    <w:rPr>
                      <w:rFonts w:hint="eastAsia"/>
                      <w:b/>
                      <w:bCs/>
                    </w:rPr>
                    <w:t>二、净水厂工程</w:t>
                  </w:r>
                </w:p>
              </w:tc>
              <w:tc>
                <w:tcPr>
                  <w:tcW w:w="803" w:type="dxa"/>
                  <w:noWrap w:val="0"/>
                  <w:vAlign w:val="top"/>
                </w:tcPr>
                <w:p>
                  <w:pPr>
                    <w:pStyle w:val="70"/>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橡胶密封闸阀</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DN600 P=1.0MPa</w:t>
                  </w:r>
                </w:p>
              </w:tc>
              <w:tc>
                <w:tcPr>
                  <w:tcW w:w="803" w:type="dxa"/>
                  <w:noWrap w:val="0"/>
                  <w:vAlign w:val="center"/>
                </w:tcPr>
                <w:p>
                  <w:pPr>
                    <w:pStyle w:val="70"/>
                    <w:rPr>
                      <w:rFonts w:hint="eastAsia"/>
                    </w:rPr>
                  </w:pPr>
                  <w:r>
                    <w:rPr>
                      <w:rFonts w:hint="eastAsia"/>
                    </w:rPr>
                    <w:t>1</w:t>
                  </w:r>
                  <w:r>
                    <w:t>2</w:t>
                  </w:r>
                  <w:r>
                    <w:rPr>
                      <w:rFonts w:hint="eastAsia"/>
                    </w:rPr>
                    <w:t>个</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2</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立式混合反应搅拌机</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Φ=2.3m，H=4.35m，n=69r/min，N=0.75kw</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2套</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3</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行车式吸泥机</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L=10.5m，行速1.0m/min，N=2×0.37+2×2.2kw</w:t>
                  </w:r>
                </w:p>
              </w:tc>
              <w:tc>
                <w:tcPr>
                  <w:tcW w:w="803" w:type="dxa"/>
                  <w:noWrap w:val="0"/>
                  <w:vAlign w:val="center"/>
                </w:tcPr>
                <w:p>
                  <w:pPr>
                    <w:widowControl/>
                    <w:rPr>
                      <w:rFonts w:hint="eastAsia" w:ascii="宋体" w:hAnsi="宋体" w:cs="宋体"/>
                      <w:kern w:val="0"/>
                      <w:szCs w:val="21"/>
                    </w:rPr>
                  </w:pPr>
                  <w:r>
                    <w:rPr>
                      <w:rFonts w:hint="eastAsia" w:ascii="宋体" w:hAnsi="宋体" w:cs="宋体"/>
                      <w:kern w:val="0"/>
                      <w:szCs w:val="21"/>
                    </w:rPr>
                    <w:t>2台</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4</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行走电机</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N=0.37kw</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2台</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5</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潜水排污泵</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Q=30m³/h  N=2.2kw  H=5M</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4台</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6</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行车轨道</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L=11m</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4根</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t>7</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液动角式排泥阀</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J144X-10  DN200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20台</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8</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二位五通电磁换相阀</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25JD DN15  输入电压：220V  50HZ，100w</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120台</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9</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蜂窝斜管</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Φ=35m  a=60° L=1000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196</w:t>
                  </w:r>
                  <w:r>
                    <w:rPr>
                      <w:rFonts w:ascii="宋体" w:hAnsi="宋体" w:cs="宋体"/>
                      <w:kern w:val="0"/>
                      <w:szCs w:val="21"/>
                    </w:rPr>
                    <w:t>m2</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0</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三角堰式集水槽</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L×W×H=4800×300×350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20根</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1</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手动蝶阀（法兰式）</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D341X  DN100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24件</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2</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液动底阀</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H742X-200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100个</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vMerge w:val="restart"/>
                  <w:noWrap w:val="0"/>
                  <w:vAlign w:val="center"/>
                </w:tcPr>
                <w:p>
                  <w:pPr>
                    <w:pStyle w:val="182"/>
                    <w:rPr>
                      <w:rFonts w:hint="eastAsia"/>
                    </w:rPr>
                  </w:pPr>
                  <w:r>
                    <w:rPr>
                      <w:rFonts w:hint="eastAsia"/>
                    </w:rPr>
                    <w:t>1</w:t>
                  </w:r>
                  <w:r>
                    <w:t>3</w:t>
                  </w:r>
                </w:p>
              </w:tc>
              <w:tc>
                <w:tcPr>
                  <w:tcW w:w="2642" w:type="dxa"/>
                  <w:vMerge w:val="restart"/>
                  <w:noWrap w:val="0"/>
                  <w:vAlign w:val="center"/>
                </w:tcPr>
                <w:p>
                  <w:pPr>
                    <w:widowControl/>
                    <w:rPr>
                      <w:rFonts w:hint="eastAsia" w:ascii="宋体" w:hAnsi="宋体" w:cs="宋体"/>
                      <w:kern w:val="0"/>
                      <w:szCs w:val="21"/>
                    </w:rPr>
                  </w:pPr>
                  <w:r>
                    <w:rPr>
                      <w:rFonts w:hint="eastAsia" w:ascii="宋体" w:hAnsi="宋体" w:cs="宋体"/>
                      <w:kern w:val="0"/>
                      <w:szCs w:val="21"/>
                    </w:rPr>
                    <w:t>罗茨鼓风机</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Q=7.53m³/min  △P=39.2K</w:t>
                  </w:r>
                  <w:r>
                    <w:rPr>
                      <w:rFonts w:ascii="宋体" w:hAnsi="宋体" w:cs="宋体"/>
                      <w:kern w:val="0"/>
                      <w:szCs w:val="21"/>
                    </w:rPr>
                    <w:t>p</w:t>
                  </w:r>
                  <w:r>
                    <w:rPr>
                      <w:rFonts w:hint="eastAsia" w:ascii="宋体" w:hAnsi="宋体" w:cs="宋体"/>
                      <w:kern w:val="0"/>
                      <w:szCs w:val="21"/>
                    </w:rPr>
                    <w:t xml:space="preserve">a  n=1350r/min  La=11kw </w:t>
                  </w:r>
                </w:p>
              </w:tc>
              <w:tc>
                <w:tcPr>
                  <w:tcW w:w="803" w:type="dxa"/>
                  <w:noWrap w:val="0"/>
                  <w:vAlign w:val="center"/>
                </w:tcPr>
                <w:p>
                  <w:pPr>
                    <w:pStyle w:val="70"/>
                  </w:pPr>
                  <w:r>
                    <w:rPr>
                      <w:rFonts w:hint="eastAsia" w:ascii="宋体" w:hAnsi="宋体" w:cs="宋体"/>
                    </w:rPr>
                    <w:t>3台</w:t>
                  </w:r>
                </w:p>
              </w:tc>
              <w:tc>
                <w:tcPr>
                  <w:tcW w:w="803" w:type="dxa"/>
                  <w:noWrap w:val="0"/>
                  <w:vAlign w:val="top"/>
                </w:tcPr>
                <w:p>
                  <w:pPr>
                    <w:pStyle w:val="70"/>
                    <w:rPr>
                      <w:rFonts w:hint="eastAsia"/>
                    </w:rPr>
                  </w:pPr>
                  <w:r>
                    <w:rPr>
                      <w:rFonts w:hint="eastAsia"/>
                    </w:rPr>
                    <w:t>两用一备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vMerge w:val="continue"/>
                  <w:noWrap w:val="0"/>
                  <w:vAlign w:val="center"/>
                </w:tcPr>
                <w:p>
                  <w:pPr>
                    <w:pStyle w:val="182"/>
                    <w:rPr>
                      <w:rFonts w:hint="eastAsia"/>
                    </w:rPr>
                  </w:pPr>
                </w:p>
              </w:tc>
              <w:tc>
                <w:tcPr>
                  <w:tcW w:w="2642" w:type="dxa"/>
                  <w:vMerge w:val="continue"/>
                  <w:noWrap w:val="0"/>
                  <w:vAlign w:val="center"/>
                </w:tcPr>
                <w:p>
                  <w:pPr>
                    <w:widowControl/>
                    <w:rPr>
                      <w:rFonts w:hint="eastAsia" w:ascii="宋体" w:hAnsi="宋体" w:cs="宋体"/>
                      <w:kern w:val="0"/>
                      <w:szCs w:val="21"/>
                    </w:rPr>
                  </w:pP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配隔声罩，进、出口消声器，出口安全阀  T型接头，压力表，止回阀等</w:t>
                  </w:r>
                </w:p>
              </w:tc>
              <w:tc>
                <w:tcPr>
                  <w:tcW w:w="803" w:type="dxa"/>
                  <w:noWrap w:val="0"/>
                  <w:vAlign w:val="center"/>
                </w:tcPr>
                <w:p>
                  <w:pPr>
                    <w:pStyle w:val="70"/>
                  </w:pP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4</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电动调节阀</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DN350，P=1.0M</w:t>
                  </w:r>
                  <w:r>
                    <w:rPr>
                      <w:rFonts w:ascii="宋体" w:hAnsi="宋体" w:cs="宋体"/>
                      <w:kern w:val="0"/>
                      <w:szCs w:val="21"/>
                    </w:rPr>
                    <w:t>p</w:t>
                  </w:r>
                  <w:r>
                    <w:rPr>
                      <w:rFonts w:hint="eastAsia" w:ascii="宋体" w:hAnsi="宋体" w:cs="宋体"/>
                      <w:kern w:val="0"/>
                      <w:szCs w:val="21"/>
                    </w:rPr>
                    <w:t>a，0.55kw</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16个</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5</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电动蝶阀（法兰式）</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D941  △P=0.6M</w:t>
                  </w:r>
                  <w:r>
                    <w:rPr>
                      <w:rFonts w:ascii="宋体" w:hAnsi="宋体" w:cs="宋体"/>
                      <w:kern w:val="0"/>
                      <w:szCs w:val="21"/>
                    </w:rPr>
                    <w:t>p</w:t>
                  </w:r>
                  <w:r>
                    <w:rPr>
                      <w:rFonts w:hint="eastAsia" w:ascii="宋体" w:hAnsi="宋体" w:cs="宋体"/>
                      <w:kern w:val="0"/>
                      <w:szCs w:val="21"/>
                    </w:rPr>
                    <w:t>a  DN=150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16套</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6</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滤料</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粒径0.8-1.0mm</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240</w:t>
                  </w:r>
                  <w:r>
                    <w:rPr>
                      <w:rFonts w:ascii="宋体" w:hAnsi="宋体" w:cs="宋体"/>
                      <w:kern w:val="0"/>
                      <w:szCs w:val="21"/>
                    </w:rPr>
                    <w:t>m</w:t>
                  </w:r>
                  <w:r>
                    <w:rPr>
                      <w:rFonts w:ascii="宋体" w:hAnsi="宋体" w:cs="宋体"/>
                      <w:kern w:val="0"/>
                      <w:szCs w:val="21"/>
                      <w:vertAlign w:val="superscript"/>
                    </w:rPr>
                    <w:t>3</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7</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滤头</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内径Φ20  （配套滤头套）</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24000件</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r>
                    <w:t>8</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滤板</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L×W×H=770×760×100</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200个</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50" w:type="dxa"/>
                  <w:noWrap w:val="0"/>
                  <w:vAlign w:val="center"/>
                </w:tcPr>
                <w:p>
                  <w:pPr>
                    <w:pStyle w:val="182"/>
                    <w:rPr>
                      <w:rFonts w:hint="eastAsia"/>
                    </w:rPr>
                  </w:pPr>
                  <w:r>
                    <w:rPr>
                      <w:rFonts w:hint="eastAsia"/>
                    </w:rPr>
                    <w:t>1</w:t>
                  </w:r>
                  <w:r>
                    <w:t>9</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取样泵</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XLD70/037</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4套</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2</w:t>
                  </w:r>
                  <w:r>
                    <w:t>0</w:t>
                  </w:r>
                </w:p>
              </w:tc>
              <w:tc>
                <w:tcPr>
                  <w:tcW w:w="2642" w:type="dxa"/>
                  <w:noWrap w:val="0"/>
                  <w:vAlign w:val="center"/>
                </w:tcPr>
                <w:p>
                  <w:pPr>
                    <w:widowControl/>
                    <w:rPr>
                      <w:rFonts w:ascii="宋体" w:hAnsi="宋体" w:cs="宋体"/>
                      <w:kern w:val="0"/>
                      <w:szCs w:val="21"/>
                    </w:rPr>
                  </w:pPr>
                  <w:r>
                    <w:rPr>
                      <w:rFonts w:hint="eastAsia" w:ascii="宋体" w:hAnsi="宋体" w:cs="宋体"/>
                      <w:kern w:val="0"/>
                      <w:szCs w:val="21"/>
                    </w:rPr>
                    <w:t>超声波液位计</w:t>
                  </w:r>
                </w:p>
              </w:tc>
              <w:tc>
                <w:tcPr>
                  <w:tcW w:w="2461" w:type="dxa"/>
                  <w:noWrap w:val="0"/>
                  <w:vAlign w:val="center"/>
                </w:tcPr>
                <w:p>
                  <w:pPr>
                    <w:widowControl/>
                    <w:rPr>
                      <w:rFonts w:ascii="宋体" w:hAnsi="宋体" w:cs="宋体"/>
                      <w:kern w:val="0"/>
                      <w:szCs w:val="21"/>
                    </w:rPr>
                  </w:pPr>
                  <w:r>
                    <w:rPr>
                      <w:rFonts w:hint="eastAsia" w:ascii="宋体" w:hAnsi="宋体" w:cs="宋体"/>
                      <w:kern w:val="0"/>
                      <w:szCs w:val="21"/>
                    </w:rPr>
                    <w:t>标准型，0.25-5m，二线制</w:t>
                  </w:r>
                </w:p>
              </w:tc>
              <w:tc>
                <w:tcPr>
                  <w:tcW w:w="803" w:type="dxa"/>
                  <w:noWrap w:val="0"/>
                  <w:vAlign w:val="center"/>
                </w:tcPr>
                <w:p>
                  <w:pPr>
                    <w:widowControl/>
                    <w:rPr>
                      <w:rFonts w:ascii="宋体" w:hAnsi="宋体" w:cs="宋体"/>
                      <w:kern w:val="0"/>
                      <w:szCs w:val="21"/>
                    </w:rPr>
                  </w:pPr>
                  <w:r>
                    <w:rPr>
                      <w:rFonts w:hint="eastAsia" w:ascii="宋体" w:hAnsi="宋体" w:cs="宋体"/>
                      <w:kern w:val="0"/>
                      <w:szCs w:val="21"/>
                    </w:rPr>
                    <w:t>2套</w:t>
                  </w:r>
                </w:p>
              </w:tc>
              <w:tc>
                <w:tcPr>
                  <w:tcW w:w="803" w:type="dxa"/>
                  <w:noWrap w:val="0"/>
                  <w:vAlign w:val="top"/>
                </w:tcPr>
                <w:p>
                  <w:pPr>
                    <w:pStyle w:val="7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59" w:type="dxa"/>
                  <w:gridSpan w:val="5"/>
                  <w:noWrap w:val="0"/>
                  <w:vAlign w:val="center"/>
                </w:tcPr>
                <w:p>
                  <w:pPr>
                    <w:pStyle w:val="70"/>
                    <w:rPr>
                      <w:b/>
                      <w:bCs/>
                    </w:rPr>
                  </w:pPr>
                  <w:r>
                    <w:rPr>
                      <w:rFonts w:hint="eastAsia"/>
                      <w:b/>
                      <w:bCs/>
                    </w:rPr>
                    <w:t>三、配水工程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0" w:type="dxa"/>
                  <w:noWrap w:val="0"/>
                  <w:vAlign w:val="center"/>
                </w:tcPr>
                <w:p>
                  <w:pPr>
                    <w:pStyle w:val="182"/>
                    <w:rPr>
                      <w:rFonts w:hint="eastAsia"/>
                    </w:rPr>
                  </w:pPr>
                  <w:r>
                    <w:rPr>
                      <w:rFonts w:hint="eastAsia"/>
                    </w:rPr>
                    <w:t>1</w:t>
                  </w:r>
                </w:p>
              </w:tc>
              <w:tc>
                <w:tcPr>
                  <w:tcW w:w="2642" w:type="dxa"/>
                  <w:noWrap w:val="0"/>
                  <w:vAlign w:val="center"/>
                </w:tcPr>
                <w:p>
                  <w:pPr>
                    <w:widowControl/>
                    <w:rPr>
                      <w:rFonts w:hint="eastAsia" w:ascii="宋体" w:hAnsi="宋体" w:cs="宋体"/>
                      <w:kern w:val="0"/>
                      <w:szCs w:val="21"/>
                    </w:rPr>
                  </w:pPr>
                  <w:r>
                    <w:rPr>
                      <w:rFonts w:hint="eastAsia" w:ascii="宋体" w:hAnsi="宋体" w:cs="宋体"/>
                      <w:kern w:val="0"/>
                      <w:szCs w:val="21"/>
                    </w:rPr>
                    <w:t>离心泵</w:t>
                  </w:r>
                </w:p>
              </w:tc>
              <w:tc>
                <w:tcPr>
                  <w:tcW w:w="2461" w:type="dxa"/>
                  <w:noWrap w:val="0"/>
                  <w:vAlign w:val="center"/>
                </w:tcPr>
                <w:p>
                  <w:pPr>
                    <w:widowControl/>
                    <w:rPr>
                      <w:rFonts w:hint="eastAsia" w:ascii="宋体" w:hAnsi="宋体" w:cs="宋体"/>
                      <w:kern w:val="0"/>
                      <w:szCs w:val="21"/>
                    </w:rPr>
                  </w:pPr>
                  <w:r>
                    <w:rPr>
                      <w:rFonts w:hint="eastAsia" w:ascii="宋体" w:hAnsi="宋体" w:cs="宋体"/>
                      <w:kern w:val="0"/>
                      <w:szCs w:val="21"/>
                    </w:rPr>
                    <w:t>K</w:t>
                  </w:r>
                  <w:r>
                    <w:rPr>
                      <w:rFonts w:ascii="宋体" w:hAnsi="宋体" w:cs="宋体"/>
                      <w:kern w:val="0"/>
                      <w:szCs w:val="21"/>
                    </w:rPr>
                    <w:t>QSN250-N4</w:t>
                  </w:r>
                </w:p>
              </w:tc>
              <w:tc>
                <w:tcPr>
                  <w:tcW w:w="803" w:type="dxa"/>
                  <w:noWrap w:val="0"/>
                  <w:vAlign w:val="center"/>
                </w:tcPr>
                <w:p>
                  <w:pPr>
                    <w:widowControl/>
                    <w:rPr>
                      <w:rFonts w:hint="eastAsia" w:ascii="宋体" w:hAnsi="宋体" w:cs="宋体"/>
                      <w:kern w:val="0"/>
                      <w:szCs w:val="21"/>
                    </w:rPr>
                  </w:pPr>
                  <w:r>
                    <w:rPr>
                      <w:rFonts w:hint="eastAsia" w:ascii="宋体" w:hAnsi="宋体" w:cs="宋体"/>
                      <w:kern w:val="0"/>
                      <w:szCs w:val="21"/>
                    </w:rPr>
                    <w:t>3套</w:t>
                  </w:r>
                </w:p>
              </w:tc>
              <w:tc>
                <w:tcPr>
                  <w:tcW w:w="803" w:type="dxa"/>
                  <w:noWrap w:val="0"/>
                  <w:vAlign w:val="top"/>
                </w:tcPr>
                <w:p>
                  <w:pPr>
                    <w:pStyle w:val="70"/>
                  </w:pPr>
                </w:p>
              </w:tc>
            </w:tr>
          </w:tbl>
          <w:p>
            <w:pPr>
              <w:pStyle w:val="183"/>
              <w:ind w:firstLine="482"/>
              <w:rPr>
                <w:b/>
                <w:bCs/>
              </w:rPr>
            </w:pPr>
            <w:r>
              <w:rPr>
                <w:rFonts w:hint="eastAsia"/>
                <w:b/>
                <w:bCs/>
              </w:rPr>
              <w:t>5、水源水质、水量、取水方式</w:t>
            </w:r>
          </w:p>
          <w:p>
            <w:pPr>
              <w:pStyle w:val="183"/>
              <w:ind w:firstLine="482"/>
              <w:rPr>
                <w:rFonts w:hint="eastAsia"/>
                <w:b/>
                <w:bCs/>
              </w:rPr>
            </w:pPr>
            <w:r>
              <w:rPr>
                <w:rFonts w:hint="eastAsia"/>
                <w:b/>
                <w:bCs/>
              </w:rPr>
              <w:t>（1）水源地水质</w:t>
            </w:r>
          </w:p>
          <w:p>
            <w:pPr>
              <w:pStyle w:val="183"/>
            </w:pPr>
            <w:r>
              <w:rPr>
                <w:rFonts w:hint="eastAsia"/>
              </w:rPr>
              <w:t>本项目取水口位于关子门堰王沟，根据</w:t>
            </w:r>
            <w:r>
              <w:rPr>
                <w:rFonts w:hint="eastAsia"/>
                <w:kern w:val="0"/>
              </w:rPr>
              <w:t>四川巴斯德环境保护科技有限责任公司于2</w:t>
            </w:r>
            <w:r>
              <w:rPr>
                <w:kern w:val="0"/>
              </w:rPr>
              <w:t>022</w:t>
            </w:r>
            <w:r>
              <w:rPr>
                <w:rFonts w:hint="eastAsia"/>
                <w:kern w:val="0"/>
              </w:rPr>
              <w:t>年3月1</w:t>
            </w:r>
            <w:r>
              <w:rPr>
                <w:kern w:val="0"/>
              </w:rPr>
              <w:t>0</w:t>
            </w:r>
            <w:r>
              <w:rPr>
                <w:rFonts w:hint="eastAsia"/>
                <w:kern w:val="0"/>
              </w:rPr>
              <w:t>日对关子门堰王沟饮用水水源取水口（1</w:t>
            </w:r>
            <w:r>
              <w:rPr>
                <w:kern w:val="0"/>
              </w:rPr>
              <w:t>03°48′32.71″</w:t>
            </w:r>
            <w:r>
              <w:rPr>
                <w:rFonts w:hint="eastAsia"/>
                <w:kern w:val="0"/>
              </w:rPr>
              <w:t>，2</w:t>
            </w:r>
            <w:r>
              <w:rPr>
                <w:kern w:val="0"/>
              </w:rPr>
              <w:t>9°42′26.95″</w:t>
            </w:r>
            <w:r>
              <w:rPr>
                <w:rFonts w:hint="eastAsia"/>
                <w:kern w:val="0"/>
              </w:rPr>
              <w:t>）水质进行了采样监测的监测结果，本项目取水口处水质满足</w:t>
            </w:r>
            <w:r>
              <w:t>《地表水环境质量标准》（GB 3838-2002）表1中</w:t>
            </w:r>
            <w:r>
              <w:rPr>
                <w:rFonts w:ascii="Times New Roman" w:hAnsi="Times New Roman"/>
              </w:rPr>
              <w:fldChar w:fldCharType="begin"/>
            </w:r>
            <w:r>
              <w:rPr>
                <w:rFonts w:ascii="Times New Roman" w:hAnsi="Times New Roman"/>
              </w:rPr>
              <w:instrText xml:space="preserve"> = 2 \* ROMAN \* MERGEFORMAT </w:instrText>
            </w:r>
            <w:r>
              <w:rPr>
                <w:rFonts w:ascii="Times New Roman" w:hAnsi="Times New Roman"/>
              </w:rPr>
              <w:fldChar w:fldCharType="separate"/>
            </w:r>
            <w:r>
              <w:rPr>
                <w:rFonts w:ascii="Times New Roman" w:hAnsi="Times New Roman"/>
              </w:rPr>
              <w:t>II</w:t>
            </w:r>
            <w:r>
              <w:rPr>
                <w:rFonts w:ascii="Times New Roman" w:hAnsi="Times New Roman"/>
              </w:rPr>
              <w:fldChar w:fldCharType="end"/>
            </w:r>
            <w:r>
              <w:t>类标准、表2标准</w:t>
            </w:r>
            <w:r>
              <w:rPr>
                <w:rFonts w:hint="eastAsia"/>
              </w:rPr>
              <w:t>，水源水质符合用水标准。</w:t>
            </w:r>
          </w:p>
          <w:p>
            <w:pPr>
              <w:pStyle w:val="183"/>
              <w:rPr>
                <w:rFonts w:hint="eastAsia"/>
              </w:rPr>
            </w:pPr>
            <w:r>
              <w:rPr>
                <w:rFonts w:hint="eastAsia"/>
              </w:rPr>
              <w:t>（2）水量</w:t>
            </w:r>
          </w:p>
          <w:p>
            <w:pPr>
              <w:pStyle w:val="183"/>
              <w:rPr>
                <w:rFonts w:hint="eastAsia"/>
              </w:rPr>
            </w:pPr>
            <w:r>
              <w:rPr>
                <w:rFonts w:hint="eastAsia"/>
              </w:rPr>
              <w:t>本项目涉及取水工程、原水管线、净水厂工程、配水工程，其中设计取水量为1</w:t>
            </w:r>
            <w:r>
              <w:t>.5m</w:t>
            </w:r>
            <w:r>
              <w:rPr>
                <w:vertAlign w:val="superscript"/>
              </w:rPr>
              <w:t>3</w:t>
            </w:r>
            <w:r>
              <w:t>/s</w:t>
            </w:r>
            <w:r>
              <w:rPr>
                <w:rFonts w:hint="eastAsia"/>
              </w:rPr>
              <w:t>，本项目净水厂设计引用流量为0</w:t>
            </w:r>
            <w:r>
              <w:t>.4m</w:t>
            </w:r>
            <w:r>
              <w:rPr>
                <w:vertAlign w:val="superscript"/>
              </w:rPr>
              <w:t>3</w:t>
            </w:r>
            <w:r>
              <w:t>/s</w:t>
            </w:r>
            <w:r>
              <w:rPr>
                <w:rFonts w:hint="eastAsia"/>
              </w:rPr>
              <w:t>，剩余1</w:t>
            </w:r>
            <w:r>
              <w:t>.1m</w:t>
            </w:r>
            <w:r>
              <w:rPr>
                <w:vertAlign w:val="superscript"/>
              </w:rPr>
              <w:t>3</w:t>
            </w:r>
            <w:r>
              <w:t>/s</w:t>
            </w:r>
            <w:r>
              <w:rPr>
                <w:rFonts w:hint="eastAsia"/>
              </w:rPr>
              <w:t>引用流量用于剑锋河流域、泥溪河流域、磨池河、凌云河等区域农业生产、生态用水，不在本次评价范围内，因此剑锋河流域、泥溪河流域、磨池河、凌云河等区域农业生产、生态用水量仅引用《乐山市市中区岷东片区水资源配置工程水资源论证报告书》中结论。因此本次主要对净水厂工程的供需水量进行平衡分析。</w:t>
            </w:r>
          </w:p>
          <w:p>
            <w:pPr>
              <w:pStyle w:val="183"/>
              <w:rPr>
                <w:rFonts w:hint="eastAsia"/>
              </w:rPr>
            </w:pPr>
            <w:r>
              <w:rPr>
                <w:rFonts w:hint="eastAsia"/>
              </w:rPr>
              <w:t>1）需水量预测</w:t>
            </w:r>
          </w:p>
          <w:p>
            <w:pPr>
              <w:pStyle w:val="183"/>
              <w:rPr>
                <w:rFonts w:hint="eastAsia"/>
              </w:rPr>
            </w:pPr>
            <w:r>
              <w:rPr>
                <w:rFonts w:hint="eastAsia"/>
              </w:rPr>
              <w:t>剑锋河流域、泥溪河流域、磨池河、凌云河等区域农业生产、生态用水预测：根据《乐山市市中区岷东片区水资源配置工程水资源论证报告书》及设计资料，剑锋河流域、泥溪河流域、磨池河、凌云河等区域农业生产、生态用水补水量为2</w:t>
            </w:r>
            <w:r>
              <w:t>003.85</w:t>
            </w:r>
            <w:r>
              <w:rPr>
                <w:rFonts w:hint="eastAsia"/>
              </w:rPr>
              <w:t>万m</w:t>
            </w:r>
            <w:r>
              <w:rPr>
                <w:vertAlign w:val="superscript"/>
              </w:rPr>
              <w:t>3</w:t>
            </w:r>
            <w:r>
              <w:t>/a</w:t>
            </w:r>
            <w:r>
              <w:rPr>
                <w:rFonts w:hint="eastAsia"/>
              </w:rPr>
              <w:t>。</w:t>
            </w:r>
          </w:p>
          <w:p>
            <w:pPr>
              <w:pStyle w:val="183"/>
              <w:ind w:firstLine="482"/>
              <w:rPr>
                <w:rFonts w:hint="eastAsia"/>
              </w:rPr>
            </w:pPr>
            <w:r>
              <w:rPr>
                <w:rFonts w:hint="eastAsia"/>
                <w:b/>
                <w:bCs/>
              </w:rPr>
              <w:t>净水厂需水量预测</w:t>
            </w:r>
            <w:r>
              <w:rPr>
                <w:rFonts w:hint="eastAsia"/>
              </w:rPr>
              <w:t>：该净水厂主要为岷东片区人畜、工业生产提供用水。</w:t>
            </w:r>
          </w:p>
          <w:p>
            <w:pPr>
              <w:pStyle w:val="7"/>
              <w:ind w:firstLine="480"/>
              <w:rPr>
                <w:rFonts w:ascii="宋体" w:hAnsi="宋体" w:cs="宋体"/>
              </w:rPr>
            </w:pPr>
            <w:r>
              <w:rPr>
                <w:rFonts w:hint="eastAsia" w:ascii="宋体" w:hAnsi="宋体" w:cs="宋体"/>
              </w:rPr>
              <w:t>(1)城镇生活用水定额</w:t>
            </w:r>
          </w:p>
          <w:p>
            <w:pPr>
              <w:pStyle w:val="7"/>
              <w:ind w:firstLine="480"/>
              <w:rPr>
                <w:rFonts w:ascii="宋体" w:hAnsi="宋体" w:cs="宋体"/>
              </w:rPr>
            </w:pPr>
            <w:r>
              <w:rPr>
                <w:rFonts w:hint="eastAsia" w:ascii="宋体" w:hAnsi="宋体" w:cs="宋体"/>
              </w:rPr>
              <w:t>现状年2021年城镇生活用水定额115L/人.d。考虑未来城镇化的不断发展、人民生活水平的提高等综合因素，拟定2030年城镇综合生活用水定额120L/人.d。</w:t>
            </w:r>
          </w:p>
          <w:p>
            <w:pPr>
              <w:pStyle w:val="7"/>
              <w:ind w:firstLine="480"/>
              <w:rPr>
                <w:rFonts w:ascii="宋体" w:hAnsi="宋体" w:cs="宋体"/>
              </w:rPr>
            </w:pPr>
            <w:r>
              <w:rPr>
                <w:rFonts w:hint="eastAsia" w:ascii="宋体" w:hAnsi="宋体" w:cs="宋体"/>
              </w:rPr>
              <w:t>(2)农村生活用水定额</w:t>
            </w:r>
          </w:p>
          <w:p>
            <w:pPr>
              <w:pStyle w:val="7"/>
              <w:ind w:firstLine="480"/>
              <w:rPr>
                <w:rFonts w:ascii="宋体" w:hAnsi="宋体" w:cs="宋体"/>
              </w:rPr>
            </w:pPr>
            <w:r>
              <w:rPr>
                <w:rFonts w:hint="eastAsia" w:ascii="宋体" w:hAnsi="宋体" w:cs="宋体"/>
              </w:rPr>
              <w:t>根据乐山水资源公报以及市中区水资源综合规划，现状年农村生活用水定额86L/人.d。规划水平年2030年考虑经济社会发展、人均收入水平及人民生活水平的提高，拟定2030年城镇综合生活用水定额90L/人.d。</w:t>
            </w:r>
          </w:p>
          <w:p>
            <w:pPr>
              <w:pStyle w:val="7"/>
              <w:ind w:firstLine="480"/>
              <w:rPr>
                <w:rFonts w:ascii="宋体" w:hAnsi="宋体" w:cs="宋体"/>
              </w:rPr>
            </w:pPr>
            <w:r>
              <w:rPr>
                <w:rFonts w:hint="eastAsia" w:ascii="宋体" w:hAnsi="宋体" w:cs="宋体"/>
              </w:rPr>
              <w:t>(3)工业用水定额</w:t>
            </w:r>
          </w:p>
          <w:p>
            <w:pPr>
              <w:pStyle w:val="7"/>
              <w:ind w:firstLine="480"/>
              <w:rPr>
                <w:rFonts w:ascii="宋体" w:hAnsi="宋体" w:cs="宋体"/>
              </w:rPr>
            </w:pPr>
            <w:r>
              <w:rPr>
                <w:rFonts w:hint="eastAsia" w:ascii="宋体" w:hAnsi="宋体" w:cs="宋体"/>
              </w:rPr>
              <w:t>现状万元工业增加值用水量15m³/万元。根据岷东片区产业发展现状、资源禀赋、工业基础等条件，根据工业重点产业及布局方案，以纺织产业、农畜产业为基础，建设纺织产业工业园区、精深加工园区，毛桥村屠宰加工冷链物流、青平农业园区、双鹤粮油加工3处农业产业项目。参考市中区水资源综合规划的等节水情况分析，2030年工业万元增加值用水量约为11.5m³/万元。目前各水平年的综合工业用水指标均接近四川省规划用水指标，说明本次采用的工业用水指标合理。</w:t>
            </w:r>
          </w:p>
          <w:p>
            <w:pPr>
              <w:pStyle w:val="7"/>
              <w:ind w:firstLine="480"/>
              <w:rPr>
                <w:rFonts w:ascii="宋体" w:hAnsi="宋体" w:cs="宋体"/>
              </w:rPr>
            </w:pPr>
            <w:r>
              <w:rPr>
                <w:rFonts w:hint="eastAsia" w:ascii="宋体" w:hAnsi="宋体" w:cs="宋体"/>
              </w:rPr>
              <w:t>(4)牲畜用水定额</w:t>
            </w:r>
          </w:p>
          <w:p>
            <w:pPr>
              <w:pStyle w:val="7"/>
              <w:ind w:firstLine="480"/>
              <w:rPr>
                <w:rFonts w:ascii="宋体" w:hAnsi="宋体" w:cs="宋体"/>
              </w:rPr>
            </w:pPr>
            <w:r>
              <w:rPr>
                <w:rFonts w:hint="eastAsia" w:ascii="宋体" w:hAnsi="宋体" w:cs="宋体"/>
              </w:rPr>
              <w:t>现状年大牲畜用水定额为30L/头.d，小牲畜用水定额1L/头.d。2030年大牲畜用水定额为30L/头.d，小牲畜用水定额为1L/头.d。</w:t>
            </w:r>
          </w:p>
          <w:p>
            <w:pPr>
              <w:pStyle w:val="7"/>
              <w:ind w:firstLine="480"/>
              <w:rPr>
                <w:rFonts w:ascii="宋体" w:hAnsi="宋体" w:cs="宋体"/>
              </w:rPr>
            </w:pPr>
            <w:r>
              <w:rPr>
                <w:rFonts w:hint="eastAsia" w:ascii="宋体" w:hAnsi="宋体" w:cs="宋体"/>
              </w:rPr>
              <w:t>(5)河道外生态环境用水定额</w:t>
            </w:r>
          </w:p>
          <w:p>
            <w:pPr>
              <w:pStyle w:val="7"/>
              <w:ind w:firstLine="480"/>
              <w:rPr>
                <w:rFonts w:ascii="宋体" w:hAnsi="宋体" w:cs="宋体"/>
              </w:rPr>
            </w:pPr>
            <w:r>
              <w:rPr>
                <w:rFonts w:hint="eastAsia" w:ascii="宋体" w:hAnsi="宋体" w:cs="宋体"/>
              </w:rPr>
              <w:t>河道外生态环境用水主要包括道路浇洒、绿化用水等。根据调查，人均绿化及广场面积为11.1m</w:t>
            </w:r>
            <w:r>
              <w:rPr>
                <w:rFonts w:hint="eastAsia" w:ascii="宋体" w:hAnsi="宋体" w:cs="宋体"/>
                <w:vertAlign w:val="superscript"/>
              </w:rPr>
              <w:t>2</w:t>
            </w:r>
            <w:r>
              <w:rPr>
                <w:rFonts w:hint="eastAsia" w:ascii="宋体" w:hAnsi="宋体" w:cs="宋体"/>
              </w:rPr>
              <w:t>。根据《室外给水设计规范》(GB50013-2018），浇洒道路用水可按浇洒面积乘以1.5L/(m</w:t>
            </w:r>
            <w:r>
              <w:rPr>
                <w:rFonts w:hint="eastAsia" w:ascii="宋体" w:hAnsi="宋体" w:cs="宋体"/>
                <w:vertAlign w:val="superscript"/>
              </w:rPr>
              <w:t>2</w:t>
            </w:r>
            <w:r>
              <w:rPr>
                <w:rFonts w:hint="eastAsia" w:ascii="宋体" w:hAnsi="宋体" w:cs="宋体"/>
              </w:rPr>
              <w:t>•d)计算，浇洒绿地用水可按浇洒面积乘以1.3L/(m</w:t>
            </w:r>
            <w:r>
              <w:rPr>
                <w:rFonts w:hint="eastAsia" w:ascii="宋体" w:hAnsi="宋体" w:cs="宋体"/>
                <w:vertAlign w:val="superscript"/>
              </w:rPr>
              <w:t>2</w:t>
            </w:r>
            <w:r>
              <w:rPr>
                <w:rFonts w:hint="eastAsia" w:ascii="宋体" w:hAnsi="宋体" w:cs="宋体"/>
              </w:rPr>
              <w:t>•d)计算。现状年及规划水平年浇洒道路及绿化用水综合定额取1.3L/(m</w:t>
            </w:r>
            <w:r>
              <w:rPr>
                <w:rFonts w:hint="eastAsia" w:ascii="宋体" w:hAnsi="宋体" w:cs="宋体"/>
                <w:vertAlign w:val="superscript"/>
              </w:rPr>
              <w:t>2</w:t>
            </w:r>
            <w:r>
              <w:rPr>
                <w:rFonts w:hint="eastAsia" w:ascii="宋体" w:hAnsi="宋体" w:cs="宋体"/>
              </w:rPr>
              <w:t>•d)。根据人均道路广场及绿化面积指标乘以定额和城镇人口计算河道外生态环境用水量。各片区现状年净需水量以及规划年净需水量见下表。</w:t>
            </w:r>
          </w:p>
          <w:p>
            <w:pPr>
              <w:ind w:firstLine="472"/>
              <w:jc w:val="center"/>
              <w:rPr>
                <w:rFonts w:ascii="宋体" w:hAnsi="宋体" w:cs="宋体"/>
                <w:spacing w:val="-2"/>
                <w:szCs w:val="21"/>
              </w:rPr>
            </w:pPr>
            <w:r>
              <w:rPr>
                <w:rFonts w:hint="eastAsia" w:ascii="宋体" w:hAnsi="宋体" w:cs="宋体"/>
                <w:spacing w:val="-2"/>
              </w:rPr>
              <w:t>表2</w:t>
            </w:r>
            <w:r>
              <w:rPr>
                <w:rFonts w:ascii="宋体" w:hAnsi="宋体" w:cs="宋体"/>
                <w:spacing w:val="-2"/>
              </w:rPr>
              <w:t xml:space="preserve">-9 </w:t>
            </w:r>
            <w:r>
              <w:rPr>
                <w:rFonts w:hint="eastAsia" w:ascii="宋体" w:hAnsi="宋体" w:cs="宋体"/>
                <w:spacing w:val="-2"/>
              </w:rPr>
              <w:t>各片区现状年净需水量表</w:t>
            </w:r>
            <w:r>
              <w:rPr>
                <w:rFonts w:hint="eastAsia" w:ascii="宋体" w:hAnsi="宋体" w:cs="宋体"/>
                <w:spacing w:val="-2"/>
                <w:szCs w:val="21"/>
              </w:rPr>
              <w:t>单位：万m³</w:t>
            </w:r>
          </w:p>
          <w:tbl>
            <w:tblPr>
              <w:tblStyle w:val="39"/>
              <w:tblW w:w="5000" w:type="pct"/>
              <w:tblInd w:w="0" w:type="dxa"/>
              <w:tblLayout w:type="fixed"/>
              <w:tblCellMar>
                <w:top w:w="0" w:type="dxa"/>
                <w:left w:w="108" w:type="dxa"/>
                <w:bottom w:w="0" w:type="dxa"/>
                <w:right w:w="108" w:type="dxa"/>
              </w:tblCellMar>
            </w:tblPr>
            <w:tblGrid>
              <w:gridCol w:w="597"/>
              <w:gridCol w:w="750"/>
              <w:gridCol w:w="668"/>
              <w:gridCol w:w="777"/>
              <w:gridCol w:w="750"/>
              <w:gridCol w:w="680"/>
              <w:gridCol w:w="777"/>
              <w:gridCol w:w="737"/>
              <w:gridCol w:w="653"/>
              <w:gridCol w:w="731"/>
              <w:gridCol w:w="826"/>
            </w:tblGrid>
            <w:tr>
              <w:tblPrEx>
                <w:tblCellMar>
                  <w:top w:w="0" w:type="dxa"/>
                  <w:left w:w="108" w:type="dxa"/>
                  <w:bottom w:w="0" w:type="dxa"/>
                  <w:right w:w="108" w:type="dxa"/>
                </w:tblCellMar>
              </w:tblPrEx>
              <w:trPr>
                <w:trHeight w:val="389" w:hRule="atLeast"/>
              </w:trPr>
              <w:tc>
                <w:tcPr>
                  <w:tcW w:w="37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分片</w:t>
                  </w:r>
                </w:p>
              </w:tc>
              <w:tc>
                <w:tcPr>
                  <w:tcW w:w="472"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乡镇</w:t>
                  </w:r>
                </w:p>
              </w:tc>
              <w:tc>
                <w:tcPr>
                  <w:tcW w:w="420"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城镇需水</w:t>
                  </w:r>
                </w:p>
              </w:tc>
              <w:tc>
                <w:tcPr>
                  <w:tcW w:w="489"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农村生活需水</w:t>
                  </w:r>
                </w:p>
              </w:tc>
              <w:tc>
                <w:tcPr>
                  <w:tcW w:w="472"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工业需水</w:t>
                  </w:r>
                </w:p>
              </w:tc>
              <w:tc>
                <w:tcPr>
                  <w:tcW w:w="428"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建筑业需水</w:t>
                  </w:r>
                </w:p>
              </w:tc>
              <w:tc>
                <w:tcPr>
                  <w:tcW w:w="489"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第三产业需水</w:t>
                  </w:r>
                </w:p>
              </w:tc>
              <w:tc>
                <w:tcPr>
                  <w:tcW w:w="875" w:type="pct"/>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牲畜需水</w:t>
                  </w:r>
                </w:p>
              </w:tc>
              <w:tc>
                <w:tcPr>
                  <w:tcW w:w="460"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河道外生态环境需水</w:t>
                  </w:r>
                </w:p>
              </w:tc>
              <w:tc>
                <w:tcPr>
                  <w:tcW w:w="521"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合计</w:t>
                  </w:r>
                </w:p>
              </w:tc>
            </w:tr>
            <w:tr>
              <w:tblPrEx>
                <w:tblCellMar>
                  <w:top w:w="0" w:type="dxa"/>
                  <w:left w:w="108" w:type="dxa"/>
                  <w:bottom w:w="0" w:type="dxa"/>
                  <w:right w:w="108" w:type="dxa"/>
                </w:tblCellMar>
              </w:tblPrEx>
              <w:trPr>
                <w:trHeight w:val="389"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0"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8"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875"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0"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521"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r>
            <w:tr>
              <w:tblPrEx>
                <w:tblCellMar>
                  <w:top w:w="0" w:type="dxa"/>
                  <w:left w:w="108" w:type="dxa"/>
                  <w:bottom w:w="0" w:type="dxa"/>
                  <w:right w:w="108" w:type="dxa"/>
                </w:tblCellMar>
              </w:tblPrEx>
              <w:trPr>
                <w:trHeight w:val="300"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0"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8"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大牲畜</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小牲畜</w:t>
                  </w:r>
                </w:p>
              </w:tc>
              <w:tc>
                <w:tcPr>
                  <w:tcW w:w="460"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521"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r>
            <w:tr>
              <w:tblPrEx>
                <w:tblCellMar>
                  <w:top w:w="0" w:type="dxa"/>
                  <w:left w:w="108" w:type="dxa"/>
                  <w:bottom w:w="0" w:type="dxa"/>
                  <w:right w:w="108" w:type="dxa"/>
                </w:tblCellMar>
              </w:tblPrEx>
              <w:trPr>
                <w:trHeight w:val="300" w:hRule="atLeast"/>
              </w:trPr>
              <w:tc>
                <w:tcPr>
                  <w:tcW w:w="37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剑峰河流域</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剑峰镇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7.29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21.80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22.40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0.34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3.80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15.52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2.17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0.91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74.22 </w:t>
                  </w:r>
                </w:p>
              </w:tc>
            </w:tr>
            <w:tr>
              <w:tblPrEx>
                <w:tblCellMar>
                  <w:top w:w="0" w:type="dxa"/>
                  <w:left w:w="108" w:type="dxa"/>
                  <w:bottom w:w="0" w:type="dxa"/>
                  <w:right w:w="108" w:type="dxa"/>
                </w:tblCellMar>
              </w:tblPrEx>
              <w:trPr>
                <w:trHeight w:val="300"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土主镇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13.77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41.19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44.90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4.81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80.67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14.78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1.54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1.73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203.37 </w:t>
                  </w:r>
                </w:p>
              </w:tc>
            </w:tr>
            <w:tr>
              <w:tblPrEx>
                <w:tblCellMar>
                  <w:top w:w="0" w:type="dxa"/>
                  <w:left w:w="108" w:type="dxa"/>
                  <w:bottom w:w="0" w:type="dxa"/>
                  <w:right w:w="108" w:type="dxa"/>
                </w:tblCellMar>
              </w:tblPrEx>
              <w:trPr>
                <w:trHeight w:val="300" w:hRule="atLeast"/>
              </w:trPr>
              <w:tc>
                <w:tcPr>
                  <w:tcW w:w="37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泥溪河流域</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白马镇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14.61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43.70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42.32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5.84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18.04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33.08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8.00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1.83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167.42 </w:t>
                  </w:r>
                </w:p>
              </w:tc>
            </w:tr>
            <w:tr>
              <w:tblPrEx>
                <w:tblCellMar>
                  <w:top w:w="0" w:type="dxa"/>
                  <w:left w:w="108" w:type="dxa"/>
                  <w:bottom w:w="0" w:type="dxa"/>
                  <w:right w:w="108" w:type="dxa"/>
                </w:tblCellMar>
              </w:tblPrEx>
              <w:trPr>
                <w:trHeight w:val="300"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全福镇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13.45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40.22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41.33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5.78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9.32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6.37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1.08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1.69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119.24 </w:t>
                  </w:r>
                </w:p>
              </w:tc>
            </w:tr>
            <w:tr>
              <w:tblPrEx>
                <w:tblCellMar>
                  <w:top w:w="0" w:type="dxa"/>
                  <w:left w:w="108" w:type="dxa"/>
                  <w:bottom w:w="0" w:type="dxa"/>
                  <w:right w:w="108" w:type="dxa"/>
                </w:tblCellMar>
              </w:tblPrEx>
              <w:trPr>
                <w:trHeight w:val="300"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牟子镇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18.30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54.63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29.67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11.02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36.69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12.51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3.15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2.30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168.27 </w:t>
                  </w:r>
                </w:p>
              </w:tc>
            </w:tr>
            <w:tr>
              <w:tblPrEx>
                <w:tblCellMar>
                  <w:top w:w="0" w:type="dxa"/>
                  <w:left w:w="108" w:type="dxa"/>
                  <w:bottom w:w="0" w:type="dxa"/>
                  <w:right w:w="108" w:type="dxa"/>
                </w:tblCellMar>
              </w:tblPrEx>
              <w:trPr>
                <w:trHeight w:val="300" w:hRule="atLeast"/>
              </w:trPr>
              <w:tc>
                <w:tcPr>
                  <w:tcW w:w="375"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凌云河流域</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大佛街道</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7.08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30.79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24.76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3.39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24.90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7.71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3.08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0.89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102.60 </w:t>
                  </w:r>
                </w:p>
              </w:tc>
            </w:tr>
            <w:tr>
              <w:tblPrEx>
                <w:tblCellMar>
                  <w:top w:w="0" w:type="dxa"/>
                  <w:left w:w="108" w:type="dxa"/>
                  <w:bottom w:w="0" w:type="dxa"/>
                  <w:right w:w="108" w:type="dxa"/>
                </w:tblCellMar>
              </w:tblPrEx>
              <w:trPr>
                <w:trHeight w:val="300" w:hRule="atLeast"/>
              </w:trPr>
              <w:tc>
                <w:tcPr>
                  <w:tcW w:w="37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磨池河流域</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青平镇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7.56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24.47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43.34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2.94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14.36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11.43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3.39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0.95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108.43 </w:t>
                  </w:r>
                </w:p>
              </w:tc>
            </w:tr>
            <w:tr>
              <w:tblPrEx>
                <w:tblCellMar>
                  <w:top w:w="0" w:type="dxa"/>
                  <w:left w:w="108" w:type="dxa"/>
                  <w:bottom w:w="0" w:type="dxa"/>
                  <w:right w:w="108" w:type="dxa"/>
                </w:tblCellMar>
              </w:tblPrEx>
              <w:trPr>
                <w:trHeight w:val="300" w:hRule="atLeast"/>
              </w:trPr>
              <w:tc>
                <w:tcPr>
                  <w:tcW w:w="37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7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茅桥镇</w:t>
                  </w:r>
                </w:p>
              </w:tc>
              <w:tc>
                <w:tcPr>
                  <w:tcW w:w="42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12.92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43.06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56.16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11.80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26.59 </w:t>
                  </w:r>
                </w:p>
              </w:tc>
              <w:tc>
                <w:tcPr>
                  <w:tcW w:w="46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6.84 </w:t>
                  </w:r>
                </w:p>
              </w:tc>
              <w:tc>
                <w:tcPr>
                  <w:tcW w:w="4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2.63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1.62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161.62 </w:t>
                  </w:r>
                </w:p>
              </w:tc>
            </w:tr>
            <w:tr>
              <w:tblPrEx>
                <w:tblCellMar>
                  <w:top w:w="0" w:type="dxa"/>
                  <w:left w:w="108" w:type="dxa"/>
                  <w:bottom w:w="0" w:type="dxa"/>
                  <w:right w:w="108" w:type="dxa"/>
                </w:tblCellMar>
              </w:tblPrEx>
              <w:trPr>
                <w:trHeight w:val="300" w:hRule="atLeast"/>
              </w:trPr>
              <w:tc>
                <w:tcPr>
                  <w:tcW w:w="375"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合计</w:t>
                  </w:r>
                </w:p>
              </w:tc>
              <w:tc>
                <w:tcPr>
                  <w:tcW w:w="47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p>
              </w:tc>
              <w:tc>
                <w:tcPr>
                  <w:tcW w:w="420"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94.96 </w:t>
                  </w:r>
                </w:p>
              </w:tc>
              <w:tc>
                <w:tcPr>
                  <w:tcW w:w="489"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299.87 </w:t>
                  </w:r>
                </w:p>
              </w:tc>
              <w:tc>
                <w:tcPr>
                  <w:tcW w:w="47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304.88 </w:t>
                  </w:r>
                </w:p>
              </w:tc>
              <w:tc>
                <w:tcPr>
                  <w:tcW w:w="428"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45.92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214.36 </w:t>
                  </w:r>
                </w:p>
              </w:tc>
              <w:tc>
                <w:tcPr>
                  <w:tcW w:w="464"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108.23 </w:t>
                  </w:r>
                </w:p>
              </w:tc>
              <w:tc>
                <w:tcPr>
                  <w:tcW w:w="411"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25.04 </w:t>
                  </w:r>
                </w:p>
              </w:tc>
              <w:tc>
                <w:tcPr>
                  <w:tcW w:w="46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11.92 </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1105.18 </w:t>
                  </w:r>
                </w:p>
              </w:tc>
            </w:tr>
          </w:tbl>
          <w:p>
            <w:pPr>
              <w:pStyle w:val="7"/>
              <w:ind w:firstLine="480"/>
              <w:rPr>
                <w:rFonts w:hint="eastAsia" w:ascii="宋体" w:hAnsi="宋体" w:cs="宋体"/>
              </w:rPr>
            </w:pPr>
          </w:p>
          <w:p>
            <w:pPr>
              <w:ind w:firstLine="472"/>
              <w:jc w:val="center"/>
              <w:rPr>
                <w:rFonts w:ascii="宋体" w:hAnsi="宋体" w:cs="宋体"/>
                <w:spacing w:val="-2"/>
                <w:szCs w:val="21"/>
              </w:rPr>
            </w:pPr>
            <w:r>
              <w:rPr>
                <w:rFonts w:hint="eastAsia" w:ascii="宋体" w:hAnsi="宋体" w:cs="宋体"/>
                <w:spacing w:val="-2"/>
              </w:rPr>
              <w:t>表2</w:t>
            </w:r>
            <w:r>
              <w:rPr>
                <w:rFonts w:ascii="宋体" w:hAnsi="宋体" w:cs="宋体"/>
                <w:spacing w:val="-2"/>
              </w:rPr>
              <w:t xml:space="preserve">-10 </w:t>
            </w:r>
            <w:r>
              <w:rPr>
                <w:rFonts w:hint="eastAsia" w:ascii="宋体" w:hAnsi="宋体" w:cs="宋体"/>
                <w:spacing w:val="-2"/>
              </w:rPr>
              <w:t xml:space="preserve">各片区2030年净需水量表 </w:t>
            </w:r>
            <w:r>
              <w:rPr>
                <w:rFonts w:ascii="宋体" w:hAnsi="宋体" w:cs="宋体"/>
                <w:spacing w:val="-2"/>
              </w:rPr>
              <w:t xml:space="preserve">  </w:t>
            </w:r>
            <w:r>
              <w:rPr>
                <w:rFonts w:hint="eastAsia" w:ascii="宋体" w:hAnsi="宋体" w:cs="宋体"/>
                <w:spacing w:val="-2"/>
                <w:szCs w:val="21"/>
              </w:rPr>
              <w:t>单位：万m³</w:t>
            </w:r>
          </w:p>
          <w:tbl>
            <w:tblPr>
              <w:tblStyle w:val="39"/>
              <w:tblW w:w="5000" w:type="pct"/>
              <w:tblInd w:w="0" w:type="dxa"/>
              <w:tblLayout w:type="fixed"/>
              <w:tblCellMar>
                <w:top w:w="0" w:type="dxa"/>
                <w:left w:w="108" w:type="dxa"/>
                <w:bottom w:w="0" w:type="dxa"/>
                <w:right w:w="108" w:type="dxa"/>
              </w:tblCellMar>
            </w:tblPr>
            <w:tblGrid>
              <w:gridCol w:w="628"/>
              <w:gridCol w:w="782"/>
              <w:gridCol w:w="741"/>
              <w:gridCol w:w="777"/>
              <w:gridCol w:w="741"/>
              <w:gridCol w:w="672"/>
              <w:gridCol w:w="690"/>
              <w:gridCol w:w="721"/>
              <w:gridCol w:w="637"/>
              <w:gridCol w:w="745"/>
              <w:gridCol w:w="812"/>
            </w:tblGrid>
            <w:tr>
              <w:tblPrEx>
                <w:tblCellMar>
                  <w:top w:w="0" w:type="dxa"/>
                  <w:left w:w="108" w:type="dxa"/>
                  <w:bottom w:w="0" w:type="dxa"/>
                  <w:right w:w="108" w:type="dxa"/>
                </w:tblCellMar>
              </w:tblPrEx>
              <w:trPr>
                <w:trHeight w:val="389" w:hRule="atLeast"/>
              </w:trPr>
              <w:tc>
                <w:tcPr>
                  <w:tcW w:w="39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分片</w:t>
                  </w:r>
                </w:p>
              </w:tc>
              <w:tc>
                <w:tcPr>
                  <w:tcW w:w="492"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乡镇</w:t>
                  </w:r>
                </w:p>
              </w:tc>
              <w:tc>
                <w:tcPr>
                  <w:tcW w:w="466"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城镇需水</w:t>
                  </w:r>
                </w:p>
              </w:tc>
              <w:tc>
                <w:tcPr>
                  <w:tcW w:w="489"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农村生活需水</w:t>
                  </w:r>
                </w:p>
              </w:tc>
              <w:tc>
                <w:tcPr>
                  <w:tcW w:w="466"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工业需水</w:t>
                  </w:r>
                </w:p>
              </w:tc>
              <w:tc>
                <w:tcPr>
                  <w:tcW w:w="423"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建筑业需水</w:t>
                  </w:r>
                </w:p>
              </w:tc>
              <w:tc>
                <w:tcPr>
                  <w:tcW w:w="434"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第三产业需水</w:t>
                  </w:r>
                </w:p>
              </w:tc>
              <w:tc>
                <w:tcPr>
                  <w:tcW w:w="855" w:type="pct"/>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牲畜需水</w:t>
                  </w:r>
                </w:p>
              </w:tc>
              <w:tc>
                <w:tcPr>
                  <w:tcW w:w="469"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河道外生态环境需水</w:t>
                  </w:r>
                </w:p>
              </w:tc>
              <w:tc>
                <w:tcPr>
                  <w:tcW w:w="511"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合计</w:t>
                  </w:r>
                </w:p>
              </w:tc>
            </w:tr>
            <w:tr>
              <w:tblPrEx>
                <w:tblCellMar>
                  <w:top w:w="0" w:type="dxa"/>
                  <w:left w:w="108" w:type="dxa"/>
                  <w:bottom w:w="0" w:type="dxa"/>
                  <w:right w:w="108" w:type="dxa"/>
                </w:tblCellMar>
              </w:tblPrEx>
              <w:trPr>
                <w:trHeight w:val="389"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6"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6"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3"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34"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855"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511"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r>
            <w:tr>
              <w:tblPrEx>
                <w:tblCellMar>
                  <w:top w:w="0" w:type="dxa"/>
                  <w:left w:w="108" w:type="dxa"/>
                  <w:bottom w:w="0" w:type="dxa"/>
                  <w:right w:w="108" w:type="dxa"/>
                </w:tblCellMar>
              </w:tblPrEx>
              <w:trPr>
                <w:trHeight w:val="300"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6"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8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66"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23"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34"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大牲畜</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小牲畜</w:t>
                  </w:r>
                </w:p>
              </w:tc>
              <w:tc>
                <w:tcPr>
                  <w:tcW w:w="469"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511"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r>
            <w:tr>
              <w:tblPrEx>
                <w:tblCellMar>
                  <w:top w:w="0" w:type="dxa"/>
                  <w:left w:w="108" w:type="dxa"/>
                  <w:bottom w:w="0" w:type="dxa"/>
                  <w:right w:w="108" w:type="dxa"/>
                </w:tblCellMar>
              </w:tblPrEx>
              <w:trPr>
                <w:trHeight w:val="300" w:hRule="atLeast"/>
              </w:trPr>
              <w:tc>
                <w:tcPr>
                  <w:tcW w:w="39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剑峰河流域</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剑峰镇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13.84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22.68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41.15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0.30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1.77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15.67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2.19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1.66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99.27 </w:t>
                  </w:r>
                </w:p>
              </w:tc>
            </w:tr>
            <w:tr>
              <w:tblPrEx>
                <w:tblCellMar>
                  <w:top w:w="0" w:type="dxa"/>
                  <w:left w:w="108" w:type="dxa"/>
                  <w:bottom w:w="0" w:type="dxa"/>
                  <w:right w:w="108" w:type="dxa"/>
                </w:tblCellMar>
              </w:tblPrEx>
              <w:trPr>
                <w:trHeight w:val="300"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土主镇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27.75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45.47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82.50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4.27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37.54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14.92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1.55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3.34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217.34 </w:t>
                  </w:r>
                </w:p>
              </w:tc>
            </w:tr>
            <w:tr>
              <w:tblPrEx>
                <w:tblCellMar>
                  <w:top w:w="0" w:type="dxa"/>
                  <w:left w:w="108" w:type="dxa"/>
                  <w:bottom w:w="0" w:type="dxa"/>
                  <w:right w:w="108" w:type="dxa"/>
                </w:tblCellMar>
              </w:tblPrEx>
              <w:trPr>
                <w:trHeight w:val="300" w:hRule="atLeast"/>
              </w:trPr>
              <w:tc>
                <w:tcPr>
                  <w:tcW w:w="39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泥溪河流域</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白马镇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26.16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42.86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77.76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5.18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8.40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33.41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8.08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3.15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204.98 </w:t>
                  </w:r>
                </w:p>
              </w:tc>
            </w:tr>
            <w:tr>
              <w:tblPrEx>
                <w:tblCellMar>
                  <w:top w:w="0" w:type="dxa"/>
                  <w:left w:w="108" w:type="dxa"/>
                  <w:bottom w:w="0" w:type="dxa"/>
                  <w:right w:w="108" w:type="dxa"/>
                </w:tblCellMar>
              </w:tblPrEx>
              <w:trPr>
                <w:trHeight w:val="300"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全福镇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25.55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41.86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75.94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5.12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4.34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6.44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1.09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3.07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163.40 </w:t>
                  </w:r>
                </w:p>
              </w:tc>
            </w:tr>
            <w:tr>
              <w:tblPrEx>
                <w:tblCellMar>
                  <w:top w:w="0" w:type="dxa"/>
                  <w:left w:w="108" w:type="dxa"/>
                  <w:bottom w:w="0" w:type="dxa"/>
                  <w:right w:w="108" w:type="dxa"/>
                </w:tblCellMar>
              </w:tblPrEx>
              <w:trPr>
                <w:trHeight w:val="300"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牟子镇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7.39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32.23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47.02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9.77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17.07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12.64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3.19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0.89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130.20 </w:t>
                  </w:r>
                </w:p>
              </w:tc>
            </w:tr>
            <w:tr>
              <w:tblPrEx>
                <w:tblCellMar>
                  <w:top w:w="0" w:type="dxa"/>
                  <w:left w:w="108" w:type="dxa"/>
                  <w:bottom w:w="0" w:type="dxa"/>
                  <w:right w:w="108" w:type="dxa"/>
                </w:tblCellMar>
              </w:tblPrEx>
              <w:trPr>
                <w:trHeight w:val="300" w:hRule="atLeast"/>
              </w:trPr>
              <w:tc>
                <w:tcPr>
                  <w:tcW w:w="395"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凌云河流域</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大佛街道</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7.89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25.62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39.25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3.00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11.59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7.79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3.11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0.95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99.20 </w:t>
                  </w:r>
                </w:p>
              </w:tc>
            </w:tr>
            <w:tr>
              <w:tblPrEx>
                <w:tblCellMar>
                  <w:top w:w="0" w:type="dxa"/>
                  <w:left w:w="108" w:type="dxa"/>
                  <w:bottom w:w="0" w:type="dxa"/>
                  <w:right w:w="108" w:type="dxa"/>
                </w:tblCellMar>
              </w:tblPrEx>
              <w:trPr>
                <w:trHeight w:val="300" w:hRule="atLeast"/>
              </w:trPr>
              <w:tc>
                <w:tcPr>
                  <w:tcW w:w="395"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磨池河流域</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青平镇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13.48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45.08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68.69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2.60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6.68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11.55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3.42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1.62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153.13 </w:t>
                  </w:r>
                </w:p>
              </w:tc>
            </w:tr>
            <w:tr>
              <w:tblPrEx>
                <w:tblCellMar>
                  <w:top w:w="0" w:type="dxa"/>
                  <w:left w:w="108" w:type="dxa"/>
                  <w:bottom w:w="0" w:type="dxa"/>
                  <w:right w:w="108" w:type="dxa"/>
                </w:tblCellMar>
              </w:tblPrEx>
              <w:trPr>
                <w:trHeight w:val="300" w:hRule="atLeast"/>
              </w:trPr>
              <w:tc>
                <w:tcPr>
                  <w:tcW w:w="395" w:type="pct"/>
                  <w:vMerge w:val="continue"/>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p>
              </w:tc>
              <w:tc>
                <w:tcPr>
                  <w:tcW w:w="49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茅桥镇</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21.45 </w:t>
                  </w:r>
                </w:p>
              </w:tc>
              <w:tc>
                <w:tcPr>
                  <w:tcW w:w="48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36.03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64.87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10.46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12.38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6.91 </w:t>
                  </w:r>
                </w:p>
              </w:tc>
              <w:tc>
                <w:tcPr>
                  <w:tcW w:w="400"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2.66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2.58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157.34 </w:t>
                  </w:r>
                </w:p>
              </w:tc>
            </w:tr>
            <w:tr>
              <w:tblPrEx>
                <w:tblCellMar>
                  <w:top w:w="0" w:type="dxa"/>
                  <w:left w:w="108" w:type="dxa"/>
                  <w:bottom w:w="0" w:type="dxa"/>
                  <w:right w:w="108" w:type="dxa"/>
                </w:tblCellMar>
              </w:tblPrEx>
              <w:trPr>
                <w:trHeight w:val="300" w:hRule="atLeast"/>
              </w:trPr>
              <w:tc>
                <w:tcPr>
                  <w:tcW w:w="395"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合计</w:t>
                  </w:r>
                </w:p>
              </w:tc>
              <w:tc>
                <w:tcPr>
                  <w:tcW w:w="492"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p>
              </w:tc>
              <w:tc>
                <w:tcPr>
                  <w:tcW w:w="466"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143.51 </w:t>
                  </w:r>
                </w:p>
              </w:tc>
              <w:tc>
                <w:tcPr>
                  <w:tcW w:w="489"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291.83 </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497.19 </w:t>
                  </w:r>
                </w:p>
              </w:tc>
              <w:tc>
                <w:tcPr>
                  <w:tcW w:w="423"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40.70 </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99.76 </w:t>
                  </w:r>
                </w:p>
              </w:tc>
              <w:tc>
                <w:tcPr>
                  <w:tcW w:w="454"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109.31 </w:t>
                  </w:r>
                </w:p>
              </w:tc>
              <w:tc>
                <w:tcPr>
                  <w:tcW w:w="400" w:type="pct"/>
                  <w:tcBorders>
                    <w:top w:val="single" w:color="000000" w:sz="4" w:space="0"/>
                    <w:left w:val="single" w:color="000000" w:sz="4" w:space="0"/>
                    <w:bottom w:val="single" w:color="000000" w:sz="4" w:space="0"/>
                    <w:right w:val="single" w:color="000000" w:sz="4" w:space="0"/>
                  </w:tcBorders>
                  <w:noWrap/>
                  <w:vAlign w:val="center"/>
                </w:tcPr>
                <w:p>
                  <w:pPr>
                    <w:pStyle w:val="73"/>
                    <w:rPr>
                      <w:sz w:val="18"/>
                      <w:szCs w:val="18"/>
                    </w:rPr>
                  </w:pPr>
                  <w:r>
                    <w:rPr>
                      <w:rFonts w:hint="eastAsia"/>
                      <w:sz w:val="18"/>
                      <w:szCs w:val="18"/>
                      <w:lang w:bidi="ar"/>
                    </w:rPr>
                    <w:t xml:space="preserve">25.29 </w:t>
                  </w:r>
                </w:p>
              </w:tc>
              <w:tc>
                <w:tcPr>
                  <w:tcW w:w="469"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17.26 </w:t>
                  </w:r>
                </w:p>
              </w:tc>
              <w:tc>
                <w:tcPr>
                  <w:tcW w:w="511" w:type="pct"/>
                  <w:tcBorders>
                    <w:top w:val="single" w:color="000000" w:sz="4" w:space="0"/>
                    <w:left w:val="single" w:color="000000" w:sz="4" w:space="0"/>
                    <w:bottom w:val="single" w:color="000000" w:sz="4" w:space="0"/>
                    <w:right w:val="single" w:color="000000" w:sz="4" w:space="0"/>
                  </w:tcBorders>
                  <w:noWrap w:val="0"/>
                  <w:vAlign w:val="center"/>
                </w:tcPr>
                <w:p>
                  <w:pPr>
                    <w:pStyle w:val="73"/>
                    <w:rPr>
                      <w:sz w:val="18"/>
                      <w:szCs w:val="18"/>
                    </w:rPr>
                  </w:pPr>
                  <w:r>
                    <w:rPr>
                      <w:rFonts w:hint="eastAsia"/>
                      <w:sz w:val="18"/>
                      <w:szCs w:val="18"/>
                      <w:lang w:bidi="ar"/>
                    </w:rPr>
                    <w:t xml:space="preserve">1224.86 </w:t>
                  </w:r>
                </w:p>
              </w:tc>
            </w:tr>
          </w:tbl>
          <w:p>
            <w:pPr>
              <w:pStyle w:val="7"/>
              <w:ind w:firstLine="480"/>
            </w:pPr>
            <w:r>
              <w:rPr>
                <w:rFonts w:ascii="宋体" w:hAnsi="宋体" w:cs="宋体"/>
              </w:rPr>
              <w:t>根据</w:t>
            </w:r>
            <w:r>
              <w:rPr>
                <w:rFonts w:hint="eastAsia" w:ascii="宋体" w:hAnsi="宋体" w:cs="宋体"/>
              </w:rPr>
              <w:t>《乐山市市中区水资源综合规划》</w:t>
            </w:r>
            <w:r>
              <w:rPr>
                <w:rFonts w:ascii="宋体" w:hAnsi="宋体" w:cs="宋体"/>
              </w:rPr>
              <w:t>，结合现状调查，现状年分析范围城镇供水管网漏损率为</w:t>
            </w:r>
            <w:r>
              <w:rPr>
                <w:rFonts w:hint="eastAsia" w:ascii="宋体" w:hAnsi="宋体" w:cs="宋体"/>
                <w:szCs w:val="24"/>
              </w:rPr>
              <w:t>9%</w:t>
            </w:r>
            <w:r>
              <w:rPr>
                <w:rFonts w:ascii="宋体" w:hAnsi="宋体" w:cs="宋体"/>
              </w:rPr>
              <w:t>，2030年为</w:t>
            </w:r>
            <w:r>
              <w:rPr>
                <w:rFonts w:hint="eastAsia" w:ascii="宋体" w:hAnsi="宋体" w:cs="宋体"/>
              </w:rPr>
              <w:t>8</w:t>
            </w:r>
            <w:r>
              <w:rPr>
                <w:rFonts w:ascii="宋体" w:hAnsi="宋体" w:cs="宋体"/>
              </w:rPr>
              <w:t>%。考虑管网漏损，现状年水资源分析范围总</w:t>
            </w:r>
            <w:r>
              <w:rPr>
                <w:rFonts w:hint="eastAsia" w:ascii="宋体" w:hAnsi="宋体" w:cs="宋体"/>
              </w:rPr>
              <w:t>城乡</w:t>
            </w:r>
            <w:r>
              <w:rPr>
                <w:rFonts w:ascii="宋体" w:hAnsi="宋体" w:cs="宋体"/>
              </w:rPr>
              <w:t>毛需水量为</w:t>
            </w:r>
            <w:r>
              <w:rPr>
                <w:rFonts w:hint="eastAsia" w:ascii="宋体" w:hAnsi="宋体" w:cs="宋体"/>
              </w:rPr>
              <w:t>1204.65</w:t>
            </w:r>
            <w:r>
              <w:rPr>
                <w:rFonts w:ascii="宋体" w:hAnsi="宋体" w:cs="宋体"/>
              </w:rPr>
              <w:t>万</w:t>
            </w:r>
            <w:r>
              <w:rPr>
                <w:rFonts w:hint="eastAsia" w:ascii="宋体" w:hAnsi="宋体" w:cs="宋体"/>
              </w:rPr>
              <w:t>m³</w:t>
            </w:r>
            <w:r>
              <w:rPr>
                <w:rFonts w:ascii="宋体" w:hAnsi="宋体" w:cs="宋体"/>
              </w:rPr>
              <w:t>。</w:t>
            </w:r>
            <w:r>
              <w:rPr>
                <w:rFonts w:hint="eastAsia" w:ascii="宋体" w:hAnsi="宋体" w:cs="宋体"/>
              </w:rPr>
              <w:t>到</w:t>
            </w:r>
            <w:r>
              <w:rPr>
                <w:rFonts w:ascii="宋体" w:hAnsi="宋体" w:cs="宋体"/>
              </w:rPr>
              <w:t>2030年</w:t>
            </w:r>
            <w:r>
              <w:rPr>
                <w:rFonts w:hint="eastAsia" w:ascii="宋体" w:hAnsi="宋体" w:cs="宋体"/>
              </w:rPr>
              <w:t>岷东片区城乡供水的</w:t>
            </w:r>
            <w:r>
              <w:rPr>
                <w:rFonts w:ascii="宋体" w:hAnsi="宋体" w:cs="宋体"/>
              </w:rPr>
              <w:t>总毛需水量为</w:t>
            </w:r>
            <w:r>
              <w:rPr>
                <w:rFonts w:hint="eastAsia" w:ascii="宋体" w:hAnsi="宋体" w:cs="宋体"/>
              </w:rPr>
              <w:t>1322.85</w:t>
            </w:r>
            <w:r>
              <w:rPr>
                <w:rFonts w:ascii="宋体" w:hAnsi="宋体" w:cs="宋体"/>
              </w:rPr>
              <w:t>万</w:t>
            </w:r>
            <w:r>
              <w:rPr>
                <w:rFonts w:hint="eastAsia" w:ascii="宋体" w:hAnsi="宋体" w:cs="宋体"/>
              </w:rPr>
              <w:t>m³</w:t>
            </w:r>
            <w:r>
              <w:rPr>
                <w:rFonts w:ascii="宋体" w:hAnsi="宋体" w:cs="宋体"/>
              </w:rPr>
              <w:t>，</w:t>
            </w:r>
            <w:r>
              <w:t>其中</w:t>
            </w:r>
            <w:r>
              <w:rPr>
                <w:rFonts w:ascii="宋体" w:hAnsi="宋体" w:cs="宋体"/>
              </w:rPr>
              <w:t>城镇</w:t>
            </w:r>
            <w:r>
              <w:rPr>
                <w:rFonts w:hint="eastAsia" w:ascii="宋体" w:hAnsi="宋体" w:cs="宋体"/>
              </w:rPr>
              <w:t>生活用水量154.99</w:t>
            </w:r>
            <w:r>
              <w:rPr>
                <w:rFonts w:ascii="宋体" w:hAnsi="宋体" w:cs="宋体"/>
              </w:rPr>
              <w:t>万</w:t>
            </w:r>
            <w:r>
              <w:rPr>
                <w:rFonts w:hint="eastAsia" w:ascii="宋体" w:hAnsi="宋体" w:cs="宋体"/>
              </w:rPr>
              <w:t>m³</w:t>
            </w:r>
            <w:r>
              <w:rPr>
                <w:rFonts w:ascii="宋体" w:hAnsi="宋体" w:cs="宋体"/>
              </w:rPr>
              <w:t>、农村</w:t>
            </w:r>
            <w:r>
              <w:rPr>
                <w:rFonts w:hint="eastAsia" w:ascii="宋体" w:hAnsi="宋体" w:cs="宋体"/>
              </w:rPr>
              <w:t>生活用水量315.18</w:t>
            </w:r>
            <w:r>
              <w:rPr>
                <w:rFonts w:ascii="宋体" w:hAnsi="宋体" w:cs="宋体"/>
              </w:rPr>
              <w:t>万</w:t>
            </w:r>
            <w:r>
              <w:rPr>
                <w:rFonts w:hint="eastAsia" w:ascii="宋体" w:hAnsi="宋体" w:cs="宋体"/>
              </w:rPr>
              <w:t>m³</w:t>
            </w:r>
            <w:r>
              <w:rPr>
                <w:rFonts w:ascii="宋体" w:hAnsi="宋体" w:cs="宋体"/>
              </w:rPr>
              <w:t>、工业</w:t>
            </w:r>
            <w:r>
              <w:rPr>
                <w:rFonts w:hint="eastAsia" w:ascii="宋体" w:hAnsi="宋体" w:cs="宋体"/>
              </w:rPr>
              <w:t>用水量536.96</w:t>
            </w:r>
            <w:r>
              <w:rPr>
                <w:rFonts w:ascii="宋体" w:hAnsi="宋体" w:cs="宋体"/>
              </w:rPr>
              <w:t>万</w:t>
            </w:r>
            <w:r>
              <w:rPr>
                <w:rFonts w:hint="eastAsia" w:ascii="宋体" w:hAnsi="宋体" w:cs="宋体"/>
              </w:rPr>
              <w:t>m³</w:t>
            </w:r>
            <w:r>
              <w:rPr>
                <w:rFonts w:ascii="宋体" w:hAnsi="宋体" w:cs="宋体"/>
              </w:rPr>
              <w:t>、</w:t>
            </w:r>
            <w:r>
              <w:rPr>
                <w:rFonts w:hint="eastAsia" w:ascii="宋体" w:hAnsi="宋体" w:cs="宋体"/>
              </w:rPr>
              <w:t>建筑业用水量53.96万m³、第三产业用水量107.74万m³、牲畜用水量145.38</w:t>
            </w:r>
            <w:r>
              <w:rPr>
                <w:rFonts w:ascii="宋体" w:hAnsi="宋体" w:cs="宋体"/>
              </w:rPr>
              <w:t>万</w:t>
            </w:r>
            <w:r>
              <w:rPr>
                <w:rFonts w:hint="eastAsia" w:ascii="宋体" w:hAnsi="宋体" w:cs="宋体"/>
              </w:rPr>
              <w:t>m³、</w:t>
            </w:r>
            <w:r>
              <w:rPr>
                <w:rFonts w:ascii="宋体" w:hAnsi="宋体" w:cs="宋体"/>
              </w:rPr>
              <w:t>河道外生态环境</w:t>
            </w:r>
            <w:r>
              <w:rPr>
                <w:rFonts w:hint="eastAsia" w:ascii="宋体" w:hAnsi="宋体" w:cs="宋体"/>
              </w:rPr>
              <w:t>用</w:t>
            </w:r>
            <w:r>
              <w:rPr>
                <w:rFonts w:ascii="宋体" w:hAnsi="宋体" w:cs="宋体"/>
              </w:rPr>
              <w:t>水量</w:t>
            </w:r>
            <w:r>
              <w:rPr>
                <w:rFonts w:hint="eastAsia" w:ascii="宋体" w:hAnsi="宋体" w:cs="宋体"/>
              </w:rPr>
              <w:t>18.64</w:t>
            </w:r>
            <w:r>
              <w:rPr>
                <w:rFonts w:ascii="宋体" w:hAnsi="宋体" w:cs="宋体"/>
              </w:rPr>
              <w:t>万</w:t>
            </w:r>
            <w:r>
              <w:rPr>
                <w:rFonts w:hint="eastAsia" w:ascii="宋体" w:hAnsi="宋体" w:cs="宋体"/>
              </w:rPr>
              <w:t>m³</w:t>
            </w:r>
            <w:r>
              <w:rPr>
                <w:rFonts w:hint="eastAsia"/>
              </w:rPr>
              <w:t>。</w:t>
            </w:r>
          </w:p>
          <w:p>
            <w:pPr>
              <w:ind w:firstLine="472"/>
              <w:jc w:val="center"/>
              <w:rPr>
                <w:rFonts w:ascii="宋体" w:hAnsi="宋体" w:cs="宋体"/>
                <w:spacing w:val="-2"/>
              </w:rPr>
            </w:pPr>
            <w:r>
              <w:rPr>
                <w:rFonts w:hint="eastAsia" w:ascii="宋体" w:hAnsi="宋体" w:cs="宋体"/>
                <w:spacing w:val="-2"/>
              </w:rPr>
              <w:t>表2</w:t>
            </w:r>
            <w:r>
              <w:rPr>
                <w:rFonts w:ascii="宋体" w:hAnsi="宋体" w:cs="宋体"/>
                <w:spacing w:val="-2"/>
              </w:rPr>
              <w:t xml:space="preserve">-11 </w:t>
            </w:r>
            <w:r>
              <w:rPr>
                <w:rFonts w:hint="eastAsia" w:ascii="宋体" w:hAnsi="宋体" w:cs="宋体"/>
                <w:spacing w:val="-2"/>
              </w:rPr>
              <w:t>各片区现状年毛需水量表单位：万m³</w:t>
            </w:r>
          </w:p>
          <w:tbl>
            <w:tblPr>
              <w:tblStyle w:val="39"/>
              <w:tblW w:w="4916" w:type="pct"/>
              <w:tblInd w:w="0" w:type="dxa"/>
              <w:tblLayout w:type="fixed"/>
              <w:tblCellMar>
                <w:top w:w="0" w:type="dxa"/>
                <w:left w:w="108" w:type="dxa"/>
                <w:bottom w:w="0" w:type="dxa"/>
                <w:right w:w="108" w:type="dxa"/>
              </w:tblCellMar>
            </w:tblPr>
            <w:tblGrid>
              <w:gridCol w:w="611"/>
              <w:gridCol w:w="680"/>
              <w:gridCol w:w="744"/>
              <w:gridCol w:w="675"/>
              <w:gridCol w:w="750"/>
              <w:gridCol w:w="783"/>
              <w:gridCol w:w="635"/>
              <w:gridCol w:w="709"/>
              <w:gridCol w:w="708"/>
              <w:gridCol w:w="706"/>
              <w:gridCol w:w="812"/>
            </w:tblGrid>
            <w:tr>
              <w:tblPrEx>
                <w:tblCellMar>
                  <w:top w:w="0" w:type="dxa"/>
                  <w:left w:w="108" w:type="dxa"/>
                  <w:bottom w:w="0" w:type="dxa"/>
                  <w:right w:w="108" w:type="dxa"/>
                </w:tblCellMar>
              </w:tblPrEx>
              <w:trPr>
                <w:trHeight w:val="333" w:hRule="atLeast"/>
              </w:trPr>
              <w:tc>
                <w:tcPr>
                  <w:tcW w:w="391"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分片</w:t>
                  </w:r>
                </w:p>
              </w:tc>
              <w:tc>
                <w:tcPr>
                  <w:tcW w:w="435"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乡镇</w:t>
                  </w:r>
                </w:p>
              </w:tc>
              <w:tc>
                <w:tcPr>
                  <w:tcW w:w="476"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城镇</w:t>
                  </w:r>
                  <w:r>
                    <w:rPr>
                      <w:rFonts w:hint="eastAsia" w:ascii="宋体" w:hAnsi="宋体" w:cs="宋体"/>
                      <w:color w:val="000000"/>
                      <w:kern w:val="0"/>
                      <w:sz w:val="18"/>
                      <w:szCs w:val="18"/>
                      <w:lang w:bidi="ar"/>
                    </w:rPr>
                    <w:br w:type="textWrapping"/>
                  </w:r>
                  <w:r>
                    <w:rPr>
                      <w:rFonts w:hint="eastAsia" w:ascii="宋体" w:hAnsi="宋体" w:cs="宋体"/>
                      <w:color w:val="000000"/>
                      <w:kern w:val="0"/>
                      <w:sz w:val="18"/>
                      <w:szCs w:val="18"/>
                      <w:lang w:bidi="ar"/>
                    </w:rPr>
                    <w:t>需水</w:t>
                  </w:r>
                </w:p>
              </w:tc>
              <w:tc>
                <w:tcPr>
                  <w:tcW w:w="432"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农村生活需水</w:t>
                  </w:r>
                </w:p>
              </w:tc>
              <w:tc>
                <w:tcPr>
                  <w:tcW w:w="48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工业需水</w:t>
                  </w:r>
                </w:p>
              </w:tc>
              <w:tc>
                <w:tcPr>
                  <w:tcW w:w="501"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建筑业需水</w:t>
                  </w:r>
                </w:p>
              </w:tc>
              <w:tc>
                <w:tcPr>
                  <w:tcW w:w="406"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第三产业需水</w:t>
                  </w:r>
                </w:p>
              </w:tc>
              <w:tc>
                <w:tcPr>
                  <w:tcW w:w="907" w:type="pct"/>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牲畜需水</w:t>
                  </w:r>
                </w:p>
              </w:tc>
              <w:tc>
                <w:tcPr>
                  <w:tcW w:w="452"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河道外生态环境</w:t>
                  </w:r>
                </w:p>
              </w:tc>
              <w:tc>
                <w:tcPr>
                  <w:tcW w:w="521"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合计</w:t>
                  </w:r>
                </w:p>
              </w:tc>
            </w:tr>
            <w:tr>
              <w:tblPrEx>
                <w:tblCellMar>
                  <w:top w:w="0" w:type="dxa"/>
                  <w:left w:w="108" w:type="dxa"/>
                  <w:bottom w:w="0" w:type="dxa"/>
                  <w:right w:w="108" w:type="dxa"/>
                </w:tblCellMar>
              </w:tblPrEx>
              <w:trPr>
                <w:trHeight w:val="333"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5"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76"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50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06"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907"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52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r>
            <w:tr>
              <w:tblPrEx>
                <w:tblCellMar>
                  <w:top w:w="0" w:type="dxa"/>
                  <w:left w:w="108" w:type="dxa"/>
                  <w:bottom w:w="0" w:type="dxa"/>
                  <w:right w:w="108" w:type="dxa"/>
                </w:tblCellMar>
              </w:tblPrEx>
              <w:trPr>
                <w:trHeight w:val="300"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5"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76"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50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06"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大牲畜</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小牲畜</w:t>
                  </w: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519"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r>
            <w:tr>
              <w:tblPrEx>
                <w:tblCellMar>
                  <w:top w:w="0" w:type="dxa"/>
                  <w:left w:w="108" w:type="dxa"/>
                  <w:bottom w:w="0" w:type="dxa"/>
                  <w:right w:w="108" w:type="dxa"/>
                </w:tblCellMar>
              </w:tblPrEx>
              <w:trPr>
                <w:trHeight w:val="300" w:hRule="atLeast"/>
              </w:trPr>
              <w:tc>
                <w:tcPr>
                  <w:tcW w:w="391"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剑峰河流域</w:t>
                  </w:r>
                </w:p>
              </w:tc>
              <w:tc>
                <w:tcPr>
                  <w:tcW w:w="435"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剑峰镇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7.94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23.76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24.41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0.37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4.14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16.91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2.37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1.00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80.90 </w:t>
                  </w:r>
                </w:p>
              </w:tc>
            </w:tr>
            <w:tr>
              <w:tblPrEx>
                <w:tblCellMar>
                  <w:top w:w="0" w:type="dxa"/>
                  <w:left w:w="108" w:type="dxa"/>
                  <w:bottom w:w="0" w:type="dxa"/>
                  <w:right w:w="108" w:type="dxa"/>
                </w:tblCellMar>
              </w:tblPrEx>
              <w:trPr>
                <w:trHeight w:val="300"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5"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土主镇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15.01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44.89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48.94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5.24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87.93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16.11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1.67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1.88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221.68 </w:t>
                  </w:r>
                </w:p>
              </w:tc>
            </w:tr>
            <w:tr>
              <w:tblPrEx>
                <w:tblCellMar>
                  <w:top w:w="0" w:type="dxa"/>
                  <w:left w:w="108" w:type="dxa"/>
                  <w:bottom w:w="0" w:type="dxa"/>
                  <w:right w:w="108" w:type="dxa"/>
                </w:tblCellMar>
              </w:tblPrEx>
              <w:trPr>
                <w:trHeight w:val="300" w:hRule="atLeast"/>
              </w:trPr>
              <w:tc>
                <w:tcPr>
                  <w:tcW w:w="391"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泥溪河流域</w:t>
                  </w:r>
                </w:p>
              </w:tc>
              <w:tc>
                <w:tcPr>
                  <w:tcW w:w="435" w:type="pct"/>
                  <w:tcBorders>
                    <w:top w:val="single" w:color="000000" w:sz="4" w:space="0"/>
                    <w:left w:val="single" w:color="000000" w:sz="4" w:space="0"/>
                    <w:bottom w:val="single" w:color="000000" w:sz="4" w:space="0"/>
                    <w:right w:val="single" w:color="000000" w:sz="4" w:space="0"/>
                  </w:tcBorders>
                  <w:noWrap w:val="0"/>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白马镇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15.92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47.63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46.13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6.37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19.67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36.05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8.72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2.00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182.49 </w:t>
                  </w:r>
                </w:p>
              </w:tc>
            </w:tr>
            <w:tr>
              <w:tblPrEx>
                <w:tblCellMar>
                  <w:top w:w="0" w:type="dxa"/>
                  <w:left w:w="108" w:type="dxa"/>
                  <w:bottom w:w="0" w:type="dxa"/>
                  <w:right w:w="108" w:type="dxa"/>
                </w:tblCellMar>
              </w:tblPrEx>
              <w:trPr>
                <w:trHeight w:val="300"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5"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全福镇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14.66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43.84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45.05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6.30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10.16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6.94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1.17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1.84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129.97 </w:t>
                  </w:r>
                </w:p>
              </w:tc>
            </w:tr>
            <w:tr>
              <w:tblPrEx>
                <w:tblCellMar>
                  <w:top w:w="0" w:type="dxa"/>
                  <w:left w:w="108" w:type="dxa"/>
                  <w:bottom w:w="0" w:type="dxa"/>
                  <w:right w:w="108" w:type="dxa"/>
                </w:tblCellMar>
              </w:tblPrEx>
              <w:trPr>
                <w:trHeight w:val="300"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宋体" w:hAnsi="宋体" w:cs="宋体"/>
                      <w:color w:val="000000"/>
                      <w:sz w:val="18"/>
                      <w:szCs w:val="18"/>
                    </w:rPr>
                  </w:pPr>
                </w:p>
              </w:tc>
              <w:tc>
                <w:tcPr>
                  <w:tcW w:w="435"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牟子镇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19.95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59.55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32.34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12.01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39.99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13.64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3.44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2.50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183.42 </w:t>
                  </w:r>
                </w:p>
              </w:tc>
            </w:tr>
            <w:tr>
              <w:tblPrEx>
                <w:tblCellMar>
                  <w:top w:w="0" w:type="dxa"/>
                  <w:left w:w="108" w:type="dxa"/>
                  <w:bottom w:w="0" w:type="dxa"/>
                  <w:right w:w="108" w:type="dxa"/>
                </w:tblCellMar>
              </w:tblPrEx>
              <w:trPr>
                <w:trHeight w:val="300" w:hRule="atLeast"/>
              </w:trPr>
              <w:tc>
                <w:tcPr>
                  <w:tcW w:w="391" w:type="pct"/>
                  <w:tcBorders>
                    <w:top w:val="single" w:color="000000" w:sz="4" w:space="0"/>
                    <w:left w:val="single" w:color="000000" w:sz="4" w:space="0"/>
                    <w:bottom w:val="single" w:color="000000" w:sz="4" w:space="0"/>
                    <w:right w:val="single" w:color="000000" w:sz="4" w:space="0"/>
                  </w:tcBorders>
                  <w:noWrap w:val="0"/>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凌云河流域</w:t>
                  </w:r>
                </w:p>
              </w:tc>
              <w:tc>
                <w:tcPr>
                  <w:tcW w:w="435" w:type="pct"/>
                  <w:tcBorders>
                    <w:top w:val="single" w:color="000000" w:sz="4" w:space="0"/>
                    <w:left w:val="single" w:color="000000" w:sz="4" w:space="0"/>
                    <w:bottom w:val="single" w:color="000000" w:sz="4" w:space="0"/>
                    <w:right w:val="single" w:color="000000" w:sz="4" w:space="0"/>
                  </w:tcBorders>
                  <w:noWrap w:val="0"/>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大佛街道</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7.72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33.57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26.99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3.69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27.14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8.40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3.36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0.97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111.84 </w:t>
                  </w:r>
                </w:p>
              </w:tc>
            </w:tr>
            <w:tr>
              <w:tblPrEx>
                <w:tblCellMar>
                  <w:top w:w="0" w:type="dxa"/>
                  <w:left w:w="108" w:type="dxa"/>
                  <w:bottom w:w="0" w:type="dxa"/>
                  <w:right w:w="108" w:type="dxa"/>
                </w:tblCellMar>
              </w:tblPrEx>
              <w:trPr>
                <w:trHeight w:val="300" w:hRule="atLeast"/>
              </w:trPr>
              <w:tc>
                <w:tcPr>
                  <w:tcW w:w="391" w:type="pct"/>
                  <w:vMerge w:val="restart"/>
                  <w:tcBorders>
                    <w:top w:val="single" w:color="000000" w:sz="4" w:space="0"/>
                    <w:left w:val="single" w:color="000000" w:sz="4" w:space="0"/>
                    <w:bottom w:val="single" w:color="000000" w:sz="4" w:space="0"/>
                    <w:right w:val="single" w:color="000000" w:sz="4" w:space="0"/>
                  </w:tcBorders>
                  <w:noWrap w:val="0"/>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磨池河流域</w:t>
                  </w:r>
                </w:p>
              </w:tc>
              <w:tc>
                <w:tcPr>
                  <w:tcW w:w="435" w:type="pct"/>
                  <w:tcBorders>
                    <w:top w:val="single" w:color="000000" w:sz="4" w:space="0"/>
                    <w:left w:val="single" w:color="000000" w:sz="4" w:space="0"/>
                    <w:bottom w:val="single" w:color="000000" w:sz="4" w:space="0"/>
                    <w:right w:val="single" w:color="000000" w:sz="4" w:space="0"/>
                  </w:tcBorders>
                  <w:noWrap w:val="0"/>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青平镇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8.24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26.68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47.24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3.20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15.65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12.46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3.70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1.03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118.19 </w:t>
                  </w:r>
                </w:p>
              </w:tc>
            </w:tr>
            <w:tr>
              <w:tblPrEx>
                <w:tblCellMar>
                  <w:top w:w="0" w:type="dxa"/>
                  <w:left w:w="108" w:type="dxa"/>
                  <w:bottom w:w="0" w:type="dxa"/>
                  <w:right w:w="108" w:type="dxa"/>
                </w:tblCellMar>
              </w:tblPrEx>
              <w:trPr>
                <w:trHeight w:val="300" w:hRule="atLeast"/>
              </w:trPr>
              <w:tc>
                <w:tcPr>
                  <w:tcW w:w="391" w:type="pct"/>
                  <w:vMerge w:val="continue"/>
                  <w:tcBorders>
                    <w:top w:val="single" w:color="000000" w:sz="4" w:space="0"/>
                    <w:left w:val="single" w:color="000000" w:sz="4" w:space="0"/>
                    <w:bottom w:val="single" w:color="000000" w:sz="4" w:space="0"/>
                    <w:right w:val="single" w:color="000000" w:sz="4" w:space="0"/>
                  </w:tcBorders>
                  <w:noWrap w:val="0"/>
                  <w:vAlign w:val="bottom"/>
                </w:tcPr>
                <w:p>
                  <w:pPr>
                    <w:widowControl/>
                    <w:jc w:val="center"/>
                    <w:rPr>
                      <w:rFonts w:ascii="宋体" w:hAnsi="宋体" w:cs="宋体"/>
                      <w:color w:val="000000"/>
                      <w:sz w:val="18"/>
                      <w:szCs w:val="18"/>
                    </w:rPr>
                  </w:pPr>
                </w:p>
              </w:tc>
              <w:tc>
                <w:tcPr>
                  <w:tcW w:w="435"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茅桥镇</w:t>
                  </w:r>
                </w:p>
              </w:tc>
              <w:tc>
                <w:tcPr>
                  <w:tcW w:w="47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14.08 </w:t>
                  </w:r>
                </w:p>
              </w:tc>
              <w:tc>
                <w:tcPr>
                  <w:tcW w:w="43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46.94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61.21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12.86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28.98 </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7.45 </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2.87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1.77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176.17 </w:t>
                  </w:r>
                </w:p>
              </w:tc>
            </w:tr>
            <w:tr>
              <w:tblPrEx>
                <w:tblCellMar>
                  <w:top w:w="0" w:type="dxa"/>
                  <w:left w:w="108" w:type="dxa"/>
                  <w:bottom w:w="0" w:type="dxa"/>
                  <w:right w:w="108" w:type="dxa"/>
                </w:tblCellMar>
              </w:tblPrEx>
              <w:trPr>
                <w:trHeight w:val="300" w:hRule="atLeast"/>
              </w:trPr>
              <w:tc>
                <w:tcPr>
                  <w:tcW w:w="391"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合计</w:t>
                  </w:r>
                </w:p>
              </w:tc>
              <w:tc>
                <w:tcPr>
                  <w:tcW w:w="435" w:type="pct"/>
                  <w:tcBorders>
                    <w:top w:val="single" w:color="000000" w:sz="4" w:space="0"/>
                    <w:left w:val="single" w:color="000000" w:sz="4" w:space="0"/>
                    <w:bottom w:val="single" w:color="000000" w:sz="4" w:space="0"/>
                    <w:right w:val="single" w:color="000000" w:sz="4" w:space="0"/>
                  </w:tcBorders>
                  <w:noWrap/>
                  <w:vAlign w:val="bottom"/>
                </w:tcPr>
                <w:p>
                  <w:pPr>
                    <w:widowControl/>
                    <w:jc w:val="center"/>
                    <w:rPr>
                      <w:rFonts w:ascii="宋体" w:hAnsi="宋体" w:cs="宋体"/>
                      <w:color w:val="000000"/>
                      <w:sz w:val="18"/>
                      <w:szCs w:val="18"/>
                    </w:rPr>
                  </w:pPr>
                </w:p>
              </w:tc>
              <w:tc>
                <w:tcPr>
                  <w:tcW w:w="476"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 xml:space="preserve">103.51 </w:t>
                  </w:r>
                </w:p>
              </w:tc>
              <w:tc>
                <w:tcPr>
                  <w:tcW w:w="432"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 xml:space="preserve">326.86 </w:t>
                  </w:r>
                </w:p>
              </w:tc>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332.32 </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50.05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233.65 </w:t>
                  </w:r>
                </w:p>
              </w:tc>
              <w:tc>
                <w:tcPr>
                  <w:tcW w:w="454"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 xml:space="preserve">117.97 </w:t>
                  </w:r>
                </w:p>
              </w:tc>
              <w:tc>
                <w:tcPr>
                  <w:tcW w:w="453" w:type="pct"/>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bottom"/>
                    <w:rPr>
                      <w:rFonts w:ascii="宋体" w:hAnsi="宋体" w:cs="宋体"/>
                      <w:color w:val="000000"/>
                      <w:sz w:val="18"/>
                      <w:szCs w:val="18"/>
                    </w:rPr>
                  </w:pPr>
                  <w:r>
                    <w:rPr>
                      <w:rFonts w:hint="eastAsia" w:ascii="宋体" w:hAnsi="宋体" w:cs="宋体"/>
                      <w:color w:val="000000"/>
                      <w:kern w:val="0"/>
                      <w:sz w:val="18"/>
                      <w:szCs w:val="18"/>
                      <w:lang w:bidi="ar"/>
                    </w:rPr>
                    <w:t xml:space="preserve">27.30 </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12.99 </w:t>
                  </w:r>
                </w:p>
              </w:tc>
              <w:tc>
                <w:tcPr>
                  <w:tcW w:w="519"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lang w:bidi="ar"/>
                    </w:rPr>
                    <w:t xml:space="preserve">1204.65 </w:t>
                  </w:r>
                </w:p>
              </w:tc>
            </w:tr>
          </w:tbl>
          <w:p>
            <w:pPr>
              <w:pStyle w:val="7"/>
              <w:ind w:firstLine="480"/>
              <w:rPr>
                <w:rFonts w:hint="eastAsia" w:ascii="宋体" w:hAnsi="宋体" w:cs="宋体"/>
              </w:rPr>
            </w:pPr>
          </w:p>
          <w:p>
            <w:pPr>
              <w:ind w:firstLine="472"/>
              <w:jc w:val="center"/>
              <w:rPr>
                <w:rFonts w:ascii="宋体" w:hAnsi="宋体" w:cs="宋体"/>
                <w:spacing w:val="-2"/>
              </w:rPr>
            </w:pPr>
            <w:r>
              <w:rPr>
                <w:rFonts w:hint="eastAsia" w:ascii="宋体" w:hAnsi="宋体" w:cs="宋体"/>
                <w:spacing w:val="-2"/>
              </w:rPr>
              <w:t>表2</w:t>
            </w:r>
            <w:r>
              <w:rPr>
                <w:rFonts w:ascii="宋体" w:hAnsi="宋体" w:cs="宋体"/>
                <w:spacing w:val="-2"/>
              </w:rPr>
              <w:t xml:space="preserve">-12 </w:t>
            </w:r>
            <w:r>
              <w:rPr>
                <w:rFonts w:hint="eastAsia" w:ascii="宋体" w:hAnsi="宋体" w:cs="宋体"/>
                <w:spacing w:val="-2"/>
              </w:rPr>
              <w:t>各片区2030年毛需水量表单位：万m³</w:t>
            </w:r>
          </w:p>
          <w:tbl>
            <w:tblPr>
              <w:tblStyle w:val="39"/>
              <w:tblW w:w="4940" w:type="pct"/>
              <w:tblInd w:w="0" w:type="dxa"/>
              <w:tblLayout w:type="fixed"/>
              <w:tblCellMar>
                <w:top w:w="0" w:type="dxa"/>
                <w:left w:w="108" w:type="dxa"/>
                <w:bottom w:w="0" w:type="dxa"/>
                <w:right w:w="108" w:type="dxa"/>
              </w:tblCellMar>
            </w:tblPr>
            <w:tblGrid>
              <w:gridCol w:w="753"/>
              <w:gridCol w:w="710"/>
              <w:gridCol w:w="636"/>
              <w:gridCol w:w="641"/>
              <w:gridCol w:w="718"/>
              <w:gridCol w:w="895"/>
              <w:gridCol w:w="634"/>
              <w:gridCol w:w="652"/>
              <w:gridCol w:w="638"/>
              <w:gridCol w:w="634"/>
              <w:gridCol w:w="940"/>
            </w:tblGrid>
            <w:tr>
              <w:tblPrEx>
                <w:tblCellMar>
                  <w:top w:w="0" w:type="dxa"/>
                  <w:left w:w="108" w:type="dxa"/>
                  <w:bottom w:w="0" w:type="dxa"/>
                  <w:right w:w="108" w:type="dxa"/>
                </w:tblCellMar>
              </w:tblPrEx>
              <w:trPr>
                <w:trHeight w:val="333" w:hRule="atLeast"/>
              </w:trPr>
              <w:tc>
                <w:tcPr>
                  <w:tcW w:w="48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分片</w:t>
                  </w:r>
                </w:p>
              </w:tc>
              <w:tc>
                <w:tcPr>
                  <w:tcW w:w="452"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乡镇</w:t>
                  </w:r>
                </w:p>
              </w:tc>
              <w:tc>
                <w:tcPr>
                  <w:tcW w:w="405"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城镇需水</w:t>
                  </w:r>
                </w:p>
              </w:tc>
              <w:tc>
                <w:tcPr>
                  <w:tcW w:w="408"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农村生活需水</w:t>
                  </w:r>
                </w:p>
              </w:tc>
              <w:tc>
                <w:tcPr>
                  <w:tcW w:w="457"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工业需水</w:t>
                  </w:r>
                </w:p>
              </w:tc>
              <w:tc>
                <w:tcPr>
                  <w:tcW w:w="57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建筑业需水</w:t>
                  </w:r>
                </w:p>
              </w:tc>
              <w:tc>
                <w:tcPr>
                  <w:tcW w:w="404"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第三产业需水</w:t>
                  </w:r>
                </w:p>
              </w:tc>
              <w:tc>
                <w:tcPr>
                  <w:tcW w:w="820" w:type="pct"/>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牲畜需水</w:t>
                  </w:r>
                </w:p>
              </w:tc>
              <w:tc>
                <w:tcPr>
                  <w:tcW w:w="404"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河道外生态环境</w:t>
                  </w:r>
                </w:p>
              </w:tc>
              <w:tc>
                <w:tcPr>
                  <w:tcW w:w="60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合计</w:t>
                  </w:r>
                </w:p>
              </w:tc>
            </w:tr>
            <w:tr>
              <w:tblPrEx>
                <w:tblCellMar>
                  <w:top w:w="0" w:type="dxa"/>
                  <w:left w:w="108" w:type="dxa"/>
                  <w:bottom w:w="0" w:type="dxa"/>
                  <w:right w:w="108" w:type="dxa"/>
                </w:tblCellMar>
              </w:tblPrEx>
              <w:trPr>
                <w:trHeight w:val="333"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5"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8"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7"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57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4"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820"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4"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60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r>
            <w:tr>
              <w:tblPrEx>
                <w:tblCellMar>
                  <w:top w:w="0" w:type="dxa"/>
                  <w:left w:w="108" w:type="dxa"/>
                  <w:bottom w:w="0" w:type="dxa"/>
                  <w:right w:w="108" w:type="dxa"/>
                </w:tblCellMar>
              </w:tblPrEx>
              <w:trPr>
                <w:trHeight w:val="300"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5"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8"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7"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57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04"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大牲畜</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小牲畜</w:t>
                  </w:r>
                </w:p>
              </w:tc>
              <w:tc>
                <w:tcPr>
                  <w:tcW w:w="404"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60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r>
            <w:tr>
              <w:tblPrEx>
                <w:tblCellMar>
                  <w:top w:w="0" w:type="dxa"/>
                  <w:left w:w="108" w:type="dxa"/>
                  <w:bottom w:w="0" w:type="dxa"/>
                  <w:right w:w="108" w:type="dxa"/>
                </w:tblCellMar>
              </w:tblPrEx>
              <w:trPr>
                <w:trHeight w:val="300" w:hRule="atLeast"/>
              </w:trPr>
              <w:tc>
                <w:tcPr>
                  <w:tcW w:w="48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剑峰河流域</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剑峰镇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14.95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24.50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44.44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0.32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1.91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16.93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2.37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1.80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107.21 </w:t>
                  </w:r>
                </w:p>
              </w:tc>
            </w:tr>
            <w:tr>
              <w:tblPrEx>
                <w:tblCellMar>
                  <w:top w:w="0" w:type="dxa"/>
                  <w:left w:w="108" w:type="dxa"/>
                  <w:bottom w:w="0" w:type="dxa"/>
                  <w:right w:w="108" w:type="dxa"/>
                </w:tblCellMar>
              </w:tblPrEx>
              <w:trPr>
                <w:trHeight w:val="300"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土主镇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29.97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49.11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89.10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4.61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40.55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16.12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1.68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3.60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234.73 </w:t>
                  </w:r>
                </w:p>
              </w:tc>
            </w:tr>
            <w:tr>
              <w:tblPrEx>
                <w:tblCellMar>
                  <w:top w:w="0" w:type="dxa"/>
                  <w:left w:w="108" w:type="dxa"/>
                  <w:bottom w:w="0" w:type="dxa"/>
                  <w:right w:w="108" w:type="dxa"/>
                </w:tblCellMar>
              </w:tblPrEx>
              <w:trPr>
                <w:trHeight w:val="300" w:hRule="atLeast"/>
              </w:trPr>
              <w:tc>
                <w:tcPr>
                  <w:tcW w:w="48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泥溪河流域</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白马镇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28.25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46.28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83.98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5.60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9.07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36.08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8.73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3.40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221.38 </w:t>
                  </w:r>
                </w:p>
              </w:tc>
            </w:tr>
            <w:tr>
              <w:tblPrEx>
                <w:tblCellMar>
                  <w:top w:w="0" w:type="dxa"/>
                  <w:left w:w="108" w:type="dxa"/>
                  <w:bottom w:w="0" w:type="dxa"/>
                  <w:right w:w="108" w:type="dxa"/>
                </w:tblCellMar>
              </w:tblPrEx>
              <w:trPr>
                <w:trHeight w:val="300"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全福镇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27.59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45.20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82.02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5.53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4.69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6.95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1.18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3.32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176.47 </w:t>
                  </w:r>
                </w:p>
              </w:tc>
            </w:tr>
            <w:tr>
              <w:tblPrEx>
                <w:tblCellMar>
                  <w:top w:w="0" w:type="dxa"/>
                  <w:left w:w="108" w:type="dxa"/>
                  <w:bottom w:w="0" w:type="dxa"/>
                  <w:right w:w="108" w:type="dxa"/>
                </w:tblCellMar>
              </w:tblPrEx>
              <w:trPr>
                <w:trHeight w:val="300"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牟子镇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7.98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34.81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50.78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10.55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18.44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13.65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3.44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0.96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140.62 </w:t>
                  </w:r>
                </w:p>
              </w:tc>
            </w:tr>
            <w:tr>
              <w:tblPrEx>
                <w:tblCellMar>
                  <w:top w:w="0" w:type="dxa"/>
                  <w:left w:w="108" w:type="dxa"/>
                  <w:bottom w:w="0" w:type="dxa"/>
                  <w:right w:w="108" w:type="dxa"/>
                </w:tblCellMar>
              </w:tblPrEx>
              <w:trPr>
                <w:trHeight w:val="300" w:hRule="atLeast"/>
              </w:trPr>
              <w:tc>
                <w:tcPr>
                  <w:tcW w:w="48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凌云河流域</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大佛街道</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8.52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27.67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42.39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3.25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12.51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8.41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3.36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1.02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107.13 </w:t>
                  </w:r>
                </w:p>
              </w:tc>
            </w:tr>
            <w:tr>
              <w:tblPrEx>
                <w:tblCellMar>
                  <w:top w:w="0" w:type="dxa"/>
                  <w:left w:w="108" w:type="dxa"/>
                  <w:bottom w:w="0" w:type="dxa"/>
                  <w:right w:w="108" w:type="dxa"/>
                </w:tblCellMar>
              </w:tblPrEx>
              <w:trPr>
                <w:trHeight w:val="300" w:hRule="atLeast"/>
              </w:trPr>
              <w:tc>
                <w:tcPr>
                  <w:tcW w:w="480" w:type="pct"/>
                  <w:vMerge w:val="restar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磨池河流域</w:t>
                  </w:r>
                </w:p>
              </w:tc>
              <w:tc>
                <w:tcPr>
                  <w:tcW w:w="45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青平镇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14.56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48.69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74.19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2.81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7.22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12.47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3.70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1.75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165.38 </w:t>
                  </w:r>
                </w:p>
              </w:tc>
            </w:tr>
            <w:tr>
              <w:tblPrEx>
                <w:tblCellMar>
                  <w:top w:w="0" w:type="dxa"/>
                  <w:left w:w="108" w:type="dxa"/>
                  <w:bottom w:w="0" w:type="dxa"/>
                  <w:right w:w="108" w:type="dxa"/>
                </w:tblCellMar>
              </w:tblPrEx>
              <w:trPr>
                <w:trHeight w:val="300" w:hRule="atLeast"/>
              </w:trPr>
              <w:tc>
                <w:tcPr>
                  <w:tcW w:w="480" w:type="pct"/>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p>
              </w:tc>
              <w:tc>
                <w:tcPr>
                  <w:tcW w:w="452"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茅桥镇</w:t>
                  </w:r>
                </w:p>
              </w:tc>
              <w:tc>
                <w:tcPr>
                  <w:tcW w:w="40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23.17 </w:t>
                  </w:r>
                </w:p>
              </w:tc>
              <w:tc>
                <w:tcPr>
                  <w:tcW w:w="408"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38.91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70.06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11.30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13.37 </w:t>
                  </w:r>
                </w:p>
              </w:tc>
              <w:tc>
                <w:tcPr>
                  <w:tcW w:w="4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7.46 </w:t>
                  </w:r>
                </w:p>
              </w:tc>
              <w:tc>
                <w:tcPr>
                  <w:tcW w:w="40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2.87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2.79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169.93 </w:t>
                  </w:r>
                </w:p>
              </w:tc>
            </w:tr>
            <w:tr>
              <w:tblPrEx>
                <w:tblCellMar>
                  <w:top w:w="0" w:type="dxa"/>
                  <w:left w:w="108" w:type="dxa"/>
                  <w:bottom w:w="0" w:type="dxa"/>
                  <w:right w:w="108" w:type="dxa"/>
                </w:tblCellMar>
              </w:tblPrEx>
              <w:trPr>
                <w:trHeight w:val="300" w:hRule="atLeast"/>
              </w:trPr>
              <w:tc>
                <w:tcPr>
                  <w:tcW w:w="480"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合计</w:t>
                  </w:r>
                </w:p>
              </w:tc>
              <w:tc>
                <w:tcPr>
                  <w:tcW w:w="452"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154.99 </w:t>
                  </w:r>
                </w:p>
              </w:tc>
              <w:tc>
                <w:tcPr>
                  <w:tcW w:w="408"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315.18 </w:t>
                  </w:r>
                </w:p>
              </w:tc>
              <w:tc>
                <w:tcPr>
                  <w:tcW w:w="457"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536.96 </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43.96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107.74 </w:t>
                  </w:r>
                </w:p>
              </w:tc>
              <w:tc>
                <w:tcPr>
                  <w:tcW w:w="415"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118.06 </w:t>
                  </w:r>
                </w:p>
              </w:tc>
              <w:tc>
                <w:tcPr>
                  <w:tcW w:w="406" w:type="pct"/>
                  <w:tcBorders>
                    <w:top w:val="single" w:color="000000" w:sz="4" w:space="0"/>
                    <w:left w:val="single" w:color="000000" w:sz="4" w:space="0"/>
                    <w:bottom w:val="single" w:color="000000" w:sz="4" w:space="0"/>
                    <w:right w:val="single" w:color="000000" w:sz="4" w:space="0"/>
                  </w:tcBorders>
                  <w:noWrap/>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27.32 </w:t>
                  </w:r>
                </w:p>
              </w:tc>
              <w:tc>
                <w:tcPr>
                  <w:tcW w:w="40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18.64 </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jc w:val="center"/>
                    <w:textAlignment w:val="bottom"/>
                    <w:rPr>
                      <w:rFonts w:ascii="宋体" w:hAnsi="宋体" w:cs="宋体"/>
                      <w:color w:val="000000"/>
                      <w:kern w:val="0"/>
                      <w:sz w:val="20"/>
                      <w:szCs w:val="20"/>
                      <w:lang w:bidi="ar"/>
                    </w:rPr>
                  </w:pPr>
                  <w:r>
                    <w:rPr>
                      <w:rFonts w:hint="eastAsia" w:ascii="宋体" w:hAnsi="宋体" w:cs="宋体"/>
                      <w:color w:val="000000"/>
                      <w:kern w:val="0"/>
                      <w:sz w:val="20"/>
                      <w:szCs w:val="20"/>
                      <w:lang w:bidi="ar"/>
                    </w:rPr>
                    <w:t xml:space="preserve">1322.85 </w:t>
                  </w:r>
                </w:p>
              </w:tc>
            </w:tr>
          </w:tbl>
          <w:p>
            <w:pPr>
              <w:pStyle w:val="183"/>
            </w:pPr>
            <w:r>
              <w:rPr>
                <w:rFonts w:hint="eastAsia"/>
              </w:rPr>
              <w:t>因此，城乡用水规划年需水量为1322.85万m³，现状年用水量为1204.65万m³，由于管网重组，规划年用水量由本次水资源配置工程重新调配，将其现状年用水量置换，但新建水厂最大供水能力为1149.75万m³/</w:t>
            </w:r>
            <w:r>
              <w:t>a</w:t>
            </w:r>
            <w:r>
              <w:rPr>
                <w:rFonts w:hint="eastAsia"/>
              </w:rPr>
              <w:t>，</w:t>
            </w:r>
            <w:r>
              <w:t>0.4</w:t>
            </w:r>
            <w:r>
              <w:rPr>
                <w:rFonts w:hint="eastAsia"/>
              </w:rPr>
              <w:t>m</w:t>
            </w:r>
            <w:r>
              <w:rPr>
                <w:vertAlign w:val="superscript"/>
              </w:rPr>
              <w:t>3</w:t>
            </w:r>
            <w:r>
              <w:t>/s</w:t>
            </w:r>
            <w:r>
              <w:rPr>
                <w:rFonts w:hint="eastAsia"/>
              </w:rPr>
              <w:t>，其不足水量仍由原三水厂供水。</w:t>
            </w:r>
          </w:p>
          <w:p>
            <w:pPr>
              <w:pStyle w:val="183"/>
            </w:pPr>
            <w:r>
              <w:rPr>
                <w:rFonts w:hint="eastAsia"/>
              </w:rPr>
              <w:t>综上所述，项目，剑锋河流域、泥溪河流域、磨池河、凌云河等区域农业生产、生态用水补水量为2</w:t>
            </w:r>
            <w:r>
              <w:t>003.85</w:t>
            </w:r>
            <w:r>
              <w:rPr>
                <w:rFonts w:hint="eastAsia"/>
              </w:rPr>
              <w:t>万m</w:t>
            </w:r>
            <w:r>
              <w:rPr>
                <w:vertAlign w:val="superscript"/>
              </w:rPr>
              <w:t>3</w:t>
            </w:r>
            <w:r>
              <w:t>/a</w:t>
            </w:r>
            <w:r>
              <w:rPr>
                <w:rFonts w:hint="eastAsia"/>
              </w:rPr>
              <w:t>，新建水厂需水量为1149.75万m³/</w:t>
            </w:r>
            <w:r>
              <w:t>a</w:t>
            </w:r>
            <w:r>
              <w:rPr>
                <w:rFonts w:hint="eastAsia"/>
              </w:rPr>
              <w:t>，总用水量为3153.6万</w:t>
            </w:r>
            <w:r>
              <w:t>m³/a</w:t>
            </w:r>
            <w:r>
              <w:rPr>
                <w:rFonts w:hint="eastAsia"/>
              </w:rPr>
              <w:t>。</w:t>
            </w:r>
          </w:p>
          <w:p>
            <w:pPr>
              <w:pStyle w:val="183"/>
              <w:rPr>
                <w:rFonts w:hint="eastAsia"/>
              </w:rPr>
            </w:pPr>
            <w:r>
              <w:rPr>
                <w:rFonts w:hint="eastAsia"/>
              </w:rPr>
              <w:t>同时根据《乐山市市中区岷东片区水资源配置工程水资源论证报告书》，乐山市市中区岷东片区水资源配置工程</w:t>
            </w:r>
            <w:r>
              <w:t>日最高取水量</w:t>
            </w:r>
            <w:r>
              <w:rPr>
                <w:rFonts w:hint="eastAsia"/>
              </w:rPr>
              <w:t>12.96万</w:t>
            </w:r>
            <w:r>
              <w:t>m³/d，最大取水流量</w:t>
            </w:r>
            <w:r>
              <w:rPr>
                <w:rFonts w:hint="eastAsia"/>
              </w:rPr>
              <w:t>为1.5m³/s，因此提水泵站设计引水能力为1.5m³/s。</w:t>
            </w:r>
          </w:p>
          <w:p>
            <w:pPr>
              <w:pStyle w:val="183"/>
            </w:pPr>
            <w:r>
              <w:rPr>
                <w:rFonts w:hint="eastAsia"/>
              </w:rPr>
              <w:t>2）来水量分析</w:t>
            </w:r>
          </w:p>
          <w:p>
            <w:pPr>
              <w:snapToGrid w:val="0"/>
              <w:spacing w:line="360" w:lineRule="auto"/>
              <w:ind w:firstLine="482"/>
              <w:rPr>
                <w:rFonts w:ascii="宋体" w:hAnsi="宋体" w:cs="宋体"/>
                <w:sz w:val="24"/>
              </w:rPr>
            </w:pPr>
            <w:r>
              <w:rPr>
                <w:rFonts w:hint="eastAsia"/>
                <w:sz w:val="24"/>
              </w:rPr>
              <w:t>本项目取用关子门堰王沟内地表水，其中该王沟内为关子门堰隧洞引来的岷江水</w:t>
            </w:r>
            <w:r>
              <w:rPr>
                <w:rFonts w:hint="eastAsia" w:ascii="宋体" w:hAnsi="宋体" w:cs="宋体"/>
                <w:sz w:val="24"/>
              </w:rPr>
              <w:t>，关子门堰引水隧洞流量为8.35m³/s，取水枢纽位于汉阳电站库区，岷江流域水资源总量丰富，是本流域及邻近区域的理想水源地。</w:t>
            </w:r>
          </w:p>
          <w:p>
            <w:pPr>
              <w:pStyle w:val="183"/>
            </w:pPr>
            <w:r>
              <w:rPr>
                <w:rFonts w:hint="eastAsia"/>
              </w:rPr>
              <w:t>综上所述，本项目引水流量1</w:t>
            </w:r>
            <w:r>
              <w:t>.5m3/s</w:t>
            </w:r>
            <w:r>
              <w:rPr>
                <w:rFonts w:hint="eastAsia"/>
              </w:rPr>
              <w:t>，项目所在地来水量是大于本项目引水流量的。</w:t>
            </w:r>
          </w:p>
          <w:p>
            <w:pPr>
              <w:pStyle w:val="183"/>
            </w:pPr>
            <w:r>
              <w:rPr>
                <w:rFonts w:hint="eastAsia"/>
              </w:rPr>
              <w:t>5、水源地保护</w:t>
            </w:r>
          </w:p>
          <w:p>
            <w:pPr>
              <w:autoSpaceDE w:val="0"/>
              <w:autoSpaceDN w:val="0"/>
              <w:adjustRightInd w:val="0"/>
              <w:snapToGrid w:val="0"/>
              <w:spacing w:line="360" w:lineRule="auto"/>
              <w:ind w:firstLine="480" w:firstLineChars="200"/>
              <w:rPr>
                <w:rFonts w:ascii="宋体" w:hAnsi="宋体"/>
                <w:sz w:val="24"/>
              </w:rPr>
            </w:pPr>
            <w:r>
              <w:rPr>
                <w:rFonts w:hint="eastAsia" w:ascii="宋体" w:hAnsi="宋体"/>
                <w:sz w:val="24"/>
              </w:rPr>
              <w:t>根据《乐山市市中区关子门堰王沟集中式饮用水水源保护区划分技术报告》（送审稿），取水口位置：乐山市市中区牟子镇三峡村关子门堰王沟（东经103°48′36.43″北纬29°42′31.17″)，一级保护区为取水口下游100米至取水口上游1000米的水域范围。一级保护区水域边界沿两岸纵深50米但不超过流域分水岭的陆域范围。二级保护区为取水口下游300米至取水口上游3000米除一级保护区外的水域范围。一、二级保护区水域边界沿两岸纵深至行政区界或流域分水岭的除一级保护区外的陆域范围。</w:t>
            </w:r>
          </w:p>
          <w:p>
            <w:pPr>
              <w:pStyle w:val="183"/>
            </w:pPr>
            <w:r>
              <w:rPr>
                <w:rFonts w:hint="eastAsia"/>
              </w:rPr>
              <w:t>根据《乐山市集中式饮用水水源保护区管理条例》，本项目保护区范围内禁止下列行为：</w:t>
            </w:r>
          </w:p>
          <w:p>
            <w:pPr>
              <w:pStyle w:val="183"/>
            </w:pPr>
            <w:r>
              <w:rPr>
                <w:rFonts w:hint="eastAsia"/>
              </w:rPr>
              <w:t>一级保护区：新建、改建、扩建与取供水设施和保护水源无关的建设项目、建（构）筑物；与保护水源无关的船舶停靠、装卸；在水体清洗机动车辆；使用化肥；从事旅游、游泳、垂钓或者其他污染饮用水水体的活动；法律、法规禁止的其他行为。</w:t>
            </w:r>
          </w:p>
          <w:p>
            <w:pPr>
              <w:pStyle w:val="183"/>
              <w:rPr>
                <w:rFonts w:hint="eastAsia"/>
              </w:rPr>
            </w:pPr>
            <w:r>
              <w:rPr>
                <w:rFonts w:hint="eastAsia"/>
              </w:rPr>
              <w:t>二级保护区：使用农药；新建、改建、扩建排放污染物的建设项目；从事经营性取土和采石（砂）等活动；围水造田；修建墓地；丢弃及掩埋动物尸体；从事网箱养殖、施肥养鱼等污染饮用水水体的活动；法律、法规禁止的其他行为。</w:t>
            </w:r>
          </w:p>
          <w:p>
            <w:pPr>
              <w:pStyle w:val="183"/>
              <w:rPr>
                <w:rFonts w:hint="eastAsia"/>
              </w:rPr>
            </w:pPr>
            <w:r>
              <w:rPr>
                <w:rFonts w:hint="eastAsia"/>
              </w:rPr>
              <w:t>准保护区：设置排污口；建设畜禽养殖场、养殖小区；使用剧毒、高毒、高残留农药或者滥用化肥；丢弃农药、农药包装物或者清洗施药器械；新建、扩建对水体污染严重的建设项目或者改建增加排污量的建设项目；向水体排放油类、酸液、碱液或者有毒废液；在水体清洗装贮过油类或者有毒污染物的车辆和容器；向水体排放、倾倒废水、含病原体的污水、放射性固体废物；向水体排放、倾倒工业废渣、城镇垃圾和医疗垃圾等其他废弃物；将含有汞、镉、砷、铬、铅、氰化物、黄磷等的可溶性剧毒废渣向水体排放、倾倒或者直接埋入地下；船舶向水体倾倒垃圾或者排放残油、废油以及含油污水、生活污水；设置化工原料、矿物油类及有毒有害矿产品的贮存场所，以及工业固体废物和危险废物的堆放、转运、贮存、处置的设施、场所；设置生活垃圾堆放、转运和填埋场所；进行可能严重影响饮用水水源水质的矿产勘查、开采等活动；非更新性、非抚育性砍伐和破坏饮用水水源涵养林、护岸林和其他植被；炸鱼、毒鱼、电鱼；利用渗井、渗坑、裂隙或者溶洞排放、倾倒含有毒污染物的废水、含病原体污水或者其他废弃物；利用透水层孔隙、裂隙、溶洞和废弃矿坑储存油类、放射性物质、有毒有害化工物品、农药等；法律、法规禁止的其他行为。集中式饮用水水源准保护区内禁止通行装载剧毒化学品或者危险废物的船舶、车辆。装载其他危险品的船舶、车辆确需驶入的，应当在驶入该区域的二十四小时前向当地海事管理机构或者公安机关交通管理部门报告，配备防止污染物散落、溢流、渗漏的设施设备，指定专人保障危险品运输安全。</w:t>
            </w:r>
          </w:p>
          <w:p>
            <w:pPr>
              <w:pStyle w:val="183"/>
              <w:rPr>
                <w:rFonts w:hint="eastAsia"/>
              </w:rPr>
            </w:pPr>
            <w:r>
              <w:rPr>
                <w:rFonts w:hint="eastAsia"/>
              </w:rPr>
              <w:t>其中一级保护区内，同时应遵守二级保护区及准保护区内规定；二级保护区内应遵守准保护区内规定。</w:t>
            </w:r>
          </w:p>
          <w:p>
            <w:pPr>
              <w:pStyle w:val="183"/>
              <w:ind w:firstLine="482"/>
              <w:rPr>
                <w:rFonts w:hint="eastAsia"/>
                <w:b/>
              </w:rPr>
            </w:pPr>
            <w:r>
              <w:rPr>
                <w:rFonts w:hint="eastAsia"/>
                <w:b/>
              </w:rPr>
              <w:t>6、劳动定员及工作制度</w:t>
            </w:r>
          </w:p>
          <w:p>
            <w:pPr>
              <w:pStyle w:val="183"/>
              <w:rPr>
                <w:rFonts w:hint="eastAsia"/>
              </w:rPr>
            </w:pPr>
            <w:r>
              <w:rPr>
                <w:rFonts w:hint="eastAsia"/>
              </w:rPr>
              <w:t>本项目劳动定员34人，年工作日</w:t>
            </w:r>
            <w:r>
              <w:t>365</w:t>
            </w:r>
            <w:r>
              <w:rPr>
                <w:rFonts w:hint="eastAsia"/>
              </w:rPr>
              <w:t>天，水厂工作按三班制生产，每班8小时。</w:t>
            </w:r>
          </w:p>
          <w:p>
            <w:pPr>
              <w:pStyle w:val="183"/>
              <w:ind w:firstLine="482"/>
              <w:rPr>
                <w:rFonts w:hint="eastAsia"/>
                <w:b/>
              </w:rPr>
            </w:pPr>
            <w:r>
              <w:rPr>
                <w:b/>
              </w:rPr>
              <w:t>7</w:t>
            </w:r>
            <w:r>
              <w:rPr>
                <w:rFonts w:hint="eastAsia"/>
                <w:b/>
              </w:rPr>
              <w:t>、公用工程</w:t>
            </w:r>
          </w:p>
          <w:p>
            <w:pPr>
              <w:pStyle w:val="183"/>
              <w:ind w:firstLine="482"/>
              <w:rPr>
                <w:rFonts w:hint="eastAsia"/>
                <w:b/>
              </w:rPr>
            </w:pPr>
            <w:r>
              <w:rPr>
                <w:rFonts w:hint="eastAsia"/>
                <w:b/>
              </w:rPr>
              <w:t>（1）给排水</w:t>
            </w:r>
          </w:p>
          <w:p>
            <w:pPr>
              <w:spacing w:line="360" w:lineRule="auto"/>
              <w:ind w:firstLine="480" w:firstLineChars="200"/>
              <w:rPr>
                <w:sz w:val="24"/>
              </w:rPr>
            </w:pPr>
            <w:r>
              <w:rPr>
                <w:rFonts w:hint="eastAsia"/>
                <w:sz w:val="24"/>
              </w:rPr>
              <w:t>本项目净水厂水源来自于关子门堰王沟内，项目员工生活用水来源于净水厂内供给。</w:t>
            </w:r>
          </w:p>
          <w:p>
            <w:pPr>
              <w:spacing w:line="360" w:lineRule="auto"/>
              <w:ind w:firstLine="480" w:firstLineChars="200"/>
              <w:rPr>
                <w:rFonts w:hint="eastAsia"/>
                <w:color w:val="000000"/>
              </w:rPr>
            </w:pPr>
            <w:r>
              <w:rPr>
                <w:rFonts w:hint="eastAsia"/>
                <w:sz w:val="24"/>
              </w:rPr>
              <w:t>项目产生废水主要为生产废水以及员工生活污水。其中生产废水主要包括净水厂</w:t>
            </w:r>
            <w:r>
              <w:rPr>
                <w:sz w:val="24"/>
              </w:rPr>
              <w:t>沉淀池</w:t>
            </w:r>
            <w:r>
              <w:rPr>
                <w:rFonts w:hint="eastAsia"/>
                <w:sz w:val="24"/>
              </w:rPr>
              <w:t>、反冲洗回收水池、清水池</w:t>
            </w:r>
            <w:r>
              <w:rPr>
                <w:sz w:val="24"/>
              </w:rPr>
              <w:t>排泥水</w:t>
            </w:r>
            <w:r>
              <w:rPr>
                <w:rFonts w:hint="eastAsia"/>
                <w:sz w:val="24"/>
              </w:rPr>
              <w:t>以及</w:t>
            </w:r>
            <w:r>
              <w:rPr>
                <w:sz w:val="24"/>
              </w:rPr>
              <w:t>滤池反冲洗废水</w:t>
            </w:r>
            <w:r>
              <w:rPr>
                <w:rFonts w:hint="eastAsia"/>
                <w:sz w:val="24"/>
              </w:rPr>
              <w:t>、污泥脱水废水</w:t>
            </w:r>
            <w:r>
              <w:rPr>
                <w:sz w:val="24"/>
              </w:rPr>
              <w:t>。</w:t>
            </w:r>
            <w:r>
              <w:rPr>
                <w:rFonts w:hint="eastAsia"/>
                <w:sz w:val="24"/>
              </w:rPr>
              <w:t>排泥水及污泥脱水废水进入厂内污水处理设施处理达标后排入土主镇污水处理厂。员工生活污水经隔油池+化粪池预处理后用作周边农肥。</w:t>
            </w:r>
          </w:p>
          <w:p>
            <w:pPr>
              <w:pStyle w:val="183"/>
              <w:rPr>
                <w:rFonts w:hint="eastAsia"/>
              </w:rPr>
            </w:pPr>
            <w:r>
              <w:rPr>
                <w:rFonts w:hint="eastAsia"/>
              </w:rPr>
              <w:t>（3）供电</w:t>
            </w:r>
          </w:p>
          <w:p>
            <w:pPr>
              <w:pStyle w:val="183"/>
              <w:rPr>
                <w:rFonts w:hint="eastAsia"/>
              </w:rPr>
            </w:pPr>
            <w:r>
              <w:rPr>
                <w:rFonts w:hint="eastAsia"/>
              </w:rPr>
              <w:t>本项目提水泵站运营期用电从悦来镇搭接至提水泵站，净水厂用电从剑锋镇输电线路接入。</w:t>
            </w:r>
          </w:p>
          <w:p>
            <w:pPr>
              <w:pStyle w:val="183"/>
              <w:ind w:firstLine="482"/>
              <w:rPr>
                <w:b/>
              </w:rPr>
            </w:pPr>
            <w:r>
              <w:rPr>
                <w:rFonts w:hint="eastAsia"/>
                <w:b/>
              </w:rPr>
              <w:t>7、厂区平面布置</w:t>
            </w:r>
          </w:p>
          <w:p>
            <w:pPr>
              <w:pStyle w:val="183"/>
            </w:pPr>
            <w:r>
              <w:rPr>
                <w:rFonts w:hint="eastAsia"/>
              </w:rPr>
              <w:t>本项目位于本项目乐山市市中区岷东片区，项目在关子门堰王沟取水，在王沟右岸设置提水泵房以及配套设施，原水自提水泵房加压后翻越陈坳儿山，经联合村、见风垭山坳、龙头寺、东月膀进入新建的净水厂内。</w:t>
            </w:r>
          </w:p>
          <w:p>
            <w:pPr>
              <w:snapToGrid w:val="0"/>
              <w:spacing w:line="360" w:lineRule="auto"/>
              <w:ind w:firstLine="482"/>
              <w:rPr>
                <w:rFonts w:ascii="宋体" w:hAnsi="宋体" w:cs="宋体"/>
                <w:sz w:val="24"/>
              </w:rPr>
            </w:pPr>
            <w:r>
              <w:rPr>
                <w:rFonts w:hint="eastAsia" w:ascii="宋体" w:hAnsi="宋体" w:cs="宋体"/>
                <w:sz w:val="24"/>
              </w:rPr>
              <w:t>净水厂场地占地面积47877.5㎡。根据地形特点与工艺要求，将场地分为460.00m与465.00m两个台阶。分配井、混合反应沉淀池、加药加氯间、清水池、维修间、配电问、综合楼及门卫布置在465.00m台阶上，其余构、建筑物布置在标高460.00m台阶上。</w:t>
            </w:r>
          </w:p>
          <w:p>
            <w:pPr>
              <w:snapToGrid w:val="0"/>
              <w:spacing w:line="360" w:lineRule="auto"/>
              <w:ind w:firstLine="482"/>
              <w:rPr>
                <w:rFonts w:hint="eastAsia"/>
                <w:sz w:val="24"/>
              </w:rPr>
            </w:pPr>
            <w:r>
              <w:rPr>
                <w:rFonts w:hint="eastAsia" w:ascii="宋体" w:hAnsi="宋体" w:cs="宋体"/>
                <w:sz w:val="24"/>
              </w:rPr>
              <w:t>厂区分为厂前区和生产区，厂前区以综合楼、门卫室、维修车间等组成，布置在厂区北面，生产区布置在厂区南面；厂大门位于厂区西北面，与厂外公路相接；综合楼前有较宽阔的回车场，供厂、内外车辆停放。</w:t>
            </w:r>
          </w:p>
          <w:p>
            <w:pPr>
              <w:snapToGrid w:val="0"/>
              <w:spacing w:line="360" w:lineRule="auto"/>
              <w:ind w:firstLine="480"/>
              <w:rPr>
                <w:rFonts w:ascii="宋体" w:hAnsi="宋体" w:cs="宋体"/>
                <w:sz w:val="24"/>
              </w:rPr>
            </w:pPr>
            <w:r>
              <w:rPr>
                <w:rFonts w:hint="eastAsia" w:ascii="宋体" w:hAnsi="宋体" w:cs="宋体"/>
                <w:sz w:val="24"/>
              </w:rPr>
              <w:t>生产区按照净水厂地形坡度及工艺流程，将分配井、混合反应沉淀池、气水反冲滤池、清水池等依次由东向西布置。厂区四周设有2.2m高的砖围墙封闭防护，如此，使得水厂平面布置紧凑，功能分区明确。</w:t>
            </w:r>
          </w:p>
          <w:p>
            <w:pPr>
              <w:pStyle w:val="183"/>
              <w:ind w:firstLine="482"/>
              <w:rPr>
                <w:rFonts w:ascii="宋体" w:hAnsi="宋体" w:cs="宋体"/>
                <w:b/>
                <w:szCs w:val="21"/>
              </w:rPr>
            </w:pPr>
            <w:r>
              <w:rPr>
                <w:rFonts w:hint="eastAsia" w:ascii="宋体" w:hAnsi="宋体" w:cs="宋体"/>
                <w:b/>
                <w:szCs w:val="21"/>
              </w:rPr>
              <w:t>8、施工组织与施工方案</w:t>
            </w:r>
          </w:p>
          <w:p>
            <w:pPr>
              <w:pStyle w:val="183"/>
              <w:rPr>
                <w:rFonts w:ascii="宋体" w:hAnsi="宋体" w:cs="宋体"/>
                <w:bCs/>
                <w:szCs w:val="21"/>
              </w:rPr>
            </w:pPr>
            <w:r>
              <w:rPr>
                <w:rFonts w:hint="eastAsia" w:ascii="宋体" w:hAnsi="宋体" w:cs="宋体"/>
                <w:bCs/>
                <w:szCs w:val="21"/>
              </w:rPr>
              <w:t>1）施工组织</w:t>
            </w:r>
          </w:p>
          <w:p>
            <w:pPr>
              <w:pStyle w:val="183"/>
              <w:rPr>
                <w:rFonts w:ascii="宋体" w:hAnsi="宋体" w:cs="宋体"/>
                <w:bCs/>
                <w:szCs w:val="21"/>
              </w:rPr>
            </w:pPr>
            <w:r>
              <w:rPr>
                <w:rFonts w:hint="eastAsia" w:ascii="宋体" w:hAnsi="宋体" w:cs="宋体"/>
                <w:bCs/>
                <w:szCs w:val="21"/>
              </w:rPr>
              <w:t>（1）施工条件</w:t>
            </w:r>
          </w:p>
          <w:p>
            <w:pPr>
              <w:pStyle w:val="183"/>
              <w:rPr>
                <w:rFonts w:ascii="宋体" w:hAnsi="宋体" w:cs="宋体"/>
                <w:bCs/>
                <w:szCs w:val="21"/>
              </w:rPr>
            </w:pPr>
            <w:r>
              <w:rPr>
                <w:rFonts w:hint="eastAsia" w:ascii="宋体" w:hAnsi="宋体" w:cs="宋体"/>
                <w:bCs/>
                <w:szCs w:val="21"/>
              </w:rPr>
              <w:t>对外交通：工程位于市中区岷东片区，区内有S305省道、乐井快速通道经过，工程所需的主要外来材料购买方便。场内可通过修建的临时便道周转物质材料，零星物质采购十分方便。</w:t>
            </w:r>
          </w:p>
          <w:p>
            <w:pPr>
              <w:pStyle w:val="183"/>
              <w:rPr>
                <w:rFonts w:ascii="宋体" w:hAnsi="宋体" w:cs="宋体"/>
              </w:rPr>
            </w:pPr>
            <w:r>
              <w:rPr>
                <w:rFonts w:hint="eastAsia" w:ascii="宋体" w:hAnsi="宋体" w:cs="宋体"/>
                <w:bCs/>
                <w:szCs w:val="21"/>
              </w:rPr>
              <w:t>建筑材料来源：</w:t>
            </w:r>
            <w:r>
              <w:rPr>
                <w:rFonts w:hint="eastAsia" w:ascii="宋体" w:hAnsi="宋体" w:cs="宋体"/>
              </w:rPr>
              <w:t>工程所需要外来材料（水泥、木材、汽柴油等）均可在乐山城区购买，其综合运距按30km考虑，工程所需要的其他材料可有施工单位自行购买。</w:t>
            </w:r>
          </w:p>
          <w:p>
            <w:pPr>
              <w:pStyle w:val="183"/>
              <w:rPr>
                <w:rFonts w:ascii="宋体" w:hAnsi="宋体" w:cs="宋体"/>
              </w:rPr>
            </w:pPr>
            <w:r>
              <w:rPr>
                <w:rFonts w:hint="eastAsia" w:ascii="宋体" w:hAnsi="宋体" w:cs="宋体"/>
              </w:rPr>
              <w:t>施工用电：工程区域由国家电网和地方电网覆盖，本工程拟采用国家电网供电，电源可靠，施工用电可就近在10kv输电线上“T”接入。</w:t>
            </w:r>
          </w:p>
          <w:p>
            <w:pPr>
              <w:pStyle w:val="183"/>
              <w:rPr>
                <w:rFonts w:ascii="宋体" w:hAnsi="宋体" w:cs="宋体"/>
              </w:rPr>
            </w:pPr>
            <w:r>
              <w:rPr>
                <w:rFonts w:hint="eastAsia" w:ascii="宋体" w:hAnsi="宋体" w:cs="宋体"/>
              </w:rPr>
              <w:t>施工供水：工程施工供水可直接抽取河水，生活用水可利用城镇供水水源，生活用水按表计量饮用城镇自来水。</w:t>
            </w:r>
          </w:p>
          <w:p>
            <w:pPr>
              <w:pStyle w:val="183"/>
              <w:rPr>
                <w:rFonts w:ascii="宋体" w:hAnsi="宋体" w:cs="宋体"/>
              </w:rPr>
            </w:pPr>
            <w:r>
              <w:rPr>
                <w:rFonts w:hint="eastAsia" w:ascii="宋体" w:hAnsi="宋体" w:cs="宋体"/>
              </w:rPr>
              <w:t>机械修配条件：工程建设区紧邻场镇，场镇内有中、小型机械修配厂，并具备有一般机械设备的修配能力。因本工程施工简便，可不再另设机械修配厂，只考虑机械设备停放场及一定的保养场地。</w:t>
            </w:r>
          </w:p>
          <w:p>
            <w:pPr>
              <w:pStyle w:val="183"/>
              <w:rPr>
                <w:rFonts w:ascii="宋体" w:hAnsi="宋体" w:cs="宋体"/>
              </w:rPr>
            </w:pPr>
            <w:r>
              <w:rPr>
                <w:rFonts w:hint="eastAsia" w:ascii="宋体" w:hAnsi="宋体" w:cs="宋体"/>
              </w:rPr>
              <w:t>（2）施工导截流</w:t>
            </w:r>
          </w:p>
          <w:p>
            <w:pPr>
              <w:pStyle w:val="183"/>
              <w:rPr>
                <w:rFonts w:ascii="宋体" w:hAnsi="宋体" w:cs="宋体"/>
              </w:rPr>
            </w:pPr>
            <w:r>
              <w:rPr>
                <w:rFonts w:hint="eastAsia" w:ascii="宋体" w:hAnsi="宋体" w:cs="宋体"/>
              </w:rPr>
              <w:t>导流标准：本工程主要安排在枯水期进行施工，技术难度小，为降低临建工程投资，故选择导流标准为5年洪水重现期（P=20%）。</w:t>
            </w:r>
          </w:p>
          <w:p>
            <w:pPr>
              <w:pStyle w:val="183"/>
              <w:rPr>
                <w:rFonts w:ascii="宋体" w:hAnsi="宋体" w:cs="宋体"/>
              </w:rPr>
            </w:pPr>
            <w:r>
              <w:rPr>
                <w:rFonts w:hint="eastAsia" w:ascii="宋体" w:hAnsi="宋体" w:cs="宋体"/>
              </w:rPr>
              <w:t>导流时段：提水泵站工程及需要进行导流段管道工程施工导流时段安排在12月～次年3月，其中王沟导流流量为0.038 m³/s，徐沟导流流量为0.043 m³/s。</w:t>
            </w:r>
          </w:p>
          <w:p>
            <w:pPr>
              <w:pStyle w:val="183"/>
            </w:pPr>
            <w:r>
              <w:rPr>
                <w:rFonts w:hint="eastAsia"/>
              </w:rPr>
              <w:t>导流方式：</w:t>
            </w:r>
          </w:p>
          <w:p>
            <w:pPr>
              <w:pStyle w:val="183"/>
            </w:pPr>
            <w:r>
              <w:rPr>
                <w:rFonts w:hint="eastAsia"/>
              </w:rPr>
              <w:t>提水泵站：位于岸坡上，泵房基础部分位于王沟河道，本次设计于泵站上下游10m处分别设袋装土石围堰拦蓄水（堰顶高程432.50m），围堰范围架空φ300双壁波纹管导流。</w:t>
            </w:r>
          </w:p>
          <w:p>
            <w:pPr>
              <w:pStyle w:val="183"/>
              <w:rPr>
                <w:rFonts w:ascii="宋体" w:hAnsi="宋体" w:cs="宋体"/>
                <w:kern w:val="0"/>
                <w:lang w:val="zh-CN"/>
              </w:rPr>
            </w:pPr>
            <w:r>
              <w:rPr>
                <w:rFonts w:hint="eastAsia" w:ascii="宋体" w:hAnsi="宋体" w:cs="宋体"/>
                <w:bCs/>
                <w:szCs w:val="21"/>
              </w:rPr>
              <w:t>引水管道：本工程引水管道采用河床地埋的方式穿越王沟、徐沟，</w:t>
            </w:r>
            <w:r>
              <w:rPr>
                <w:rFonts w:hint="eastAsia" w:ascii="宋体" w:hAnsi="宋体" w:cs="宋体"/>
              </w:rPr>
              <w:t>需要进行施工导流，导流方式为管道上下游10m处</w:t>
            </w:r>
            <w:r>
              <w:rPr>
                <w:rFonts w:hint="eastAsia" w:ascii="宋体" w:hAnsi="宋体" w:cs="宋体"/>
                <w:kern w:val="0"/>
                <w:lang w:val="zh-CN"/>
              </w:rPr>
              <w:t>分别设袋装土石围堰拦蓄水（堰顶高程432.50m），围堰范围架空φ300双壁波纹管导流。</w:t>
            </w:r>
          </w:p>
          <w:p>
            <w:pPr>
              <w:pStyle w:val="183"/>
              <w:rPr>
                <w:rFonts w:ascii="宋体" w:hAnsi="宋体" w:cs="宋体"/>
                <w:kern w:val="0"/>
                <w:lang w:val="zh-CN"/>
              </w:rPr>
            </w:pPr>
            <w:r>
              <w:rPr>
                <w:rFonts w:hint="eastAsia" w:ascii="宋体" w:hAnsi="宋体" w:cs="宋体"/>
                <w:kern w:val="0"/>
                <w:lang w:val="zh-CN"/>
              </w:rPr>
              <w:t>导流建筑物设计：</w:t>
            </w:r>
          </w:p>
          <w:p>
            <w:pPr>
              <w:pStyle w:val="183"/>
              <w:wordWrap/>
              <w:rPr>
                <w:rFonts w:ascii="宋体" w:hAnsi="宋体" w:cs="宋体"/>
              </w:rPr>
            </w:pPr>
            <w:r>
              <w:rPr>
                <w:rFonts w:hint="eastAsia" w:ascii="宋体" w:hAnsi="宋体" w:cs="宋体"/>
                <w:bCs/>
                <w:szCs w:val="21"/>
              </w:rPr>
              <w:t>围堰设计：</w:t>
            </w:r>
            <w:r>
              <w:rPr>
                <w:rFonts w:hint="eastAsia" w:ascii="宋体" w:hAnsi="宋体" w:cs="宋体"/>
              </w:rPr>
              <w:t>围堰采用开挖土料作为填筑料，上游迎水面采用0.5m厚袋装土进行护面和防冲，并设置防渗土工膜（400g/m²），围堰顶宽3.0m，堰高2.0-2.5m，迎水面边坡1:1.5,背水面边坡1:1.5。为保护迎水面土工膜不被刺破影响，考虑在土工膜两侧采用开挖的土料做保护。围堰堰顶高程为设计水位以上0.5m。</w:t>
            </w:r>
          </w:p>
          <w:p>
            <w:pPr>
              <w:snapToGrid w:val="0"/>
              <w:spacing w:line="360" w:lineRule="auto"/>
              <w:ind w:firstLine="480"/>
              <w:rPr>
                <w:rFonts w:ascii="宋体" w:hAnsi="宋体" w:cs="宋体"/>
                <w:kern w:val="0"/>
                <w:sz w:val="24"/>
                <w:lang w:val="zh-CN"/>
              </w:rPr>
            </w:pPr>
            <w:r>
              <w:rPr>
                <w:rFonts w:hint="eastAsia" w:ascii="宋体" w:hAnsi="宋体" w:cs="宋体"/>
                <w:kern w:val="0"/>
                <w:sz w:val="24"/>
                <w:lang w:val="zh-CN"/>
              </w:rPr>
              <w:t>施工导流工程量见下表。</w:t>
            </w:r>
          </w:p>
          <w:p>
            <w:pPr>
              <w:pStyle w:val="72"/>
              <w:ind w:firstLine="196" w:firstLineChars="82"/>
              <w:jc w:val="center"/>
              <w:rPr>
                <w:rFonts w:ascii="宋体" w:hAnsi="宋体" w:cs="宋体"/>
                <w:szCs w:val="24"/>
                <w:lang w:val="zh-CN"/>
              </w:rPr>
            </w:pPr>
            <w:r>
              <w:rPr>
                <w:rFonts w:hint="eastAsia" w:ascii="宋体" w:hAnsi="宋体" w:cs="宋体"/>
                <w:szCs w:val="24"/>
                <w:lang w:val="zh-CN"/>
              </w:rPr>
              <w:t>表</w:t>
            </w:r>
            <w:r>
              <w:rPr>
                <w:rFonts w:ascii="宋体" w:hAnsi="宋体" w:cs="宋体"/>
                <w:szCs w:val="24"/>
                <w:lang w:val="zh-CN"/>
              </w:rPr>
              <w:t>2</w:t>
            </w:r>
            <w:r>
              <w:rPr>
                <w:rFonts w:hint="eastAsia" w:ascii="宋体" w:hAnsi="宋体" w:cs="宋体"/>
                <w:szCs w:val="24"/>
                <w:lang w:val="zh-CN"/>
              </w:rPr>
              <w:t>-</w:t>
            </w:r>
            <w:r>
              <w:rPr>
                <w:rFonts w:ascii="宋体" w:hAnsi="宋体" w:cs="宋体"/>
                <w:szCs w:val="24"/>
              </w:rPr>
              <w:t>13</w:t>
            </w:r>
            <w:r>
              <w:rPr>
                <w:rFonts w:hint="eastAsia" w:ascii="宋体" w:hAnsi="宋体" w:cs="宋体"/>
                <w:szCs w:val="24"/>
                <w:lang w:val="zh-CN"/>
              </w:rPr>
              <w:t xml:space="preserve">     施工导流工程量表</w:t>
            </w:r>
          </w:p>
          <w:tbl>
            <w:tblPr>
              <w:tblStyle w:val="39"/>
              <w:tblW w:w="7985" w:type="dxa"/>
              <w:tblInd w:w="0" w:type="dxa"/>
              <w:tblLayout w:type="fixed"/>
              <w:tblCellMar>
                <w:top w:w="0" w:type="dxa"/>
                <w:left w:w="108" w:type="dxa"/>
                <w:bottom w:w="0" w:type="dxa"/>
                <w:right w:w="108" w:type="dxa"/>
              </w:tblCellMar>
            </w:tblPr>
            <w:tblGrid>
              <w:gridCol w:w="747"/>
              <w:gridCol w:w="664"/>
              <w:gridCol w:w="1025"/>
              <w:gridCol w:w="1025"/>
              <w:gridCol w:w="866"/>
              <w:gridCol w:w="1012"/>
              <w:gridCol w:w="1044"/>
              <w:gridCol w:w="802"/>
              <w:gridCol w:w="800"/>
            </w:tblGrid>
            <w:tr>
              <w:tblPrEx>
                <w:tblCellMar>
                  <w:top w:w="0" w:type="dxa"/>
                  <w:left w:w="108" w:type="dxa"/>
                  <w:bottom w:w="0" w:type="dxa"/>
                  <w:right w:w="108" w:type="dxa"/>
                </w:tblCellMar>
              </w:tblPrEx>
              <w:trPr>
                <w:trHeight w:val="397" w:hRule="atLeast"/>
                <w:tblHeader/>
              </w:trPr>
              <w:tc>
                <w:tcPr>
                  <w:tcW w:w="467" w:type="pct"/>
                  <w:tcBorders>
                    <w:top w:val="single" w:color="000000" w:sz="8" w:space="0"/>
                    <w:left w:val="single" w:color="000000" w:sz="8" w:space="0"/>
                    <w:bottom w:val="single" w:color="000000" w:sz="8" w:space="0"/>
                    <w:right w:val="single" w:color="000000" w:sz="8" w:space="0"/>
                  </w:tcBorders>
                  <w:noWrap w:val="0"/>
                  <w:vAlign w:val="center"/>
                </w:tcPr>
                <w:p>
                  <w:pPr>
                    <w:pStyle w:val="73"/>
                  </w:pPr>
                  <w:r>
                    <w:rPr>
                      <w:rFonts w:hint="eastAsia"/>
                    </w:rPr>
                    <w:t>项目</w:t>
                  </w:r>
                </w:p>
              </w:tc>
              <w:tc>
                <w:tcPr>
                  <w:tcW w:w="416" w:type="pct"/>
                  <w:tcBorders>
                    <w:top w:val="single" w:color="000000" w:sz="8" w:space="0"/>
                    <w:left w:val="nil"/>
                    <w:bottom w:val="single" w:color="000000" w:sz="8" w:space="0"/>
                    <w:right w:val="single" w:color="auto" w:sz="4" w:space="0"/>
                  </w:tcBorders>
                  <w:noWrap w:val="0"/>
                  <w:vAlign w:val="center"/>
                </w:tcPr>
                <w:p>
                  <w:pPr>
                    <w:pStyle w:val="73"/>
                  </w:pPr>
                  <w:r>
                    <w:rPr>
                      <w:rFonts w:hint="eastAsia"/>
                    </w:rPr>
                    <w:t>围堰长度/m</w:t>
                  </w:r>
                </w:p>
              </w:tc>
              <w:tc>
                <w:tcPr>
                  <w:tcW w:w="642" w:type="pct"/>
                  <w:tcBorders>
                    <w:top w:val="single" w:color="000000" w:sz="8" w:space="0"/>
                    <w:left w:val="single" w:color="auto" w:sz="4" w:space="0"/>
                    <w:bottom w:val="single" w:color="000000" w:sz="8" w:space="0"/>
                    <w:right w:val="single" w:color="auto" w:sz="4" w:space="0"/>
                  </w:tcBorders>
                  <w:noWrap w:val="0"/>
                  <w:vAlign w:val="top"/>
                </w:tcPr>
                <w:p>
                  <w:pPr>
                    <w:pStyle w:val="73"/>
                  </w:pPr>
                  <w:r>
                    <w:rPr>
                      <w:rFonts w:hint="eastAsia"/>
                    </w:rPr>
                    <w:t>围堰高度/m）</w:t>
                  </w:r>
                </w:p>
              </w:tc>
              <w:tc>
                <w:tcPr>
                  <w:tcW w:w="64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土方开挖/m³</w:t>
                  </w:r>
                </w:p>
              </w:tc>
              <w:tc>
                <w:tcPr>
                  <w:tcW w:w="542" w:type="pct"/>
                  <w:tcBorders>
                    <w:top w:val="single" w:color="000000" w:sz="8" w:space="0"/>
                    <w:left w:val="nil"/>
                    <w:bottom w:val="single" w:color="000000" w:sz="8" w:space="0"/>
                    <w:right w:val="single" w:color="auto" w:sz="4" w:space="0"/>
                  </w:tcBorders>
                  <w:noWrap w:val="0"/>
                  <w:vAlign w:val="center"/>
                </w:tcPr>
                <w:p>
                  <w:pPr>
                    <w:pStyle w:val="73"/>
                  </w:pPr>
                  <w:r>
                    <w:rPr>
                      <w:rFonts w:hint="eastAsia"/>
                    </w:rPr>
                    <w:t>袋装土/m³</w:t>
                  </w:r>
                </w:p>
              </w:tc>
              <w:tc>
                <w:tcPr>
                  <w:tcW w:w="634" w:type="pct"/>
                  <w:tcBorders>
                    <w:top w:val="single" w:color="000000" w:sz="8" w:space="0"/>
                    <w:left w:val="single" w:color="auto" w:sz="4" w:space="0"/>
                    <w:bottom w:val="single" w:color="000000" w:sz="8" w:space="0"/>
                    <w:right w:val="single" w:color="auto" w:sz="4" w:space="0"/>
                  </w:tcBorders>
                  <w:noWrap w:val="0"/>
                  <w:vAlign w:val="center"/>
                </w:tcPr>
                <w:p>
                  <w:pPr>
                    <w:pStyle w:val="73"/>
                  </w:pPr>
                  <w:r>
                    <w:rPr>
                      <w:rFonts w:hint="eastAsia"/>
                    </w:rPr>
                    <w:t>土方围堰/m³</w:t>
                  </w:r>
                </w:p>
              </w:tc>
              <w:tc>
                <w:tcPr>
                  <w:tcW w:w="654"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防渗土工膜/m²</w:t>
                  </w:r>
                </w:p>
              </w:tc>
              <w:tc>
                <w:tcPr>
                  <w:tcW w:w="50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围堰拆除/m³</w:t>
                  </w:r>
                </w:p>
              </w:tc>
              <w:tc>
                <w:tcPr>
                  <w:tcW w:w="501"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双壁波纹管/m³</w:t>
                  </w:r>
                </w:p>
              </w:tc>
            </w:tr>
            <w:tr>
              <w:tblPrEx>
                <w:tblCellMar>
                  <w:top w:w="0" w:type="dxa"/>
                  <w:left w:w="108" w:type="dxa"/>
                  <w:bottom w:w="0" w:type="dxa"/>
                  <w:right w:w="108" w:type="dxa"/>
                </w:tblCellMar>
              </w:tblPrEx>
              <w:trPr>
                <w:trHeight w:val="397" w:hRule="atLeast"/>
              </w:trPr>
              <w:tc>
                <w:tcPr>
                  <w:tcW w:w="467" w:type="pct"/>
                  <w:tcBorders>
                    <w:top w:val="single" w:color="000000" w:sz="8" w:space="0"/>
                    <w:left w:val="single" w:color="000000" w:sz="8" w:space="0"/>
                    <w:bottom w:val="single" w:color="000000" w:sz="8" w:space="0"/>
                    <w:right w:val="single" w:color="000000" w:sz="8" w:space="0"/>
                  </w:tcBorders>
                  <w:noWrap w:val="0"/>
                  <w:vAlign w:val="center"/>
                </w:tcPr>
                <w:p>
                  <w:pPr>
                    <w:pStyle w:val="73"/>
                  </w:pPr>
                  <w:r>
                    <w:rPr>
                      <w:rFonts w:hint="eastAsia"/>
                    </w:rPr>
                    <w:t>王沟</w:t>
                  </w:r>
                </w:p>
              </w:tc>
              <w:tc>
                <w:tcPr>
                  <w:tcW w:w="416" w:type="pct"/>
                  <w:tcBorders>
                    <w:top w:val="single" w:color="000000" w:sz="8" w:space="0"/>
                    <w:left w:val="nil"/>
                    <w:bottom w:val="single" w:color="000000" w:sz="8" w:space="0"/>
                    <w:right w:val="single" w:color="auto" w:sz="4" w:space="0"/>
                  </w:tcBorders>
                  <w:noWrap w:val="0"/>
                  <w:vAlign w:val="center"/>
                </w:tcPr>
                <w:p>
                  <w:pPr>
                    <w:pStyle w:val="73"/>
                  </w:pPr>
                  <w:r>
                    <w:rPr>
                      <w:rFonts w:hint="eastAsia"/>
                    </w:rPr>
                    <w:t>50</w:t>
                  </w:r>
                </w:p>
              </w:tc>
              <w:tc>
                <w:tcPr>
                  <w:tcW w:w="642" w:type="pct"/>
                  <w:tcBorders>
                    <w:top w:val="single" w:color="000000" w:sz="8" w:space="0"/>
                    <w:left w:val="single" w:color="auto" w:sz="4" w:space="0"/>
                    <w:bottom w:val="single" w:color="000000" w:sz="8" w:space="0"/>
                    <w:right w:val="single" w:color="auto" w:sz="4" w:space="0"/>
                  </w:tcBorders>
                  <w:noWrap w:val="0"/>
                  <w:vAlign w:val="top"/>
                </w:tcPr>
                <w:p>
                  <w:pPr>
                    <w:pStyle w:val="73"/>
                  </w:pPr>
                  <w:r>
                    <w:rPr>
                      <w:rFonts w:hint="eastAsia"/>
                    </w:rPr>
                    <w:t>2.5</w:t>
                  </w:r>
                </w:p>
              </w:tc>
              <w:tc>
                <w:tcPr>
                  <w:tcW w:w="64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275</w:t>
                  </w:r>
                </w:p>
              </w:tc>
              <w:tc>
                <w:tcPr>
                  <w:tcW w:w="542" w:type="pct"/>
                  <w:tcBorders>
                    <w:top w:val="single" w:color="000000" w:sz="8" w:space="0"/>
                    <w:left w:val="nil"/>
                    <w:bottom w:val="single" w:color="000000" w:sz="8" w:space="0"/>
                    <w:right w:val="single" w:color="auto" w:sz="4" w:space="0"/>
                  </w:tcBorders>
                  <w:noWrap w:val="0"/>
                  <w:vAlign w:val="center"/>
                </w:tcPr>
                <w:p>
                  <w:pPr>
                    <w:pStyle w:val="73"/>
                  </w:pPr>
                  <w:r>
                    <w:rPr>
                      <w:rFonts w:hint="eastAsia"/>
                    </w:rPr>
                    <w:t>130</w:t>
                  </w:r>
                </w:p>
              </w:tc>
              <w:tc>
                <w:tcPr>
                  <w:tcW w:w="634" w:type="pct"/>
                  <w:tcBorders>
                    <w:top w:val="single" w:color="000000" w:sz="8" w:space="0"/>
                    <w:left w:val="single" w:color="auto" w:sz="4" w:space="0"/>
                    <w:bottom w:val="single" w:color="000000" w:sz="8" w:space="0"/>
                    <w:right w:val="single" w:color="auto" w:sz="4" w:space="0"/>
                  </w:tcBorders>
                  <w:noWrap w:val="0"/>
                  <w:vAlign w:val="center"/>
                </w:tcPr>
                <w:p>
                  <w:pPr>
                    <w:pStyle w:val="73"/>
                  </w:pPr>
                  <w:r>
                    <w:rPr>
                      <w:rFonts w:hint="eastAsia"/>
                    </w:rPr>
                    <w:t>844</w:t>
                  </w:r>
                </w:p>
              </w:tc>
              <w:tc>
                <w:tcPr>
                  <w:tcW w:w="654"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260</w:t>
                  </w:r>
                </w:p>
              </w:tc>
              <w:tc>
                <w:tcPr>
                  <w:tcW w:w="50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974</w:t>
                  </w:r>
                </w:p>
              </w:tc>
              <w:tc>
                <w:tcPr>
                  <w:tcW w:w="501"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25</w:t>
                  </w:r>
                </w:p>
              </w:tc>
            </w:tr>
            <w:tr>
              <w:tblPrEx>
                <w:tblCellMar>
                  <w:top w:w="0" w:type="dxa"/>
                  <w:left w:w="108" w:type="dxa"/>
                  <w:bottom w:w="0" w:type="dxa"/>
                  <w:right w:w="108" w:type="dxa"/>
                </w:tblCellMar>
              </w:tblPrEx>
              <w:trPr>
                <w:trHeight w:val="397" w:hRule="atLeast"/>
              </w:trPr>
              <w:tc>
                <w:tcPr>
                  <w:tcW w:w="467" w:type="pct"/>
                  <w:tcBorders>
                    <w:top w:val="single" w:color="000000" w:sz="8" w:space="0"/>
                    <w:left w:val="single" w:color="000000" w:sz="8" w:space="0"/>
                    <w:bottom w:val="single" w:color="000000" w:sz="8" w:space="0"/>
                    <w:right w:val="single" w:color="000000" w:sz="8" w:space="0"/>
                  </w:tcBorders>
                  <w:noWrap w:val="0"/>
                  <w:vAlign w:val="center"/>
                </w:tcPr>
                <w:p>
                  <w:pPr>
                    <w:pStyle w:val="73"/>
                  </w:pPr>
                  <w:r>
                    <w:rPr>
                      <w:rFonts w:hint="eastAsia"/>
                    </w:rPr>
                    <w:t>徐沟</w:t>
                  </w:r>
                </w:p>
              </w:tc>
              <w:tc>
                <w:tcPr>
                  <w:tcW w:w="416" w:type="pct"/>
                  <w:tcBorders>
                    <w:top w:val="single" w:color="000000" w:sz="8" w:space="0"/>
                    <w:left w:val="nil"/>
                    <w:bottom w:val="single" w:color="000000" w:sz="8" w:space="0"/>
                    <w:right w:val="single" w:color="auto" w:sz="4" w:space="0"/>
                  </w:tcBorders>
                  <w:noWrap w:val="0"/>
                  <w:vAlign w:val="center"/>
                </w:tcPr>
                <w:p>
                  <w:pPr>
                    <w:pStyle w:val="73"/>
                  </w:pPr>
                  <w:r>
                    <w:rPr>
                      <w:rFonts w:hint="eastAsia"/>
                    </w:rPr>
                    <w:t>45</w:t>
                  </w:r>
                </w:p>
              </w:tc>
              <w:tc>
                <w:tcPr>
                  <w:tcW w:w="642" w:type="pct"/>
                  <w:tcBorders>
                    <w:top w:val="single" w:color="000000" w:sz="8" w:space="0"/>
                    <w:left w:val="single" w:color="auto" w:sz="4" w:space="0"/>
                    <w:bottom w:val="single" w:color="000000" w:sz="8" w:space="0"/>
                    <w:right w:val="single" w:color="auto" w:sz="4" w:space="0"/>
                  </w:tcBorders>
                  <w:noWrap w:val="0"/>
                  <w:vAlign w:val="top"/>
                </w:tcPr>
                <w:p>
                  <w:pPr>
                    <w:pStyle w:val="73"/>
                  </w:pPr>
                  <w:r>
                    <w:rPr>
                      <w:rFonts w:hint="eastAsia"/>
                    </w:rPr>
                    <w:t>2.5</w:t>
                  </w:r>
                </w:p>
              </w:tc>
              <w:tc>
                <w:tcPr>
                  <w:tcW w:w="64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245</w:t>
                  </w:r>
                </w:p>
              </w:tc>
              <w:tc>
                <w:tcPr>
                  <w:tcW w:w="542" w:type="pct"/>
                  <w:tcBorders>
                    <w:top w:val="single" w:color="000000" w:sz="8" w:space="0"/>
                    <w:left w:val="nil"/>
                    <w:bottom w:val="single" w:color="000000" w:sz="8" w:space="0"/>
                    <w:right w:val="single" w:color="auto" w:sz="4" w:space="0"/>
                  </w:tcBorders>
                  <w:noWrap w:val="0"/>
                  <w:vAlign w:val="center"/>
                </w:tcPr>
                <w:p>
                  <w:pPr>
                    <w:pStyle w:val="73"/>
                  </w:pPr>
                  <w:r>
                    <w:rPr>
                      <w:rFonts w:hint="eastAsia"/>
                    </w:rPr>
                    <w:t>117</w:t>
                  </w:r>
                </w:p>
              </w:tc>
              <w:tc>
                <w:tcPr>
                  <w:tcW w:w="634" w:type="pct"/>
                  <w:tcBorders>
                    <w:top w:val="single" w:color="000000" w:sz="8" w:space="0"/>
                    <w:left w:val="single" w:color="auto" w:sz="4" w:space="0"/>
                    <w:bottom w:val="single" w:color="000000" w:sz="8" w:space="0"/>
                    <w:right w:val="single" w:color="auto" w:sz="4" w:space="0"/>
                  </w:tcBorders>
                  <w:noWrap w:val="0"/>
                  <w:vAlign w:val="center"/>
                </w:tcPr>
                <w:p>
                  <w:pPr>
                    <w:pStyle w:val="73"/>
                  </w:pPr>
                  <w:r>
                    <w:rPr>
                      <w:rFonts w:hint="eastAsia"/>
                    </w:rPr>
                    <w:t>760</w:t>
                  </w:r>
                </w:p>
              </w:tc>
              <w:tc>
                <w:tcPr>
                  <w:tcW w:w="654"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234</w:t>
                  </w:r>
                </w:p>
              </w:tc>
              <w:tc>
                <w:tcPr>
                  <w:tcW w:w="502"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877</w:t>
                  </w:r>
                </w:p>
              </w:tc>
              <w:tc>
                <w:tcPr>
                  <w:tcW w:w="501" w:type="pct"/>
                  <w:tcBorders>
                    <w:top w:val="single" w:color="000000" w:sz="8" w:space="0"/>
                    <w:left w:val="single" w:color="auto" w:sz="4" w:space="0"/>
                    <w:bottom w:val="single" w:color="000000" w:sz="8" w:space="0"/>
                    <w:right w:val="single" w:color="000000" w:sz="8" w:space="0"/>
                  </w:tcBorders>
                  <w:noWrap w:val="0"/>
                  <w:vAlign w:val="center"/>
                </w:tcPr>
                <w:p>
                  <w:pPr>
                    <w:pStyle w:val="73"/>
                  </w:pPr>
                  <w:r>
                    <w:rPr>
                      <w:rFonts w:hint="eastAsia"/>
                    </w:rPr>
                    <w:t>25</w:t>
                  </w:r>
                </w:p>
              </w:tc>
            </w:tr>
          </w:tbl>
          <w:p>
            <w:pPr>
              <w:pStyle w:val="183"/>
              <w:rPr>
                <w:rFonts w:ascii="宋体" w:hAnsi="宋体" w:cs="宋体"/>
                <w:bCs/>
                <w:szCs w:val="21"/>
              </w:rPr>
            </w:pPr>
            <w:r>
              <w:rPr>
                <w:rFonts w:hint="eastAsia" w:ascii="宋体" w:hAnsi="宋体" w:cs="宋体"/>
                <w:bCs/>
                <w:szCs w:val="21"/>
              </w:rPr>
              <w:t>2）施工总布置</w:t>
            </w:r>
          </w:p>
          <w:p>
            <w:pPr>
              <w:pStyle w:val="183"/>
              <w:rPr>
                <w:rFonts w:ascii="宋体" w:hAnsi="宋体" w:cs="宋体"/>
                <w:bCs/>
                <w:szCs w:val="21"/>
              </w:rPr>
            </w:pPr>
            <w:r>
              <w:rPr>
                <w:rFonts w:hint="eastAsia" w:ascii="宋体" w:hAnsi="宋体" w:cs="宋体"/>
                <w:bCs/>
                <w:szCs w:val="21"/>
              </w:rPr>
              <w:t>根据设计资料，本项目共设置两个施工工区，具体布置如下表。</w:t>
            </w:r>
          </w:p>
          <w:p>
            <w:pPr>
              <w:pStyle w:val="183"/>
              <w:ind w:firstLine="0" w:firstLineChars="0"/>
              <w:jc w:val="center"/>
              <w:rPr>
                <w:rFonts w:hint="eastAsia" w:ascii="宋体" w:hAnsi="宋体" w:cs="宋体"/>
                <w:b/>
                <w:szCs w:val="21"/>
              </w:rPr>
            </w:pPr>
            <w:r>
              <w:rPr>
                <w:rFonts w:hint="eastAsia" w:ascii="宋体" w:hAnsi="宋体" w:cs="宋体"/>
                <w:b/>
                <w:szCs w:val="21"/>
              </w:rPr>
              <w:t>表2</w:t>
            </w:r>
            <w:r>
              <w:rPr>
                <w:rFonts w:ascii="宋体" w:hAnsi="宋体" w:cs="宋体"/>
                <w:b/>
                <w:szCs w:val="21"/>
              </w:rPr>
              <w:t xml:space="preserve">-14 </w:t>
            </w:r>
            <w:r>
              <w:rPr>
                <w:rFonts w:hint="eastAsia" w:ascii="宋体" w:hAnsi="宋体" w:cs="宋体"/>
                <w:b/>
                <w:szCs w:val="21"/>
              </w:rPr>
              <w:t>施工工区设置情况表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134"/>
              <w:gridCol w:w="2268"/>
              <w:gridCol w:w="3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工区名称</w:t>
                  </w:r>
                </w:p>
              </w:tc>
              <w:tc>
                <w:tcPr>
                  <w:tcW w:w="1134"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桩号位置</w:t>
                  </w:r>
                </w:p>
              </w:tc>
              <w:tc>
                <w:tcPr>
                  <w:tcW w:w="2268"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控制范围</w:t>
                  </w:r>
                </w:p>
              </w:tc>
              <w:tc>
                <w:tcPr>
                  <w:tcW w:w="3120"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w:t>
                  </w:r>
                  <w:r>
                    <w:rPr>
                      <w:rFonts w:hint="eastAsia" w:ascii="宋体" w:hAnsi="宋体" w:cs="宋体"/>
                      <w:bCs/>
                      <w:sz w:val="21"/>
                      <w:szCs w:val="21"/>
                    </w:rPr>
                    <w:t>工区</w:t>
                  </w:r>
                </w:p>
              </w:tc>
              <w:tc>
                <w:tcPr>
                  <w:tcW w:w="1134"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两河口</w:t>
                  </w:r>
                </w:p>
              </w:tc>
              <w:tc>
                <w:tcPr>
                  <w:tcW w:w="2268" w:type="dxa"/>
                  <w:noWrap w:val="0"/>
                  <w:vAlign w:val="top"/>
                </w:tcPr>
                <w:p>
                  <w:pPr>
                    <w:pStyle w:val="183"/>
                    <w:spacing w:line="240" w:lineRule="auto"/>
                    <w:ind w:firstLine="0" w:firstLineChars="0"/>
                    <w:rPr>
                      <w:rFonts w:hint="eastAsia" w:ascii="宋体" w:hAnsi="宋体" w:cs="宋体"/>
                      <w:bCs/>
                      <w:sz w:val="21"/>
                      <w:szCs w:val="21"/>
                    </w:rPr>
                  </w:pPr>
                  <w:r>
                    <w:rPr>
                      <w:rFonts w:hint="eastAsia" w:hAnsi="宋体" w:cs="宋体"/>
                      <w:sz w:val="21"/>
                      <w:szCs w:val="21"/>
                    </w:rPr>
                    <w:t>提灌站及剑峰河输水管道、水厂输水管道</w:t>
                  </w:r>
                </w:p>
              </w:tc>
              <w:tc>
                <w:tcPr>
                  <w:tcW w:w="3120"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sz w:val="21"/>
                      <w:szCs w:val="21"/>
                    </w:rPr>
                    <w:t>设置一座0.4m³型拌和站、综合加工厂等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2</w:t>
                  </w:r>
                  <w:r>
                    <w:rPr>
                      <w:rFonts w:ascii="宋体" w:hAnsi="宋体" w:cs="宋体"/>
                      <w:bCs/>
                      <w:sz w:val="21"/>
                      <w:szCs w:val="21"/>
                    </w:rPr>
                    <w:t>#</w:t>
                  </w:r>
                  <w:r>
                    <w:rPr>
                      <w:rFonts w:hint="eastAsia" w:ascii="宋体" w:hAnsi="宋体" w:cs="宋体"/>
                      <w:bCs/>
                      <w:sz w:val="21"/>
                      <w:szCs w:val="21"/>
                    </w:rPr>
                    <w:t>工区</w:t>
                  </w:r>
                </w:p>
              </w:tc>
              <w:tc>
                <w:tcPr>
                  <w:tcW w:w="1134"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净水厂</w:t>
                  </w:r>
                </w:p>
              </w:tc>
              <w:tc>
                <w:tcPr>
                  <w:tcW w:w="2268"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bCs/>
                      <w:sz w:val="21"/>
                      <w:szCs w:val="21"/>
                    </w:rPr>
                    <w:t>净水厂</w:t>
                  </w:r>
                </w:p>
              </w:tc>
              <w:tc>
                <w:tcPr>
                  <w:tcW w:w="3120" w:type="dxa"/>
                  <w:noWrap w:val="0"/>
                  <w:vAlign w:val="top"/>
                </w:tcPr>
                <w:p>
                  <w:pPr>
                    <w:pStyle w:val="183"/>
                    <w:spacing w:line="240" w:lineRule="auto"/>
                    <w:ind w:firstLine="0" w:firstLineChars="0"/>
                    <w:rPr>
                      <w:rFonts w:hint="eastAsia" w:ascii="宋体" w:hAnsi="宋体" w:cs="宋体"/>
                      <w:bCs/>
                      <w:sz w:val="21"/>
                      <w:szCs w:val="21"/>
                    </w:rPr>
                  </w:pPr>
                  <w:r>
                    <w:rPr>
                      <w:rFonts w:hint="eastAsia" w:ascii="宋体" w:hAnsi="宋体" w:cs="宋体"/>
                      <w:sz w:val="21"/>
                      <w:szCs w:val="21"/>
                    </w:rPr>
                    <w:t>生活区、砼拌和系统、空压站、抽水站、仓库、供电设施等</w:t>
                  </w:r>
                </w:p>
              </w:tc>
            </w:tr>
          </w:tbl>
          <w:p>
            <w:pPr>
              <w:pStyle w:val="183"/>
              <w:rPr>
                <w:rFonts w:ascii="宋体" w:hAnsi="宋体" w:cs="宋体"/>
                <w:bCs/>
                <w:szCs w:val="21"/>
              </w:rPr>
            </w:pPr>
            <w:r>
              <w:rPr>
                <w:rFonts w:hint="eastAsia" w:ascii="宋体" w:hAnsi="宋体" w:cs="宋体"/>
                <w:bCs/>
                <w:szCs w:val="21"/>
              </w:rPr>
              <w:t>3）主要施工机械</w:t>
            </w:r>
          </w:p>
          <w:p>
            <w:pPr>
              <w:pStyle w:val="183"/>
              <w:ind w:firstLine="0" w:firstLineChars="0"/>
              <w:jc w:val="center"/>
              <w:rPr>
                <w:rFonts w:hint="eastAsia" w:ascii="宋体" w:hAnsi="宋体" w:cs="宋体"/>
                <w:b/>
                <w:szCs w:val="21"/>
              </w:rPr>
            </w:pPr>
            <w:r>
              <w:rPr>
                <w:rFonts w:hint="eastAsia" w:ascii="宋体" w:hAnsi="宋体" w:cs="宋体"/>
                <w:b/>
                <w:szCs w:val="21"/>
              </w:rPr>
              <w:t>表2</w:t>
            </w:r>
            <w:r>
              <w:rPr>
                <w:rFonts w:ascii="宋体" w:hAnsi="宋体" w:cs="宋体"/>
                <w:b/>
                <w:szCs w:val="21"/>
              </w:rPr>
              <w:t xml:space="preserve">-15 </w:t>
            </w:r>
            <w:r>
              <w:rPr>
                <w:rFonts w:hint="eastAsia" w:ascii="宋体" w:hAnsi="宋体" w:cs="宋体"/>
                <w:b/>
                <w:szCs w:val="21"/>
              </w:rPr>
              <w:t>主要施工机械一览表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559"/>
              <w:gridCol w:w="1656"/>
              <w:gridCol w:w="1322"/>
              <w:gridCol w:w="1322"/>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序号</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设备名称</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规格</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单位</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数量</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r>
                    <w:rPr>
                      <w:rFonts w:hint="eastAsia" w:ascii="宋体" w:hAnsi="宋体" w:cs="宋体"/>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空压机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2m</w:t>
                  </w:r>
                  <w:r>
                    <w:rPr>
                      <w:rFonts w:ascii="宋体" w:hAnsi="宋体" w:cs="宋体"/>
                      <w:bCs/>
                      <w:sz w:val="21"/>
                      <w:szCs w:val="21"/>
                      <w:vertAlign w:val="superscript"/>
                    </w:rPr>
                    <w:t>3</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2</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2</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拌合机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0</w:t>
                  </w:r>
                  <w:r>
                    <w:rPr>
                      <w:rFonts w:ascii="宋体" w:hAnsi="宋体" w:cs="宋体"/>
                      <w:bCs/>
                      <w:sz w:val="21"/>
                      <w:szCs w:val="21"/>
                    </w:rPr>
                    <w:t>.4m</w:t>
                  </w:r>
                  <w:r>
                    <w:rPr>
                      <w:rFonts w:ascii="宋体" w:hAnsi="宋体" w:cs="宋体"/>
                      <w:bCs/>
                      <w:sz w:val="21"/>
                      <w:szCs w:val="21"/>
                      <w:vertAlign w:val="superscript"/>
                    </w:rPr>
                    <w:t>3</w:t>
                  </w:r>
                  <w:r>
                    <w:rPr>
                      <w:rFonts w:hint="eastAsia" w:ascii="宋体" w:hAnsi="宋体" w:cs="宋体"/>
                      <w:bCs/>
                      <w:sz w:val="21"/>
                      <w:szCs w:val="21"/>
                    </w:rPr>
                    <w:t>、0</w:t>
                  </w:r>
                  <w:r>
                    <w:rPr>
                      <w:rFonts w:ascii="宋体" w:hAnsi="宋体" w:cs="宋体"/>
                      <w:bCs/>
                      <w:sz w:val="21"/>
                      <w:szCs w:val="21"/>
                    </w:rPr>
                    <w:t>.2m</w:t>
                  </w:r>
                  <w:r>
                    <w:rPr>
                      <w:rFonts w:ascii="宋体" w:hAnsi="宋体" w:cs="宋体"/>
                      <w:bCs/>
                      <w:sz w:val="21"/>
                      <w:szCs w:val="21"/>
                      <w:vertAlign w:val="superscript"/>
                    </w:rPr>
                    <w:t>3</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5</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3</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移动空压机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08</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5</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4</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柴油发电机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sz w:val="21"/>
                      <w:szCs w:val="21"/>
                    </w:rPr>
                    <w:t>150kw</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2</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5</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水泵</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2</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6</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挖掘机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m3</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4</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7</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推土机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ascii="宋体" w:hAnsi="宋体" w:cs="宋体"/>
                      <w:bCs/>
                      <w:sz w:val="21"/>
                      <w:szCs w:val="21"/>
                    </w:rPr>
                    <w:t>5</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8</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自卸汽车</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辆</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8</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9</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装载机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4</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0</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钢筋加工设备</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套</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2</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93"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1</w:t>
                  </w:r>
                  <w:r>
                    <w:rPr>
                      <w:rFonts w:ascii="宋体" w:hAnsi="宋体" w:cs="宋体"/>
                      <w:bCs/>
                      <w:sz w:val="21"/>
                      <w:szCs w:val="21"/>
                    </w:rPr>
                    <w:t>1</w:t>
                  </w:r>
                </w:p>
              </w:tc>
              <w:tc>
                <w:tcPr>
                  <w:tcW w:w="1559"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电焊机</w:t>
                  </w:r>
                </w:p>
              </w:tc>
              <w:tc>
                <w:tcPr>
                  <w:tcW w:w="1656" w:type="dxa"/>
                  <w:noWrap w:val="0"/>
                  <w:vAlign w:val="top"/>
                </w:tcPr>
                <w:p>
                  <w:pPr>
                    <w:pStyle w:val="183"/>
                    <w:wordWrap/>
                    <w:spacing w:line="240" w:lineRule="auto"/>
                    <w:ind w:firstLine="0" w:firstLineChars="0"/>
                    <w:jc w:val="center"/>
                    <w:rPr>
                      <w:rFonts w:hint="eastAsia" w:ascii="宋体" w:hAnsi="宋体" w:cs="宋体"/>
                      <w:bCs/>
                      <w:sz w:val="21"/>
                      <w:szCs w:val="21"/>
                    </w:rPr>
                  </w:pP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台</w:t>
                  </w:r>
                </w:p>
              </w:tc>
              <w:tc>
                <w:tcPr>
                  <w:tcW w:w="1322" w:type="dxa"/>
                  <w:noWrap w:val="0"/>
                  <w:vAlign w:val="top"/>
                </w:tcPr>
                <w:p>
                  <w:pPr>
                    <w:pStyle w:val="183"/>
                    <w:wordWrap/>
                    <w:spacing w:line="240" w:lineRule="auto"/>
                    <w:ind w:firstLine="0" w:firstLineChars="0"/>
                    <w:jc w:val="center"/>
                    <w:rPr>
                      <w:rFonts w:hint="eastAsia" w:ascii="宋体" w:hAnsi="宋体" w:cs="宋体"/>
                      <w:bCs/>
                      <w:sz w:val="21"/>
                      <w:szCs w:val="21"/>
                    </w:rPr>
                  </w:pPr>
                  <w:r>
                    <w:rPr>
                      <w:rFonts w:hint="eastAsia" w:ascii="宋体" w:hAnsi="宋体" w:cs="宋体"/>
                      <w:bCs/>
                      <w:sz w:val="21"/>
                      <w:szCs w:val="21"/>
                    </w:rPr>
                    <w:t>2</w:t>
                  </w:r>
                </w:p>
              </w:tc>
              <w:tc>
                <w:tcPr>
                  <w:tcW w:w="900" w:type="dxa"/>
                  <w:noWrap w:val="0"/>
                  <w:vAlign w:val="top"/>
                </w:tcPr>
                <w:p>
                  <w:pPr>
                    <w:pStyle w:val="183"/>
                    <w:wordWrap/>
                    <w:spacing w:line="240" w:lineRule="auto"/>
                    <w:ind w:firstLine="0" w:firstLineChars="0"/>
                    <w:rPr>
                      <w:rFonts w:hint="eastAsia" w:ascii="宋体" w:hAnsi="宋体" w:cs="宋体"/>
                      <w:bCs/>
                      <w:sz w:val="21"/>
                      <w:szCs w:val="21"/>
                    </w:rPr>
                  </w:pPr>
                </w:p>
              </w:tc>
            </w:tr>
          </w:tbl>
          <w:p>
            <w:pPr>
              <w:pStyle w:val="183"/>
              <w:rPr>
                <w:rFonts w:ascii="宋体" w:hAnsi="宋体" w:cs="宋体"/>
                <w:bCs/>
                <w:szCs w:val="21"/>
              </w:rPr>
            </w:pPr>
            <w:r>
              <w:rPr>
                <w:rFonts w:hint="eastAsia" w:ascii="宋体" w:hAnsi="宋体" w:cs="宋体"/>
                <w:bCs/>
                <w:szCs w:val="21"/>
              </w:rPr>
              <w:t>4）土石方平衡</w:t>
            </w:r>
          </w:p>
          <w:p>
            <w:pPr>
              <w:pStyle w:val="183"/>
              <w:rPr>
                <w:rFonts w:ascii="宋体" w:hAnsi="宋体" w:cs="宋体"/>
                <w:bCs/>
                <w:szCs w:val="21"/>
              </w:rPr>
            </w:pPr>
            <w:r>
              <w:rPr>
                <w:rFonts w:hint="eastAsia" w:ascii="宋体" w:hAnsi="宋体" w:cs="宋体"/>
                <w:bCs/>
                <w:szCs w:val="21"/>
              </w:rPr>
              <w:t>本项目施工包括提水泵站以及净水厂的建设以及原水管线的铺设。</w:t>
            </w:r>
          </w:p>
          <w:p>
            <w:pPr>
              <w:pStyle w:val="183"/>
              <w:rPr>
                <w:rFonts w:ascii="宋体" w:hAnsi="宋体" w:cs="宋体"/>
                <w:bCs/>
                <w:szCs w:val="21"/>
              </w:rPr>
            </w:pPr>
            <w:r>
              <w:rPr>
                <w:rFonts w:hint="eastAsia" w:ascii="宋体" w:hAnsi="宋体" w:cs="宋体"/>
                <w:bCs/>
                <w:szCs w:val="21"/>
              </w:rPr>
              <w:t>提水泵站占地较小，厂内挖方主要用于填平低洼处，项目原水采用管道输送，开挖土石方主要用于管道回填，基本能做到无弃渣产生。</w:t>
            </w:r>
          </w:p>
          <w:p>
            <w:pPr>
              <w:pStyle w:val="183"/>
              <w:rPr>
                <w:rFonts w:hint="eastAsia" w:ascii="宋体" w:hAnsi="宋体" w:cs="宋体"/>
                <w:bCs/>
                <w:szCs w:val="21"/>
              </w:rPr>
            </w:pPr>
            <w:r>
              <w:rPr>
                <w:rFonts w:hint="eastAsia" w:ascii="宋体" w:hAnsi="宋体" w:cs="宋体"/>
                <w:bCs/>
                <w:szCs w:val="21"/>
              </w:rPr>
              <w:t>净水厂位于桂花村长冲岑山顶，根据设计资料，项目净水厂土石方开挖量为8</w:t>
            </w:r>
            <w:r>
              <w:rPr>
                <w:rFonts w:ascii="宋体" w:hAnsi="宋体" w:cs="宋体"/>
                <w:bCs/>
                <w:szCs w:val="21"/>
              </w:rPr>
              <w:t>51183.4m</w:t>
            </w:r>
            <w:r>
              <w:rPr>
                <w:rFonts w:ascii="宋体" w:hAnsi="宋体" w:cs="宋体"/>
                <w:bCs/>
                <w:szCs w:val="21"/>
                <w:vertAlign w:val="superscript"/>
              </w:rPr>
              <w:t>3</w:t>
            </w:r>
            <w:r>
              <w:rPr>
                <w:rFonts w:hint="eastAsia" w:ascii="宋体" w:hAnsi="宋体" w:cs="宋体"/>
                <w:bCs/>
                <w:szCs w:val="21"/>
              </w:rPr>
              <w:t>，填方量为1</w:t>
            </w:r>
            <w:r>
              <w:rPr>
                <w:rFonts w:ascii="宋体" w:hAnsi="宋体" w:cs="宋体"/>
                <w:bCs/>
                <w:szCs w:val="21"/>
              </w:rPr>
              <w:t>95609.1m</w:t>
            </w:r>
            <w:r>
              <w:rPr>
                <w:rFonts w:ascii="宋体" w:hAnsi="宋体" w:cs="宋体"/>
                <w:bCs/>
                <w:szCs w:val="21"/>
                <w:vertAlign w:val="superscript"/>
              </w:rPr>
              <w:t>3</w:t>
            </w:r>
            <w:r>
              <w:rPr>
                <w:rFonts w:hint="eastAsia" w:ascii="宋体" w:hAnsi="宋体" w:cs="宋体"/>
                <w:bCs/>
                <w:szCs w:val="21"/>
              </w:rPr>
              <w:t>，弃渣量为6</w:t>
            </w:r>
            <w:r>
              <w:rPr>
                <w:rFonts w:ascii="宋体" w:hAnsi="宋体" w:cs="宋体"/>
                <w:bCs/>
                <w:szCs w:val="21"/>
              </w:rPr>
              <w:t>55574.3m</w:t>
            </w:r>
            <w:r>
              <w:rPr>
                <w:rFonts w:ascii="宋体" w:hAnsi="宋体" w:cs="宋体"/>
                <w:bCs/>
                <w:szCs w:val="21"/>
                <w:vertAlign w:val="superscript"/>
              </w:rPr>
              <w:t>3</w:t>
            </w:r>
            <w:r>
              <w:rPr>
                <w:rFonts w:hint="eastAsia" w:ascii="宋体" w:hAnsi="宋体" w:cs="宋体"/>
                <w:bCs/>
                <w:szCs w:val="21"/>
              </w:rPr>
              <w:t>。本项目在净水厂西侧山谷设置弃渣场用于本项目弃渣堆放。</w:t>
            </w:r>
          </w:p>
          <w:p>
            <w:pPr>
              <w:pStyle w:val="183"/>
              <w:rPr>
                <w:rFonts w:ascii="宋体" w:hAnsi="宋体" w:cs="宋体"/>
                <w:bCs/>
                <w:szCs w:val="21"/>
              </w:rPr>
            </w:pPr>
            <w:r>
              <w:rPr>
                <w:rFonts w:hint="eastAsia" w:ascii="宋体" w:hAnsi="宋体" w:cs="宋体"/>
                <w:bCs/>
                <w:szCs w:val="21"/>
              </w:rPr>
              <w:t>5）施工便道</w:t>
            </w:r>
          </w:p>
          <w:p>
            <w:pPr>
              <w:pStyle w:val="183"/>
              <w:rPr>
                <w:rFonts w:hint="eastAsia" w:ascii="宋体" w:hAnsi="宋体" w:cs="宋体"/>
                <w:bCs/>
                <w:szCs w:val="21"/>
              </w:rPr>
            </w:pPr>
            <w:r>
              <w:rPr>
                <w:rFonts w:hint="eastAsia" w:ascii="宋体" w:hAnsi="宋体" w:cs="宋体"/>
                <w:bCs/>
                <w:szCs w:val="21"/>
              </w:rPr>
              <w:t>本项目共设置施工便道约1</w:t>
            </w:r>
            <w:r>
              <w:rPr>
                <w:rFonts w:ascii="宋体" w:hAnsi="宋体" w:cs="宋体"/>
                <w:bCs/>
                <w:szCs w:val="21"/>
              </w:rPr>
              <w:t>.6km</w:t>
            </w:r>
            <w:r>
              <w:rPr>
                <w:rFonts w:hint="eastAsia" w:ascii="宋体" w:hAnsi="宋体" w:cs="宋体"/>
                <w:bCs/>
                <w:szCs w:val="21"/>
              </w:rPr>
              <w:t>，道路宽度4</w:t>
            </w:r>
            <w:r>
              <w:rPr>
                <w:rFonts w:ascii="宋体" w:hAnsi="宋体" w:cs="宋体"/>
                <w:bCs/>
                <w:szCs w:val="21"/>
              </w:rPr>
              <w:t>.0m</w:t>
            </w:r>
            <w:r>
              <w:rPr>
                <w:rFonts w:hint="eastAsia" w:ascii="宋体" w:hAnsi="宋体" w:cs="宋体"/>
                <w:bCs/>
                <w:szCs w:val="21"/>
              </w:rPr>
              <w:t>。</w:t>
            </w:r>
          </w:p>
          <w:p>
            <w:pPr>
              <w:pStyle w:val="183"/>
              <w:rPr>
                <w:rFonts w:hint="eastAsia" w:ascii="宋体" w:hAnsi="宋体" w:cs="宋体"/>
                <w:bCs/>
                <w:szCs w:val="21"/>
              </w:rPr>
            </w:pPr>
            <w:r>
              <w:rPr>
                <w:rFonts w:hint="eastAsia" w:ascii="宋体" w:hAnsi="宋体" w:cs="宋体"/>
                <w:bCs/>
                <w:szCs w:val="21"/>
              </w:rPr>
              <w:t>6）弃渣场</w:t>
            </w:r>
          </w:p>
          <w:p>
            <w:pPr>
              <w:pStyle w:val="183"/>
              <w:rPr>
                <w:rFonts w:ascii="宋体" w:hAnsi="宋体" w:cs="宋体"/>
                <w:bCs/>
                <w:szCs w:val="21"/>
              </w:rPr>
            </w:pPr>
            <w:r>
              <w:rPr>
                <w:rFonts w:hint="eastAsia" w:ascii="宋体" w:hAnsi="宋体" w:cs="宋体"/>
                <w:bCs/>
                <w:szCs w:val="21"/>
              </w:rPr>
              <w:t>项目拟在净水厂西面山谷设置弃渣场，弃渣场占地面积5</w:t>
            </w:r>
            <w:r>
              <w:rPr>
                <w:rFonts w:ascii="宋体" w:hAnsi="宋体" w:cs="宋体"/>
                <w:bCs/>
                <w:szCs w:val="21"/>
              </w:rPr>
              <w:t>2.2m</w:t>
            </w:r>
            <w:r>
              <w:rPr>
                <w:rFonts w:ascii="宋体" w:hAnsi="宋体" w:cs="宋体"/>
                <w:bCs/>
                <w:szCs w:val="21"/>
                <w:vertAlign w:val="superscript"/>
              </w:rPr>
              <w:t>3</w:t>
            </w:r>
            <w:r>
              <w:rPr>
                <w:rFonts w:hint="eastAsia" w:ascii="宋体" w:hAnsi="宋体" w:cs="宋体"/>
                <w:bCs/>
                <w:szCs w:val="21"/>
              </w:rPr>
              <w:t>。</w:t>
            </w:r>
          </w:p>
          <w:p>
            <w:pPr>
              <w:pStyle w:val="183"/>
              <w:rPr>
                <w:rFonts w:ascii="宋体" w:hAnsi="宋体" w:cs="宋体"/>
                <w:bCs/>
                <w:szCs w:val="21"/>
              </w:rPr>
            </w:pPr>
            <w:r>
              <w:rPr>
                <w:rFonts w:hint="eastAsia" w:ascii="宋体" w:hAnsi="宋体" w:cs="宋体"/>
                <w:bCs/>
                <w:szCs w:val="21"/>
              </w:rPr>
              <w:t>7）穿跨越</w:t>
            </w:r>
          </w:p>
          <w:p>
            <w:pPr>
              <w:pStyle w:val="183"/>
              <w:rPr>
                <w:rFonts w:hint="eastAsia" w:ascii="宋体" w:hAnsi="宋体" w:cs="宋体"/>
                <w:bCs/>
                <w:szCs w:val="21"/>
              </w:rPr>
            </w:pPr>
            <w:r>
              <w:rPr>
                <w:rFonts w:hint="eastAsia" w:ascii="宋体" w:hAnsi="宋体" w:cs="宋体"/>
                <w:bCs/>
                <w:szCs w:val="21"/>
              </w:rPr>
              <w:t>本项目不涉及跨越工程，仅在穿越王沟、徐沟等河流处采用河床地埋的方式管道铺设。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671" w:hRule="atLeast"/>
          <w:jc w:val="center"/>
        </w:trPr>
        <w:tc>
          <w:tcPr>
            <w:tcW w:w="823" w:type="dxa"/>
            <w:noWrap w:val="0"/>
            <w:vAlign w:val="center"/>
          </w:tcPr>
          <w:p>
            <w:pPr>
              <w:pStyle w:val="34"/>
              <w:adjustRightInd w:val="0"/>
              <w:snapToGrid w:val="0"/>
              <w:spacing w:before="0" w:beforeAutospacing="0" w:after="0" w:afterAutospacing="0"/>
              <w:jc w:val="center"/>
              <w:rPr>
                <w:rFonts w:cs="宋体"/>
                <w:sz w:val="21"/>
                <w:szCs w:val="21"/>
              </w:rPr>
            </w:pPr>
            <w:r>
              <w:rPr>
                <w:rFonts w:hint="eastAsia" w:cs="宋体"/>
                <w:sz w:val="21"/>
                <w:szCs w:val="21"/>
              </w:rPr>
              <w:t>工艺流程和产排污环节</w:t>
            </w:r>
          </w:p>
        </w:tc>
        <w:tc>
          <w:tcPr>
            <w:tcW w:w="8161" w:type="dxa"/>
            <w:noWrap w:val="0"/>
            <w:vAlign w:val="top"/>
          </w:tcPr>
          <w:p>
            <w:pPr>
              <w:spacing w:line="360" w:lineRule="auto"/>
              <w:ind w:firstLine="482" w:firstLineChars="200"/>
              <w:jc w:val="left"/>
              <w:rPr>
                <w:b/>
                <w:bCs/>
                <w:sz w:val="24"/>
              </w:rPr>
            </w:pPr>
            <w:r>
              <w:rPr>
                <w:rFonts w:hint="eastAsia"/>
                <w:b/>
                <w:bCs/>
                <w:sz w:val="24"/>
              </w:rPr>
              <w:t>一、施工期工艺流程</w:t>
            </w:r>
          </w:p>
          <w:p>
            <w:pPr>
              <w:pStyle w:val="183"/>
            </w:pPr>
            <w:r>
              <w:rPr>
                <w:rFonts w:hint="eastAsia"/>
              </w:rPr>
              <w:t>本项目为新建项目，主要包括新建取水口、提水泵站及附属设施、管道、净水厂等。施工工艺流程如下所述：</w:t>
            </w:r>
          </w:p>
          <w:p>
            <w:pPr>
              <w:pStyle w:val="183"/>
            </w:pPr>
            <w:r>
              <w:rPr>
                <w:rFonts w:hint="eastAsia"/>
              </w:rPr>
              <w:t>1、管道施工</w:t>
            </w:r>
          </w:p>
          <w:p>
            <w:pPr>
              <w:pStyle w:val="259"/>
            </w:pPr>
            <w:r>
              <w:t>拟建项目管道工程施工工艺主要包括施工准备、管沟开挖、组装下沟、覆土回填、试压清管等工艺，本项目主要施工工序及主要产污环节见</w:t>
            </w:r>
            <w:r>
              <w:rPr>
                <w:rFonts w:hint="eastAsia"/>
              </w:rPr>
              <w:t>下图</w:t>
            </w:r>
            <w:r>
              <w:t>。</w:t>
            </w:r>
          </w:p>
          <w:p>
            <w:pPr>
              <w:adjustRightInd w:val="0"/>
              <w:snapToGrid w:val="0"/>
              <w:ind w:firstLine="390" w:firstLineChars="150"/>
              <w:rPr>
                <w:color w:val="000000"/>
                <w:sz w:val="26"/>
                <w:szCs w:val="26"/>
              </w:rPr>
            </w:pPr>
            <w:r>
              <w:rPr>
                <w:color w:val="000000"/>
                <w:sz w:val="26"/>
                <w:szCs w:val="26"/>
              </w:rPr>
              <mc:AlternateContent>
                <mc:Choice Requires="wpc">
                  <w:drawing>
                    <wp:inline distT="0" distB="0" distL="114300" distR="114300">
                      <wp:extent cx="5533390" cy="4497705"/>
                      <wp:effectExtent l="0" t="0" r="0" b="0"/>
                      <wp:docPr id="56" name="画布 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 name="文本框 22"/>
                              <wps:cNvSpPr txBox="1"/>
                              <wps:spPr>
                                <a:xfrm>
                                  <a:off x="925798" y="4146597"/>
                                  <a:ext cx="3486194" cy="351108"/>
                                </a:xfrm>
                                <a:prstGeom prst="rect">
                                  <a:avLst/>
                                </a:prstGeom>
                                <a:noFill/>
                                <a:ln>
                                  <a:noFill/>
                                </a:ln>
                              </wps:spPr>
                              <wps:txbx>
                                <w:txbxContent>
                                  <w:p>
                                    <w:pPr>
                                      <w:pStyle w:val="259"/>
                                      <w:ind w:firstLine="482"/>
                                      <w:rPr>
                                        <w:b/>
                                      </w:rPr>
                                    </w:pPr>
                                    <w:r>
                                      <w:rPr>
                                        <w:rFonts w:hint="eastAsia"/>
                                        <w:b/>
                                      </w:rPr>
                                      <w:t>图</w:t>
                                    </w:r>
                                    <w:r>
                                      <w:rPr>
                                        <w:b/>
                                      </w:rPr>
                                      <w:t>2-</w:t>
                                    </w:r>
                                    <w:r>
                                      <w:rPr>
                                        <w:rFonts w:hint="eastAsia"/>
                                        <w:b/>
                                      </w:rPr>
                                      <w:t>1  主要施工工序及产污环节示意图</w:t>
                                    </w:r>
                                  </w:p>
                                </w:txbxContent>
                              </wps:txbx>
                              <wps:bodyPr upright="1"/>
                            </wps:wsp>
                            <wps:wsp>
                              <wps:cNvPr id="23" name="文本框 23"/>
                              <wps:cNvSpPr txBox="1"/>
                              <wps:spPr>
                                <a:xfrm>
                                  <a:off x="1039498" y="35901"/>
                                  <a:ext cx="914998" cy="447710"/>
                                </a:xfrm>
                                <a:prstGeom prst="rect">
                                  <a:avLst/>
                                </a:prstGeom>
                                <a:solidFill>
                                  <a:srgbClr val="FFFFFF"/>
                                </a:solidFill>
                                <a:ln w="9525" cap="flat" cmpd="sng">
                                  <a:solidFill>
                                    <a:srgbClr val="000000"/>
                                  </a:solidFill>
                                  <a:prstDash val="dashDot"/>
                                  <a:miter/>
                                  <a:headEnd type="none" w="med" len="med"/>
                                  <a:tailEnd type="none" w="med" len="med"/>
                                </a:ln>
                              </wps:spPr>
                              <wps:txbx>
                                <w:txbxContent>
                                  <w:p>
                                    <w:pPr>
                                      <w:jc w:val="center"/>
                                      <w:rPr>
                                        <w:sz w:val="22"/>
                                        <w:szCs w:val="22"/>
                                      </w:rPr>
                                    </w:pPr>
                                    <w:r>
                                      <w:rPr>
                                        <w:rFonts w:hint="eastAsia"/>
                                        <w:sz w:val="22"/>
                                        <w:szCs w:val="22"/>
                                      </w:rPr>
                                      <w:t>噪声、扬尘</w:t>
                                    </w:r>
                                  </w:p>
                                  <w:p>
                                    <w:pPr>
                                      <w:jc w:val="center"/>
                                      <w:rPr>
                                        <w:sz w:val="22"/>
                                        <w:szCs w:val="22"/>
                                      </w:rPr>
                                    </w:pPr>
                                    <w:r>
                                      <w:rPr>
                                        <w:rFonts w:hint="eastAsia"/>
                                        <w:sz w:val="22"/>
                                        <w:szCs w:val="22"/>
                                      </w:rPr>
                                      <w:t>土石方</w:t>
                                    </w:r>
                                  </w:p>
                                </w:txbxContent>
                              </wps:txbx>
                              <wps:bodyPr upright="1"/>
                            </wps:wsp>
                            <wps:wsp>
                              <wps:cNvPr id="24" name="直接连接符 24"/>
                              <wps:cNvSpPr/>
                              <wps:spPr>
                                <a:xfrm flipH="1" flipV="1">
                                  <a:off x="1954496" y="254406"/>
                                  <a:ext cx="262200" cy="600"/>
                                </a:xfrm>
                                <a:prstGeom prst="line">
                                  <a:avLst/>
                                </a:prstGeom>
                                <a:ln w="9525" cap="flat" cmpd="sng">
                                  <a:solidFill>
                                    <a:srgbClr val="000000"/>
                                  </a:solidFill>
                                  <a:prstDash val="dash"/>
                                  <a:headEnd type="none" w="med" len="med"/>
                                  <a:tailEnd type="triangle" w="med" len="med"/>
                                </a:ln>
                              </wps:spPr>
                              <wps:bodyPr upright="1"/>
                            </wps:wsp>
                            <wps:wsp>
                              <wps:cNvPr id="25" name="直接连接符 25"/>
                              <wps:cNvSpPr/>
                              <wps:spPr>
                                <a:xfrm>
                                  <a:off x="2702495" y="500112"/>
                                  <a:ext cx="700" cy="205105"/>
                                </a:xfrm>
                                <a:prstGeom prst="line">
                                  <a:avLst/>
                                </a:prstGeom>
                                <a:ln w="9525" cap="flat" cmpd="sng">
                                  <a:solidFill>
                                    <a:srgbClr val="000000"/>
                                  </a:solidFill>
                                  <a:prstDash val="solid"/>
                                  <a:headEnd type="none" w="med" len="med"/>
                                  <a:tailEnd type="triangle" w="med" len="med"/>
                                </a:ln>
                              </wps:spPr>
                              <wps:bodyPr upright="1"/>
                            </wps:wsp>
                            <wps:wsp>
                              <wps:cNvPr id="26" name="文本框 26"/>
                              <wps:cNvSpPr txBox="1"/>
                              <wps:spPr>
                                <a:xfrm>
                                  <a:off x="3062594" y="952322"/>
                                  <a:ext cx="758199" cy="2679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管沟开挖</w:t>
                                    </w:r>
                                  </w:p>
                                  <w:p>
                                    <w:pPr>
                                      <w:jc w:val="center"/>
                                    </w:pPr>
                                  </w:p>
                                </w:txbxContent>
                              </wps:txbx>
                              <wps:bodyPr upright="1"/>
                            </wps:wsp>
                            <wps:wsp>
                              <wps:cNvPr id="27" name="文本框 27"/>
                              <wps:cNvSpPr txBox="1"/>
                              <wps:spPr>
                                <a:xfrm>
                                  <a:off x="2216696" y="42901"/>
                                  <a:ext cx="1044598" cy="4477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作业</w:t>
                                    </w:r>
                                    <w:r>
                                      <w:rPr>
                                        <w:sz w:val="22"/>
                                        <w:szCs w:val="22"/>
                                      </w:rPr>
                                      <w:t>线路</w:t>
                                    </w:r>
                                  </w:p>
                                  <w:p>
                                    <w:pPr>
                                      <w:jc w:val="center"/>
                                    </w:pPr>
                                    <w:r>
                                      <w:rPr>
                                        <w:sz w:val="22"/>
                                        <w:szCs w:val="22"/>
                                      </w:rPr>
                                      <w:t>清理</w:t>
                                    </w:r>
                                  </w:p>
                                </w:txbxContent>
                              </wps:txbx>
                              <wps:bodyPr upright="1"/>
                            </wps:wsp>
                            <wps:wsp>
                              <wps:cNvPr id="28" name="文本框 28"/>
                              <wps:cNvSpPr txBox="1"/>
                              <wps:spPr>
                                <a:xfrm>
                                  <a:off x="1851597" y="1670439"/>
                                  <a:ext cx="1969196" cy="2680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sz w:val="22"/>
                                        <w:szCs w:val="22"/>
                                      </w:rPr>
                                      <w:t>布管、焊接</w:t>
                                    </w:r>
                                    <w:r>
                                      <w:rPr>
                                        <w:rFonts w:hint="eastAsia"/>
                                        <w:sz w:val="22"/>
                                        <w:szCs w:val="22"/>
                                      </w:rPr>
                                      <w:t>、检验</w:t>
                                    </w:r>
                                    <w:r>
                                      <w:rPr>
                                        <w:sz w:val="22"/>
                                        <w:szCs w:val="22"/>
                                      </w:rPr>
                                      <w:t>、防腐</w:t>
                                    </w:r>
                                    <w:r>
                                      <w:rPr>
                                        <w:rFonts w:hint="eastAsia"/>
                                        <w:sz w:val="22"/>
                                        <w:szCs w:val="22"/>
                                      </w:rPr>
                                      <w:t>阴保</w:t>
                                    </w:r>
                                  </w:p>
                                  <w:p>
                                    <w:pPr>
                                      <w:jc w:val="center"/>
                                    </w:pPr>
                                  </w:p>
                                </w:txbxContent>
                              </wps:txbx>
                              <wps:bodyPr upright="1"/>
                            </wps:wsp>
                            <wps:wsp>
                              <wps:cNvPr id="29" name="文本框 29"/>
                              <wps:cNvSpPr txBox="1"/>
                              <wps:spPr>
                                <a:xfrm>
                                  <a:off x="816599" y="1597437"/>
                                  <a:ext cx="751799" cy="283207"/>
                                </a:xfrm>
                                <a:prstGeom prst="rect">
                                  <a:avLst/>
                                </a:prstGeom>
                                <a:solidFill>
                                  <a:srgbClr val="FFFFFF"/>
                                </a:solidFill>
                                <a:ln w="9525" cap="flat" cmpd="sng">
                                  <a:solidFill>
                                    <a:srgbClr val="000000"/>
                                  </a:solidFill>
                                  <a:prstDash val="dashDot"/>
                                  <a:miter/>
                                  <a:headEnd type="none" w="med" len="med"/>
                                  <a:tailEnd type="none" w="med" len="med"/>
                                </a:ln>
                              </wps:spPr>
                              <wps:txbx>
                                <w:txbxContent>
                                  <w:p>
                                    <w:pPr>
                                      <w:jc w:val="center"/>
                                      <w:rPr>
                                        <w:sz w:val="22"/>
                                        <w:szCs w:val="22"/>
                                      </w:rPr>
                                    </w:pPr>
                                    <w:r>
                                      <w:rPr>
                                        <w:rFonts w:hint="eastAsia"/>
                                        <w:sz w:val="22"/>
                                        <w:szCs w:val="22"/>
                                      </w:rPr>
                                      <w:t>固体废物</w:t>
                                    </w:r>
                                  </w:p>
                                </w:txbxContent>
                              </wps:txbx>
                              <wps:bodyPr upright="1"/>
                            </wps:wsp>
                            <wps:wsp>
                              <wps:cNvPr id="30" name="直接箭头连接符 30"/>
                              <wps:cNvCnPr/>
                              <wps:spPr>
                                <a:xfrm>
                                  <a:off x="2064296" y="725617"/>
                                  <a:ext cx="1276398" cy="600"/>
                                </a:xfrm>
                                <a:prstGeom prst="straightConnector1">
                                  <a:avLst/>
                                </a:prstGeom>
                                <a:ln w="9525" cap="flat" cmpd="sng">
                                  <a:solidFill>
                                    <a:srgbClr val="000000"/>
                                  </a:solidFill>
                                  <a:prstDash val="solid"/>
                                  <a:headEnd type="none" w="med" len="med"/>
                                  <a:tailEnd type="none" w="med" len="med"/>
                                </a:ln>
                              </wps:spPr>
                              <wps:bodyPr/>
                            </wps:wsp>
                            <wps:wsp>
                              <wps:cNvPr id="31" name="直接连接符 31"/>
                              <wps:cNvSpPr/>
                              <wps:spPr>
                                <a:xfrm>
                                  <a:off x="2073196" y="738317"/>
                                  <a:ext cx="700" cy="205105"/>
                                </a:xfrm>
                                <a:prstGeom prst="line">
                                  <a:avLst/>
                                </a:prstGeom>
                                <a:ln w="9525" cap="flat" cmpd="sng">
                                  <a:solidFill>
                                    <a:srgbClr val="000000"/>
                                  </a:solidFill>
                                  <a:prstDash val="solid"/>
                                  <a:headEnd type="none" w="med" len="med"/>
                                  <a:tailEnd type="triangle" w="med" len="med"/>
                                </a:ln>
                              </wps:spPr>
                              <wps:bodyPr upright="1"/>
                            </wps:wsp>
                            <wps:wsp>
                              <wps:cNvPr id="32" name="直接连接符 32"/>
                              <wps:cNvSpPr/>
                              <wps:spPr>
                                <a:xfrm>
                                  <a:off x="3340094" y="737617"/>
                                  <a:ext cx="600" cy="205105"/>
                                </a:xfrm>
                                <a:prstGeom prst="line">
                                  <a:avLst/>
                                </a:prstGeom>
                                <a:ln w="9525" cap="flat" cmpd="sng">
                                  <a:solidFill>
                                    <a:srgbClr val="000000"/>
                                  </a:solidFill>
                                  <a:prstDash val="solid"/>
                                  <a:headEnd type="none" w="med" len="med"/>
                                  <a:tailEnd type="triangle" w="med" len="med"/>
                                </a:ln>
                              </wps:spPr>
                              <wps:bodyPr upright="1"/>
                            </wps:wsp>
                            <wps:wsp>
                              <wps:cNvPr id="33" name="文本框 33"/>
                              <wps:cNvSpPr txBox="1"/>
                              <wps:spPr>
                                <a:xfrm>
                                  <a:off x="925798" y="961822"/>
                                  <a:ext cx="1690397" cy="2679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穿越</w:t>
                                    </w:r>
                                    <w:r>
                                      <w:rPr>
                                        <w:sz w:val="22"/>
                                        <w:szCs w:val="22"/>
                                      </w:rPr>
                                      <w:t>河流</w:t>
                                    </w:r>
                                    <w:r>
                                      <w:rPr>
                                        <w:rFonts w:hint="eastAsia"/>
                                        <w:sz w:val="22"/>
                                        <w:szCs w:val="22"/>
                                      </w:rPr>
                                      <w:t>、公路等</w:t>
                                    </w:r>
                                  </w:p>
                                  <w:p>
                                    <w:pPr>
                                      <w:jc w:val="center"/>
                                    </w:pPr>
                                  </w:p>
                                </w:txbxContent>
                              </wps:txbx>
                              <wps:bodyPr upright="1"/>
                            </wps:wsp>
                            <wps:wsp>
                              <wps:cNvPr id="34" name="文本框 34"/>
                              <wps:cNvSpPr txBox="1"/>
                              <wps:spPr>
                                <a:xfrm>
                                  <a:off x="3496894" y="35901"/>
                                  <a:ext cx="914998" cy="447710"/>
                                </a:xfrm>
                                <a:prstGeom prst="rect">
                                  <a:avLst/>
                                </a:prstGeom>
                                <a:solidFill>
                                  <a:srgbClr val="FFFFFF"/>
                                </a:solidFill>
                                <a:ln w="9525" cap="flat" cmpd="sng">
                                  <a:solidFill>
                                    <a:srgbClr val="000000"/>
                                  </a:solidFill>
                                  <a:prstDash val="dashDot"/>
                                  <a:miter/>
                                  <a:headEnd type="none" w="med" len="med"/>
                                  <a:tailEnd type="none" w="med" len="med"/>
                                </a:ln>
                              </wps:spPr>
                              <wps:txbx>
                                <w:txbxContent>
                                  <w:p>
                                    <w:pPr>
                                      <w:jc w:val="center"/>
                                      <w:rPr>
                                        <w:sz w:val="22"/>
                                        <w:szCs w:val="22"/>
                                      </w:rPr>
                                    </w:pPr>
                                    <w:r>
                                      <w:rPr>
                                        <w:rFonts w:hint="eastAsia"/>
                                        <w:sz w:val="22"/>
                                        <w:szCs w:val="22"/>
                                      </w:rPr>
                                      <w:t>噪声、扬尘</w:t>
                                    </w:r>
                                  </w:p>
                                  <w:p>
                                    <w:pPr>
                                      <w:jc w:val="center"/>
                                      <w:rPr>
                                        <w:sz w:val="22"/>
                                        <w:szCs w:val="22"/>
                                      </w:rPr>
                                    </w:pPr>
                                    <w:r>
                                      <w:rPr>
                                        <w:rFonts w:hint="eastAsia"/>
                                        <w:sz w:val="22"/>
                                        <w:szCs w:val="22"/>
                                      </w:rPr>
                                      <w:t>土石方</w:t>
                                    </w:r>
                                  </w:p>
                                </w:txbxContent>
                              </wps:txbx>
                              <wps:bodyPr upright="1"/>
                            </wps:wsp>
                            <wps:wsp>
                              <wps:cNvPr id="35" name="直接连接符 35"/>
                              <wps:cNvSpPr/>
                              <wps:spPr>
                                <a:xfrm flipH="1" flipV="1">
                                  <a:off x="3656293" y="490611"/>
                                  <a:ext cx="600" cy="452811"/>
                                </a:xfrm>
                                <a:prstGeom prst="line">
                                  <a:avLst/>
                                </a:prstGeom>
                                <a:ln w="9525" cap="flat" cmpd="sng">
                                  <a:solidFill>
                                    <a:srgbClr val="000000"/>
                                  </a:solidFill>
                                  <a:prstDash val="dash"/>
                                  <a:headEnd type="none" w="med" len="med"/>
                                  <a:tailEnd type="triangle" w="med" len="med"/>
                                </a:ln>
                              </wps:spPr>
                              <wps:bodyPr upright="1"/>
                            </wps:wsp>
                            <wps:wsp>
                              <wps:cNvPr id="36" name="直接连接符 36"/>
                              <wps:cNvSpPr/>
                              <wps:spPr>
                                <a:xfrm flipH="1" flipV="1">
                                  <a:off x="1567797" y="493112"/>
                                  <a:ext cx="600" cy="452811"/>
                                </a:xfrm>
                                <a:prstGeom prst="line">
                                  <a:avLst/>
                                </a:prstGeom>
                                <a:ln w="9525" cap="flat" cmpd="sng">
                                  <a:solidFill>
                                    <a:srgbClr val="000000"/>
                                  </a:solidFill>
                                  <a:prstDash val="dash"/>
                                  <a:headEnd type="none" w="med" len="med"/>
                                  <a:tailEnd type="triangle" w="med" len="med"/>
                                </a:ln>
                              </wps:spPr>
                              <wps:bodyPr upright="1"/>
                            </wps:wsp>
                            <wps:wsp>
                              <wps:cNvPr id="37" name="直接箭头连接符 37"/>
                              <wps:cNvCnPr/>
                              <wps:spPr>
                                <a:xfrm>
                                  <a:off x="2064296" y="1461534"/>
                                  <a:ext cx="1276398" cy="700"/>
                                </a:xfrm>
                                <a:prstGeom prst="straightConnector1">
                                  <a:avLst/>
                                </a:prstGeom>
                                <a:ln w="9525" cap="flat" cmpd="sng">
                                  <a:solidFill>
                                    <a:srgbClr val="000000"/>
                                  </a:solidFill>
                                  <a:prstDash val="solid"/>
                                  <a:headEnd type="none" w="med" len="med"/>
                                  <a:tailEnd type="none" w="med" len="med"/>
                                </a:ln>
                              </wps:spPr>
                              <wps:bodyPr/>
                            </wps:wsp>
                            <wps:wsp>
                              <wps:cNvPr id="38" name="直接连接符 38"/>
                              <wps:cNvSpPr/>
                              <wps:spPr>
                                <a:xfrm>
                                  <a:off x="2701895" y="1462234"/>
                                  <a:ext cx="600" cy="205105"/>
                                </a:xfrm>
                                <a:prstGeom prst="line">
                                  <a:avLst/>
                                </a:prstGeom>
                                <a:ln w="9525" cap="flat" cmpd="sng">
                                  <a:solidFill>
                                    <a:srgbClr val="000000"/>
                                  </a:solidFill>
                                  <a:prstDash val="solid"/>
                                  <a:headEnd type="none" w="med" len="med"/>
                                  <a:tailEnd type="triangle" w="med" len="med"/>
                                </a:ln>
                              </wps:spPr>
                              <wps:bodyPr upright="1"/>
                            </wps:wsp>
                            <wps:wsp>
                              <wps:cNvPr id="39" name="直接连接符 39"/>
                              <wps:cNvSpPr/>
                              <wps:spPr>
                                <a:xfrm>
                                  <a:off x="2063696" y="1246929"/>
                                  <a:ext cx="600" cy="205105"/>
                                </a:xfrm>
                                <a:prstGeom prst="line">
                                  <a:avLst/>
                                </a:prstGeom>
                                <a:ln w="9525" cap="flat" cmpd="sng">
                                  <a:solidFill>
                                    <a:srgbClr val="000000"/>
                                  </a:solidFill>
                                  <a:prstDash val="solid"/>
                                  <a:headEnd type="none" w="med" len="med"/>
                                  <a:tailEnd type="triangle" w="med" len="med"/>
                                </a:ln>
                              </wps:spPr>
                              <wps:bodyPr upright="1"/>
                            </wps:wsp>
                            <wps:wsp>
                              <wps:cNvPr id="40" name="直接连接符 40"/>
                              <wps:cNvSpPr/>
                              <wps:spPr>
                                <a:xfrm>
                                  <a:off x="3340094" y="1247529"/>
                                  <a:ext cx="600" cy="205105"/>
                                </a:xfrm>
                                <a:prstGeom prst="line">
                                  <a:avLst/>
                                </a:prstGeom>
                                <a:ln w="9525" cap="flat" cmpd="sng">
                                  <a:solidFill>
                                    <a:srgbClr val="000000"/>
                                  </a:solidFill>
                                  <a:prstDash val="solid"/>
                                  <a:headEnd type="none" w="med" len="med"/>
                                  <a:tailEnd type="triangle" w="med" len="med"/>
                                </a:ln>
                              </wps:spPr>
                              <wps:bodyPr upright="1"/>
                            </wps:wsp>
                            <wps:wsp>
                              <wps:cNvPr id="41" name="直接连接符 41"/>
                              <wps:cNvSpPr/>
                              <wps:spPr>
                                <a:xfrm>
                                  <a:off x="2701295" y="1947945"/>
                                  <a:ext cx="600" cy="205105"/>
                                </a:xfrm>
                                <a:prstGeom prst="line">
                                  <a:avLst/>
                                </a:prstGeom>
                                <a:ln w="9525" cap="flat" cmpd="sng">
                                  <a:solidFill>
                                    <a:srgbClr val="000000"/>
                                  </a:solidFill>
                                  <a:prstDash val="solid"/>
                                  <a:headEnd type="none" w="med" len="med"/>
                                  <a:tailEnd type="triangle" w="med" len="med"/>
                                </a:ln>
                              </wps:spPr>
                              <wps:bodyPr upright="1"/>
                            </wps:wsp>
                            <wps:wsp>
                              <wps:cNvPr id="42" name="文本框 42"/>
                              <wps:cNvSpPr txBox="1"/>
                              <wps:spPr>
                                <a:xfrm>
                                  <a:off x="2249096" y="2146750"/>
                                  <a:ext cx="1571697" cy="2680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管道</w:t>
                                    </w:r>
                                    <w:r>
                                      <w:rPr>
                                        <w:sz w:val="22"/>
                                        <w:szCs w:val="22"/>
                                      </w:rPr>
                                      <w:t>入沟</w:t>
                                    </w:r>
                                  </w:p>
                                  <w:p>
                                    <w:pPr>
                                      <w:jc w:val="center"/>
                                    </w:pPr>
                                  </w:p>
                                </w:txbxContent>
                              </wps:txbx>
                              <wps:bodyPr upright="1"/>
                            </wps:wsp>
                            <wps:wsp>
                              <wps:cNvPr id="43" name="直接连接符 43"/>
                              <wps:cNvSpPr/>
                              <wps:spPr>
                                <a:xfrm>
                                  <a:off x="2703195" y="2414756"/>
                                  <a:ext cx="600" cy="205105"/>
                                </a:xfrm>
                                <a:prstGeom prst="line">
                                  <a:avLst/>
                                </a:prstGeom>
                                <a:ln w="9525" cap="flat" cmpd="sng">
                                  <a:solidFill>
                                    <a:srgbClr val="000000"/>
                                  </a:solidFill>
                                  <a:prstDash val="solid"/>
                                  <a:headEnd type="none" w="med" len="med"/>
                                  <a:tailEnd type="triangle" w="med" len="med"/>
                                </a:ln>
                              </wps:spPr>
                              <wps:bodyPr upright="1"/>
                            </wps:wsp>
                            <wps:wsp>
                              <wps:cNvPr id="44" name="文本框 44"/>
                              <wps:cNvSpPr txBox="1"/>
                              <wps:spPr>
                                <a:xfrm>
                                  <a:off x="2052296" y="2619961"/>
                                  <a:ext cx="2437196" cy="28070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清管</w:t>
                                    </w:r>
                                    <w:r>
                                      <w:rPr>
                                        <w:sz w:val="22"/>
                                        <w:szCs w:val="22"/>
                                      </w:rPr>
                                      <w:t>、试压</w:t>
                                    </w:r>
                                    <w:r>
                                      <w:rPr>
                                        <w:rFonts w:hint="eastAsia"/>
                                        <w:sz w:val="22"/>
                                        <w:szCs w:val="22"/>
                                      </w:rPr>
                                      <w:t>、覆土回填</w:t>
                                    </w:r>
                                  </w:p>
                                  <w:p>
                                    <w:pPr>
                                      <w:jc w:val="center"/>
                                    </w:pPr>
                                  </w:p>
                                </w:txbxContent>
                              </wps:txbx>
                              <wps:bodyPr upright="1"/>
                            </wps:wsp>
                            <wps:wsp>
                              <wps:cNvPr id="45" name="直接连接符 45"/>
                              <wps:cNvSpPr/>
                              <wps:spPr>
                                <a:xfrm>
                                  <a:off x="2806695" y="2900668"/>
                                  <a:ext cx="600" cy="205105"/>
                                </a:xfrm>
                                <a:prstGeom prst="line">
                                  <a:avLst/>
                                </a:prstGeom>
                                <a:ln w="9525" cap="flat" cmpd="sng">
                                  <a:solidFill>
                                    <a:srgbClr val="000000"/>
                                  </a:solidFill>
                                  <a:prstDash val="solid"/>
                                  <a:headEnd type="none" w="med" len="med"/>
                                  <a:tailEnd type="triangle" w="med" len="med"/>
                                </a:ln>
                              </wps:spPr>
                              <wps:bodyPr upright="1"/>
                            </wps:wsp>
                            <wps:wsp>
                              <wps:cNvPr id="46" name="文本框 46"/>
                              <wps:cNvSpPr txBox="1"/>
                              <wps:spPr>
                                <a:xfrm>
                                  <a:off x="2193896" y="3105773"/>
                                  <a:ext cx="1463097" cy="2680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现场清理</w:t>
                                    </w:r>
                                    <w:r>
                                      <w:rPr>
                                        <w:sz w:val="22"/>
                                        <w:szCs w:val="22"/>
                                      </w:rPr>
                                      <w:t>、</w:t>
                                    </w:r>
                                    <w:r>
                                      <w:rPr>
                                        <w:rFonts w:hint="eastAsia"/>
                                        <w:sz w:val="22"/>
                                        <w:szCs w:val="22"/>
                                      </w:rPr>
                                      <w:t>恢复</w:t>
                                    </w:r>
                                    <w:r>
                                      <w:rPr>
                                        <w:sz w:val="22"/>
                                        <w:szCs w:val="22"/>
                                      </w:rPr>
                                      <w:t>地貌</w:t>
                                    </w:r>
                                  </w:p>
                                  <w:p>
                                    <w:pPr>
                                      <w:jc w:val="center"/>
                                    </w:pPr>
                                  </w:p>
                                </w:txbxContent>
                              </wps:txbx>
                              <wps:bodyPr upright="1"/>
                            </wps:wsp>
                            <wps:wsp>
                              <wps:cNvPr id="47" name="直接连接符 47"/>
                              <wps:cNvSpPr/>
                              <wps:spPr>
                                <a:xfrm>
                                  <a:off x="2705995" y="3437780"/>
                                  <a:ext cx="600" cy="205105"/>
                                </a:xfrm>
                                <a:prstGeom prst="line">
                                  <a:avLst/>
                                </a:prstGeom>
                                <a:ln w="9525" cap="flat" cmpd="sng">
                                  <a:solidFill>
                                    <a:srgbClr val="000000"/>
                                  </a:solidFill>
                                  <a:prstDash val="solid"/>
                                  <a:headEnd type="none" w="med" len="med"/>
                                  <a:tailEnd type="triangle" w="med" len="med"/>
                                </a:ln>
                              </wps:spPr>
                              <wps:bodyPr upright="1"/>
                            </wps:wsp>
                            <wps:wsp>
                              <wps:cNvPr id="48" name="文本框 48"/>
                              <wps:cNvSpPr txBox="1"/>
                              <wps:spPr>
                                <a:xfrm>
                                  <a:off x="2299296" y="3709787"/>
                                  <a:ext cx="813399" cy="2680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竣工验收</w:t>
                                    </w:r>
                                  </w:p>
                                  <w:p>
                                    <w:pPr>
                                      <w:jc w:val="center"/>
                                    </w:pPr>
                                  </w:p>
                                </w:txbxContent>
                              </wps:txbx>
                              <wps:bodyPr upright="1"/>
                            </wps:wsp>
                            <wps:wsp>
                              <wps:cNvPr id="49" name="直接连接符 49"/>
                              <wps:cNvSpPr/>
                              <wps:spPr>
                                <a:xfrm flipV="1">
                                  <a:off x="3112694" y="3860990"/>
                                  <a:ext cx="450899" cy="700"/>
                                </a:xfrm>
                                <a:prstGeom prst="line">
                                  <a:avLst/>
                                </a:prstGeom>
                                <a:ln w="9525" cap="flat" cmpd="sng">
                                  <a:solidFill>
                                    <a:srgbClr val="000000"/>
                                  </a:solidFill>
                                  <a:prstDash val="solid"/>
                                  <a:headEnd type="none" w="med" len="med"/>
                                  <a:tailEnd type="triangle" w="med" len="med"/>
                                </a:ln>
                              </wps:spPr>
                              <wps:bodyPr upright="1"/>
                            </wps:wsp>
                            <wps:wsp>
                              <wps:cNvPr id="50" name="文本框 50"/>
                              <wps:cNvSpPr txBox="1"/>
                              <wps:spPr>
                                <a:xfrm>
                                  <a:off x="3564894" y="3752688"/>
                                  <a:ext cx="813399" cy="2680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2"/>
                                        <w:szCs w:val="22"/>
                                      </w:rPr>
                                    </w:pPr>
                                    <w:r>
                                      <w:rPr>
                                        <w:rFonts w:hint="eastAsia"/>
                                        <w:sz w:val="22"/>
                                        <w:szCs w:val="22"/>
                                      </w:rPr>
                                      <w:t>投入运行</w:t>
                                    </w:r>
                                  </w:p>
                                  <w:p>
                                    <w:pPr>
                                      <w:jc w:val="center"/>
                                    </w:pPr>
                                  </w:p>
                                </w:txbxContent>
                              </wps:txbx>
                              <wps:bodyPr upright="1"/>
                            </wps:wsp>
                            <wps:wsp>
                              <wps:cNvPr id="51" name="直接连接符 51"/>
                              <wps:cNvSpPr/>
                              <wps:spPr>
                                <a:xfrm flipH="1" flipV="1">
                                  <a:off x="1977996" y="2211552"/>
                                  <a:ext cx="262200" cy="57701"/>
                                </a:xfrm>
                                <a:prstGeom prst="line">
                                  <a:avLst/>
                                </a:prstGeom>
                                <a:ln w="9525" cap="flat" cmpd="sng">
                                  <a:solidFill>
                                    <a:srgbClr val="000000"/>
                                  </a:solidFill>
                                  <a:prstDash val="dash"/>
                                  <a:headEnd type="none" w="med" len="med"/>
                                  <a:tailEnd type="triangle" w="med" len="med"/>
                                </a:ln>
                              </wps:spPr>
                              <wps:bodyPr upright="1"/>
                            </wps:wsp>
                            <wps:wsp>
                              <wps:cNvPr id="52" name="直接连接符 52"/>
                              <wps:cNvSpPr/>
                              <wps:spPr>
                                <a:xfrm flipH="1" flipV="1">
                                  <a:off x="1568397" y="1727640"/>
                                  <a:ext cx="262300" cy="57801"/>
                                </a:xfrm>
                                <a:prstGeom prst="line">
                                  <a:avLst/>
                                </a:prstGeom>
                                <a:ln w="9525" cap="flat" cmpd="sng">
                                  <a:solidFill>
                                    <a:srgbClr val="000000"/>
                                  </a:solidFill>
                                  <a:prstDash val="dash"/>
                                  <a:headEnd type="none" w="med" len="med"/>
                                  <a:tailEnd type="triangle" w="med" len="med"/>
                                </a:ln>
                              </wps:spPr>
                              <wps:bodyPr upright="1"/>
                            </wps:wsp>
                            <wps:wsp>
                              <wps:cNvPr id="53" name="文本框 53"/>
                              <wps:cNvSpPr txBox="1"/>
                              <wps:spPr>
                                <a:xfrm>
                                  <a:off x="486999" y="2555860"/>
                                  <a:ext cx="1285898" cy="261006"/>
                                </a:xfrm>
                                <a:prstGeom prst="rect">
                                  <a:avLst/>
                                </a:prstGeom>
                                <a:solidFill>
                                  <a:srgbClr val="FFFFFF"/>
                                </a:solidFill>
                                <a:ln w="9525" cap="flat" cmpd="sng">
                                  <a:solidFill>
                                    <a:srgbClr val="000000"/>
                                  </a:solidFill>
                                  <a:prstDash val="dashDot"/>
                                  <a:miter/>
                                  <a:headEnd type="none" w="med" len="med"/>
                                  <a:tailEnd type="none" w="med" len="med"/>
                                </a:ln>
                              </wps:spPr>
                              <wps:txbx>
                                <w:txbxContent>
                                  <w:p>
                                    <w:pPr>
                                      <w:jc w:val="center"/>
                                      <w:rPr>
                                        <w:sz w:val="22"/>
                                        <w:szCs w:val="22"/>
                                      </w:rPr>
                                    </w:pPr>
                                    <w:r>
                                      <w:rPr>
                                        <w:rFonts w:hint="eastAsia"/>
                                        <w:sz w:val="22"/>
                                        <w:szCs w:val="22"/>
                                      </w:rPr>
                                      <w:t>固体废物、废水</w:t>
                                    </w:r>
                                  </w:p>
                                </w:txbxContent>
                              </wps:txbx>
                              <wps:bodyPr upright="1"/>
                            </wps:wsp>
                            <wps:wsp>
                              <wps:cNvPr id="54" name="直接连接符 54"/>
                              <wps:cNvSpPr/>
                              <wps:spPr>
                                <a:xfrm flipH="1" flipV="1">
                                  <a:off x="1772897" y="2679563"/>
                                  <a:ext cx="262200" cy="57701"/>
                                </a:xfrm>
                                <a:prstGeom prst="line">
                                  <a:avLst/>
                                </a:prstGeom>
                                <a:ln w="9525" cap="flat" cmpd="sng">
                                  <a:solidFill>
                                    <a:srgbClr val="000000"/>
                                  </a:solidFill>
                                  <a:prstDash val="dash"/>
                                  <a:headEnd type="none" w="med" len="med"/>
                                  <a:tailEnd type="triangle" w="med" len="med"/>
                                </a:ln>
                              </wps:spPr>
                              <wps:bodyPr upright="1"/>
                            </wps:wsp>
                            <wps:wsp>
                              <wps:cNvPr id="55" name="文本框 55"/>
                              <wps:cNvSpPr txBox="1"/>
                              <wps:spPr>
                                <a:xfrm>
                                  <a:off x="725199" y="2082149"/>
                                  <a:ext cx="1252798" cy="257806"/>
                                </a:xfrm>
                                <a:prstGeom prst="rect">
                                  <a:avLst/>
                                </a:prstGeom>
                                <a:solidFill>
                                  <a:srgbClr val="FFFFFF"/>
                                </a:solidFill>
                                <a:ln w="9525" cap="flat" cmpd="sng">
                                  <a:solidFill>
                                    <a:srgbClr val="000000"/>
                                  </a:solidFill>
                                  <a:prstDash val="dashDot"/>
                                  <a:miter/>
                                  <a:headEnd type="none" w="med" len="med"/>
                                  <a:tailEnd type="none" w="med" len="med"/>
                                </a:ln>
                              </wps:spPr>
                              <wps:txbx>
                                <w:txbxContent>
                                  <w:p>
                                    <w:pPr>
                                      <w:jc w:val="center"/>
                                      <w:rPr>
                                        <w:sz w:val="22"/>
                                        <w:szCs w:val="22"/>
                                      </w:rPr>
                                    </w:pPr>
                                    <w:r>
                                      <w:rPr>
                                        <w:rFonts w:hint="eastAsia"/>
                                        <w:sz w:val="22"/>
                                        <w:szCs w:val="22"/>
                                      </w:rPr>
                                      <w:t>噪声、扬尘</w:t>
                                    </w:r>
                                  </w:p>
                                </w:txbxContent>
                              </wps:txbx>
                              <wps:bodyPr upright="1"/>
                            </wps:wsp>
                          </wpc:wpc>
                        </a:graphicData>
                      </a:graphic>
                    </wp:inline>
                  </w:drawing>
                </mc:Choice>
                <mc:Fallback>
                  <w:pict>
                    <v:group id="_x0000_s1026" o:spid="_x0000_s1026" o:spt="203" style="height:354.15pt;width:435.7pt;" coordsize="5533390,4497705" editas="canvas" o:gfxdata="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">
                      <o:lock v:ext="edit" aspectratio="f"/>
                      <v:rect id="_x0000_s1026" o:spid="_x0000_s1026" o:spt="1" style="position:absolute;left:0;top:0;height:4497705;width:5533390;" filled="f" stroked="f" coordsize="21600,21600" o:gfxdata="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">
                        <v:path/>
                        <v:fill on="f" focussize="0,0"/>
                        <v:stroke on="f"/>
                        <v:imagedata o:title=""/>
                        <o:lock v:ext="edit" rotation="t" aspectratio="t"/>
                      </v:rect>
                      <v:shape id="_x0000_s1026" o:spid="_x0000_s1026" o:spt="202" type="#_x0000_t202" style="position:absolute;left:925798;top:4146596;height:351109;width:3486194;"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JdcQA&#10;AADcAAAADwAAAGRycy9kb3ducmV2LnhtbESPQWvCQBSE7wX/w/KE3uquxQaNboJUhJ5amqrg7ZF9&#10;JsHs25BdTfrvu4VCj8PMfMNs8tG24k69bxxrmM8UCOLSmYYrDYev/dMShA/IBlvHpOGbPOTZ5GGD&#10;qXEDf9K9CJWIEPYpaqhD6FIpfVmTRT9zHXH0Lq63GKLsK2l6HCLctvJZqURabDgu1NjRa03ltbhZ&#10;Dcf3y/m0UB/Vzr50gxuVZLuSWj9Ox+0aRKAx/If/2m9GwzK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8CXXEAAAA3AAAAA8AAAAAAAAAAAAAAAAAmAIAAGRycy9k&#10;b3ducmV2LnhtbFBLBQYAAAAABAAEAPUAAACJAwAAAAA=&#10;">
                        <v:fill on="f" focussize="0,0"/>
                        <v:stroke on="f"/>
                        <v:imagedata o:title=""/>
                        <o:lock v:ext="edit" aspectratio="f"/>
                        <v:textbox>
                          <w:txbxContent>
                            <w:p>
                              <w:pPr>
                                <w:pStyle w:val="259"/>
                                <w:ind w:firstLine="482"/>
                                <w:rPr>
                                  <w:b/>
                                </w:rPr>
                              </w:pPr>
                              <w:r>
                                <w:rPr>
                                  <w:rFonts w:hint="eastAsia"/>
                                  <w:b/>
                                </w:rPr>
                                <w:t>图</w:t>
                              </w:r>
                              <w:r>
                                <w:rPr>
                                  <w:b/>
                                </w:rPr>
                                <w:t>2-</w:t>
                              </w:r>
                              <w:r>
                                <w:rPr>
                                  <w:rFonts w:hint="eastAsia"/>
                                  <w:b/>
                                </w:rPr>
                                <w:t>1  主要施工工序及产污环节示意图</w:t>
                              </w:r>
                            </w:p>
                          </w:txbxContent>
                        </v:textbox>
                      </v:shape>
                      <v:shape id="_x0000_s1026" o:spid="_x0000_s1026" o:spt="202" type="#_x0000_t202" style="position:absolute;left:1039498;top:35900;height:447711;width:914998;"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zh8QA&#10;AADcAAAADwAAAGRycy9kb3ducmV2LnhtbESPT2sCMRTE74LfIbxCb5p1KaKrUUqhUMSLf0C8PTav&#10;m6WblzWJ7vbbG0HwOMzMb5jlureNuJEPtWMFk3EGgrh0uuZKwfHwPZqBCBFZY+OYFPxTgPVqOFhi&#10;oV3HO7rtYyUShEOBCkyMbSFlKA1ZDGPXEifv13mLMUlfSe2xS3DbyDzLptJizWnBYEtfhsq//dUq&#10;OJl43ky2/Xwzt1dPlw+37XKn1Ptb/7kAEamPr/Cz/aMVzKY5PM6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EM4fEAAAA3AAAAA8AAAAAAAAAAAAAAAAAmAIAAGRycy9k&#10;b3ducmV2LnhtbFBLBQYAAAAABAAEAPUAAACJAwAAAAA=&#10;">
                        <v:fill on="t" focussize="0,0"/>
                        <v:stroke color="#000000" joinstyle="miter" dashstyle="dashDot"/>
                        <v:imagedata o:title=""/>
                        <o:lock v:ext="edit" aspectratio="f"/>
                        <v:textbox>
                          <w:txbxContent>
                            <w:p>
                              <w:pPr>
                                <w:jc w:val="center"/>
                                <w:rPr>
                                  <w:sz w:val="22"/>
                                  <w:szCs w:val="22"/>
                                </w:rPr>
                              </w:pPr>
                              <w:r>
                                <w:rPr>
                                  <w:rFonts w:hint="eastAsia"/>
                                  <w:sz w:val="22"/>
                                  <w:szCs w:val="22"/>
                                </w:rPr>
                                <w:t>噪声、扬尘</w:t>
                              </w:r>
                            </w:p>
                            <w:p>
                              <w:pPr>
                                <w:jc w:val="center"/>
                                <w:rPr>
                                  <w:sz w:val="22"/>
                                  <w:szCs w:val="22"/>
                                </w:rPr>
                              </w:pPr>
                              <w:r>
                                <w:rPr>
                                  <w:rFonts w:hint="eastAsia"/>
                                  <w:sz w:val="22"/>
                                  <w:szCs w:val="22"/>
                                </w:rPr>
                                <w:t>土石方</w:t>
                              </w:r>
                            </w:p>
                          </w:txbxContent>
                        </v:textbox>
                      </v:shape>
                      <v:line id="_x0000_s1026" o:spid="_x0000_s1026" o:spt="20" style="position:absolute;left:1954496;top:254405;flip:x y;height:600;width:26219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BehcMAAADcAAAADwAAAGRycy9kb3ducmV2LnhtbESP3WoCMRCF7wu+QxihN0WzVfxbjVJL&#10;C4VeVX2AYTNugpvJusmu27dvBKGXh/PzcTa73lWioyZYzwpexxkI4sJry6WC0/FztAQRIrLGyjMp&#10;+KUAu+3gaYO59jf+oe4QS5FGOOSowMRY51KGwpDDMPY1cfLOvnEYk2xKqRu8pXFXyUmWzaVDy4lg&#10;sKZ3Q8Xl0LrEbeOHkXZlF9+z7oVmx/302hqlnof92xpEpD7+hx/tL61gOZ/C/Uw6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XoXDAAAA3AAAAA8AAAAAAAAAAAAA&#10;AAAAoQIAAGRycy9kb3ducmV2LnhtbFBLBQYAAAAABAAEAPkAAACRAwAAAAA=&#10;">
                        <v:fill on="f" focussize="0,0"/>
                        <v:stroke color="#000000" joinstyle="round" dashstyle="dash" endarrow="block"/>
                        <v:imagedata o:title=""/>
                        <o:lock v:ext="edit" aspectratio="f"/>
                      </v:line>
                      <v:line id="_x0000_s1026" o:spid="_x0000_s1026" o:spt="20" style="position:absolute;left:2702495;top:500111;height:205105;width:7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plR8UAAADcAAAADwAAAGRycy9kb3ducmV2LnhtbESPT2sCMRTE70K/Q3gFb5q1iH+2Rild&#10;BA9WUEvPr5vXzdLNy7KJa/z2piD0OMzMb5jVJtpG9NT52rGCyTgDQVw6XXOl4PO8HS1A+ICssXFM&#10;Cm7kYbN+Gqww1+7KR+pPoRIJwj5HBSaENpfSl4Ys+rFriZP34zqLIcmukrrDa4LbRr5k2UxarDkt&#10;GGzp3VD5e7pYBXNTHOVcFvvzoejryTJ+xK/vpVLD5/j2CiJQDP/hR3unFSxmU/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plR8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3062594;top:952322;height:267906;width:7581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ssMUA&#10;AADcAAAADwAAAGRycy9kb3ducmV2LnhtbESPT2vCQBTE7wW/w/KEXopuamvU6CpSaNGb/9DrI/tM&#10;gtm36e42pt++Wyj0OMz8ZpjFqjO1aMn5yrKC52ECgji3uuJCwen4PpiC8AFZY22ZFHyTh9Wy97DA&#10;TNs776k9hELEEvYZKihDaDIpfV6SQT+0DXH0rtYZDFG6QmqH91huajlKklQarDgulNjQW0n57fBl&#10;FExfN+3Fb1925zy91rPwNGk/Pp1Sj/1uPQcRqAv/4T96oyOXju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yyw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管沟开挖</w:t>
                              </w:r>
                            </w:p>
                            <w:p>
                              <w:pPr>
                                <w:jc w:val="center"/>
                              </w:pPr>
                            </w:p>
                          </w:txbxContent>
                        </v:textbox>
                      </v:shape>
                      <v:shape id="_x0000_s1026" o:spid="_x0000_s1026" o:spt="202" type="#_x0000_t202" style="position:absolute;left:2216695;top:42901;height:447710;width:10445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Wyx8UA&#10;AADcAAAADwAAAGRycy9kb3ducmV2LnhtbESPQWvCQBSE74X+h+UVeim6aZWoqauIoNibTUWvj+wz&#10;Cc2+TXfXmP77bkHwOMx8M8x82ZtGdOR8bVnB6zABQVxYXXOp4PC1GUxB+ICssbFMCn7Jw3Lx+DDH&#10;TNsrf1KXh1LEEvYZKqhCaDMpfVGRQT+0LXH0ztYZDFG6UmqH11huGvmWJKk0WHNcqLCldUXFd34x&#10;CqbjXXfyH6P9sUjPzSy8TLrtj1Pq+alfvYMI1Id7+EbvdOTSFP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bLH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作业</w:t>
                              </w:r>
                              <w:r>
                                <w:rPr>
                                  <w:sz w:val="22"/>
                                  <w:szCs w:val="22"/>
                                </w:rPr>
                                <w:t>线路</w:t>
                              </w:r>
                            </w:p>
                            <w:p>
                              <w:pPr>
                                <w:jc w:val="center"/>
                              </w:pPr>
                              <w:r>
                                <w:rPr>
                                  <w:sz w:val="22"/>
                                  <w:szCs w:val="22"/>
                                </w:rPr>
                                <w:t>清理</w:t>
                              </w:r>
                            </w:p>
                          </w:txbxContent>
                        </v:textbox>
                      </v:shape>
                      <v:shape id="_x0000_s1026" o:spid="_x0000_s1026" o:spt="202" type="#_x0000_t202" style="position:absolute;left:1851596;top:1670438;height:268007;width:1969197;"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kXXMUA&#10;AADcAAAADwAAAGRycy9kb3ducmV2LnhtbESPQWvCQBSE7wX/w/IEL0U3tRJt6ioitOjNqtjrI/tM&#10;QrNv091tjP/eFYQeh5lvhpkvO1OLlpyvLCt4GSUgiHOrKy4UHA8fwxkIH5A11pZJwZU8LBe9pzlm&#10;2l74i9p9KEQsYZ+hgjKEJpPS5yUZ9CPbEEfvbJ3BEKUrpHZ4ieWmluMkSaXBiuNCiQ2tS8p/9n9G&#10;wWyyab/99nV3ytNz/Raep+3nr1Nq0O9W7yACdeE//KA3OnLpF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Rdc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sz w:val="22"/>
                                  <w:szCs w:val="22"/>
                                </w:rPr>
                                <w:t>布管、焊接</w:t>
                              </w:r>
                              <w:r>
                                <w:rPr>
                                  <w:rFonts w:hint="eastAsia"/>
                                  <w:sz w:val="22"/>
                                  <w:szCs w:val="22"/>
                                </w:rPr>
                                <w:t>、检验</w:t>
                              </w:r>
                              <w:r>
                                <w:rPr>
                                  <w:sz w:val="22"/>
                                  <w:szCs w:val="22"/>
                                </w:rPr>
                                <w:t>、防腐</w:t>
                              </w:r>
                              <w:r>
                                <w:rPr>
                                  <w:rFonts w:hint="eastAsia"/>
                                  <w:sz w:val="22"/>
                                  <w:szCs w:val="22"/>
                                </w:rPr>
                                <w:t>阴保</w:t>
                              </w:r>
                            </w:p>
                            <w:p>
                              <w:pPr>
                                <w:jc w:val="center"/>
                              </w:pPr>
                            </w:p>
                          </w:txbxContent>
                        </v:textbox>
                      </v:shape>
                      <v:shape id="_x0000_s1026" o:spid="_x0000_s1026" o:spt="202" type="#_x0000_t202" style="position:absolute;left:816598;top:1597437;height:283206;width:7517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Ch9sQA&#10;AADcAAAADwAAAGRycy9kb3ducmV2LnhtbESPT2sCMRTE74LfIbxCb5pVirirUUqhUMSLf0C8PTav&#10;m6WblzWJ7vbbG0HwOMzMb5jlureNuJEPtWMFk3EGgrh0uuZKwfHwPZqDCBFZY+OYFPxTgPVqOFhi&#10;oV3HO7rtYyUShEOBCkyMbSFlKA1ZDGPXEifv13mLMUlfSe2xS3DbyGmWzaTFmtOCwZa+DJV/+6tV&#10;cDLxvJls+3yT26uny4fbdlOn1Ptb/7kAEamPr/Cz/aMVzGc5PM6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gofbEAAAA3AAAAA8AAAAAAAAAAAAAAAAAmAIAAGRycy9k&#10;b3ducmV2LnhtbFBLBQYAAAAABAAEAPUAAACJAwAAAAA=&#10;">
                        <v:fill on="t" focussize="0,0"/>
                        <v:stroke color="#000000" joinstyle="miter" dashstyle="dashDot"/>
                        <v:imagedata o:title=""/>
                        <o:lock v:ext="edit" aspectratio="f"/>
                        <v:textbox>
                          <w:txbxContent>
                            <w:p>
                              <w:pPr>
                                <w:jc w:val="center"/>
                                <w:rPr>
                                  <w:sz w:val="22"/>
                                  <w:szCs w:val="22"/>
                                </w:rPr>
                              </w:pPr>
                              <w:r>
                                <w:rPr>
                                  <w:rFonts w:hint="eastAsia"/>
                                  <w:sz w:val="22"/>
                                  <w:szCs w:val="22"/>
                                </w:rPr>
                                <w:t>固体废物</w:t>
                              </w:r>
                            </w:p>
                          </w:txbxContent>
                        </v:textbox>
                      </v:shape>
                      <v:shape id="_x0000_s1026" o:spid="_x0000_s1026" o:spt="32" type="#_x0000_t32" style="position:absolute;left:2064296;top:725616;height:600;width:127639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GnEMIAAADcAAAADwAAAGRycy9kb3ducmV2LnhtbERPTWsCMRC9C/6HMEIvolkLVdkaZVsQ&#10;quBBW+/TzbgJbibbTdTtvzcHwePjfS9WnavFldpgPSuYjDMQxKXXlisFP9/r0RxEiMgaa8+k4J8C&#10;rJb93gJz7W+8p+shViKFcMhRgYmxyaUMpSGHYewb4sSdfOswJthWUrd4S+Gulq9ZNpUOLacGgw19&#10;GirPh4tTsNtMPopfYzfb/Z/dva2L+lINj0q9DLriHUSkLj7FD/eXVjCfpfn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pGnEMIAAADcAAAADwAAAAAAAAAAAAAA&#10;AAChAgAAZHJzL2Rvd25yZXYueG1sUEsFBgAAAAAEAAQA+QAAAJADAAAAAA==&#10;">
                        <v:fill on="f" focussize="0,0"/>
                        <v:stroke color="#000000" joinstyle="round"/>
                        <v:imagedata o:title=""/>
                        <o:lock v:ext="edit" aspectratio="f"/>
                      </v:shape>
                      <v:line id="_x0000_s1026" o:spid="_x0000_s1026" o:spt="20" style="position:absolute;left:2073196;top:738317;height:205105;width:7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QAsUAAADcAAAADwAAAGRycy9kb3ducmV2LnhtbESPzWrDMBCE74G+g9hCbonsHuLEjRJK&#10;TaGHtJAfct5aG8vEWhlLdZS3rwqFHoeZ+YZZb6PtxEiDbx0ryOcZCOLa6ZYbBafj22wJwgdkjZ1j&#10;UnAnD9vNw2SNpXY33tN4CI1IEPYlKjAh9KWUvjZk0c9dT5y8ixsshiSHRuoBbwluO/mUZQtpseW0&#10;YLCnV0P19fBtFRSm2stCVrvjZzW2+Sp+xPPXSqnpY3x5BhEohv/wX/tdK1gWOfyeSUd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QAsUAAADcAAAADwAAAAAAAAAA&#10;AAAAAAChAgAAZHJzL2Rvd25yZXYueG1sUEsFBgAAAAAEAAQA+QAAAJMDAAAAAA==&#10;">
                        <v:fill on="f" focussize="0,0"/>
                        <v:stroke color="#000000" joinstyle="round" endarrow="block"/>
                        <v:imagedata o:title=""/>
                        <o:lock v:ext="edit" aspectratio="f"/>
                      </v:line>
                      <v:line id="_x0000_s1026" o:spid="_x0000_s1026" o:spt="20" style="position:absolute;left:3340093;top:737617;height:205105;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bOdcUAAADcAAAADwAAAGRycy9kb3ducmV2LnhtbESPQWvCQBSE74X+h+UVvNWNHoxGVykN&#10;hR6qYJSeX7PPbGj2bchu4/bfu0Khx2FmvmE2u2g7MdLgW8cKZtMMBHHtdMuNgvPp7XkJwgdkjZ1j&#10;UvBLHnbbx4cNFtpd+UhjFRqRIOwLVGBC6AspfW3Iop+6njh5FzdYDEkOjdQDXhPcdnKeZQtpseW0&#10;YLCnV0P1d/VjFeSmPMpclh+nQzm2s1Xcx8+vlVKTp/iyBhEohv/wX/tdK1jmc7ifSUd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bOdc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925798;top:961822;height:267906;width:1690397;"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HgsUA&#10;AADcAAAADwAAAGRycy9kb3ducmV2LnhtbESPT2sCMRTE74V+h/CEXopmW0XtdqNIQdFba0Wvj83b&#10;P7h5WZN03X77RhB6HGZ+M0y27E0jOnK+tqzgZZSAIM6trrlUcPheD+cgfEDW2FgmBb/kYbl4fMgw&#10;1fbKX9TtQyliCfsUFVQhtKmUPq/IoB/Zljh6hXUGQ5SulNrhNZabRr4myVQarDkuVNjSR0X5ef9j&#10;FMwn2+7kd+PPYz4tmrfwPOs2F6fU06BfvYMI1If/8J3e6sjNxn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4eC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穿越</w:t>
                              </w:r>
                              <w:r>
                                <w:rPr>
                                  <w:sz w:val="22"/>
                                  <w:szCs w:val="22"/>
                                </w:rPr>
                                <w:t>河流</w:t>
                              </w:r>
                              <w:r>
                                <w:rPr>
                                  <w:rFonts w:hint="eastAsia"/>
                                  <w:sz w:val="22"/>
                                  <w:szCs w:val="22"/>
                                </w:rPr>
                                <w:t>、公路等</w:t>
                              </w:r>
                            </w:p>
                            <w:p>
                              <w:pPr>
                                <w:jc w:val="center"/>
                              </w:pPr>
                            </w:p>
                          </w:txbxContent>
                        </v:textbox>
                      </v:shape>
                      <v:shape id="_x0000_s1026" o:spid="_x0000_s1026" o:spt="202" type="#_x0000_t202" style="position:absolute;left:3496893;top:35900;height:447711;width:9149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YtcMA&#10;AADcAAAADwAAAGRycy9kb3ducmV2LnhtbESPQWsCMRSE7wX/Q3hCbzWrSKurUUQQinipCuLtsXlu&#10;FjcvaxLd9d+bQqHHYWa+YebLztbiQT5UjhUMBxkI4sLpiksFx8PmYwIiRGSNtWNS8KQAy0XvbY65&#10;di3/0GMfS5EgHHJUYGJscilDYchiGLiGOHkX5y3GJH0ptcc2wW0tR1n2KS1WnBYMNrQ2VFz3d6vg&#10;ZOJ5O9x10+3U3j3dxm7XjpxS7/1uNQMRqYv/4b/2t1Yw+RrD75l0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iYtcMAAADcAAAADwAAAAAAAAAAAAAAAACYAgAAZHJzL2Rv&#10;d25yZXYueG1sUEsFBgAAAAAEAAQA9QAAAIgDAAAAAA==&#10;">
                        <v:fill on="t" focussize="0,0"/>
                        <v:stroke color="#000000" joinstyle="miter" dashstyle="dashDot"/>
                        <v:imagedata o:title=""/>
                        <o:lock v:ext="edit" aspectratio="f"/>
                        <v:textbox>
                          <w:txbxContent>
                            <w:p>
                              <w:pPr>
                                <w:jc w:val="center"/>
                                <w:rPr>
                                  <w:sz w:val="22"/>
                                  <w:szCs w:val="22"/>
                                </w:rPr>
                              </w:pPr>
                              <w:r>
                                <w:rPr>
                                  <w:rFonts w:hint="eastAsia"/>
                                  <w:sz w:val="22"/>
                                  <w:szCs w:val="22"/>
                                </w:rPr>
                                <w:t>噪声、扬尘</w:t>
                              </w:r>
                            </w:p>
                            <w:p>
                              <w:pPr>
                                <w:jc w:val="center"/>
                                <w:rPr>
                                  <w:sz w:val="22"/>
                                  <w:szCs w:val="22"/>
                                </w:rPr>
                              </w:pPr>
                              <w:r>
                                <w:rPr>
                                  <w:rFonts w:hint="eastAsia"/>
                                  <w:sz w:val="22"/>
                                  <w:szCs w:val="22"/>
                                </w:rPr>
                                <w:t>土石方</w:t>
                              </w:r>
                            </w:p>
                          </w:txbxContent>
                        </v:textbox>
                      </v:shape>
                      <v:line id="_x0000_s1026" o:spid="_x0000_s1026" o:spt="20" style="position:absolute;left:3656293;top:490611;flip:x y;height:452811;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z1t8MAAADcAAAADwAAAGRycy9kb3ducmV2LnhtbESP32rCMBTG7wd7h3AGuxkzdVJ1nVE2&#10;URh4pe4BDs1ZE9ac1Cat9e2NIOzy4/vz41usBleLntpgPSsYjzIQxKXXlisFP8ft6xxEiMgaa8+k&#10;4EIBVsvHhwUW2p95T/0hViKNcChQgYmxKaQMpSGHYeQb4uT9+tZhTLKtpG7xnMZdLd+ybCodWk4E&#10;gw2tDZV/h84lbhc3Rtp3O9vl/Qvlx6/JqTNKPT8Nnx8gIg3xP3xvf2sF81kOtzPpCMjl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89bfDAAAA3AAAAA8AAAAAAAAAAAAA&#10;AAAAoQIAAGRycy9kb3ducmV2LnhtbFBLBQYAAAAABAAEAPkAAACRAwAAAAA=&#10;">
                        <v:fill on="f" focussize="0,0"/>
                        <v:stroke color="#000000" joinstyle="round" dashstyle="dash" endarrow="block"/>
                        <v:imagedata o:title=""/>
                        <o:lock v:ext="edit" aspectratio="f"/>
                      </v:line>
                      <v:line id="_x0000_s1026" o:spid="_x0000_s1026" o:spt="20" style="position:absolute;left:1567797;top:493111;flip:x y;height:452811;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5rwMMAAADcAAAADwAAAGRycy9kb3ducmV2LnhtbESP3WoCMRCF7wu+QxjBm6JZLf6tRtHS&#10;QqFXVR9g2Iyb4GaybrLr9u2bQqGXh/Pzcbb73lWioyZYzwqmkwwEceG15VLB5fw+XoEIEVlj5ZkU&#10;fFOA/W7wtMVc+wd/UXeKpUgjHHJUYGKscylDYchhmPiaOHlX3ziMSTal1A0+0rir5CzLFtKh5UQw&#10;WNOroeJ2al3itvHNSLu2y89590zz8/Hl3hqlRsP+sAERqY//4b/2h1awWi7g90w6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ua8DDAAAA3AAAAA8AAAAAAAAAAAAA&#10;AAAAoQIAAGRycy9kb3ducmV2LnhtbFBLBQYAAAAABAAEAPkAAACRAwAAAAA=&#10;">
                        <v:fill on="f" focussize="0,0"/>
                        <v:stroke color="#000000" joinstyle="round" dashstyle="dash" endarrow="block"/>
                        <v:imagedata o:title=""/>
                        <o:lock v:ext="edit" aspectratio="f"/>
                      </v:line>
                      <v:shape id="_x0000_s1026" o:spid="_x0000_s1026" o:spt="32" type="#_x0000_t32" style="position:absolute;left:2064296;top:1461534;height:700;width:127639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g/ZMYAAADcAAAADwAAAGRycy9kb3ducmV2LnhtbESPQWsCMRSE7wX/Q3hCL6VmFaqyNcpW&#10;EKrgwW17f928bkI3L9tN1O2/N4LgcZiZb5jFqneNOFEXrGcF41EGgrjy2nKt4PNj8zwHESKyxsYz&#10;KfinAKvl4GGBufZnPtCpjLVIEA45KjAxtrmUoTLkMIx8S5y8H985jEl2tdQdnhPcNXKSZVPp0HJa&#10;MNjS2lD1Wx6dgv12/FZ8G7vdHf7s/mVTNMf66Uupx2FfvIKI1Md7+NZ+1wrms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4P2TGAAAA3AAAAA8AAAAAAAAA&#10;AAAAAAAAoQIAAGRycy9kb3ducmV2LnhtbFBLBQYAAAAABAAEAPkAAACUAwAAAAA=&#10;">
                        <v:fill on="f" focussize="0,0"/>
                        <v:stroke color="#000000" joinstyle="round"/>
                        <v:imagedata o:title=""/>
                        <o:lock v:ext="edit" aspectratio="f"/>
                      </v:shape>
                      <v:line id="_x0000_s1026" o:spid="_x0000_s1026" o:spt="20" style="position:absolute;left:2701895;top:1462234;height:205104;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5n8IAAADcAAAADwAAAGRycy9kb3ducmV2LnhtbERPTWvCMBi+C/sP4R1409QdrHZGGSsD&#10;D07wA8+vzbumrHlTmqzGf28OA48Pz/dqE20rBup941jBbJqBIK6cbrhWcD59TRYgfEDW2DomBXfy&#10;sFm/jFZYaHfjAw3HUIsUwr5ABSaErpDSV4Ys+qnriBP343qLIcG+lrrHWwq3rXzLsrm02HBqMNjR&#10;p6Hq9/hnFeSmPMhclrvTvhya2TJ+x8t1qdT4NX68gwgUw1P8795qBYs8rU1n0hG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75n8IAAADcAAAADwAAAAAAAAAAAAAA&#10;AAChAgAAZHJzL2Rvd25yZXYueG1sUEsFBgAAAAAEAAQA+QAAAJADAAAAAA==&#10;">
                        <v:fill on="f" focussize="0,0"/>
                        <v:stroke color="#000000" joinstyle="round" endarrow="block"/>
                        <v:imagedata o:title=""/>
                        <o:lock v:ext="edit" aspectratio="f"/>
                      </v:line>
                      <v:line id="_x0000_s1026" o:spid="_x0000_s1026" o:spt="20" style="position:absolute;left:2063696;top:1246929;height:205104;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JcBMUAAADcAAAADwAAAGRycy9kb3ducmV2LnhtbESPQWvCQBSE74X+h+UVeqsbPTQmdZXS&#10;IPRQBbX0/Jp9ZoPZtyG7jdt/7wqCx2FmvmEWq2g7MdLgW8cKppMMBHHtdMuNgu/D+mUOwgdkjZ1j&#10;UvBPHlbLx4cFltqdeUfjPjQiQdiXqMCE0JdS+tqQRT9xPXHyjm6wGJIcGqkHPCe47eQsy16lxZbT&#10;gsGePgzVp/2fVZCbaidzWX0dttXYTou4iT+/hVLPT/H9DUSgGO7hW/tTK5jnBVzPpCM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JcBMUAAADcAAAADwAAAAAAAAAA&#10;AAAAAAChAgAAZHJzL2Rvd25yZXYueG1sUEsFBgAAAAAEAAQA+QAAAJMDAAAAAA==&#10;">
                        <v:fill on="f" focussize="0,0"/>
                        <v:stroke color="#000000" joinstyle="round" endarrow="block"/>
                        <v:imagedata o:title=""/>
                        <o:lock v:ext="edit" aspectratio="f"/>
                      </v:line>
                      <v:line id="_x0000_s1026" o:spid="_x0000_s1026" o:spt="20" style="position:absolute;left:3340093;top:1247529;height:205104;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FvsIAAADcAAAADwAAAGRycy9kb3ducmV2LnhtbERPTWvCMBi+C/sP4R1409QdtHZGGSsD&#10;D07wA8+vzbumrHlTmqzGf28OA48Pz/dqE20rBup941jBbJqBIK6cbrhWcD59TXIQPiBrbB2Tgjt5&#10;2KxfRisstLvxgYZjqEUKYV+gAhNCV0jpK0MW/dR1xIn7cb3FkGBfS93jLYXbVr5l2VxabDg1GOzo&#10;01D1e/yzChamPMiFLHenfTk0s2X8jpfrUqnxa/x4BxEohqf4373VCvI8zU9n0hG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FvsIAAADcAAAADwAAAAAAAAAAAAAA&#10;AAChAgAAZHJzL2Rvd25yZXYueG1sUEsFBgAAAAAEAAQA+QAAAJADAAAAAA==&#10;">
                        <v:fill on="f" focussize="0,0"/>
                        <v:stroke color="#000000" joinstyle="round" endarrow="block"/>
                        <v:imagedata o:title=""/>
                        <o:lock v:ext="edit" aspectratio="f"/>
                      </v:line>
                      <v:line id="_x0000_s1026" o:spid="_x0000_s1026" o:spt="20" style="position:absolute;left:2701295;top:1947945;height:205105;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EgJcUAAADcAAAADwAAAGRycy9kb3ducmV2LnhtbESPzWrDMBCE74W+g9hCb43sHBrHjRJK&#10;TaCHNpAfct5aG8vEWhlLddS3rwKBHIeZ+YZZrKLtxEiDbx0ryCcZCOLa6ZYbBYf9+qUA4QOyxs4x&#10;KfgjD6vl48MCS+0uvKVxFxqRIOxLVGBC6EspfW3Iop+4njh5JzdYDEkOjdQDXhLcdnKaZa/SYstp&#10;wWBPH4bq8+7XKpiZaitnsvrab6qxzefxOx5/5ko9P8X3NxCBYriHb+1PraAo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EgJc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2249095;top:2146750;height:268006;width:1571698;"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JSPsUA&#10;AADcAAAADwAAAGRycy9kb3ducmV2LnhtbESPQWvCQBSE70L/w/IKXqRuaotNU1cRwaI3TUt7fWSf&#10;SWj2bdxdY/z3rlDwOMx8M8xs0ZtGdOR8bVnB8zgBQVxYXXOp4Ptr/ZSC8AFZY2OZFFzIw2L+MJhh&#10;pu2Z99TloRSxhH2GCqoQ2kxKX1Rk0I9tSxy9g3UGQ5SulNrhOZabRk6SZCoN1hwXKmxpVVHxl5+M&#10;gvR10/367cvup5gemvcweus+j06p4WO//AARqA/38D+90ZFLJ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lI+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管道</w:t>
                              </w:r>
                              <w:r>
                                <w:rPr>
                                  <w:sz w:val="22"/>
                                  <w:szCs w:val="22"/>
                                </w:rPr>
                                <w:t>入沟</w:t>
                              </w:r>
                            </w:p>
                            <w:p>
                              <w:pPr>
                                <w:jc w:val="center"/>
                              </w:pPr>
                            </w:p>
                          </w:txbxContent>
                        </v:textbox>
                      </v:shape>
                      <v:line id="_x0000_s1026" o:spid="_x0000_s1026" o:spt="20" style="position:absolute;left:2703195;top:2414756;height:205105;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8bycUAAADcAAAADwAAAGRycy9kb3ducmV2LnhtbESPzWrDMBCE74W8g9hAb42cFhrHiRJC&#10;TKGHtpAfct5YG8vEWhlLddS3rwqFHIeZ+YZZrqNtxUC9bxwrmE4yEMSV0w3XCo6Ht6cchA/IGlvH&#10;pOCHPKxXo4clFtrdeEfDPtQiQdgXqMCE0BVS+sqQRT9xHXHyLq63GJLsa6l7vCW4beVzlr1Kiw2n&#10;BYMdbQ1V1/23VTAz5U7OZPlx+CqHZjqPn/F0niv1OI6bBYhAMdzD/+13rSDPX+D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8byc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2052296;top:2619961;height:280706;width:24371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0cUA&#10;AADcAAAADwAAAGRycy9kb3ducmV2LnhtbESPQWvCQBSE70L/w/IKvYhu2opNU1cpBUVvmopeH9ln&#10;Epp9m+5uY/rvXUHwOMx8M8xs0ZtGdOR8bVnB8zgBQVxYXXOpYP+9HKUgfEDW2FgmBf/kYTF/GMww&#10;0/bMO+ryUIpYwj5DBVUIbSalLyoy6Me2JY7eyTqDIUpXSu3wHMtNI1+SZCoN1hwXKmzpq6LiJ/8z&#10;CtLJujv6zev2UExPzXsYvnWrX6fU02P/+QEiUB/u4Ru91pFLJ3A9E4+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2/R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清管</w:t>
                              </w:r>
                              <w:r>
                                <w:rPr>
                                  <w:sz w:val="22"/>
                                  <w:szCs w:val="22"/>
                                </w:rPr>
                                <w:t>、试压</w:t>
                              </w:r>
                              <w:r>
                                <w:rPr>
                                  <w:rFonts w:hint="eastAsia"/>
                                  <w:sz w:val="22"/>
                                  <w:szCs w:val="22"/>
                                </w:rPr>
                                <w:t>、覆土回填</w:t>
                              </w:r>
                            </w:p>
                            <w:p>
                              <w:pPr>
                                <w:jc w:val="center"/>
                              </w:pPr>
                            </w:p>
                          </w:txbxContent>
                        </v:textbox>
                      </v:shape>
                      <v:line id="_x0000_s1026" o:spid="_x0000_s1026" o:spt="20" style="position:absolute;left:2806694;top:2900667;height:205105;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omJsUAAADcAAAADwAAAGRycy9kb3ducmV2LnhtbESPzWrDMBCE74W8g9hAb42cQhvHiRJC&#10;TKGHtpAfct5YG8vEWhlLddS3rwqFHIeZ+YZZrqNtxUC9bxwrmE4yEMSV0w3XCo6Ht6cchA/IGlvH&#10;pOCHPKxXo4clFtrdeEfDPtQiQdgXqMCE0BVS+sqQRT9xHXHyLq63GJLsa6l7vCW4beVzlr1Kiw2n&#10;BYMdbQ1V1/23VTAz5U7OZPlx+CqHZjqPn/F0niv1OI6bBYhAMdzD/+13rSDPX+D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omJs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2193896;top:3105772;height:268006;width:1463097;"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UPcUA&#10;AADcAAAADwAAAGRycy9kb3ducmV2LnhtbESPQWvCQBSE7wX/w/IEL6VuqpKmqauIUNGbtaW9PrLP&#10;JDT7Nt3dxvjvXUHwOMx8M8x82ZtGdOR8bVnB8zgBQVxYXXOp4Ovz/SkD4QOyxsYyKTiTh+Vi8DDH&#10;XNsTf1B3CKWIJexzVFCF0OZS+qIig35sW+LoHa0zGKJ0pdQOT7HcNHKSJKk0WHNcqLCldUXF7+Hf&#10;KMhm2+7H76b77yI9Nq/h8aXb/DmlRsN+9QYiUB/u4Ru91ZHLUrieiUd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VQ9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现场清理</w:t>
                              </w:r>
                              <w:r>
                                <w:rPr>
                                  <w:sz w:val="22"/>
                                  <w:szCs w:val="22"/>
                                </w:rPr>
                                <w:t>、</w:t>
                              </w:r>
                              <w:r>
                                <w:rPr>
                                  <w:rFonts w:hint="eastAsia"/>
                                  <w:sz w:val="22"/>
                                  <w:szCs w:val="22"/>
                                </w:rPr>
                                <w:t>恢复</w:t>
                              </w:r>
                              <w:r>
                                <w:rPr>
                                  <w:sz w:val="22"/>
                                  <w:szCs w:val="22"/>
                                </w:rPr>
                                <w:t>地貌</w:t>
                              </w:r>
                            </w:p>
                            <w:p>
                              <w:pPr>
                                <w:jc w:val="center"/>
                              </w:pPr>
                            </w:p>
                          </w:txbxContent>
                        </v:textbox>
                      </v:shape>
                      <v:line id="_x0000_s1026" o:spid="_x0000_s1026" o:spt="20" style="position:absolute;left:2705995;top:3437780;height:205105;width:6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QdysUAAADcAAAADwAAAGRycy9kb3ducmV2LnhtbESPzWrDMBCE74W+g9hCb42cHmrHjRJK&#10;TaGHJpAfct5aG8vEWhlLddS3jwKBHIeZ+YaZL6PtxEiDbx0rmE4yEMS10y03Cva7r5cChA/IGjvH&#10;pOCfPCwXjw9zLLU784bGbWhEgrAvUYEJoS+l9LUhi37ieuLkHd1gMSQ5NFIPeE5w28nXLHuTFltO&#10;CwZ7+jRUn7Z/VkFuqo3MZfWzW1djO53FVTz8zpR6foof7yACxXAP39rfWkFR5HA9k46AXF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QdysUAAADcAAAADwAAAAAAAAAA&#10;AAAAAAChAgAAZHJzL2Rvd25yZXYueG1sUEsFBgAAAAAEAAQA+QAAAJMDAAAAAA==&#10;">
                        <v:fill on="f" focussize="0,0"/>
                        <v:stroke color="#000000" joinstyle="round" endarrow="block"/>
                        <v:imagedata o:title=""/>
                        <o:lock v:ext="edit" aspectratio="f"/>
                      </v:line>
                      <v:shape id="_x0000_s1026" o:spid="_x0000_s1026" o:spt="202" type="#_x0000_t202" style="position:absolute;left:2299295;top:3709786;height:268006;width:8133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D8IA&#10;AADcAAAADwAAAGRycy9kb3ducmV2LnhtbERPTU/CQBC9m/AfNkPChcgWJAiVhRgTDdwUjV4n3aFt&#10;7M6W3bWUf88cSDy+vO/1tneN6ijE2rOB6SQDRVx4W3Np4Ovz9X4JKiZki41nMnChCNvN4G6NufVn&#10;/qDukEolIRxzNFCl1OZax6Iih3HiW2Lhjj44TAJDqW3As4S7Rs+ybKEd1iwNFbb0UlHxe/hzBpbz&#10;XfcT9w/v38Xi2KzS+LF7OwVjRsP++QlUoj79i2/unRXfSubLGTkCenM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f8PwgAAANwAAAAPAAAAAAAAAAAAAAAAAJgCAABkcnMvZG93&#10;bnJldi54bWxQSwUGAAAAAAQABAD1AAAAhwMAAAAA&#10;">
                        <v:fill on="t" focussize="0,0"/>
                        <v:stroke color="#000000" joinstyle="miter"/>
                        <v:imagedata o:title=""/>
                        <o:lock v:ext="edit" aspectratio="f"/>
                        <v:textbox>
                          <w:txbxContent>
                            <w:p>
                              <w:pPr>
                                <w:jc w:val="center"/>
                                <w:rPr>
                                  <w:sz w:val="22"/>
                                  <w:szCs w:val="22"/>
                                </w:rPr>
                              </w:pPr>
                              <w:r>
                                <w:rPr>
                                  <w:rFonts w:hint="eastAsia"/>
                                  <w:sz w:val="22"/>
                                  <w:szCs w:val="22"/>
                                </w:rPr>
                                <w:t>竣工验收</w:t>
                              </w:r>
                            </w:p>
                            <w:p>
                              <w:pPr>
                                <w:jc w:val="center"/>
                              </w:pPr>
                            </w:p>
                          </w:txbxContent>
                        </v:textbox>
                      </v:shape>
                      <v:line id="_x0000_s1026" o:spid="_x0000_s1026" o:spt="20" style="position:absolute;left:3112694;top:3860990;flip:y;height:700;width:45089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fxa8QAAADcAAAADwAAAGRycy9kb3ducmV2LnhtbESPzYrCQBCE78K+w9ALXsI6UUE0Osr+&#10;KAjiQdeDxybTJmEzPSHTq/HtnYUFj0V1fdW1WHWuVldqQ+XZwHCQgiLOva24MHD63rxNQQVBtlh7&#10;JgN3CrBavvQWmFl/4wNdj1KoCOGQoYFSpMm0DnlJDsPAN8TRu/jWoUTZFtq2eItwV+tRmk60w4pj&#10;Q4kNfZaU/xx/XXxjs+ev8Tj5cDpJZrQ+yy7VYkz/tXufgxLq5Hn8n95aA9PZEP7GRALo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B/FrxAAAANwAAAAPAAAAAAAAAAAA&#10;AAAAAKECAABkcnMvZG93bnJldi54bWxQSwUGAAAAAAQABAD5AAAAkgMAAAAA&#10;">
                        <v:fill on="f" focussize="0,0"/>
                        <v:stroke color="#000000" joinstyle="round" endarrow="block"/>
                        <v:imagedata o:title=""/>
                        <o:lock v:ext="edit" aspectratio="f"/>
                      </v:line>
                      <v:shape id="_x0000_s1026" o:spid="_x0000_s1026" o:spt="202" type="#_x0000_t202" style="position:absolute;left:3564893;top:3752687;height:268006;width:813399;"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E48UA&#10;AADcAAAADwAAAGRycy9kb3ducmV2LnhtbESPQWvCQBSE70L/w/IKvUizqYo1qatIQbE3a8VeH9ln&#10;Epp9G3fXmP77bkHwOMx8M8x82ZtGdOR8bVnBS5KCIC6srrlUcPhaP89A+ICssbFMCn7Jw3LxMJhj&#10;ru2VP6nbh1LEEvY5KqhCaHMpfVGRQZ/Yljh6J+sMhihdKbXDayw3jRyl6VQarDkuVNjSe0XFz/5i&#10;FMwm2+7bf4x3x2J6arIwfO02Z6fU02O/egMRqA/38I3e6shlI/g/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8TjxQAAANwAAAAPAAAAAAAAAAAAAAAAAJgCAABkcnMv&#10;ZG93bnJldi54bWxQSwUGAAAAAAQABAD1AAAAigMAAAAA&#10;">
                        <v:fill on="t" focussize="0,0"/>
                        <v:stroke color="#000000" joinstyle="miter"/>
                        <v:imagedata o:title=""/>
                        <o:lock v:ext="edit" aspectratio="f"/>
                        <v:textbox>
                          <w:txbxContent>
                            <w:p>
                              <w:pPr>
                                <w:jc w:val="center"/>
                                <w:rPr>
                                  <w:sz w:val="22"/>
                                  <w:szCs w:val="22"/>
                                </w:rPr>
                              </w:pPr>
                              <w:r>
                                <w:rPr>
                                  <w:rFonts w:hint="eastAsia"/>
                                  <w:sz w:val="22"/>
                                  <w:szCs w:val="22"/>
                                </w:rPr>
                                <w:t>投入运行</w:t>
                              </w:r>
                            </w:p>
                            <w:p>
                              <w:pPr>
                                <w:jc w:val="center"/>
                              </w:pPr>
                            </w:p>
                          </w:txbxContent>
                        </v:textbox>
                      </v:shape>
                      <v:line id="_x0000_s1026" o:spid="_x0000_s1026" o:spt="20" style="position:absolute;left:1977996;top:2211551;flip:x y;height:57701;width:26219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uosMAAADcAAAADwAAAGRycy9kb3ducmV2LnhtbESP3WoCMRCF7wu+QxihN0WzVfxbjVJL&#10;C4VeVX2AYTNugpvJusmu27dvBKGXh/PzcTa73lWioyZYzwpexxkI4sJry6WC0/FztAQRIrLGyjMp&#10;+KUAu+3gaYO59jf+oe4QS5FGOOSowMRY51KGwpDDMPY1cfLOvnEYk2xKqRu8pXFXyUmWzaVDy4lg&#10;sKZ3Q8Xl0LrEbeOHkXZlF9+z7oVmx/302hqlnof92xpEpD7+hx/tL61guZrC/Uw6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VLqLDAAAA3AAAAA8AAAAAAAAAAAAA&#10;AAAAoQIAAGRycy9kb3ducmV2LnhtbFBLBQYAAAAABAAEAPkAAACRAwAAAAA=&#10;">
                        <v:fill on="f" focussize="0,0"/>
                        <v:stroke color="#000000" joinstyle="round" dashstyle="dash" endarrow="block"/>
                        <v:imagedata o:title=""/>
                        <o:lock v:ext="edit" aspectratio="f"/>
                      </v:line>
                      <v:line id="_x0000_s1026" o:spid="_x0000_s1026" o:spt="20" style="position:absolute;left:1568397;top:1727640;flip:x y;height:57801;width:26229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ATTcMAAADcAAAADwAAAGRycy9kb3ducmV2LnhtbESP32rCMBTG7we+QziCN2OmOuq0GkXH&#10;BgOv1D3AoTlrgs1JbdLavf0yGOzy4/vz49vsBleLntpgPSuYTTMQxKXXlisFn5f3pyWIEJE11p5J&#10;wTcF2G1HDxsstL/zifpzrEQa4VCgAhNjU0gZSkMOw9Q3xMn78q3DmGRbSd3iPY27Ws6zbCEdWk4E&#10;gw29Giqv584lbhffjLQr+3LM+0fKL4fnW2eUmoyH/RpEpCH+h//aH1rBcpXD75l0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wE03DAAAA3AAAAA8AAAAAAAAAAAAA&#10;AAAAoQIAAGRycy9kb3ducmV2LnhtbFBLBQYAAAAABAAEAPkAAACRAwAAAAA=&#10;">
                        <v:fill on="f" focussize="0,0"/>
                        <v:stroke color="#000000" joinstyle="round" dashstyle="dash" endarrow="block"/>
                        <v:imagedata o:title=""/>
                        <o:lock v:ext="edit" aspectratio="f"/>
                      </v:line>
                      <v:shape id="_x0000_s1026" o:spid="_x0000_s1026" o:spt="202" type="#_x0000_t202" style="position:absolute;left:486999;top:2555859;height:261006;width:1285897;"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pFo8QA&#10;AADcAAAADwAAAGRycy9kb3ducmV2LnhtbESPT2sCMRTE74LfIbxCb5pVirirUUqhUMSLf0C8PTav&#10;m6WblzWJ7vbbG0HwOMzMb5jlureNuJEPtWMFk3EGgrh0uuZKwfHwPZqDCBFZY+OYFPxTgPVqOFhi&#10;oV3HO7rtYyUShEOBCkyMbSFlKA1ZDGPXEifv13mLMUlfSe2xS3DbyGmWzaTFmtOCwZa+DJV/+6tV&#10;cDLxvJls+3yT26uny4fbdlOn1Ptb/7kAEamPr/Cz/aMVzPMZPM6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qRaPEAAAA3AAAAA8AAAAAAAAAAAAAAAAAmAIAAGRycy9k&#10;b3ducmV2LnhtbFBLBQYAAAAABAAEAPUAAACJAwAAAAA=&#10;">
                        <v:fill on="t" focussize="0,0"/>
                        <v:stroke color="#000000" joinstyle="miter" dashstyle="dashDot"/>
                        <v:imagedata o:title=""/>
                        <o:lock v:ext="edit" aspectratio="f"/>
                        <v:textbox>
                          <w:txbxContent>
                            <w:p>
                              <w:pPr>
                                <w:jc w:val="center"/>
                                <w:rPr>
                                  <w:sz w:val="22"/>
                                  <w:szCs w:val="22"/>
                                </w:rPr>
                              </w:pPr>
                              <w:r>
                                <w:rPr>
                                  <w:rFonts w:hint="eastAsia"/>
                                  <w:sz w:val="22"/>
                                  <w:szCs w:val="22"/>
                                </w:rPr>
                                <w:t>固体废物、废水</w:t>
                              </w:r>
                            </w:p>
                          </w:txbxContent>
                        </v:textbox>
                      </v:shape>
                      <v:line id="_x0000_s1026" o:spid="_x0000_s1026" o:spt="20" style="position:absolute;left:1772896;top:2679562;flip:x y;height:57701;width:2622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4oocMAAADcAAAADwAAAGRycy9kb3ducmV2LnhtbESP3WoCMRCF7wu+QxjBm6JZLf6tRtHS&#10;QqFXVR9g2Iyb4GaybrLr9u2bQqGXh/Pzcbb73lWioyZYzwqmkwwEceG15VLB5fw+XoEIEVlj5ZkU&#10;fFOA/W7wtMVc+wd/UXeKpUgjHHJUYGKscylDYchhmPiaOHlX3ziMSTal1A0+0rir5CzLFtKh5UQw&#10;WNOroeJ2al3itvHNSLu2y89590zz8/Hl3hqlRsP+sAERqY//4b/2h1awWi/h90w6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uKKHDAAAA3AAAAA8AAAAAAAAAAAAA&#10;AAAAoQIAAGRycy9kb3ducmV2LnhtbFBLBQYAAAAABAAEAPkAAACRAwAAAAA=&#10;">
                        <v:fill on="f" focussize="0,0"/>
                        <v:stroke color="#000000" joinstyle="round" dashstyle="dash" endarrow="block"/>
                        <v:imagedata o:title=""/>
                        <o:lock v:ext="edit" aspectratio="f"/>
                      </v:line>
                      <v:shape id="_x0000_s1026" o:spid="_x0000_s1026" o:spt="202" type="#_x0000_t202" style="position:absolute;left:725198;top:2082148;height:257806;width:1252798;"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8IcQA&#10;AADcAAAADwAAAGRycy9kb3ducmV2LnhtbESPQWvCQBSE74L/YXkFb7qJlmKiG5FCoYiXqlB6e2Sf&#10;2dDs23R3Nem/7xYKPQ4z8w2z3Y22E3fyoXWsIF9kIIhrp1tuFFzOL/M1iBCRNXaOScE3BdhV08kW&#10;S+0GfqP7KTYiQTiUqMDE2JdShtqQxbBwPXHyrs5bjEn6RmqPQ4LbTi6z7ElabDktGOzp2VD9ebpZ&#10;Be8mfhzy41gcCnvz9PXojsPSKTV7GPcbEJHG+B/+a79qBUW2gt8z6QjI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2fCHEAAAA3AAAAA8AAAAAAAAAAAAAAAAAmAIAAGRycy9k&#10;b3ducmV2LnhtbFBLBQYAAAAABAAEAPUAAACJAwAAAAA=&#10;">
                        <v:fill on="t" focussize="0,0"/>
                        <v:stroke color="#000000" joinstyle="miter" dashstyle="dashDot"/>
                        <v:imagedata o:title=""/>
                        <o:lock v:ext="edit" aspectratio="f"/>
                        <v:textbox>
                          <w:txbxContent>
                            <w:p>
                              <w:pPr>
                                <w:jc w:val="center"/>
                                <w:rPr>
                                  <w:sz w:val="22"/>
                                  <w:szCs w:val="22"/>
                                </w:rPr>
                              </w:pPr>
                              <w:r>
                                <w:rPr>
                                  <w:rFonts w:hint="eastAsia"/>
                                  <w:sz w:val="22"/>
                                  <w:szCs w:val="22"/>
                                </w:rPr>
                                <w:t>噪声、扬尘</w:t>
                              </w:r>
                            </w:p>
                          </w:txbxContent>
                        </v:textbox>
                      </v:shape>
                      <w10:wrap type="none"/>
                      <w10:anchorlock/>
                    </v:group>
                  </w:pict>
                </mc:Fallback>
              </mc:AlternateContent>
            </w:r>
          </w:p>
          <w:p>
            <w:pPr>
              <w:pStyle w:val="259"/>
            </w:pPr>
            <w:r>
              <w:t>管线铺设主要过程有：管线路由确定后，进行作业线路清理、修建临时施工便道，在完成管沟开挖，河流、公路、铁路穿越等基础工程后，将钢管运至各施工现场进行敷设，管道敷设详见</w:t>
            </w:r>
            <w:r>
              <w:rPr>
                <w:rFonts w:hint="eastAsia"/>
              </w:rPr>
              <w:t>2.4.4</w:t>
            </w:r>
            <w:r>
              <w:t>节介绍。敷设完成后将管段及必要的弯头等组装后，用人工或自动方式焊接，并检查焊缝、进行管道防腐阴保，再按管道施工规范下到管沟内，覆土回填。最后对管道进行吹扫试压，清理作业现场并恢复地貌，管道试运行正常并验收合格后投入运营。</w:t>
            </w:r>
          </w:p>
          <w:p>
            <w:pPr>
              <w:pStyle w:val="259"/>
            </w:pPr>
            <w:r>
              <w:t>主要施工节点介绍：</w:t>
            </w:r>
          </w:p>
          <w:p>
            <w:pPr>
              <w:pStyle w:val="259"/>
            </w:pPr>
            <w:r>
              <w:t>（1）作业线路清理</w:t>
            </w:r>
          </w:p>
          <w:p>
            <w:pPr>
              <w:pStyle w:val="259"/>
            </w:pPr>
            <w:r>
              <w:t>管道施工前，应组织对施工作业带内地上、地下各种建（构）筑物和植（作）物、林木等进行清点造册。除特殊地段外，扫线后坡度纵坡最大应小于18°，横坡最大应小于15°。通过扫线可将纵坡、横坡降至10°以下地段，扫线后直接开挖管沟；通过扫线可将纵坡降至10°≤α≤18°，横坡降至10°≤β≤15°，可采取先成沟的施工工艺。对于局部较陡的地段，25°＜坡度≤55°可采取整体预制吊装法、牵引法等特殊措施布管。施工作业带清理、平整应遵循保护农田、果林、植被及配套设施，减少或防止产生水土流失的原则。施工作业带范围内，对于影响施工机具通行或施工作业的石块、杂草、树木、构筑物等应适当清理，沟、坎应予平整，有积水的地势低洼地段应排水填平。山区、丘陵地段对施工作业带内及附近有可能危及施工作业安全的落石、崩岩、滑塌等应进行清除或采取有效防护措施。</w:t>
            </w:r>
          </w:p>
          <w:p>
            <w:pPr>
              <w:pStyle w:val="259"/>
            </w:pPr>
            <w:r>
              <w:t>丘陵地段对施工作业带内及附近有可能危及施工作业安全的落石、崩岩、滑塌等应进行清除或采取有效防护措施。</w:t>
            </w:r>
          </w:p>
          <w:p>
            <w:pPr>
              <w:pStyle w:val="259"/>
              <w:rPr>
                <w:bCs/>
              </w:rPr>
            </w:pPr>
            <w:r>
              <w:rPr>
                <w:bCs/>
              </w:rPr>
              <w:t>（2）管沟开挖</w:t>
            </w:r>
          </w:p>
          <w:p>
            <w:pPr>
              <w:pStyle w:val="259"/>
              <w:rPr>
                <w:bCs/>
              </w:rPr>
            </w:pPr>
            <w:r>
              <w:rPr>
                <w:bCs/>
              </w:rPr>
              <w:t>开挖施工时，首先在已清理的施工作业带上开挖管沟。为确保管道安全运行，不受外力破坏，管道应有足够的埋设深度。对管沟开挖面的表土进行剥离并集中堆放，管沟敷设完毕后，将表土还原至管沟开挖面。</w:t>
            </w:r>
          </w:p>
          <w:p>
            <w:pPr>
              <w:pStyle w:val="259"/>
              <w:rPr>
                <w:bCs/>
              </w:rPr>
            </w:pPr>
            <w:r>
              <w:rPr>
                <w:bCs/>
              </w:rPr>
              <w:t>（3）穿越施工</w:t>
            </w:r>
          </w:p>
          <w:p>
            <w:pPr>
              <w:pStyle w:val="259"/>
            </w:pPr>
            <w:r>
              <w:t>本</w:t>
            </w:r>
            <w:r>
              <w:rPr>
                <w:rFonts w:hint="eastAsia"/>
              </w:rPr>
              <w:t>项目无隧洞施工等，仅为穿越王沟、徐沟，</w:t>
            </w:r>
            <w:r>
              <w:t>穿越河流的施工工艺</w:t>
            </w:r>
            <w:r>
              <w:rPr>
                <w:rFonts w:hint="eastAsia"/>
              </w:rPr>
              <w:t>为</w:t>
            </w:r>
            <w:r>
              <w:t>大开挖，介绍如下：</w:t>
            </w:r>
          </w:p>
          <w:p>
            <w:pPr>
              <w:pStyle w:val="259"/>
            </w:pPr>
            <w:r>
              <w:t>枯水期施工，采用围堰导流方式开挖河道，用围堰将河槽中河流截断一半，利用另一半作为导流沟，待一端管道组装回填结束后，再用同样的方法开挖河流的另一侧。</w:t>
            </w:r>
          </w:p>
          <w:p>
            <w:pPr>
              <w:pStyle w:val="183"/>
              <w:wordWrap/>
            </w:pPr>
            <w:r>
              <w:t>对于砂卵石河床，在确保埋深的前提下可在回填土表层抛洒大块（卵）石，其粒径不小于0.3m；对于基岩性河床，采用现浇混凝土的方式稳管；对于冲刷较大的土质河床，首先要确定冲刷深度，将管道埋设在冲刷线以下最小1m，必要时可采用平衡压袋或混凝土配重块的方式稳管。</w:t>
            </w:r>
          </w:p>
          <w:p>
            <w:pPr>
              <w:pStyle w:val="183"/>
              <w:wordWrap/>
              <w:rPr>
                <w:rFonts w:ascii="宋体" w:hAnsi="宋体" w:cs="宋体"/>
                <w:snapToGrid w:val="0"/>
              </w:rPr>
            </w:pPr>
            <w:r>
              <w:rPr>
                <w:rFonts w:hint="eastAsia" w:ascii="宋体" w:hAnsi="宋体" w:cs="宋体"/>
                <w:snapToGrid w:val="0"/>
              </w:rPr>
              <w:t>（4）下管</w:t>
            </w:r>
          </w:p>
          <w:p>
            <w:pPr>
              <w:pStyle w:val="183"/>
              <w:wordWrap/>
              <w:rPr>
                <w:rFonts w:ascii="宋体" w:hAnsi="宋体" w:cs="宋体"/>
                <w:snapToGrid w:val="0"/>
              </w:rPr>
            </w:pPr>
            <w:r>
              <w:rPr>
                <w:rFonts w:hint="eastAsia" w:ascii="宋体" w:hAnsi="宋体" w:cs="宋体"/>
                <w:snapToGrid w:val="0"/>
              </w:rPr>
              <w:t>钢管运至现场后，首先根据设备及管件位置进行排管，并在现场将每根钢管的具体长度丈量好，标注具体尺寸和排列位置，以便于接口时对号入座，采用吊车下管，下管过程中采用尼龙吊带进行吊装，以管道保温层的保护。</w:t>
            </w:r>
          </w:p>
          <w:p>
            <w:pPr>
              <w:pStyle w:val="183"/>
              <w:wordWrap/>
              <w:rPr>
                <w:rFonts w:ascii="宋体" w:hAnsi="宋体" w:cs="宋体"/>
                <w:snapToGrid w:val="0"/>
              </w:rPr>
            </w:pPr>
            <w:r>
              <w:rPr>
                <w:rFonts w:hint="eastAsia" w:ascii="宋体" w:hAnsi="宋体" w:cs="宋体"/>
                <w:snapToGrid w:val="0"/>
              </w:rPr>
              <w:t>（5）修口、对口</w:t>
            </w:r>
          </w:p>
          <w:p>
            <w:pPr>
              <w:pStyle w:val="183"/>
              <w:wordWrap/>
              <w:rPr>
                <w:rFonts w:ascii="宋体" w:hAnsi="宋体" w:cs="宋体"/>
                <w:snapToGrid w:val="0"/>
              </w:rPr>
            </w:pPr>
            <w:r>
              <w:rPr>
                <w:rFonts w:hint="eastAsia" w:ascii="宋体" w:hAnsi="宋体" w:cs="宋体"/>
                <w:snapToGrid w:val="0"/>
              </w:rPr>
              <w:t>修口集中在管道出厂前加工完成，为保证焊接质量，焊接前均进行全面检查、修正，使管子端面、坡口角度、钝边、圆度等，均符合对口接头尺寸的要求，个别钢管需在现场做坡口处理时，采用气焊切割，清除熔渣后再用砂轮打磨平整。</w:t>
            </w:r>
          </w:p>
          <w:p>
            <w:pPr>
              <w:pStyle w:val="183"/>
              <w:wordWrap/>
              <w:rPr>
                <w:rFonts w:ascii="宋体" w:hAnsi="宋体" w:cs="宋体"/>
                <w:snapToGrid w:val="0"/>
              </w:rPr>
            </w:pPr>
            <w:r>
              <w:rPr>
                <w:rFonts w:hint="eastAsia" w:ascii="宋体" w:hAnsi="宋体" w:cs="宋体"/>
                <w:snapToGrid w:val="0"/>
              </w:rPr>
              <w:t>对口操作程序为：检查接口接头尺寸→清膛→确定并调整钢管纵向焊缝错开位置→第一次管道找直→调整对口间隙尺寸→对口找平→管道拉线找直→点焊。</w:t>
            </w:r>
          </w:p>
          <w:p>
            <w:pPr>
              <w:pStyle w:val="183"/>
              <w:wordWrap/>
              <w:rPr>
                <w:rFonts w:ascii="宋体" w:hAnsi="宋体" w:cs="宋体"/>
                <w:snapToGrid w:val="0"/>
              </w:rPr>
            </w:pPr>
            <w:r>
              <w:rPr>
                <w:rFonts w:hint="eastAsia" w:ascii="宋体" w:hAnsi="宋体" w:cs="宋体"/>
                <w:snapToGrid w:val="0"/>
              </w:rPr>
              <w:t>（6）焊接</w:t>
            </w:r>
          </w:p>
          <w:p>
            <w:pPr>
              <w:pStyle w:val="183"/>
              <w:wordWrap/>
              <w:rPr>
                <w:rFonts w:ascii="宋体" w:hAnsi="宋体" w:cs="宋体"/>
                <w:snapToGrid w:val="0"/>
              </w:rPr>
            </w:pPr>
            <w:r>
              <w:rPr>
                <w:rFonts w:hint="eastAsia" w:ascii="宋体" w:hAnsi="宋体" w:cs="宋体"/>
                <w:snapToGrid w:val="0"/>
              </w:rPr>
              <w:t>接口焊接采用电弧焊，一遍打底，二遍成活，每道焊缝均一次焊完，每层施焊的引熄弧点须错开。</w:t>
            </w:r>
          </w:p>
          <w:p>
            <w:pPr>
              <w:pStyle w:val="183"/>
              <w:wordWrap/>
              <w:rPr>
                <w:rFonts w:ascii="宋体" w:hAnsi="宋体" w:cs="宋体"/>
                <w:snapToGrid w:val="0"/>
              </w:rPr>
            </w:pPr>
            <w:r>
              <w:rPr>
                <w:rFonts w:hint="eastAsia" w:ascii="宋体" w:hAnsi="宋体" w:cs="宋体"/>
                <w:snapToGrid w:val="0"/>
              </w:rPr>
              <w:t>① 管节焊接前应先修口、清渣、管端端面的坡口角度、钝边、间隙，应符合规范规定；不得在对口间隙夹焊帮条或用加热法缩小间隙施焊。</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② 对口时应使内壁齐平，采用长300mm的直尺在接口内壁周围顺序贴靠，错口的允许偏查差应为0.2倍壁厚，且不得大于2mm。</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③ 定位焊时，定位焊缝所有焊条号（或牌号）应与正式焊接相同，但焊条直径可选细一些。定位焊缝的焊接电流要选得比正式焊接时大一些，通常大10%－15%，以保证焊透。</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④ 管道的焊接：焊缝质量必须符合GB50268-2008中的有关规定，焊缝应平滑，宽窄一致，根部焊透，无明显的凹凸缺陷及咬边现象，焊缝加强面应高出管面约2mm，焊出坡口边缘2～3mm。</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⑤ 管道与法兰焊接时，管道应插入法兰三分之二，法兰与管道应垂直，两者的轴线重合。</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⑥ 大于20mm的放气阀门采用法兰连接，小于或等于20mm的放气阀门采用螺纹连接。</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⑦ 管道转弯、穿墙及支吊架处，不应有接口和焊缝，管道穿越墙壁应预埋套管，套管直径应比管道保温外径大50mm。管道最高点设放气阀，最低点设放水阀。</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 xml:space="preserve">（7）沟槽回填 </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① 水压试验前，除接口处管道回填至管顶50cm以上。</w:t>
            </w:r>
          </w:p>
          <w:p>
            <w:pPr>
              <w:snapToGrid w:val="0"/>
              <w:spacing w:line="360" w:lineRule="auto"/>
              <w:ind w:firstLine="480"/>
              <w:rPr>
                <w:rFonts w:ascii="宋体" w:hAnsi="宋体" w:cs="宋体"/>
                <w:snapToGrid w:val="0"/>
                <w:sz w:val="24"/>
              </w:rPr>
            </w:pPr>
            <w:r>
              <w:rPr>
                <w:rFonts w:hint="eastAsia" w:ascii="宋体" w:hAnsi="宋体" w:cs="宋体"/>
                <w:snapToGrid w:val="0"/>
                <w:sz w:val="24"/>
              </w:rPr>
              <w:t xml:space="preserve">② 管道两侧回填高差不超过20cm。 </w:t>
            </w:r>
          </w:p>
          <w:p>
            <w:pPr>
              <w:snapToGrid w:val="0"/>
              <w:spacing w:line="360" w:lineRule="auto"/>
              <w:ind w:firstLine="480"/>
              <w:rPr>
                <w:rFonts w:ascii="宋体" w:hAnsi="宋体" w:cs="宋体"/>
                <w:snapToGrid w:val="0"/>
                <w:sz w:val="24"/>
              </w:rPr>
            </w:pPr>
            <w:r>
              <w:rPr>
                <w:rFonts w:hint="eastAsia" w:ascii="宋体" w:hAnsi="宋体" w:cs="宋体"/>
                <w:snapToGrid w:val="0"/>
                <w:sz w:val="24"/>
              </w:rPr>
              <w:t xml:space="preserve">③ 回填分层进行。管道两侧和管顶以上50cm用木夯夯实，每层虚铺厚度不大于20cm；管顶以上 50cm 至地面用蛙式打夯机夯实，每层虚铺厚度20-25cm；应做到夯夯相连，一夯压半夯。 </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 xml:space="preserve">④ 分段回填时，相邻两段接茬呈阶梯形。 </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（8）水压试验</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① 本工程的施工单位已编制相关的试验方案，试验管道的后背、管道接口、采用的设备、仪表规格及其安装、附属设备安装、管道回填土和准备工作均符合GB50268-2008中的有关规定。</w:t>
            </w:r>
          </w:p>
          <w:p>
            <w:pPr>
              <w:snapToGrid w:val="0"/>
              <w:spacing w:line="360" w:lineRule="auto"/>
              <w:ind w:firstLine="480"/>
              <w:rPr>
                <w:rFonts w:ascii="宋体" w:hAnsi="宋体" w:cs="宋体"/>
                <w:snapToGrid w:val="0"/>
                <w:sz w:val="24"/>
              </w:rPr>
            </w:pPr>
            <w:r>
              <w:rPr>
                <w:rFonts w:hint="eastAsia" w:ascii="宋体" w:hAnsi="宋体" w:cs="宋体"/>
                <w:snapToGrid w:val="0"/>
                <w:sz w:val="24"/>
              </w:rPr>
              <w:t>② 试验长度：钢管管道水压试验的管段长度不宜大于1km。</w:t>
            </w:r>
          </w:p>
          <w:p>
            <w:pPr>
              <w:snapToGrid w:val="0"/>
              <w:spacing w:line="360" w:lineRule="auto"/>
              <w:ind w:firstLine="480"/>
              <w:rPr>
                <w:rFonts w:ascii="宋体" w:hAnsi="宋体" w:cs="宋体"/>
                <w:snapToGrid w:val="0"/>
                <w:sz w:val="24"/>
              </w:rPr>
            </w:pPr>
            <w:r>
              <w:rPr>
                <w:rFonts w:hint="eastAsia" w:ascii="宋体" w:hAnsi="宋体" w:cs="宋体"/>
                <w:snapToGrid w:val="0"/>
                <w:sz w:val="24"/>
              </w:rPr>
              <w:t>③ 灌水：管道水压试验前灌满水后，有水泥砂浆衬里的，对管段进行浸泡48h以上，没有水泥砂浆衬里的浸泡24h以上。浸泡的水压不超过管道的工作压力。</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④ 试验压力：对于管道工作压力大于或等于0.1Mpa的钢管必须进行强度严密性试验。一般采用水压试验进行。管道工作压力为P，试验压力取P+0.5，且不小于0.9MPa。</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⑤ 预试验阶段：试压时，将管道内水压缓慢地升至试验压力并稳压30min，期间如有压力下降可注水补压，但不得高于试验压力；检查管道接口、配件等处有无漏水、损坏现象；有漏水、损坏现象时应及时停止试压，当无异常时，重新试压。</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⑥ 主试验阶段</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A.强度试验：管道强度试验在水压升至试验压力后，停止注水补压，保持恒压15min，其允许压力降为0，将试验压力降至工作压力并保持恒压30min，检查管道接口、配件、管身，无破损及漏水现象时，管道强度试验确认合格。</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B.严密性试验：试验管体及接口不得有漏水现象，并可采用放水法或注水法试验测渗水量，其允许渗水量小于相关规定时，严密性试验合格。</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⑦ 管道试压时，管道的气体应排除；升压过程中，发现弹簧压力计表针摆动、不稳，且升压较慢时，应重新排气后在升压。升压时应分级升压，逐级缓升，每升一级（0.1Mpa）应检查后背、支墩、管身及接口有无异常现象，当无异常时，再继续升压，并填写管道闭水试验记录表。</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⑧ 水压实验时，后背、支撑、管端等附近不得站人，检查应在停止升压时进行。水压实验时，严禁修改补缺；遇有缺陷时，应作出标记，卸压后修补。</w:t>
            </w:r>
          </w:p>
          <w:p>
            <w:pPr>
              <w:snapToGrid w:val="0"/>
              <w:spacing w:line="360" w:lineRule="auto"/>
              <w:ind w:firstLine="480" w:firstLineChars="200"/>
              <w:rPr>
                <w:rFonts w:ascii="宋体" w:hAnsi="宋体" w:cs="宋体"/>
                <w:snapToGrid w:val="0"/>
                <w:sz w:val="24"/>
              </w:rPr>
            </w:pPr>
            <w:r>
              <w:rPr>
                <w:rFonts w:hint="eastAsia" w:ascii="宋体" w:hAnsi="宋体" w:cs="宋体"/>
                <w:snapToGrid w:val="0"/>
                <w:sz w:val="24"/>
              </w:rPr>
              <w:t>⑨ 冬季进行水压时应采取防冻措施。可将管道回填土适当加高，用多层草帘将暴露的接口包严；对串水及试压临时管线缠包保温，不用水时及时放空。</w:t>
            </w:r>
          </w:p>
          <w:p>
            <w:pPr>
              <w:pStyle w:val="183"/>
            </w:pPr>
            <w:r>
              <w:rPr>
                <w:rFonts w:hint="eastAsia"/>
              </w:rPr>
              <w:t>2、净水厂、提水泵站施工工艺</w:t>
            </w:r>
          </w:p>
          <w:p>
            <w:pPr>
              <w:snapToGrid w:val="0"/>
              <w:spacing w:line="360" w:lineRule="auto"/>
              <w:ind w:firstLine="480"/>
              <w:rPr>
                <w:sz w:val="24"/>
              </w:rPr>
            </w:pPr>
            <w:r>
              <w:rPr>
                <w:rFonts w:hint="eastAsia"/>
                <w:sz w:val="24"/>
              </w:rPr>
              <w:t>自来水厂、泵站按一般施工程序先土建、后设备安装。土方采用</w:t>
            </w:r>
            <w:r>
              <w:rPr>
                <w:sz w:val="24"/>
              </w:rPr>
              <w:t>1.0m3</w:t>
            </w:r>
            <w:r>
              <w:rPr>
                <w:rFonts w:hint="eastAsia"/>
                <w:sz w:val="24"/>
              </w:rPr>
              <w:t>反铲挖掘机开挖。泵站基础回填采用</w:t>
            </w:r>
            <w:r>
              <w:rPr>
                <w:sz w:val="24"/>
              </w:rPr>
              <w:t>1.0m</w:t>
            </w:r>
            <w:r>
              <w:rPr>
                <w:rFonts w:hint="eastAsia"/>
                <w:sz w:val="24"/>
                <w:vertAlign w:val="superscript"/>
              </w:rPr>
              <w:t>3</w:t>
            </w:r>
            <w:r>
              <w:rPr>
                <w:rFonts w:hint="eastAsia"/>
                <w:sz w:val="24"/>
              </w:rPr>
              <w:t>反铲挖掘机配</w:t>
            </w:r>
            <w:r>
              <w:rPr>
                <w:sz w:val="24"/>
              </w:rPr>
              <w:t>5</w:t>
            </w:r>
            <w:r>
              <w:rPr>
                <w:rFonts w:hint="eastAsia"/>
                <w:sz w:val="24"/>
              </w:rPr>
              <w:t>吨～</w:t>
            </w:r>
            <w:r>
              <w:rPr>
                <w:sz w:val="24"/>
              </w:rPr>
              <w:t>10</w:t>
            </w:r>
            <w:r>
              <w:rPr>
                <w:rFonts w:hint="eastAsia"/>
                <w:sz w:val="24"/>
              </w:rPr>
              <w:t>吨自卸汽车运输，将土料分层平铺，</w:t>
            </w:r>
            <w:r>
              <w:rPr>
                <w:sz w:val="24"/>
              </w:rPr>
              <w:t>6</w:t>
            </w:r>
            <w:r>
              <w:rPr>
                <w:rFonts w:hint="eastAsia"/>
                <w:sz w:val="24"/>
              </w:rPr>
              <w:t>吨～</w:t>
            </w:r>
            <w:r>
              <w:rPr>
                <w:sz w:val="24"/>
              </w:rPr>
              <w:t>8</w:t>
            </w:r>
            <w:r>
              <w:rPr>
                <w:rFonts w:hint="eastAsia"/>
                <w:sz w:val="24"/>
              </w:rPr>
              <w:t>吨压路机碾压回填。混凝土浇筑采用</w:t>
            </w:r>
            <w:r>
              <w:rPr>
                <w:sz w:val="24"/>
              </w:rPr>
              <w:t>0.4m3</w:t>
            </w:r>
            <w:r>
              <w:rPr>
                <w:rFonts w:hint="eastAsia"/>
                <w:sz w:val="24"/>
              </w:rPr>
              <w:t>拌合机拌和，翻斗车运至现场，人工安装钢筋、立模，基础的混凝土可沿溜槽入仓；上部结构的混凝土可由小型轮胎式吊车吊装混凝土罐入仓，插入式振捣器配合平板式振捣器进行振捣。机电设备、金结及电气设备安装施工采用人工配合起重机吊装就位、焊接及安装。其施工流程及主要环境影响产污环节见示意图2</w:t>
            </w:r>
            <w:r>
              <w:rPr>
                <w:sz w:val="24"/>
              </w:rPr>
              <w:t>-1</w:t>
            </w:r>
            <w:r>
              <w:rPr>
                <w:rFonts w:hint="eastAsia"/>
                <w:sz w:val="24"/>
              </w:rPr>
              <w:t>。</w:t>
            </w:r>
          </w:p>
          <w:p>
            <w:pPr>
              <w:snapToGrid w:val="0"/>
              <w:spacing w:line="360" w:lineRule="auto"/>
              <w:jc w:val="center"/>
              <w:rPr>
                <w:sz w:val="24"/>
              </w:rPr>
            </w:pPr>
            <w:r>
              <w:rPr>
                <w:sz w:val="24"/>
              </w:rPr>
              <w:object>
                <v:shape id="_x0000_i1031" o:spt="75" type="#_x0000_t75" style="height:182.4pt;width:300.65pt;" o:ole="t" filled="f" o:preferrelative="t" stroked="f" coordsize="21600,21600">
                  <v:path/>
                  <v:fill on="f" focussize="0,0"/>
                  <v:stroke on="f"/>
                  <v:imagedata r:id="rId15" o:title=""/>
                  <o:lock v:ext="edit" aspectratio="t"/>
                  <w10:wrap type="none"/>
                  <w10:anchorlock/>
                </v:shape>
                <o:OLEObject Type="Embed" ProgID="Visio.Drawing.11" ShapeID="_x0000_i1031" DrawAspect="Content" ObjectID="_1468075725" r:id="rId14">
                  <o:LockedField>false</o:LockedField>
                </o:OLEObject>
              </w:object>
            </w:r>
          </w:p>
          <w:p>
            <w:pPr>
              <w:pStyle w:val="260"/>
              <w:snapToGrid w:val="0"/>
              <w:spacing w:line="360" w:lineRule="auto"/>
              <w:ind w:firstLine="480"/>
              <w:rPr>
                <w:sz w:val="24"/>
                <w:szCs w:val="24"/>
              </w:rPr>
            </w:pPr>
            <w:r>
              <w:rPr>
                <w:rFonts w:hint="eastAsia"/>
                <w:sz w:val="24"/>
                <w:szCs w:val="24"/>
              </w:rPr>
              <w:t>图2</w:t>
            </w:r>
            <w:r>
              <w:rPr>
                <w:sz w:val="24"/>
                <w:szCs w:val="24"/>
              </w:rPr>
              <w:t xml:space="preserve">-2  </w:t>
            </w:r>
            <w:r>
              <w:rPr>
                <w:rFonts w:hint="eastAsia"/>
                <w:sz w:val="24"/>
                <w:szCs w:val="24"/>
              </w:rPr>
              <w:t>自来水厂施工流程及产污环节</w:t>
            </w:r>
          </w:p>
          <w:p>
            <w:pPr>
              <w:spacing w:line="360" w:lineRule="auto"/>
              <w:ind w:firstLine="482" w:firstLineChars="200"/>
              <w:rPr>
                <w:b/>
                <w:sz w:val="24"/>
              </w:rPr>
            </w:pPr>
          </w:p>
          <w:p>
            <w:pPr>
              <w:pStyle w:val="183"/>
              <w:ind w:firstLine="482"/>
              <w:rPr>
                <w:b/>
              </w:rPr>
            </w:pPr>
            <w:r>
              <w:rPr>
                <w:rFonts w:hint="eastAsia"/>
                <w:b/>
              </w:rPr>
              <w:t>二、营运期工艺流程及产污分析</w:t>
            </w:r>
          </w:p>
          <w:p>
            <w:pPr>
              <w:pStyle w:val="183"/>
              <w:rPr>
                <w:rFonts w:hint="eastAsia"/>
                <w:kern w:val="0"/>
              </w:rPr>
            </w:pPr>
            <w:r>
              <w:rPr>
                <w:rFonts w:hint="eastAsia"/>
                <w:kern w:val="0"/>
              </w:rPr>
              <w:t>自来水厂采用絮凝沉淀</w:t>
            </w:r>
            <w:r>
              <w:rPr>
                <w:rFonts w:ascii="TimesNewRomanPSMT" w:eastAsia="TimesNewRomanPSMT" w:cs="TimesNewRomanPSMT"/>
                <w:kern w:val="0"/>
              </w:rPr>
              <w:t>+</w:t>
            </w:r>
            <w:r>
              <w:rPr>
                <w:rFonts w:hint="eastAsia"/>
                <w:kern w:val="0"/>
              </w:rPr>
              <w:t>气水反冲洗工艺。</w:t>
            </w:r>
            <w:r>
              <w:rPr>
                <w:rStyle w:val="42"/>
                <w:rFonts w:hint="eastAsia"/>
              </w:rPr>
              <w:t>原水由提水泵站提升（或由高压水池）通过压力输水管道进入配水井，</w:t>
            </w:r>
            <w:r>
              <w:rPr>
                <w:rFonts w:hint="eastAsia"/>
                <w:kern w:val="0"/>
              </w:rPr>
              <w:t>之后进入絮凝反应斜管沉淀池，反应沉淀池加 PAC 聚合氯化铝沉淀，池底排泥，上清液进入单阀气水反冲洗滤池，滤后清水在清水池采用二氧化氯消毒后通过送水泵房输入输水管网，配给用户</w:t>
            </w:r>
          </w:p>
          <w:p>
            <w:pPr>
              <w:spacing w:line="360" w:lineRule="auto"/>
              <w:ind w:firstLine="482" w:firstLineChars="200"/>
              <w:jc w:val="left"/>
              <w:rPr>
                <w:rFonts w:hint="eastAsia"/>
              </w:rPr>
            </w:pPr>
            <w:r>
              <w:rPr>
                <w:b/>
                <w:sz w:val="24"/>
              </w:rPr>
              <w:t>1</w:t>
            </w:r>
            <w:r>
              <w:rPr>
                <w:rFonts w:hint="eastAsia"/>
                <w:b/>
                <w:sz w:val="24"/>
              </w:rPr>
              <w:t>、工艺流程</w:t>
            </w:r>
            <w:r>
              <w:rPr>
                <w:rFonts w:hint="eastAsia" w:ascii="宋体" w:hAnsi="宋体" w:cs="宋体"/>
                <w:color w:val="FF0000"/>
              </w:rPr>
              <mc:AlternateContent>
                <mc:Choice Requires="wpc">
                  <w:drawing>
                    <wp:inline distT="0" distB="0" distL="114300" distR="114300">
                      <wp:extent cx="5080635" cy="6465570"/>
                      <wp:effectExtent l="0" t="0" r="0" b="0"/>
                      <wp:docPr id="115" name="画布 1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 name="文本框 57"/>
                              <wps:cNvSpPr txBox="1"/>
                              <wps:spPr>
                                <a:xfrm>
                                  <a:off x="1102995" y="706755"/>
                                  <a:ext cx="1089660" cy="292100"/>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提水泵房</w:t>
                                    </w:r>
                                  </w:p>
                                </w:txbxContent>
                              </wps:txbx>
                              <wps:bodyPr upright="1"/>
                            </wps:wsp>
                            <wps:wsp>
                              <wps:cNvPr id="58" name="文本框 58"/>
                              <wps:cNvSpPr txBox="1"/>
                              <wps:spPr>
                                <a:xfrm>
                                  <a:off x="1055370" y="110490"/>
                                  <a:ext cx="1104900" cy="278765"/>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取水口</w:t>
                                    </w:r>
                                  </w:p>
                                </w:txbxContent>
                              </wps:txbx>
                              <wps:bodyPr upright="1"/>
                            </wps:wsp>
                            <wps:wsp>
                              <wps:cNvPr id="59" name="文本框 59"/>
                              <wps:cNvSpPr txBox="1"/>
                              <wps:spPr>
                                <a:xfrm>
                                  <a:off x="1021080" y="1022350"/>
                                  <a:ext cx="685800" cy="297180"/>
                                </a:xfrm>
                                <a:prstGeom prst="rect">
                                  <a:avLst/>
                                </a:prstGeom>
                                <a:noFill/>
                                <a:ln>
                                  <a:noFill/>
                                </a:ln>
                              </wps:spPr>
                              <wps:txbx>
                                <w:txbxContent>
                                  <w:p>
                                    <w:pPr>
                                      <w:jc w:val="center"/>
                                      <w:rPr>
                                        <w:rFonts w:hint="eastAsia"/>
                                        <w:szCs w:val="21"/>
                                      </w:rPr>
                                    </w:pPr>
                                    <w:r>
                                      <w:rPr>
                                        <w:rFonts w:hint="eastAsia"/>
                                        <w:szCs w:val="21"/>
                                      </w:rPr>
                                      <w:t>管道</w:t>
                                    </w:r>
                                  </w:p>
                                </w:txbxContent>
                              </wps:txbx>
                              <wps:bodyPr upright="1"/>
                            </wps:wsp>
                            <wps:wsp>
                              <wps:cNvPr id="60" name="直接连接符 60"/>
                              <wps:cNvSpPr/>
                              <wps:spPr>
                                <a:xfrm>
                                  <a:off x="1644015" y="396240"/>
                                  <a:ext cx="635" cy="297180"/>
                                </a:xfrm>
                                <a:prstGeom prst="line">
                                  <a:avLst/>
                                </a:prstGeom>
                                <a:ln w="9525" cap="flat" cmpd="sng">
                                  <a:solidFill>
                                    <a:srgbClr val="000000"/>
                                  </a:solidFill>
                                  <a:prstDash val="solid"/>
                                  <a:headEnd type="none" w="med" len="med"/>
                                  <a:tailEnd type="triangle" w="med" len="med"/>
                                </a:ln>
                              </wps:spPr>
                              <wps:bodyPr upright="1"/>
                            </wps:wsp>
                            <wps:wsp>
                              <wps:cNvPr id="61" name="文本框 61"/>
                              <wps:cNvSpPr txBox="1"/>
                              <wps:spPr>
                                <a:xfrm>
                                  <a:off x="1612900" y="4723765"/>
                                  <a:ext cx="816610" cy="305435"/>
                                </a:xfrm>
                                <a:prstGeom prst="rect">
                                  <a:avLst/>
                                </a:prstGeom>
                                <a:solidFill>
                                  <a:srgbClr val="A6A6A6"/>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高位水池</w:t>
                                    </w:r>
                                  </w:p>
                                </w:txbxContent>
                              </wps:txbx>
                              <wps:bodyPr upright="1"/>
                            </wps:wsp>
                            <wps:wsp>
                              <wps:cNvPr id="62" name="文本框 62"/>
                              <wps:cNvSpPr txBox="1"/>
                              <wps:spPr>
                                <a:xfrm>
                                  <a:off x="2372995" y="1818005"/>
                                  <a:ext cx="748665" cy="295275"/>
                                </a:xfrm>
                                <a:prstGeom prst="rect">
                                  <a:avLst/>
                                </a:prstGeom>
                                <a:noFill/>
                                <a:ln>
                                  <a:noFill/>
                                </a:ln>
                              </wps:spPr>
                              <wps:txbx>
                                <w:txbxContent>
                                  <w:p>
                                    <w:pPr>
                                      <w:rPr>
                                        <w:rFonts w:hint="eastAsia"/>
                                        <w:color w:val="00B0F0"/>
                                        <w:szCs w:val="21"/>
                                      </w:rPr>
                                    </w:pPr>
                                    <w:r>
                                      <w:rPr>
                                        <w:rFonts w:hint="eastAsia"/>
                                        <w:color w:val="00B0F0"/>
                                        <w:szCs w:val="21"/>
                                      </w:rPr>
                                      <w:t>排泥水</w:t>
                                    </w:r>
                                  </w:p>
                                </w:txbxContent>
                              </wps:txbx>
                              <wps:bodyPr upright="1"/>
                            </wps:wsp>
                            <wps:wsp>
                              <wps:cNvPr id="63" name="文本框 63"/>
                              <wps:cNvSpPr txBox="1"/>
                              <wps:spPr>
                                <a:xfrm>
                                  <a:off x="813435" y="4736465"/>
                                  <a:ext cx="710565" cy="252095"/>
                                </a:xfrm>
                                <a:prstGeom prst="rect">
                                  <a:avLst/>
                                </a:prstGeom>
                                <a:noFill/>
                                <a:ln>
                                  <a:noFill/>
                                </a:ln>
                              </wps:spPr>
                              <wps:txbx>
                                <w:txbxContent>
                                  <w:p>
                                    <w:pPr>
                                      <w:jc w:val="center"/>
                                      <w:rPr>
                                        <w:rFonts w:hint="eastAsia"/>
                                        <w:szCs w:val="21"/>
                                      </w:rPr>
                                    </w:pPr>
                                    <w:r>
                                      <w:rPr>
                                        <w:rFonts w:hint="eastAsia"/>
                                        <w:szCs w:val="21"/>
                                      </w:rPr>
                                      <w:t>用户</w:t>
                                    </w:r>
                                  </w:p>
                                </w:txbxContent>
                              </wps:txbx>
                              <wps:bodyPr upright="1"/>
                            </wps:wsp>
                            <wps:wsp>
                              <wps:cNvPr id="64" name="矩形 64"/>
                              <wps:cNvSpPr/>
                              <wps:spPr>
                                <a:xfrm>
                                  <a:off x="396875" y="6063615"/>
                                  <a:ext cx="3278505" cy="297815"/>
                                </a:xfrm>
                                <a:prstGeom prst="rect">
                                  <a:avLst/>
                                </a:prstGeom>
                                <a:solidFill>
                                  <a:srgbClr val="FFFFFF">
                                    <a:alpha val="0"/>
                                  </a:srgbClr>
                                </a:solidFill>
                                <a:ln>
                                  <a:noFill/>
                                </a:ln>
                              </wps:spPr>
                              <wps:txbx>
                                <w:txbxContent>
                                  <w:p>
                                    <w:pPr>
                                      <w:rPr>
                                        <w:b/>
                                        <w:sz w:val="24"/>
                                      </w:rPr>
                                    </w:pPr>
                                    <w:r>
                                      <w:rPr>
                                        <w:rFonts w:hAnsi="宋体"/>
                                        <w:b/>
                                        <w:sz w:val="24"/>
                                      </w:rPr>
                                      <w:t>图</w:t>
                                    </w:r>
                                    <w:r>
                                      <w:rPr>
                                        <w:rFonts w:hint="eastAsia"/>
                                        <w:b/>
                                        <w:sz w:val="24"/>
                                      </w:rPr>
                                      <w:t>2-</w:t>
                                    </w:r>
                                    <w:r>
                                      <w:rPr>
                                        <w:b/>
                                        <w:sz w:val="24"/>
                                      </w:rPr>
                                      <w:t xml:space="preserve">3 </w:t>
                                    </w:r>
                                    <w:r>
                                      <w:rPr>
                                        <w:rFonts w:hAnsi="宋体"/>
                                        <w:b/>
                                        <w:sz w:val="24"/>
                                      </w:rPr>
                                      <w:t>项目</w:t>
                                    </w:r>
                                    <w:r>
                                      <w:rPr>
                                        <w:rFonts w:hint="eastAsia" w:hAnsi="宋体"/>
                                        <w:b/>
                                        <w:sz w:val="24"/>
                                      </w:rPr>
                                      <w:t>净水厂</w:t>
                                    </w:r>
                                    <w:r>
                                      <w:rPr>
                                        <w:rFonts w:hAnsi="宋体"/>
                                        <w:b/>
                                        <w:sz w:val="24"/>
                                      </w:rPr>
                                      <w:t>生产工艺流程及</w:t>
                                    </w:r>
                                    <w:r>
                                      <w:rPr>
                                        <w:rFonts w:hint="eastAsia" w:hAnsi="宋体"/>
                                        <w:b/>
                                        <w:sz w:val="24"/>
                                      </w:rPr>
                                      <w:t>产污</w:t>
                                    </w:r>
                                    <w:r>
                                      <w:rPr>
                                        <w:rFonts w:hAnsi="宋体"/>
                                        <w:b/>
                                        <w:sz w:val="24"/>
                                      </w:rPr>
                                      <w:t>节点图</w:t>
                                    </w:r>
                                  </w:p>
                                </w:txbxContent>
                              </wps:txbx>
                              <wps:bodyPr upright="1"/>
                            </wps:wsp>
                            <wps:wsp>
                              <wps:cNvPr id="65" name="文本框 65"/>
                              <wps:cNvSpPr txBox="1"/>
                              <wps:spPr>
                                <a:xfrm>
                                  <a:off x="1102995" y="1286510"/>
                                  <a:ext cx="1079500" cy="292100"/>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配水井</w:t>
                                    </w:r>
                                  </w:p>
                                </w:txbxContent>
                              </wps:txbx>
                              <wps:bodyPr upright="1"/>
                            </wps:wsp>
                            <wps:wsp>
                              <wps:cNvPr id="66" name="直接连接符 66"/>
                              <wps:cNvSpPr/>
                              <wps:spPr>
                                <a:xfrm>
                                  <a:off x="2209165" y="864235"/>
                                  <a:ext cx="533400" cy="635"/>
                                </a:xfrm>
                                <a:prstGeom prst="line">
                                  <a:avLst/>
                                </a:prstGeom>
                                <a:ln w="9525" cap="flat" cmpd="sng">
                                  <a:solidFill>
                                    <a:srgbClr val="000000"/>
                                  </a:solidFill>
                                  <a:prstDash val="dash"/>
                                  <a:headEnd type="none" w="med" len="med"/>
                                  <a:tailEnd type="triangle" w="med" len="med"/>
                                </a:ln>
                              </wps:spPr>
                              <wps:bodyPr upright="1"/>
                            </wps:wsp>
                            <wps:wsp>
                              <wps:cNvPr id="67" name="直接连接符 67"/>
                              <wps:cNvSpPr/>
                              <wps:spPr>
                                <a:xfrm flipH="1">
                                  <a:off x="1644650" y="998855"/>
                                  <a:ext cx="5715" cy="304165"/>
                                </a:xfrm>
                                <a:prstGeom prst="line">
                                  <a:avLst/>
                                </a:prstGeom>
                                <a:ln w="9525" cap="flat" cmpd="sng">
                                  <a:solidFill>
                                    <a:srgbClr val="000000"/>
                                  </a:solidFill>
                                  <a:prstDash val="solid"/>
                                  <a:headEnd type="none" w="med" len="med"/>
                                  <a:tailEnd type="triangle" w="med" len="med"/>
                                </a:ln>
                              </wps:spPr>
                              <wps:bodyPr upright="1"/>
                            </wps:wsp>
                            <wps:wsp>
                              <wps:cNvPr id="68" name="直接连接符 68"/>
                              <wps:cNvSpPr/>
                              <wps:spPr>
                                <a:xfrm>
                                  <a:off x="1630045" y="1578610"/>
                                  <a:ext cx="635" cy="321310"/>
                                </a:xfrm>
                                <a:prstGeom prst="line">
                                  <a:avLst/>
                                </a:prstGeom>
                                <a:ln w="9525" cap="flat" cmpd="sng">
                                  <a:solidFill>
                                    <a:srgbClr val="000000"/>
                                  </a:solidFill>
                                  <a:prstDash val="solid"/>
                                  <a:headEnd type="none" w="med" len="med"/>
                                  <a:tailEnd type="triangle" w="med" len="med"/>
                                </a:ln>
                              </wps:spPr>
                              <wps:bodyPr upright="1"/>
                            </wps:wsp>
                            <wps:wsp>
                              <wps:cNvPr id="69" name="文本框 69"/>
                              <wps:cNvSpPr txBox="1"/>
                              <wps:spPr>
                                <a:xfrm>
                                  <a:off x="936625" y="2522220"/>
                                  <a:ext cx="1430020" cy="292735"/>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单阀气水反冲洗滤池</w:t>
                                    </w:r>
                                  </w:p>
                                </w:txbxContent>
                              </wps:txbx>
                              <wps:bodyPr upright="1"/>
                            </wps:wsp>
                            <wps:wsp>
                              <wps:cNvPr id="70" name="直接连接符 70"/>
                              <wps:cNvSpPr/>
                              <wps:spPr>
                                <a:xfrm>
                                  <a:off x="2366645" y="2646680"/>
                                  <a:ext cx="533400" cy="635"/>
                                </a:xfrm>
                                <a:prstGeom prst="line">
                                  <a:avLst/>
                                </a:prstGeom>
                                <a:ln w="9525" cap="flat" cmpd="sng">
                                  <a:solidFill>
                                    <a:srgbClr val="C00000"/>
                                  </a:solidFill>
                                  <a:prstDash val="dash"/>
                                  <a:headEnd type="none" w="med" len="med"/>
                                  <a:tailEnd type="triangle" w="med" len="med"/>
                                </a:ln>
                              </wps:spPr>
                              <wps:bodyPr upright="1"/>
                            </wps:wsp>
                            <wps:wsp>
                              <wps:cNvPr id="71" name="文本框 71"/>
                              <wps:cNvSpPr txBox="1"/>
                              <wps:spPr>
                                <a:xfrm>
                                  <a:off x="1706880" y="5330190"/>
                                  <a:ext cx="577215" cy="267335"/>
                                </a:xfrm>
                                <a:prstGeom prst="rect">
                                  <a:avLst/>
                                </a:prstGeom>
                                <a:noFill/>
                                <a:ln>
                                  <a:noFill/>
                                </a:ln>
                              </wps:spPr>
                              <wps:txbx>
                                <w:txbxContent>
                                  <w:p>
                                    <w:pPr>
                                      <w:jc w:val="center"/>
                                      <w:rPr>
                                        <w:rFonts w:hint="eastAsia"/>
                                        <w:szCs w:val="21"/>
                                      </w:rPr>
                                    </w:pPr>
                                    <w:r>
                                      <w:rPr>
                                        <w:rFonts w:hint="eastAsia"/>
                                        <w:szCs w:val="21"/>
                                      </w:rPr>
                                      <w:t>用户</w:t>
                                    </w:r>
                                  </w:p>
                                </w:txbxContent>
                              </wps:txbx>
                              <wps:bodyPr upright="1"/>
                            </wps:wsp>
                            <wps:wsp>
                              <wps:cNvPr id="72" name="文本框 72"/>
                              <wps:cNvSpPr txBox="1"/>
                              <wps:spPr>
                                <a:xfrm>
                                  <a:off x="879475" y="1899920"/>
                                  <a:ext cx="1457325" cy="292735"/>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絮凝反应斜管沉淀池</w:t>
                                    </w:r>
                                  </w:p>
                                </w:txbxContent>
                              </wps:txbx>
                              <wps:bodyPr upright="1"/>
                            </wps:wsp>
                            <wps:wsp>
                              <wps:cNvPr id="73" name="直接连接符 73"/>
                              <wps:cNvSpPr/>
                              <wps:spPr>
                                <a:xfrm>
                                  <a:off x="1630045" y="2195830"/>
                                  <a:ext cx="635" cy="321310"/>
                                </a:xfrm>
                                <a:prstGeom prst="line">
                                  <a:avLst/>
                                </a:prstGeom>
                                <a:ln w="9525" cap="flat" cmpd="sng">
                                  <a:solidFill>
                                    <a:srgbClr val="000000"/>
                                  </a:solidFill>
                                  <a:prstDash val="solid"/>
                                  <a:headEnd type="none" w="med" len="med"/>
                                  <a:tailEnd type="triangle" w="med" len="med"/>
                                </a:ln>
                              </wps:spPr>
                              <wps:bodyPr upright="1"/>
                            </wps:wsp>
                            <wps:wsp>
                              <wps:cNvPr id="74" name="文本框 74"/>
                              <wps:cNvSpPr txBox="1"/>
                              <wps:spPr>
                                <a:xfrm>
                                  <a:off x="1113790" y="3116580"/>
                                  <a:ext cx="1079500" cy="292735"/>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清水池</w:t>
                                    </w:r>
                                  </w:p>
                                </w:txbxContent>
                              </wps:txbx>
                              <wps:bodyPr upright="1"/>
                            </wps:wsp>
                            <wps:wsp>
                              <wps:cNvPr id="75" name="文本框 75"/>
                              <wps:cNvSpPr txBox="1"/>
                              <wps:spPr>
                                <a:xfrm>
                                  <a:off x="2750820" y="708025"/>
                                  <a:ext cx="869315" cy="295910"/>
                                </a:xfrm>
                                <a:prstGeom prst="rect">
                                  <a:avLst/>
                                </a:prstGeom>
                                <a:noFill/>
                                <a:ln>
                                  <a:noFill/>
                                </a:ln>
                              </wps:spPr>
                              <wps:txbx>
                                <w:txbxContent>
                                  <w:p>
                                    <w:pPr>
                                      <w:jc w:val="center"/>
                                      <w:rPr>
                                        <w:rFonts w:hint="eastAsia"/>
                                        <w:szCs w:val="21"/>
                                      </w:rPr>
                                    </w:pPr>
                                    <w:r>
                                      <w:rPr>
                                        <w:rFonts w:hint="eastAsia"/>
                                        <w:szCs w:val="21"/>
                                      </w:rPr>
                                      <w:t>噪声、粉尘</w:t>
                                    </w:r>
                                  </w:p>
                                </w:txbxContent>
                              </wps:txbx>
                              <wps:bodyPr upright="1"/>
                            </wps:wsp>
                            <wps:wsp>
                              <wps:cNvPr id="76" name="直接箭头连接符 76"/>
                              <wps:cNvCnPr/>
                              <wps:spPr>
                                <a:xfrm>
                                  <a:off x="1651635" y="2814955"/>
                                  <a:ext cx="1905" cy="301625"/>
                                </a:xfrm>
                                <a:prstGeom prst="straightConnector1">
                                  <a:avLst/>
                                </a:prstGeom>
                                <a:ln w="9525" cap="flat" cmpd="sng">
                                  <a:solidFill>
                                    <a:srgbClr val="000000"/>
                                  </a:solidFill>
                                  <a:prstDash val="solid"/>
                                  <a:headEnd type="none" w="med" len="med"/>
                                  <a:tailEnd type="triangle" w="med" len="med"/>
                                </a:ln>
                              </wps:spPr>
                              <wps:bodyPr/>
                            </wps:wsp>
                            <wps:wsp>
                              <wps:cNvPr id="77" name="文本框 77"/>
                              <wps:cNvSpPr txBox="1"/>
                              <wps:spPr>
                                <a:xfrm>
                                  <a:off x="1113155" y="3689985"/>
                                  <a:ext cx="1079500" cy="292735"/>
                                </a:xfrm>
                                <a:prstGeom prst="rect">
                                  <a:avLst/>
                                </a:prstGeom>
                                <a:solidFill>
                                  <a:srgbClr val="BFBFB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送水泵房</w:t>
                                    </w:r>
                                  </w:p>
                                </w:txbxContent>
                              </wps:txbx>
                              <wps:bodyPr upright="1"/>
                            </wps:wsp>
                            <wps:wsp>
                              <wps:cNvPr id="78" name="直接箭头连接符 78"/>
                              <wps:cNvCnPr/>
                              <wps:spPr>
                                <a:xfrm flipH="1">
                                  <a:off x="1652905" y="3409315"/>
                                  <a:ext cx="635" cy="280670"/>
                                </a:xfrm>
                                <a:prstGeom prst="straightConnector1">
                                  <a:avLst/>
                                </a:prstGeom>
                                <a:ln w="9525" cap="flat" cmpd="sng">
                                  <a:solidFill>
                                    <a:srgbClr val="000000"/>
                                  </a:solidFill>
                                  <a:prstDash val="solid"/>
                                  <a:headEnd type="none" w="med" len="med"/>
                                  <a:tailEnd type="triangle" w="med" len="med"/>
                                </a:ln>
                              </wps:spPr>
                              <wps:bodyPr/>
                            </wps:wsp>
                            <wps:wsp>
                              <wps:cNvPr id="79" name="文本框 79"/>
                              <wps:cNvSpPr txBox="1"/>
                              <wps:spPr>
                                <a:xfrm>
                                  <a:off x="2861945" y="2484755"/>
                                  <a:ext cx="813435" cy="44323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反冲洗水回收池</w:t>
                                    </w:r>
                                  </w:p>
                                </w:txbxContent>
                              </wps:txbx>
                              <wps:bodyPr upright="1"/>
                            </wps:wsp>
                            <wps:wsp>
                              <wps:cNvPr id="80" name="直接箭头连接符 80"/>
                              <wps:cNvCnPr/>
                              <wps:spPr>
                                <a:xfrm>
                                  <a:off x="2032000" y="5039360"/>
                                  <a:ext cx="635" cy="301625"/>
                                </a:xfrm>
                                <a:prstGeom prst="straightConnector1">
                                  <a:avLst/>
                                </a:prstGeom>
                                <a:ln w="9525" cap="flat" cmpd="sng">
                                  <a:solidFill>
                                    <a:srgbClr val="000000"/>
                                  </a:solidFill>
                                  <a:prstDash val="solid"/>
                                  <a:headEnd type="none" w="med" len="med"/>
                                  <a:tailEnd type="triangle" w="med" len="med"/>
                                </a:ln>
                              </wps:spPr>
                              <wps:bodyPr/>
                            </wps:wsp>
                            <wps:wsp>
                              <wps:cNvPr id="81" name="直接箭头连接符 81"/>
                              <wps:cNvCnPr/>
                              <wps:spPr>
                                <a:xfrm>
                                  <a:off x="1652905" y="3982720"/>
                                  <a:ext cx="3810" cy="457200"/>
                                </a:xfrm>
                                <a:prstGeom prst="straightConnector1">
                                  <a:avLst/>
                                </a:prstGeom>
                                <a:ln w="9525" cap="flat" cmpd="sng">
                                  <a:solidFill>
                                    <a:srgbClr val="000000"/>
                                  </a:solidFill>
                                  <a:prstDash val="solid"/>
                                  <a:headEnd type="none" w="med" len="med"/>
                                  <a:tailEnd type="triangle" w="med" len="med"/>
                                </a:ln>
                              </wps:spPr>
                              <wps:bodyPr/>
                            </wps:wsp>
                            <wps:wsp>
                              <wps:cNvPr id="82" name="直接箭头连接符 82"/>
                              <wps:cNvCnPr/>
                              <wps:spPr>
                                <a:xfrm>
                                  <a:off x="1208405" y="4457700"/>
                                  <a:ext cx="635" cy="301625"/>
                                </a:xfrm>
                                <a:prstGeom prst="straightConnector1">
                                  <a:avLst/>
                                </a:prstGeom>
                                <a:ln w="9525" cap="flat" cmpd="sng">
                                  <a:solidFill>
                                    <a:srgbClr val="000000"/>
                                  </a:solidFill>
                                  <a:prstDash val="solid"/>
                                  <a:headEnd type="none" w="med" len="med"/>
                                  <a:tailEnd type="triangle" w="med" len="med"/>
                                </a:ln>
                              </wps:spPr>
                              <wps:bodyPr/>
                            </wps:wsp>
                            <wps:wsp>
                              <wps:cNvPr id="83" name="直接箭头连接符 83"/>
                              <wps:cNvCnPr/>
                              <wps:spPr>
                                <a:xfrm>
                                  <a:off x="2072005" y="4434205"/>
                                  <a:ext cx="635" cy="301625"/>
                                </a:xfrm>
                                <a:prstGeom prst="straightConnector1">
                                  <a:avLst/>
                                </a:prstGeom>
                                <a:ln w="9525" cap="flat" cmpd="sng">
                                  <a:solidFill>
                                    <a:srgbClr val="000000"/>
                                  </a:solidFill>
                                  <a:prstDash val="solid"/>
                                  <a:headEnd type="none" w="med" len="med"/>
                                  <a:tailEnd type="triangle" w="med" len="med"/>
                                </a:ln>
                              </wps:spPr>
                              <wps:bodyPr/>
                            </wps:wsp>
                            <wps:wsp>
                              <wps:cNvPr id="84" name="直接箭头连接符 84"/>
                              <wps:cNvCnPr/>
                              <wps:spPr>
                                <a:xfrm>
                                  <a:off x="1195070" y="4435475"/>
                                  <a:ext cx="875665" cy="4445"/>
                                </a:xfrm>
                                <a:prstGeom prst="straightConnector1">
                                  <a:avLst/>
                                </a:prstGeom>
                                <a:ln w="9525" cap="flat" cmpd="sng">
                                  <a:solidFill>
                                    <a:srgbClr val="000000"/>
                                  </a:solidFill>
                                  <a:prstDash val="solid"/>
                                  <a:headEnd type="none" w="med" len="med"/>
                                  <a:tailEnd type="none" w="med" len="med"/>
                                </a:ln>
                              </wps:spPr>
                              <wps:bodyPr/>
                            </wps:wsp>
                            <wps:wsp>
                              <wps:cNvPr id="85" name="文本框 85"/>
                              <wps:cNvSpPr txBox="1"/>
                              <wps:spPr>
                                <a:xfrm>
                                  <a:off x="130810" y="1921510"/>
                                  <a:ext cx="471170" cy="252095"/>
                                </a:xfrm>
                                <a:prstGeom prst="rect">
                                  <a:avLst/>
                                </a:prstGeom>
                                <a:noFill/>
                                <a:ln>
                                  <a:noFill/>
                                </a:ln>
                              </wps:spPr>
                              <wps:txbx>
                                <w:txbxContent>
                                  <w:p>
                                    <w:pPr>
                                      <w:jc w:val="center"/>
                                      <w:rPr>
                                        <w:rFonts w:hint="eastAsia"/>
                                        <w:szCs w:val="21"/>
                                      </w:rPr>
                                    </w:pPr>
                                    <w:r>
                                      <w:rPr>
                                        <w:rFonts w:hint="eastAsia"/>
                                        <w:szCs w:val="21"/>
                                      </w:rPr>
                                      <w:t>PAC</w:t>
                                    </w:r>
                                  </w:p>
                                </w:txbxContent>
                              </wps:txbx>
                              <wps:bodyPr upright="1"/>
                            </wps:wsp>
                            <wps:wsp>
                              <wps:cNvPr id="86" name="直接箭头连接符 86"/>
                              <wps:cNvCnPr/>
                              <wps:spPr>
                                <a:xfrm flipV="1">
                                  <a:off x="601980" y="2046605"/>
                                  <a:ext cx="277495" cy="1270"/>
                                </a:xfrm>
                                <a:prstGeom prst="straightConnector1">
                                  <a:avLst/>
                                </a:prstGeom>
                                <a:ln w="9525" cap="flat" cmpd="sng">
                                  <a:solidFill>
                                    <a:srgbClr val="000000"/>
                                  </a:solidFill>
                                  <a:prstDash val="solid"/>
                                  <a:headEnd type="none" w="med" len="med"/>
                                  <a:tailEnd type="triangle" w="med" len="med"/>
                                </a:ln>
                              </wps:spPr>
                              <wps:bodyPr/>
                            </wps:wsp>
                            <wps:wsp>
                              <wps:cNvPr id="87" name="文本框 87"/>
                              <wps:cNvSpPr txBox="1"/>
                              <wps:spPr>
                                <a:xfrm>
                                  <a:off x="55245" y="3027680"/>
                                  <a:ext cx="824865" cy="47053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二氧化氯发生器</w:t>
                                    </w:r>
                                  </w:p>
                                </w:txbxContent>
                              </wps:txbx>
                              <wps:bodyPr upright="1"/>
                            </wps:wsp>
                            <wps:wsp>
                              <wps:cNvPr id="88" name="直接箭头连接符 88"/>
                              <wps:cNvCnPr/>
                              <wps:spPr>
                                <a:xfrm>
                                  <a:off x="880110" y="3263265"/>
                                  <a:ext cx="233680" cy="635"/>
                                </a:xfrm>
                                <a:prstGeom prst="straightConnector1">
                                  <a:avLst/>
                                </a:prstGeom>
                                <a:ln w="9525" cap="flat" cmpd="sng">
                                  <a:solidFill>
                                    <a:srgbClr val="000000"/>
                                  </a:solidFill>
                                  <a:prstDash val="solid"/>
                                  <a:headEnd type="none" w="med" len="med"/>
                                  <a:tailEnd type="triangle" w="med" len="med"/>
                                </a:ln>
                              </wps:spPr>
                              <wps:bodyPr/>
                            </wps:wsp>
                            <wps:wsp>
                              <wps:cNvPr id="89" name="文本框 89"/>
                              <wps:cNvSpPr txBox="1"/>
                              <wps:spPr>
                                <a:xfrm>
                                  <a:off x="159385" y="3883660"/>
                                  <a:ext cx="615950" cy="494030"/>
                                </a:xfrm>
                                <a:prstGeom prst="rect">
                                  <a:avLst/>
                                </a:prstGeom>
                                <a:noFill/>
                                <a:ln>
                                  <a:noFill/>
                                </a:ln>
                              </wps:spPr>
                              <wps:txbx>
                                <w:txbxContent>
                                  <w:p>
                                    <w:pPr>
                                      <w:jc w:val="center"/>
                                      <w:rPr>
                                        <w:rFonts w:hint="eastAsia"/>
                                        <w:szCs w:val="21"/>
                                      </w:rPr>
                                    </w:pPr>
                                    <w:r>
                                      <w:rPr>
                                        <w:rFonts w:hint="eastAsia"/>
                                        <w:szCs w:val="21"/>
                                      </w:rPr>
                                      <w:t>盐酸、氯酸钠</w:t>
                                    </w:r>
                                  </w:p>
                                </w:txbxContent>
                              </wps:txbx>
                              <wps:bodyPr upright="1"/>
                            </wps:wsp>
                            <wps:wsp>
                              <wps:cNvPr id="90" name="直接箭头连接符 90"/>
                              <wps:cNvCnPr/>
                              <wps:spPr>
                                <a:xfrm flipV="1">
                                  <a:off x="467360" y="3498215"/>
                                  <a:ext cx="635" cy="385445"/>
                                </a:xfrm>
                                <a:prstGeom prst="straightConnector1">
                                  <a:avLst/>
                                </a:prstGeom>
                                <a:ln w="9525" cap="flat" cmpd="sng">
                                  <a:solidFill>
                                    <a:srgbClr val="000000"/>
                                  </a:solidFill>
                                  <a:prstDash val="solid"/>
                                  <a:headEnd type="none" w="med" len="med"/>
                                  <a:tailEnd type="triangle" w="med" len="med"/>
                                </a:ln>
                              </wps:spPr>
                              <wps:bodyPr/>
                            </wps:wsp>
                            <wps:wsp>
                              <wps:cNvPr id="91" name="文本框 91"/>
                              <wps:cNvSpPr txBox="1"/>
                              <wps:spPr>
                                <a:xfrm>
                                  <a:off x="2336800" y="2418715"/>
                                  <a:ext cx="712470" cy="513715"/>
                                </a:xfrm>
                                <a:prstGeom prst="rect">
                                  <a:avLst/>
                                </a:prstGeom>
                                <a:noFill/>
                                <a:ln>
                                  <a:noFill/>
                                </a:ln>
                              </wps:spPr>
                              <wps:txbx>
                                <w:txbxContent>
                                  <w:p>
                                    <w:pPr>
                                      <w:rPr>
                                        <w:color w:val="C00000"/>
                                        <w:szCs w:val="21"/>
                                      </w:rPr>
                                    </w:pPr>
                                    <w:r>
                                      <w:rPr>
                                        <w:rFonts w:hint="eastAsia"/>
                                        <w:color w:val="C00000"/>
                                        <w:szCs w:val="21"/>
                                      </w:rPr>
                                      <w:t>反冲洗</w:t>
                                    </w:r>
                                  </w:p>
                                  <w:p>
                                    <w:pPr>
                                      <w:rPr>
                                        <w:rFonts w:hint="eastAsia"/>
                                        <w:color w:val="C00000"/>
                                        <w:szCs w:val="21"/>
                                      </w:rPr>
                                    </w:pPr>
                                    <w:r>
                                      <w:rPr>
                                        <w:rFonts w:hint="eastAsia"/>
                                        <w:color w:val="C00000"/>
                                        <w:szCs w:val="21"/>
                                      </w:rPr>
                                      <w:t>废水</w:t>
                                    </w:r>
                                  </w:p>
                                </w:txbxContent>
                              </wps:txbx>
                              <wps:bodyPr upright="1"/>
                            </wps:wsp>
                            <wps:wsp>
                              <wps:cNvPr id="92" name="肘形连接符 92"/>
                              <wps:cNvCnPr/>
                              <wps:spPr>
                                <a:xfrm rot="-16200000" flipH="1">
                                  <a:off x="2199005" y="1414780"/>
                                  <a:ext cx="1052195" cy="1086485"/>
                                </a:xfrm>
                                <a:prstGeom prst="bentConnector2">
                                  <a:avLst/>
                                </a:prstGeom>
                                <a:ln w="9525" cap="flat" cmpd="sng">
                                  <a:solidFill>
                                    <a:srgbClr val="C00000"/>
                                  </a:solidFill>
                                  <a:prstDash val="dash"/>
                                  <a:miter/>
                                  <a:headEnd type="none" w="med" len="med"/>
                                  <a:tailEnd type="triangle" w="med" len="med"/>
                                </a:ln>
                              </wps:spPr>
                              <wps:bodyPr/>
                            </wps:wsp>
                            <wps:wsp>
                              <wps:cNvPr id="93" name="文本框 93"/>
                              <wps:cNvSpPr txBox="1"/>
                              <wps:spPr>
                                <a:xfrm>
                                  <a:off x="2557145" y="1205865"/>
                                  <a:ext cx="631190" cy="295275"/>
                                </a:xfrm>
                                <a:prstGeom prst="rect">
                                  <a:avLst/>
                                </a:prstGeom>
                                <a:noFill/>
                                <a:ln>
                                  <a:noFill/>
                                </a:ln>
                              </wps:spPr>
                              <wps:txbx>
                                <w:txbxContent>
                                  <w:p>
                                    <w:pPr>
                                      <w:rPr>
                                        <w:rFonts w:hint="eastAsia"/>
                                        <w:color w:val="C00000"/>
                                        <w:szCs w:val="21"/>
                                      </w:rPr>
                                    </w:pPr>
                                    <w:r>
                                      <w:rPr>
                                        <w:rFonts w:hint="eastAsia"/>
                                        <w:color w:val="C00000"/>
                                        <w:szCs w:val="21"/>
                                      </w:rPr>
                                      <w:t>上清液</w:t>
                                    </w:r>
                                  </w:p>
                                </w:txbxContent>
                              </wps:txbx>
                              <wps:bodyPr upright="1"/>
                            </wps:wsp>
                            <wps:wsp>
                              <wps:cNvPr id="94" name="文本框 94"/>
                              <wps:cNvSpPr txBox="1"/>
                              <wps:spPr>
                                <a:xfrm>
                                  <a:off x="3843020" y="3117850"/>
                                  <a:ext cx="605790" cy="28130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排泥池</w:t>
                                    </w:r>
                                  </w:p>
                                </w:txbxContent>
                              </wps:txbx>
                              <wps:bodyPr upright="1"/>
                            </wps:wsp>
                            <wps:wsp>
                              <wps:cNvPr id="95" name="肘形连接符 95"/>
                              <wps:cNvCnPr/>
                              <wps:spPr>
                                <a:xfrm>
                                  <a:off x="2336800" y="2046605"/>
                                  <a:ext cx="1809115" cy="1071245"/>
                                </a:xfrm>
                                <a:prstGeom prst="bentConnector2">
                                  <a:avLst/>
                                </a:prstGeom>
                                <a:ln w="9525" cap="flat" cmpd="sng">
                                  <a:solidFill>
                                    <a:srgbClr val="00B0F0"/>
                                  </a:solidFill>
                                  <a:prstDash val="dash"/>
                                  <a:miter/>
                                  <a:headEnd type="none" w="med" len="med"/>
                                  <a:tailEnd type="triangle" w="med" len="med"/>
                                </a:ln>
                              </wps:spPr>
                              <wps:bodyPr/>
                            </wps:wsp>
                            <wps:wsp>
                              <wps:cNvPr id="96" name="文本框 96"/>
                              <wps:cNvSpPr txBox="1"/>
                              <wps:spPr>
                                <a:xfrm>
                                  <a:off x="3644900" y="2475865"/>
                                  <a:ext cx="691515" cy="311785"/>
                                </a:xfrm>
                                <a:prstGeom prst="rect">
                                  <a:avLst/>
                                </a:prstGeom>
                                <a:noFill/>
                                <a:ln>
                                  <a:noFill/>
                                </a:ln>
                              </wps:spPr>
                              <wps:txbx>
                                <w:txbxContent>
                                  <w:p>
                                    <w:pPr>
                                      <w:rPr>
                                        <w:rFonts w:hint="eastAsia"/>
                                        <w:color w:val="00B0F0"/>
                                        <w:szCs w:val="21"/>
                                      </w:rPr>
                                    </w:pPr>
                                    <w:r>
                                      <w:rPr>
                                        <w:rFonts w:hint="eastAsia"/>
                                        <w:color w:val="00B0F0"/>
                                        <w:szCs w:val="21"/>
                                      </w:rPr>
                                      <w:t>排泥水</w:t>
                                    </w:r>
                                  </w:p>
                                </w:txbxContent>
                              </wps:txbx>
                              <wps:bodyPr upright="1"/>
                            </wps:wsp>
                            <wps:wsp>
                              <wps:cNvPr id="97" name="文本框 97"/>
                              <wps:cNvSpPr txBox="1"/>
                              <wps:spPr>
                                <a:xfrm>
                                  <a:off x="3841115" y="3701415"/>
                                  <a:ext cx="605790" cy="28130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浓缩池</w:t>
                                    </w:r>
                                  </w:p>
                                </w:txbxContent>
                              </wps:txbx>
                              <wps:bodyPr upright="1"/>
                            </wps:wsp>
                            <wps:wsp>
                              <wps:cNvPr id="98" name="文本框 98"/>
                              <wps:cNvSpPr txBox="1"/>
                              <wps:spPr>
                                <a:xfrm>
                                  <a:off x="3841115" y="4377690"/>
                                  <a:ext cx="605790" cy="43370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污泥平衡池</w:t>
                                    </w:r>
                                  </w:p>
                                </w:txbxContent>
                              </wps:txbx>
                              <wps:bodyPr upright="1"/>
                            </wps:wsp>
                            <wps:wsp>
                              <wps:cNvPr id="99" name="文本框 99"/>
                              <wps:cNvSpPr txBox="1"/>
                              <wps:spPr>
                                <a:xfrm>
                                  <a:off x="3755390" y="5212080"/>
                                  <a:ext cx="777240" cy="28130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脱水车间</w:t>
                                    </w:r>
                                  </w:p>
                                </w:txbxContent>
                              </wps:txbx>
                              <wps:bodyPr upright="1"/>
                            </wps:wsp>
                            <wps:wsp>
                              <wps:cNvPr id="100" name="直接箭头连接符 100"/>
                              <wps:cNvCnPr/>
                              <wps:spPr>
                                <a:xfrm>
                                  <a:off x="4144010" y="3982720"/>
                                  <a:ext cx="635" cy="394970"/>
                                </a:xfrm>
                                <a:prstGeom prst="straightConnector1">
                                  <a:avLst/>
                                </a:prstGeom>
                                <a:ln w="9525" cap="flat" cmpd="sng">
                                  <a:solidFill>
                                    <a:srgbClr val="FF0000"/>
                                  </a:solidFill>
                                  <a:prstDash val="dash"/>
                                  <a:headEnd type="none" w="med" len="med"/>
                                  <a:tailEnd type="triangle" w="med" len="med"/>
                                </a:ln>
                              </wps:spPr>
                              <wps:bodyPr/>
                            </wps:wsp>
                            <wps:wsp>
                              <wps:cNvPr id="101" name="直接箭头连接符 101"/>
                              <wps:cNvCnPr/>
                              <wps:spPr>
                                <a:xfrm flipV="1">
                                  <a:off x="2193290" y="3258820"/>
                                  <a:ext cx="1649730" cy="4445"/>
                                </a:xfrm>
                                <a:prstGeom prst="straightConnector1">
                                  <a:avLst/>
                                </a:prstGeom>
                                <a:ln w="9525" cap="flat" cmpd="sng">
                                  <a:solidFill>
                                    <a:srgbClr val="00B0F0"/>
                                  </a:solidFill>
                                  <a:prstDash val="dash"/>
                                  <a:headEnd type="none" w="med" len="med"/>
                                  <a:tailEnd type="triangle" w="med" len="med"/>
                                </a:ln>
                              </wps:spPr>
                              <wps:bodyPr/>
                            </wps:wsp>
                            <wps:wsp>
                              <wps:cNvPr id="102" name="肘形连接符 102"/>
                              <wps:cNvCnPr/>
                              <wps:spPr>
                                <a:xfrm>
                                  <a:off x="3675380" y="2706370"/>
                                  <a:ext cx="470535" cy="411480"/>
                                </a:xfrm>
                                <a:prstGeom prst="bentConnector2">
                                  <a:avLst/>
                                </a:prstGeom>
                                <a:ln w="9525" cap="flat" cmpd="sng">
                                  <a:solidFill>
                                    <a:srgbClr val="00B0F0"/>
                                  </a:solidFill>
                                  <a:prstDash val="dash"/>
                                  <a:miter/>
                                  <a:headEnd type="none" w="med" len="med"/>
                                  <a:tailEnd type="triangle" w="med" len="med"/>
                                </a:ln>
                              </wps:spPr>
                              <wps:bodyPr/>
                            </wps:wsp>
                            <wps:wsp>
                              <wps:cNvPr id="103" name="文本框 103"/>
                              <wps:cNvSpPr txBox="1"/>
                              <wps:spPr>
                                <a:xfrm>
                                  <a:off x="2372995" y="3037205"/>
                                  <a:ext cx="748665" cy="295275"/>
                                </a:xfrm>
                                <a:prstGeom prst="rect">
                                  <a:avLst/>
                                </a:prstGeom>
                                <a:noFill/>
                                <a:ln>
                                  <a:noFill/>
                                </a:ln>
                              </wps:spPr>
                              <wps:txbx>
                                <w:txbxContent>
                                  <w:p>
                                    <w:pPr>
                                      <w:rPr>
                                        <w:rFonts w:hint="eastAsia"/>
                                        <w:color w:val="00B0F0"/>
                                        <w:szCs w:val="21"/>
                                      </w:rPr>
                                    </w:pPr>
                                    <w:r>
                                      <w:rPr>
                                        <w:rFonts w:hint="eastAsia"/>
                                        <w:color w:val="00B0F0"/>
                                        <w:szCs w:val="21"/>
                                      </w:rPr>
                                      <w:t>排泥水</w:t>
                                    </w:r>
                                  </w:p>
                                </w:txbxContent>
                              </wps:txbx>
                              <wps:bodyPr upright="1"/>
                            </wps:wsp>
                            <wps:wsp>
                              <wps:cNvPr id="104" name="直接箭头连接符 104"/>
                              <wps:cNvCnPr/>
                              <wps:spPr>
                                <a:xfrm flipH="1">
                                  <a:off x="4144010" y="3399155"/>
                                  <a:ext cx="1905" cy="302260"/>
                                </a:xfrm>
                                <a:prstGeom prst="straightConnector1">
                                  <a:avLst/>
                                </a:prstGeom>
                                <a:ln w="9525" cap="flat" cmpd="sng">
                                  <a:solidFill>
                                    <a:srgbClr val="FF0000"/>
                                  </a:solidFill>
                                  <a:prstDash val="dash"/>
                                  <a:headEnd type="none" w="med" len="med"/>
                                  <a:tailEnd type="triangle" w="med" len="med"/>
                                </a:ln>
                              </wps:spPr>
                              <wps:bodyPr/>
                            </wps:wsp>
                            <wps:wsp>
                              <wps:cNvPr id="105" name="直接箭头连接符 105"/>
                              <wps:cNvCnPr/>
                              <wps:spPr>
                                <a:xfrm>
                                  <a:off x="4144010" y="4811395"/>
                                  <a:ext cx="635" cy="400685"/>
                                </a:xfrm>
                                <a:prstGeom prst="straightConnector1">
                                  <a:avLst/>
                                </a:prstGeom>
                                <a:ln w="9525" cap="flat" cmpd="sng">
                                  <a:solidFill>
                                    <a:srgbClr val="FF0000"/>
                                  </a:solidFill>
                                  <a:prstDash val="dash"/>
                                  <a:headEnd type="none" w="med" len="med"/>
                                  <a:tailEnd type="triangle" w="med" len="med"/>
                                </a:ln>
                              </wps:spPr>
                              <wps:bodyPr/>
                            </wps:wsp>
                            <wps:wsp>
                              <wps:cNvPr id="106" name="文本框 106"/>
                              <wps:cNvSpPr txBox="1"/>
                              <wps:spPr>
                                <a:xfrm>
                                  <a:off x="4408805" y="1134110"/>
                                  <a:ext cx="627380" cy="626745"/>
                                </a:xfrm>
                                <a:prstGeom prst="rect">
                                  <a:avLst/>
                                </a:prstGeom>
                                <a:noFill/>
                                <a:ln>
                                  <a:noFill/>
                                </a:ln>
                              </wps:spPr>
                              <wps:txbx>
                                <w:txbxContent>
                                  <w:p>
                                    <w:pPr>
                                      <w:rPr>
                                        <w:rFonts w:hint="eastAsia"/>
                                        <w:color w:val="00B050"/>
                                        <w:szCs w:val="21"/>
                                      </w:rPr>
                                    </w:pPr>
                                    <w:r>
                                      <w:rPr>
                                        <w:rFonts w:hint="eastAsia"/>
                                        <w:color w:val="00B050"/>
                                        <w:szCs w:val="21"/>
                                      </w:rPr>
                                      <w:t>接入城镇污水处理厂</w:t>
                                    </w:r>
                                  </w:p>
                                </w:txbxContent>
                              </wps:txbx>
                              <wps:bodyPr upright="1"/>
                            </wps:wsp>
                            <wps:wsp>
                              <wps:cNvPr id="107" name="肘形连接符 107"/>
                              <wps:cNvCnPr/>
                              <wps:spPr>
                                <a:xfrm flipV="1">
                                  <a:off x="4446905" y="1760855"/>
                                  <a:ext cx="275590" cy="2081530"/>
                                </a:xfrm>
                                <a:prstGeom prst="bentConnector2">
                                  <a:avLst/>
                                </a:prstGeom>
                                <a:ln w="9525" cap="flat" cmpd="sng">
                                  <a:solidFill>
                                    <a:srgbClr val="00B050"/>
                                  </a:solidFill>
                                  <a:prstDash val="dash"/>
                                  <a:miter/>
                                  <a:headEnd type="none" w="med" len="med"/>
                                  <a:tailEnd type="triangle" w="med" len="med"/>
                                </a:ln>
                              </wps:spPr>
                              <wps:bodyPr/>
                            </wps:wsp>
                            <wps:wsp>
                              <wps:cNvPr id="108" name="文本框 108"/>
                              <wps:cNvSpPr txBox="1"/>
                              <wps:spPr>
                                <a:xfrm>
                                  <a:off x="4359910" y="3607435"/>
                                  <a:ext cx="625475" cy="295275"/>
                                </a:xfrm>
                                <a:prstGeom prst="rect">
                                  <a:avLst/>
                                </a:prstGeom>
                                <a:noFill/>
                                <a:ln>
                                  <a:noFill/>
                                </a:ln>
                              </wps:spPr>
                              <wps:txbx>
                                <w:txbxContent>
                                  <w:p>
                                    <w:pPr>
                                      <w:rPr>
                                        <w:rFonts w:hint="eastAsia"/>
                                        <w:color w:val="00B050"/>
                                        <w:szCs w:val="21"/>
                                      </w:rPr>
                                    </w:pPr>
                                    <w:r>
                                      <w:rPr>
                                        <w:rFonts w:hint="eastAsia"/>
                                        <w:color w:val="00B050"/>
                                        <w:szCs w:val="21"/>
                                      </w:rPr>
                                      <w:t>上清液</w:t>
                                    </w:r>
                                  </w:p>
                                </w:txbxContent>
                              </wps:txbx>
                              <wps:bodyPr upright="1"/>
                            </wps:wsp>
                            <wps:wsp>
                              <wps:cNvPr id="109" name="文本框 109"/>
                              <wps:cNvSpPr txBox="1"/>
                              <wps:spPr>
                                <a:xfrm>
                                  <a:off x="3728085" y="3394710"/>
                                  <a:ext cx="625475" cy="295275"/>
                                </a:xfrm>
                                <a:prstGeom prst="rect">
                                  <a:avLst/>
                                </a:prstGeom>
                                <a:noFill/>
                                <a:ln>
                                  <a:noFill/>
                                </a:ln>
                              </wps:spPr>
                              <wps:txbx>
                                <w:txbxContent>
                                  <w:p>
                                    <w:pPr>
                                      <w:rPr>
                                        <w:rFonts w:hint="eastAsia"/>
                                        <w:color w:val="FF0000"/>
                                        <w:szCs w:val="21"/>
                                      </w:rPr>
                                    </w:pPr>
                                    <w:r>
                                      <w:rPr>
                                        <w:rFonts w:hint="eastAsia"/>
                                        <w:color w:val="FF0000"/>
                                        <w:szCs w:val="21"/>
                                      </w:rPr>
                                      <w:t>污泥</w:t>
                                    </w:r>
                                  </w:p>
                                </w:txbxContent>
                              </wps:txbx>
                              <wps:bodyPr upright="1"/>
                            </wps:wsp>
                            <wps:wsp>
                              <wps:cNvPr id="110" name="文本框 110"/>
                              <wps:cNvSpPr txBox="1"/>
                              <wps:spPr>
                                <a:xfrm>
                                  <a:off x="3756660" y="4023360"/>
                                  <a:ext cx="625475" cy="295275"/>
                                </a:xfrm>
                                <a:prstGeom prst="rect">
                                  <a:avLst/>
                                </a:prstGeom>
                                <a:noFill/>
                                <a:ln>
                                  <a:noFill/>
                                </a:ln>
                              </wps:spPr>
                              <wps:txbx>
                                <w:txbxContent>
                                  <w:p>
                                    <w:pPr>
                                      <w:rPr>
                                        <w:rFonts w:hint="eastAsia"/>
                                        <w:color w:val="FF0000"/>
                                        <w:szCs w:val="21"/>
                                      </w:rPr>
                                    </w:pPr>
                                    <w:r>
                                      <w:rPr>
                                        <w:rFonts w:hint="eastAsia"/>
                                        <w:color w:val="FF0000"/>
                                        <w:szCs w:val="21"/>
                                      </w:rPr>
                                      <w:t>污泥</w:t>
                                    </w:r>
                                  </w:p>
                                </w:txbxContent>
                              </wps:txbx>
                              <wps:bodyPr upright="1"/>
                            </wps:wsp>
                            <wps:wsp>
                              <wps:cNvPr id="111" name="肘形连接符 111"/>
                              <wps:cNvCnPr/>
                              <wps:spPr>
                                <a:xfrm rot="-10800000" flipH="1">
                                  <a:off x="3755390" y="3354070"/>
                                  <a:ext cx="87630" cy="2027555"/>
                                </a:xfrm>
                                <a:prstGeom prst="bentConnector3">
                                  <a:avLst>
                                    <a:gd name="adj1" fmla="val -260870"/>
                                  </a:avLst>
                                </a:prstGeom>
                                <a:ln w="9525" cap="flat" cmpd="sng">
                                  <a:solidFill>
                                    <a:srgbClr val="FF0000"/>
                                  </a:solidFill>
                                  <a:prstDash val="dash"/>
                                  <a:miter/>
                                  <a:headEnd type="none" w="med" len="med"/>
                                  <a:tailEnd type="triangle" w="med" len="med"/>
                                </a:ln>
                              </wps:spPr>
                              <wps:bodyPr/>
                            </wps:wsp>
                            <wps:wsp>
                              <wps:cNvPr id="112" name="文本框 112"/>
                              <wps:cNvSpPr txBox="1"/>
                              <wps:spPr>
                                <a:xfrm>
                                  <a:off x="3755390" y="5755005"/>
                                  <a:ext cx="777240" cy="281305"/>
                                </a:xfrm>
                                <a:prstGeom prst="rect">
                                  <a:avLst/>
                                </a:prstGeom>
                                <a:noFill/>
                                <a:ln>
                                  <a:noFill/>
                                </a:ln>
                              </wps:spPr>
                              <wps:txbx>
                                <w:txbxContent>
                                  <w:p>
                                    <w:pPr>
                                      <w:jc w:val="center"/>
                                      <w:rPr>
                                        <w:rFonts w:hint="eastAsia"/>
                                        <w:szCs w:val="21"/>
                                      </w:rPr>
                                    </w:pPr>
                                    <w:r>
                                      <w:rPr>
                                        <w:rFonts w:hint="eastAsia"/>
                                        <w:szCs w:val="21"/>
                                      </w:rPr>
                                      <w:t>泥饼外运</w:t>
                                    </w:r>
                                  </w:p>
                                </w:txbxContent>
                              </wps:txbx>
                              <wps:bodyPr upright="1"/>
                            </wps:wsp>
                            <wps:wsp>
                              <wps:cNvPr id="113" name="直接箭头连接符 113"/>
                              <wps:cNvCnPr/>
                              <wps:spPr>
                                <a:xfrm>
                                  <a:off x="4144010" y="5493385"/>
                                  <a:ext cx="635" cy="261620"/>
                                </a:xfrm>
                                <a:prstGeom prst="straightConnector1">
                                  <a:avLst/>
                                </a:prstGeom>
                                <a:ln w="9525" cap="flat" cmpd="sng">
                                  <a:solidFill>
                                    <a:srgbClr val="FF0000"/>
                                  </a:solidFill>
                                  <a:prstDash val="dash"/>
                                  <a:headEnd type="none" w="med" len="med"/>
                                  <a:tailEnd type="triangle" w="med" len="med"/>
                                </a:ln>
                              </wps:spPr>
                              <wps:bodyPr/>
                            </wps:wsp>
                            <wps:wsp>
                              <wps:cNvPr id="114" name="文本框 114"/>
                              <wps:cNvSpPr txBox="1"/>
                              <wps:spPr>
                                <a:xfrm>
                                  <a:off x="3248660" y="4568190"/>
                                  <a:ext cx="358775" cy="684530"/>
                                </a:xfrm>
                                <a:prstGeom prst="rect">
                                  <a:avLst/>
                                </a:prstGeom>
                                <a:noFill/>
                                <a:ln>
                                  <a:noFill/>
                                </a:ln>
                              </wps:spPr>
                              <wps:txbx>
                                <w:txbxContent>
                                  <w:p>
                                    <w:pPr>
                                      <w:rPr>
                                        <w:rFonts w:hint="eastAsia"/>
                                        <w:color w:val="FF0000"/>
                                        <w:szCs w:val="21"/>
                                      </w:rPr>
                                    </w:pPr>
                                    <w:r>
                                      <w:rPr>
                                        <w:rFonts w:hint="eastAsia"/>
                                        <w:color w:val="FF0000"/>
                                        <w:szCs w:val="21"/>
                                      </w:rPr>
                                      <w:t>分离水</w:t>
                                    </w:r>
                                  </w:p>
                                </w:txbxContent>
                              </wps:txbx>
                              <wps:bodyPr upright="1"/>
                            </wps:wsp>
                          </wpc:wpc>
                        </a:graphicData>
                      </a:graphic>
                    </wp:inline>
                  </w:drawing>
                </mc:Choice>
                <mc:Fallback>
                  <w:pict>
                    <v:group id="_x0000_s1026" o:spid="_x0000_s1026" o:spt="203" style="height:509.1pt;width:400.05pt;" coordsize="5080635,6465570" editas="canvas" o:gfxdata="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">
                      <o:lock v:ext="edit" aspectratio="f"/>
                      <v:rect id="_x0000_s1026" o:spid="_x0000_s1026" o:spt="1" style="position:absolute;left:0;top:0;height:6465570;width:5080635;" filled="f" stroked="f" coordsize="21600,21600" o:gfxdata="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">
                        <v:path/>
                        <v:fill on="f" focussize="0,0"/>
                        <v:stroke on="f"/>
                        <v:imagedata o:title=""/>
                        <o:lock v:ext="edit" rotation="t" text="t" aspectratio="t"/>
                      </v:rect>
                      <v:shape id="_x0000_s1026" o:spid="_x0000_s1026" o:spt="202" type="#_x0000_t202" style="position:absolute;left:1102995;top:706755;height:292100;width:108966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9FSh9IAAAAGAQAADwAAAAAA&#10;AAABACAAAAAiAAAAZHJzL2Rvd25yZXYueG1sUEsBAhQAFAAAAAgAh07iQEREumQZAgAAQwQAAA4A&#10;AAAAAAAAAQAgAAAAIQEAAGRycy9lMm9Eb2MueG1sUEsFBgAAAAAGAAYAWQEAAKwFAAAAAA==&#10;">
                        <v:fill on="t" focussize="0,0"/>
                        <v:stroke color="#000000" joinstyle="miter"/>
                        <v:imagedata o:title=""/>
                        <o:lock v:ext="edit" aspectratio="f"/>
                        <v:textbox>
                          <w:txbxContent>
                            <w:p>
                              <w:pPr>
                                <w:jc w:val="center"/>
                                <w:rPr>
                                  <w:rFonts w:hint="eastAsia"/>
                                  <w:szCs w:val="21"/>
                                </w:rPr>
                              </w:pPr>
                              <w:r>
                                <w:rPr>
                                  <w:rFonts w:hint="eastAsia"/>
                                  <w:szCs w:val="21"/>
                                </w:rPr>
                                <w:t>提水泵房</w:t>
                              </w:r>
                            </w:p>
                          </w:txbxContent>
                        </v:textbox>
                      </v:shape>
                      <v:shape id="_x0000_s1026" o:spid="_x0000_s1026" o:spt="202" type="#_x0000_t202" style="position:absolute;left:1055370;top:110489;height:278766;width:110490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f0VKH0gAAAAYBAAAPAAAAAAAAAAEAIAAA&#10;ACIAAABkcnMvZG93bnJldi54bWxQSwECFAAUAAAACACHTuJA80OOxRICAABDBAAADgAAAAAAAAAB&#10;ACAAAAAhAQAAZHJzL2Uyb0RvYy54bWxQSwUGAAAAAAYABgBZAQAApQUAAAAA&#10;">
                        <v:fill on="t" focussize="0,0"/>
                        <v:stroke color="#000000" joinstyle="miter"/>
                        <v:imagedata o:title=""/>
                        <o:lock v:ext="edit" aspectratio="f"/>
                        <v:textbox>
                          <w:txbxContent>
                            <w:p>
                              <w:pPr>
                                <w:jc w:val="center"/>
                                <w:rPr>
                                  <w:rFonts w:hint="eastAsia"/>
                                  <w:szCs w:val="21"/>
                                </w:rPr>
                              </w:pPr>
                              <w:r>
                                <w:rPr>
                                  <w:rFonts w:hint="eastAsia"/>
                                  <w:szCs w:val="21"/>
                                </w:rPr>
                                <w:t>取水口</w:t>
                              </w:r>
                            </w:p>
                          </w:txbxContent>
                        </v:textbox>
                      </v:shape>
                      <v:shape id="_x0000_s1026" o:spid="_x0000_s1026" o:spt="202" type="#_x0000_t202" style="position:absolute;left:1021080;top:1022350;height:297180;width:68580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UTVNS&#10;0wAAAAYBAAAPAAAAAAAAAAEAIAAAACIAAABkcnMvZG93bnJldi54bWxQSwECFAAUAAAACACHTuJA&#10;X90zIbQBAABbAwAADgAAAAAAAAABACAAAAAiAQAAZHJzL2Uyb0RvYy54bWxQSwUGAAAAAAYABgBZ&#10;AQAASAUAAAAA&#10;">
                        <v:fill on="f" focussize="0,0"/>
                        <v:stroke on="f"/>
                        <v:imagedata o:title=""/>
                        <o:lock v:ext="edit" aspectratio="f"/>
                        <v:textbox>
                          <w:txbxContent>
                            <w:p>
                              <w:pPr>
                                <w:jc w:val="center"/>
                                <w:rPr>
                                  <w:rFonts w:hint="eastAsia"/>
                                  <w:szCs w:val="21"/>
                                </w:rPr>
                              </w:pPr>
                              <w:r>
                                <w:rPr>
                                  <w:rFonts w:hint="eastAsia"/>
                                  <w:szCs w:val="21"/>
                                </w:rPr>
                                <w:t>管道</w:t>
                              </w:r>
                            </w:p>
                          </w:txbxContent>
                        </v:textbox>
                      </v:shape>
                      <v:line id="_x0000_s1026" o:spid="_x0000_s1026" o:spt="20" style="position:absolute;left:1644015;top:396240;height:297180;width:635;" filled="f" stroked="t" coordsize="21600,21600" o:gfxdata="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1+Dto1gAAAAYBAAAPAAAAAAAAAAEAIAAAACIA&#10;AABkcnMvZG93bnJldi54bWxQSwECFAAUAAAACACHTuJATouwfwsCAAD2AwAADgAAAAAAAAABACAA&#10;AAAlAQAAZHJzL2Uyb0RvYy54bWxQSwUGAAAAAAYABgBZAQAAogUAAAAA&#10;">
                        <v:fill on="f" focussize="0,0"/>
                        <v:stroke color="#000000" joinstyle="round" endarrow="block"/>
                        <v:imagedata o:title=""/>
                        <o:lock v:ext="edit" aspectratio="f"/>
                      </v:line>
                      <v:shape id="_x0000_s1026" o:spid="_x0000_s1026" o:spt="202" type="#_x0000_t202" style="position:absolute;left:1612900;top:4723765;height:305435;width:816610;" fillcolor="#A6A6A6" filled="t" stroked="t" coordsize="21600,21600" o:gfxdata="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7VCKNQAAAAGAQAADwAA&#10;AAAAAAABACAAAAAiAAAAZHJzL2Rvd25yZXYueG1sUEsBAhQAFAAAAAgAh07iQGaBymgaAgAAQwQA&#10;AA4AAAAAAAAAAQAgAAAAIwEAAGRycy9lMm9Eb2MueG1sUEsFBgAAAAAGAAYAWQEAAK8FAAAAAA==&#10;">
                        <v:fill on="t" focussize="0,0"/>
                        <v:stroke color="#000000" joinstyle="miter"/>
                        <v:imagedata o:title=""/>
                        <o:lock v:ext="edit" aspectratio="f"/>
                        <v:textbox>
                          <w:txbxContent>
                            <w:p>
                              <w:pPr>
                                <w:jc w:val="center"/>
                                <w:rPr>
                                  <w:rFonts w:hint="eastAsia"/>
                                  <w:szCs w:val="21"/>
                                </w:rPr>
                              </w:pPr>
                              <w:r>
                                <w:rPr>
                                  <w:rFonts w:hint="eastAsia"/>
                                  <w:szCs w:val="21"/>
                                </w:rPr>
                                <w:t>高位水池</w:t>
                              </w:r>
                            </w:p>
                          </w:txbxContent>
                        </v:textbox>
                      </v:shape>
                      <v:shape id="_x0000_s1026" o:spid="_x0000_s1026" o:spt="202" type="#_x0000_t202" style="position:absolute;left:2372995;top:1818005;height:295275;width:74866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UTVNS0wAAAAYBAAAPAAAAAAAAAAEAIAAAACIAAABkcnMvZG93bnJldi54bWxQSwECFAAUAAAA&#10;CACHTuJAVdGftboBAABbAwAADgAAAAAAAAABACAAAAAiAQAAZHJzL2Uyb0RvYy54bWxQSwUGAAAA&#10;AAYABgBZAQAATgUAAAAA&#10;">
                        <v:fill on="f" focussize="0,0"/>
                        <v:stroke on="f"/>
                        <v:imagedata o:title=""/>
                        <o:lock v:ext="edit" aspectratio="f"/>
                        <v:textbox>
                          <w:txbxContent>
                            <w:p>
                              <w:pPr>
                                <w:rPr>
                                  <w:rFonts w:hint="eastAsia"/>
                                  <w:color w:val="00B0F0"/>
                                  <w:szCs w:val="21"/>
                                </w:rPr>
                              </w:pPr>
                              <w:r>
                                <w:rPr>
                                  <w:rFonts w:hint="eastAsia"/>
                                  <w:color w:val="00B0F0"/>
                                  <w:szCs w:val="21"/>
                                </w:rPr>
                                <w:t>排泥水</w:t>
                              </w:r>
                            </w:p>
                          </w:txbxContent>
                        </v:textbox>
                      </v:shape>
                      <v:shape id="_x0000_s1026" o:spid="_x0000_s1026" o:spt="202" type="#_x0000_t202" style="position:absolute;left:813435;top:4736465;height:252095;width:71056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DmuMBiuQEAAFoDAAAOAAAAAAAAAAEAIAAAACIBAABkcnMvZTJvRG9jLnhtbFBLBQYAAAAA&#10;BgAGAFkBAABNBQAAAAA=&#10;">
                        <v:fill on="f" focussize="0,0"/>
                        <v:stroke on="f"/>
                        <v:imagedata o:title=""/>
                        <o:lock v:ext="edit" aspectratio="f"/>
                        <v:textbox>
                          <w:txbxContent>
                            <w:p>
                              <w:pPr>
                                <w:jc w:val="center"/>
                                <w:rPr>
                                  <w:rFonts w:hint="eastAsia"/>
                                  <w:szCs w:val="21"/>
                                </w:rPr>
                              </w:pPr>
                              <w:r>
                                <w:rPr>
                                  <w:rFonts w:hint="eastAsia"/>
                                  <w:szCs w:val="21"/>
                                </w:rPr>
                                <w:t>用户</w:t>
                              </w:r>
                            </w:p>
                          </w:txbxContent>
                        </v:textbox>
                      </v:shape>
                      <v:rect id="_x0000_s1026" o:spid="_x0000_s1026" o:spt="1" style="position:absolute;left:396875;top:6063615;height:297815;width:3278505;" fillcolor="#FFFFFF" filled="t" stroked="f" coordsize="21600,21600" o:gfxdata="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&#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ZF2D41QAAAAYBAAAPAAAAAAAAAAEAIAAAACIAAABk&#10;cnMvZG93bnJldi54bWxQSwECFAAUAAAACACHTuJAO7bLztABAACUAwAADgAAAAAAAAABACAAAAAk&#10;AQAAZHJzL2Uyb0RvYy54bWxQSwUGAAAAAAYABgBZAQAAZgUAAAAA&#10;">
                        <v:fill on="t" opacity="0f" focussize="0,0"/>
                        <v:stroke on="f"/>
                        <v:imagedata o:title=""/>
                        <o:lock v:ext="edit" aspectratio="f"/>
                        <v:textbox>
                          <w:txbxContent>
                            <w:p>
                              <w:pPr>
                                <w:rPr>
                                  <w:b/>
                                  <w:sz w:val="24"/>
                                </w:rPr>
                              </w:pPr>
                              <w:r>
                                <w:rPr>
                                  <w:rFonts w:hAnsi="宋体"/>
                                  <w:b/>
                                  <w:sz w:val="24"/>
                                </w:rPr>
                                <w:t>图</w:t>
                              </w:r>
                              <w:r>
                                <w:rPr>
                                  <w:rFonts w:hint="eastAsia"/>
                                  <w:b/>
                                  <w:sz w:val="24"/>
                                </w:rPr>
                                <w:t>2-</w:t>
                              </w:r>
                              <w:r>
                                <w:rPr>
                                  <w:b/>
                                  <w:sz w:val="24"/>
                                </w:rPr>
                                <w:t xml:space="preserve">3 </w:t>
                              </w:r>
                              <w:r>
                                <w:rPr>
                                  <w:rFonts w:hAnsi="宋体"/>
                                  <w:b/>
                                  <w:sz w:val="24"/>
                                </w:rPr>
                                <w:t>项目</w:t>
                              </w:r>
                              <w:r>
                                <w:rPr>
                                  <w:rFonts w:hint="eastAsia" w:hAnsi="宋体"/>
                                  <w:b/>
                                  <w:sz w:val="24"/>
                                </w:rPr>
                                <w:t>净水厂</w:t>
                              </w:r>
                              <w:r>
                                <w:rPr>
                                  <w:rFonts w:hAnsi="宋体"/>
                                  <w:b/>
                                  <w:sz w:val="24"/>
                                </w:rPr>
                                <w:t>生产工艺流程及</w:t>
                              </w:r>
                              <w:r>
                                <w:rPr>
                                  <w:rFonts w:hint="eastAsia" w:hAnsi="宋体"/>
                                  <w:b/>
                                  <w:sz w:val="24"/>
                                </w:rPr>
                                <w:t>产污</w:t>
                              </w:r>
                              <w:r>
                                <w:rPr>
                                  <w:rFonts w:hAnsi="宋体"/>
                                  <w:b/>
                                  <w:sz w:val="24"/>
                                </w:rPr>
                                <w:t>节点图</w:t>
                              </w:r>
                            </w:p>
                          </w:txbxContent>
                        </v:textbox>
                      </v:rect>
                      <v:shape id="_x0000_s1026" o:spid="_x0000_s1026" o:spt="202" type="#_x0000_t202" style="position:absolute;left:1102995;top:1286510;height:292100;width:107950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f0VKH0gAAAAYBAAAPAAAAAAAAAAEA&#10;IAAAACIAAABkcnMvZG93bnJldi54bWxQSwECFAAUAAAACACHTuJAqCCIdhUCAABEBAAADgAAAAAA&#10;AAABACAAAAAhAQAAZHJzL2Uyb0RvYy54bWxQSwUGAAAAAAYABgBZAQAAqAUAAAAA&#10;">
                        <v:fill on="t" focussize="0,0"/>
                        <v:stroke color="#000000" joinstyle="miter"/>
                        <v:imagedata o:title=""/>
                        <o:lock v:ext="edit" aspectratio="f"/>
                        <v:textbox>
                          <w:txbxContent>
                            <w:p>
                              <w:pPr>
                                <w:jc w:val="center"/>
                                <w:rPr>
                                  <w:rFonts w:hint="eastAsia"/>
                                  <w:szCs w:val="21"/>
                                </w:rPr>
                              </w:pPr>
                              <w:r>
                                <w:rPr>
                                  <w:rFonts w:hint="eastAsia"/>
                                  <w:szCs w:val="21"/>
                                </w:rPr>
                                <w:t>配水井</w:t>
                              </w:r>
                            </w:p>
                          </w:txbxContent>
                        </v:textbox>
                      </v:shape>
                      <v:line id="_x0000_s1026" o:spid="_x0000_s1026" o:spt="20" style="position:absolute;left:2209165;top:864235;height:635;width:533400;" filled="f" stroked="t" coordsize="21600,21600" o:gfxdata="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Eep4DXAAAABgEAAA8AAAAAAAAAAQAgAAAA&#10;IgAAAGRycy9kb3ducmV2LnhtbFBLAQIUABQAAAAIAIdO4kCQwIt5DAIAAPUDAAAOAAAAAAAAAAEA&#10;IAAAACYBAABkcnMvZTJvRG9jLnhtbFBLBQYAAAAABgAGAFkBAACkBQAAAAA=&#10;">
                        <v:fill on="f" focussize="0,0"/>
                        <v:stroke color="#000000" joinstyle="round" dashstyle="dash" endarrow="block"/>
                        <v:imagedata o:title=""/>
                        <o:lock v:ext="edit" aspectratio="f"/>
                      </v:line>
                      <v:line id="_x0000_s1026" o:spid="_x0000_s1026" o:spt="20" style="position:absolute;left:1644650;top:998855;flip:x;height:304165;width:5715;" filled="f" stroked="t" coordsize="21600,21600" o:gfxdata="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fJ9f91gAAAAYBAAAPAAAAAAAA&#10;AAEAIAAAACIAAABkcnMvZG93bnJldi54bWxQSwECFAAUAAAACACHTuJAdwEaFxQCAAABBAAADgAA&#10;AAAAAAABACAAAAAlAQAAZHJzL2Uyb0RvYy54bWxQSwUGAAAAAAYABgBZAQAAqwUAAAAA&#10;">
                        <v:fill on="f" focussize="0,0"/>
                        <v:stroke color="#000000" joinstyle="round" endarrow="block"/>
                        <v:imagedata o:title=""/>
                        <o:lock v:ext="edit" aspectratio="f"/>
                      </v:line>
                      <v:line id="_x0000_s1026" o:spid="_x0000_s1026" o:spt="20" style="position:absolute;left:1630045;top:1578610;height:321310;width:635;" filled="f" stroked="t" coordsize="21600,21600" o:gfxdata="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fg7aNYAAAAGAQAADwAAAAAAAAABACAAAAAiAAAA&#10;ZHJzL2Rvd25yZXYueG1sUEsBAhQAFAAAAAgAh07iQCxPYqkJAgAA9wMAAA4AAAAAAAAAAQAgAAAA&#10;JQEAAGRycy9lMm9Eb2MueG1sUEsFBgAAAAAGAAYAWQEAAKAFAAAAAA==&#10;">
                        <v:fill on="f" focussize="0,0"/>
                        <v:stroke color="#000000" joinstyle="round" endarrow="block"/>
                        <v:imagedata o:title=""/>
                        <o:lock v:ext="edit" aspectratio="f"/>
                      </v:line>
                      <v:shape id="_x0000_s1026" o:spid="_x0000_s1026" o:spt="202" type="#_x0000_t202" style="position:absolute;left:936625;top:2522220;height:292735;width:143002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RUofSAAAABgEAAA8AAAAAAAAAAQAg&#10;AAAAIgAAAGRycy9kb3ducmV2LnhtbFBLAQIUABQAAAAIAIdO4kCmURURFAIAAEMEAAAOAAAAAAAA&#10;AAEAIAAAACEBAABkcnMvZTJvRG9jLnhtbFBLBQYAAAAABgAGAFkBAACnBQAAAAA=&#10;">
                        <v:fill on="t" focussize="0,0"/>
                        <v:stroke color="#000000" joinstyle="miter"/>
                        <v:imagedata o:title=""/>
                        <o:lock v:ext="edit" aspectratio="f"/>
                        <v:textbox>
                          <w:txbxContent>
                            <w:p>
                              <w:pPr>
                                <w:jc w:val="center"/>
                                <w:rPr>
                                  <w:rFonts w:hint="eastAsia"/>
                                  <w:szCs w:val="21"/>
                                </w:rPr>
                              </w:pPr>
                              <w:r>
                                <w:rPr>
                                  <w:rFonts w:hint="eastAsia"/>
                                  <w:szCs w:val="21"/>
                                </w:rPr>
                                <w:t>单阀气水反冲洗滤池</w:t>
                              </w:r>
                            </w:p>
                          </w:txbxContent>
                        </v:textbox>
                      </v:shape>
                      <v:line id="_x0000_s1026" o:spid="_x0000_s1026" o:spt="20" style="position:absolute;left:2366645;top:2646680;height:635;width:533400;" filled="f" stroked="t" coordsize="21600,21600" o:gfxdata="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amNBtQAAAAGAQAADwAAAAAAAAABACAAAAAiAAAA&#10;ZHJzL2Rvd25yZXYueG1sUEsBAhQAFAAAAAgAh07iQAsOdiILAgAA9gMAAA4AAAAAAAAAAQAgAAAA&#10;IwEAAGRycy9lMm9Eb2MueG1sUEsFBgAAAAAGAAYAWQEAAKAFAAAAAA==&#10;">
                        <v:fill on="f" focussize="0,0"/>
                        <v:stroke color="#C00000" joinstyle="round" dashstyle="dash" endarrow="block"/>
                        <v:imagedata o:title=""/>
                        <o:lock v:ext="edit" aspectratio="f"/>
                      </v:line>
                      <v:shape id="_x0000_s1026" o:spid="_x0000_s1026" o:spt="202" type="#_x0000_t202" style="position:absolute;left:1706880;top:5330190;height:267335;width:57721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ByxxU+uQEAAFsDAAAOAAAAAAAAAAEAIAAAACIBAABkcnMvZTJvRG9jLnhtbFBLBQYAAAAA&#10;BgAGAFkBAABNBQAAAAA=&#10;">
                        <v:fill on="f" focussize="0,0"/>
                        <v:stroke on="f"/>
                        <v:imagedata o:title=""/>
                        <o:lock v:ext="edit" aspectratio="f"/>
                        <v:textbox>
                          <w:txbxContent>
                            <w:p>
                              <w:pPr>
                                <w:jc w:val="center"/>
                                <w:rPr>
                                  <w:rFonts w:hint="eastAsia"/>
                                  <w:szCs w:val="21"/>
                                </w:rPr>
                              </w:pPr>
                              <w:r>
                                <w:rPr>
                                  <w:rFonts w:hint="eastAsia"/>
                                  <w:szCs w:val="21"/>
                                </w:rPr>
                                <w:t>用户</w:t>
                              </w:r>
                            </w:p>
                          </w:txbxContent>
                        </v:textbox>
                      </v:shape>
                      <v:shape id="_x0000_s1026" o:spid="_x0000_s1026" o:spt="202" type="#_x0000_t202" style="position:absolute;left:879475;top:1899920;height:292735;width:1457325;"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9FSh9IAAAAGAQAADwAAAAAAAAAB&#10;ACAAAAAiAAAAZHJzL2Rvd25yZXYueG1sUEsBAhQAFAAAAAgAh07iQMqPkC8WAgAAQwQAAA4AAAAA&#10;AAAAAQAgAAAAIQEAAGRycy9lMm9Eb2MueG1sUEsFBgAAAAAGAAYAWQEAAKkFAAAAAA==&#10;">
                        <v:fill on="t" focussize="0,0"/>
                        <v:stroke color="#000000" joinstyle="miter"/>
                        <v:imagedata o:title=""/>
                        <o:lock v:ext="edit" aspectratio="f"/>
                        <v:textbox>
                          <w:txbxContent>
                            <w:p>
                              <w:pPr>
                                <w:jc w:val="center"/>
                                <w:rPr>
                                  <w:rFonts w:hint="eastAsia"/>
                                  <w:szCs w:val="21"/>
                                </w:rPr>
                              </w:pPr>
                              <w:r>
                                <w:rPr>
                                  <w:rFonts w:hint="eastAsia"/>
                                  <w:szCs w:val="21"/>
                                </w:rPr>
                                <w:t>絮凝反应斜管沉淀池</w:t>
                              </w:r>
                            </w:p>
                          </w:txbxContent>
                        </v:textbox>
                      </v:shape>
                      <v:line id="_x0000_s1026" o:spid="_x0000_s1026" o:spt="20" style="position:absolute;left:1630045;top:2195830;height:321310;width:635;" filled="f" stroked="t" coordsize="21600,21600" o:gfxdata="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1+Dto1gAAAAYBAAAPAAAAAAAAAAEAIAAAACIA&#10;AABkcnMvZG93bnJldi54bWxQSwECFAAUAAAACACHTuJAz7WpMwsCAAD3AwAADgAAAAAAAAABACAA&#10;AAAlAQAAZHJzL2Uyb0RvYy54bWxQSwUGAAAAAAYABgBZAQAAogUAAAAA&#10;">
                        <v:fill on="f" focussize="0,0"/>
                        <v:stroke color="#000000" joinstyle="round" endarrow="block"/>
                        <v:imagedata o:title=""/>
                        <o:lock v:ext="edit" aspectratio="f"/>
                      </v:line>
                      <v:shape id="_x0000_s1026" o:spid="_x0000_s1026" o:spt="202" type="#_x0000_t202" style="position:absolute;left:1113790;top:3116580;height:292735;width:107950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f0VKH0gAAAAYBAAAPAAAAAAAA&#10;AAEAIAAAACIAAABkcnMvZG93bnJldi54bWxQSwECFAAUAAAACACHTuJAdDt7uxgCAABEBAAADgAA&#10;AAAAAAABACAAAAAhAQAAZHJzL2Uyb0RvYy54bWxQSwUGAAAAAAYABgBZAQAAqwUAAAAA&#10;">
                        <v:fill on="t" focussize="0,0"/>
                        <v:stroke color="#000000" joinstyle="miter"/>
                        <v:imagedata o:title=""/>
                        <o:lock v:ext="edit" aspectratio="f"/>
                        <v:textbox>
                          <w:txbxContent>
                            <w:p>
                              <w:pPr>
                                <w:jc w:val="center"/>
                                <w:rPr>
                                  <w:rFonts w:hint="eastAsia"/>
                                  <w:szCs w:val="21"/>
                                </w:rPr>
                              </w:pPr>
                              <w:r>
                                <w:rPr>
                                  <w:rFonts w:hint="eastAsia"/>
                                  <w:szCs w:val="21"/>
                                </w:rPr>
                                <w:t>清水池</w:t>
                              </w:r>
                            </w:p>
                          </w:txbxContent>
                        </v:textbox>
                      </v:shape>
                      <v:shape id="_x0000_s1026" o:spid="_x0000_s1026" o:spt="202" type="#_x0000_t202" style="position:absolute;left:2750820;top:708025;height:295910;width:86931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BS2w6vuQEAAFoDAAAOAAAAAAAAAAEAIAAAACIBAABkcnMvZTJvRG9jLnhtbFBLBQYAAAAA&#10;BgAGAFkBAABNBQAAAAA=&#10;">
                        <v:fill on="f" focussize="0,0"/>
                        <v:stroke on="f"/>
                        <v:imagedata o:title=""/>
                        <o:lock v:ext="edit" aspectratio="f"/>
                        <v:textbox>
                          <w:txbxContent>
                            <w:p>
                              <w:pPr>
                                <w:jc w:val="center"/>
                                <w:rPr>
                                  <w:rFonts w:hint="eastAsia"/>
                                  <w:szCs w:val="21"/>
                                </w:rPr>
                              </w:pPr>
                              <w:r>
                                <w:rPr>
                                  <w:rFonts w:hint="eastAsia"/>
                                  <w:szCs w:val="21"/>
                                </w:rPr>
                                <w:t>噪声、粉尘</w:t>
                              </w:r>
                            </w:p>
                          </w:txbxContent>
                        </v:textbox>
                      </v:shape>
                      <v:shape id="_x0000_s1026" o:spid="_x0000_s1026" o:spt="32" type="#_x0000_t32" style="position:absolute;left:1651635;top:2814955;height:301625;width:1905;"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uZKTXWAAAABgEAAA8AAAAA&#10;AAAAAQAgAAAAIgAAAGRycy9kb3ducmV2LnhtbFBLAQIUABQAAAAIAIdO4kAYl5mrFgIAAAAEAAAO&#10;AAAAAAAAAAEAIAAAACUBAABkcnMvZTJvRG9jLnhtbFBLBQYAAAAABgAGAFkBAACtBQAAAAA=&#10;">
                        <v:fill on="f" focussize="0,0"/>
                        <v:stroke color="#000000" joinstyle="round" endarrow="block"/>
                        <v:imagedata o:title=""/>
                        <o:lock v:ext="edit" aspectratio="f"/>
                      </v:shape>
                      <v:shape id="_x0000_s1026" o:spid="_x0000_s1026" o:spt="202" type="#_x0000_t202" style="position:absolute;left:1113155;top:3689984;height:292735;width:1079500;" fillcolor="#BFBFBF" filled="t" stroked="t" coordsize="21600,21600" o:gfxdata="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RUofSAAAABgEAAA8AAAAA&#10;AAAAAQAgAAAAIgAAAGRycy9kb3ducmV2LnhtbFBLAQIUABQAAAAIAIdO4kCA+R1tGgIAAEQEAAAO&#10;AAAAAAAAAAEAIAAAACEBAABkcnMvZTJvRG9jLnhtbFBLBQYAAAAABgAGAFkBAACtBQAAAAA=&#10;">
                        <v:fill on="t" focussize="0,0"/>
                        <v:stroke color="#000000" joinstyle="miter"/>
                        <v:imagedata o:title=""/>
                        <o:lock v:ext="edit" aspectratio="f"/>
                        <v:textbox>
                          <w:txbxContent>
                            <w:p>
                              <w:pPr>
                                <w:jc w:val="center"/>
                                <w:rPr>
                                  <w:rFonts w:hint="eastAsia"/>
                                  <w:szCs w:val="21"/>
                                </w:rPr>
                              </w:pPr>
                              <w:r>
                                <w:rPr>
                                  <w:rFonts w:hint="eastAsia"/>
                                  <w:szCs w:val="21"/>
                                </w:rPr>
                                <w:t>送水泵房</w:t>
                              </w:r>
                            </w:p>
                          </w:txbxContent>
                        </v:textbox>
                      </v:shape>
                      <v:shape id="_x0000_s1026" o:spid="_x0000_s1026" o:spt="32" type="#_x0000_t32" style="position:absolute;left:1652905;top:3409314;flip:x;height:280670;width:635;" filled="f" stroked="t" coordsize="21600,21600" o:gfxdata="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uBjhPVAAAABgEA&#10;AA8AAAAAAAAAAQAgAAAAIgAAAGRycy9kb3ducmV2LnhtbFBLAQIUABQAAAAIAIdO4kAAjFX9HQIA&#10;AAkEAAAOAAAAAAAAAAEAIAAAACQBAABkcnMvZTJvRG9jLnhtbFBLBQYAAAAABgAGAFkBAACzBQAA&#10;AAA=&#10;">
                        <v:fill on="f" focussize="0,0"/>
                        <v:stroke color="#000000" joinstyle="round" endarrow="block"/>
                        <v:imagedata o:title=""/>
                        <o:lock v:ext="edit" aspectratio="f"/>
                      </v:shape>
                      <v:shape id="_x0000_s1026" o:spid="_x0000_s1026" o:spt="202" type="#_x0000_t202" style="position:absolute;left:2861945;top:2484755;height:443230;width:813435;"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e8uudMAAAAGAQAADwAAAAAAAAABACAA&#10;AAAiAAAAZHJzL2Rvd25yZXYueG1sUEsBAhQAFAAAAAgAh07iQER0Hq8SAgAAGgQAAA4AAAAAAAAA&#10;AQAgAAAAIgEAAGRycy9lMm9Eb2MueG1sUEsFBgAAAAAGAAYAWQEAAKYFAAAAAA==&#10;">
                        <v:fill on="f" focussize="0,0"/>
                        <v:stroke color="#000000" joinstyle="miter"/>
                        <v:imagedata o:title=""/>
                        <o:lock v:ext="edit" aspectratio="f"/>
                        <v:textbox>
                          <w:txbxContent>
                            <w:p>
                              <w:pPr>
                                <w:jc w:val="center"/>
                                <w:rPr>
                                  <w:rFonts w:hint="eastAsia"/>
                                  <w:szCs w:val="21"/>
                                </w:rPr>
                              </w:pPr>
                              <w:r>
                                <w:rPr>
                                  <w:rFonts w:hint="eastAsia"/>
                                  <w:szCs w:val="21"/>
                                </w:rPr>
                                <w:t>反冲洗水回收池</w:t>
                              </w:r>
                            </w:p>
                          </w:txbxContent>
                        </v:textbox>
                      </v:shape>
                      <v:shape id="_x0000_s1026" o:spid="_x0000_s1026" o:spt="32" type="#_x0000_t32" style="position:absolute;left:2032000;top:5039360;height:301625;width:635;"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5kpNdYAAAAGAQAADwAAAAAAAAAB&#10;ACAAAAAiAAAAZHJzL2Rvd25yZXYueG1sUEsBAhQAFAAAAAgAh07iQCdNWU4SAgAA/wMAAA4AAAAA&#10;AAAAAQAgAAAAJQEAAGRycy9lMm9Eb2MueG1sUEsFBgAAAAAGAAYAWQEAAKkFAAAAAA==&#10;">
                        <v:fill on="f" focussize="0,0"/>
                        <v:stroke color="#000000" joinstyle="round" endarrow="block"/>
                        <v:imagedata o:title=""/>
                        <o:lock v:ext="edit" aspectratio="f"/>
                      </v:shape>
                      <v:shape id="_x0000_s1026" o:spid="_x0000_s1026" o:spt="32" type="#_x0000_t32" style="position:absolute;left:1652905;top:3982720;height:457200;width:3810;"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uZKTXWAAAABgEAAA8AAAAA&#10;AAAAAQAgAAAAIgAAAGRycy9kb3ducmV2LnhtbFBLAQIUABQAAAAIAIdO4kBnd2J0FgIAAAAEAAAO&#10;AAAAAAAAAAEAIAAAACUBAABkcnMvZTJvRG9jLnhtbFBLBQYAAAAABgAGAFkBAACtBQAAAAA=&#10;">
                        <v:fill on="f" focussize="0,0"/>
                        <v:stroke color="#000000" joinstyle="round" endarrow="block"/>
                        <v:imagedata o:title=""/>
                        <o:lock v:ext="edit" aspectratio="f"/>
                      </v:shape>
                      <v:shape id="_x0000_s1026" o:spid="_x0000_s1026" o:spt="32" type="#_x0000_t32" style="position:absolute;left:1208405;top:4457700;height:301625;width:635;"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uZKTXWAAAABgEAAA8AAAAAAAAA&#10;AQAgAAAAIgAAAGRycy9kb3ducmV2LnhtbFBLAQIUABQAAAAIAIdO4kDjBGwvEwIAAP8DAAAOAAAA&#10;AAAAAAEAIAAAACUBAABkcnMvZTJvRG9jLnhtbFBLBQYAAAAABgAGAFkBAACqBQAAAAA=&#10;">
                        <v:fill on="f" focussize="0,0"/>
                        <v:stroke color="#000000" joinstyle="round" endarrow="block"/>
                        <v:imagedata o:title=""/>
                        <o:lock v:ext="edit" aspectratio="f"/>
                      </v:shape>
                      <v:shape id="_x0000_s1026" o:spid="_x0000_s1026" o:spt="32" type="#_x0000_t32" style="position:absolute;left:2072004;top:4434205;height:301625;width:635;"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uZKTXWAAAABgEAAA8AAAAAAAAA&#10;AQAgAAAAIgAAAGRycy9kb3ducmV2LnhtbFBLAQIUABQAAAAIAIdO4kAcQcMbEwIAAP8DAAAOAAAA&#10;AAAAAAEAIAAAACUBAABkcnMvZTJvRG9jLnhtbFBLBQYAAAAABgAGAFkBAACqBQAAAAA=&#10;">
                        <v:fill on="f" focussize="0,0"/>
                        <v:stroke color="#000000" joinstyle="round" endarrow="block"/>
                        <v:imagedata o:title=""/>
                        <o:lock v:ext="edit" aspectratio="f"/>
                      </v:shape>
                      <v:shape id="_x0000_s1026" o:spid="_x0000_s1026" o:spt="32" type="#_x0000_t32" style="position:absolute;left:1195070;top:4435475;height:4445;width:875665;" filled="f" stroked="t" coordsize="21600,21600" o:gfxdata="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Jm41nUAAAABgEAAA8AAAAAAAAAAQAgAAAA&#10;IgAAAGRycy9kb3ducmV2LnhtbFBLAQIUABQAAAAIAIdO4kBflh6wDwIAAPwDAAAOAAAAAAAAAAEA&#10;IAAAACMBAABkcnMvZTJvRG9jLnhtbFBLBQYAAAAABgAGAFkBAACkBQAAAAA=&#10;">
                        <v:fill on="f" focussize="0,0"/>
                        <v:stroke color="#000000" joinstyle="round"/>
                        <v:imagedata o:title=""/>
                        <o:lock v:ext="edit" aspectratio="f"/>
                      </v:shape>
                      <v:shape id="_x0000_s1026" o:spid="_x0000_s1026" o:spt="202" type="#_x0000_t202" style="position:absolute;left:130810;top:1921510;height:252095;width:47117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FRN&#10;U1LTAAAABgEAAA8AAAAAAAAAAQAgAAAAIgAAAGRycy9kb3ducmV2LnhtbFBLAQIUABQAAAAIAIdO&#10;4kBQNoVetgEAAFoDAAAOAAAAAAAAAAEAIAAAACIBAABkcnMvZTJvRG9jLnhtbFBLBQYAAAAABgAG&#10;AFkBAABKBQAAAAA=&#10;">
                        <v:fill on="f" focussize="0,0"/>
                        <v:stroke on="f"/>
                        <v:imagedata o:title=""/>
                        <o:lock v:ext="edit" aspectratio="f"/>
                        <v:textbox>
                          <w:txbxContent>
                            <w:p>
                              <w:pPr>
                                <w:jc w:val="center"/>
                                <w:rPr>
                                  <w:rFonts w:hint="eastAsia"/>
                                  <w:szCs w:val="21"/>
                                </w:rPr>
                              </w:pPr>
                              <w:r>
                                <w:rPr>
                                  <w:rFonts w:hint="eastAsia"/>
                                  <w:szCs w:val="21"/>
                                </w:rPr>
                                <w:t>PAC</w:t>
                              </w:r>
                            </w:p>
                          </w:txbxContent>
                        </v:textbox>
                      </v:shape>
                      <v:shape id="_x0000_s1026" o:spid="_x0000_s1026" o:spt="32" type="#_x0000_t32" style="position:absolute;left:601980;top:2046605;flip:y;height:1270;width:277495;" filled="f" stroked="t" coordsize="21600,21600" o:gfxdata="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uBjhPVAAAABgEA&#10;AA8AAAAAAAAAAQAgAAAAIgAAAGRycy9kb3ducmV2LnhtbFBLAQIUABQAAAAIAIdO4kAYOio7HQIA&#10;AAkEAAAOAAAAAAAAAAEAIAAAACQBAABkcnMvZTJvRG9jLnhtbFBLBQYAAAAABgAGAFkBAACzBQAA&#10;AAA=&#10;">
                        <v:fill on="f" focussize="0,0"/>
                        <v:stroke color="#000000" joinstyle="round" endarrow="block"/>
                        <v:imagedata o:title=""/>
                        <o:lock v:ext="edit" aspectratio="f"/>
                      </v:shape>
                      <v:shape id="_x0000_s1026" o:spid="_x0000_s1026" o:spt="202" type="#_x0000_t202" style="position:absolute;left:55245;top:3027680;height:470535;width:824865;"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nvLrnTAAAABgEAAA8AAAAAAAAAAQAgAAAA&#10;IgAAAGRycy9kb3ducmV2LnhtbFBLAQIUABQAAAAIAIdO4kDJeNFdEAIAABgEAAAOAAAAAAAAAAEA&#10;IAAAACIBAABkcnMvZTJvRG9jLnhtbFBLBQYAAAAABgAGAFkBAACkBQAAAAA=&#10;">
                        <v:fill on="f" focussize="0,0"/>
                        <v:stroke color="#000000" joinstyle="miter"/>
                        <v:imagedata o:title=""/>
                        <o:lock v:ext="edit" aspectratio="f"/>
                        <v:textbox>
                          <w:txbxContent>
                            <w:p>
                              <w:pPr>
                                <w:jc w:val="center"/>
                                <w:rPr>
                                  <w:rFonts w:hint="eastAsia"/>
                                  <w:szCs w:val="21"/>
                                </w:rPr>
                              </w:pPr>
                              <w:r>
                                <w:rPr>
                                  <w:rFonts w:hint="eastAsia"/>
                                  <w:szCs w:val="21"/>
                                </w:rPr>
                                <w:t>二氧化氯发生器</w:t>
                              </w:r>
                            </w:p>
                          </w:txbxContent>
                        </v:textbox>
                      </v:shape>
                      <v:shape id="_x0000_s1026" o:spid="_x0000_s1026" o:spt="32" type="#_x0000_t32" style="position:absolute;left:880110;top:3263265;height:635;width:233680;" filled="f" stroked="t" coordsize="21600,21600" o:gfxdata="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bmSk11gAAAAYBAAAPAAAAAAAAAAEA&#10;IAAAACIAAABkcnMvZG93bnJldi54bWxQSwECFAAUAAAACACHTuJA8jB2ixECAAD+AwAADgAAAAAA&#10;AAABACAAAAAlAQAAZHJzL2Uyb0RvYy54bWxQSwUGAAAAAAYABgBZAQAAqAUAAAAA&#10;">
                        <v:fill on="f" focussize="0,0"/>
                        <v:stroke color="#000000" joinstyle="round" endarrow="block"/>
                        <v:imagedata o:title=""/>
                        <o:lock v:ext="edit" aspectratio="f"/>
                      </v:shape>
                      <v:shape id="_x0000_s1026" o:spid="_x0000_s1026" o:spt="202" type="#_x0000_t202" style="position:absolute;left:159385;top:3883660;height:494030;width:61595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U&#10;TVNS0wAAAAYBAAAPAAAAAAAAAAEAIAAAACIAAABkcnMvZG93bnJldi54bWxQSwECFAAUAAAACACH&#10;TuJAWzS/FrcBAABaAwAADgAAAAAAAAABACAAAAAiAQAAZHJzL2Uyb0RvYy54bWxQSwUGAAAAAAYA&#10;BgBZAQAASwUAAAAA&#10;">
                        <v:fill on="f" focussize="0,0"/>
                        <v:stroke on="f"/>
                        <v:imagedata o:title=""/>
                        <o:lock v:ext="edit" aspectratio="f"/>
                        <v:textbox>
                          <w:txbxContent>
                            <w:p>
                              <w:pPr>
                                <w:jc w:val="center"/>
                                <w:rPr>
                                  <w:rFonts w:hint="eastAsia"/>
                                  <w:szCs w:val="21"/>
                                </w:rPr>
                              </w:pPr>
                              <w:r>
                                <w:rPr>
                                  <w:rFonts w:hint="eastAsia"/>
                                  <w:szCs w:val="21"/>
                                </w:rPr>
                                <w:t>盐酸、氯酸钠</w:t>
                              </w:r>
                            </w:p>
                          </w:txbxContent>
                        </v:textbox>
                      </v:shape>
                      <v:shape id="_x0000_s1026" o:spid="_x0000_s1026" o:spt="32" type="#_x0000_t32" style="position:absolute;left:467360;top:3498215;flip:y;height:385445;width:635;" filled="f" stroked="t" coordsize="21600,21600" o:gfxdata="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4GOE9UAAAAGAQAADwAA&#10;AAAAAAABACAAAAAiAAAAZHJzL2Rvd25yZXYueG1sUEsBAhQAFAAAAAgAh07iQIcWpCUZAgAACAQA&#10;AA4AAAAAAAAAAQAgAAAAJAEAAGRycy9lMm9Eb2MueG1sUEsFBgAAAAAGAAYAWQEAAK8FAAAAAA==&#10;">
                        <v:fill on="f" focussize="0,0"/>
                        <v:stroke color="#000000" joinstyle="round" endarrow="block"/>
                        <v:imagedata o:title=""/>
                        <o:lock v:ext="edit" aspectratio="f"/>
                      </v:shape>
                      <v:shape id="_x0000_s1026" o:spid="_x0000_s1026" o:spt="202" type="#_x0000_t202" style="position:absolute;left:2336800;top:2418715;height:513715;width:71247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E1TUtMAAAAGAQAADwAAAAAAAAABACAAAAAiAAAAZHJzL2Rvd25yZXYueG1sUEsBAhQAFAAAAAgA&#10;h07iQBzGChy4AQAAWwMAAA4AAAAAAAAAAQAgAAAAIgEAAGRycy9lMm9Eb2MueG1sUEsFBgAAAAAG&#10;AAYAWQEAAEwFAAAAAA==&#10;">
                        <v:fill on="f" focussize="0,0"/>
                        <v:stroke on="f"/>
                        <v:imagedata o:title=""/>
                        <o:lock v:ext="edit" aspectratio="f"/>
                        <v:textbox>
                          <w:txbxContent>
                            <w:p>
                              <w:pPr>
                                <w:rPr>
                                  <w:color w:val="C00000"/>
                                  <w:szCs w:val="21"/>
                                </w:rPr>
                              </w:pPr>
                              <w:r>
                                <w:rPr>
                                  <w:rFonts w:hint="eastAsia"/>
                                  <w:color w:val="C00000"/>
                                  <w:szCs w:val="21"/>
                                </w:rPr>
                                <w:t>反冲洗</w:t>
                              </w:r>
                            </w:p>
                            <w:p>
                              <w:pPr>
                                <w:rPr>
                                  <w:rFonts w:hint="eastAsia"/>
                                  <w:color w:val="C00000"/>
                                  <w:szCs w:val="21"/>
                                </w:rPr>
                              </w:pPr>
                              <w:r>
                                <w:rPr>
                                  <w:rFonts w:hint="eastAsia"/>
                                  <w:color w:val="C00000"/>
                                  <w:szCs w:val="21"/>
                                </w:rPr>
                                <w:t>废水</w:t>
                              </w:r>
                            </w:p>
                          </w:txbxContent>
                        </v:textbox>
                      </v:shape>
                      <v:shape id="_x0000_s1026" o:spid="_x0000_s1026" o:spt="33" type="#_x0000_t33" style="position:absolute;left:2199005;top:1414780;flip:x;height:1086485;width:1052195;rotation:-5898240f;" filled="f" stroked="t" coordsize="21600,21600" o:gfxdata="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m6Y&#10;IdMAAAAGAQAADwAAAAAAAAABACAAAAAiAAAAZHJzL2Rvd25yZXYueG1sUEsBAhQAFAAAAAgAh07i&#10;QHW9wJQnAgAAHQQAAA4AAAAAAAAAAQAgAAAAIgEAAGRycy9lMm9Eb2MueG1sUEsFBgAAAAAGAAYA&#10;WQEAALsFAAAAAA==&#10;">
                        <v:fill on="f" focussize="0,0"/>
                        <v:stroke color="#C00000" joinstyle="miter" dashstyle="dash" endarrow="block"/>
                        <v:imagedata o:title=""/>
                        <o:lock v:ext="edit" aspectratio="f"/>
                      </v:shape>
                      <v:shape id="_x0000_s1026" o:spid="_x0000_s1026" o:spt="202" type="#_x0000_t202" style="position:absolute;left:2557145;top:1205865;height:295275;width:63119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DkAM5KuQEAAFsDAAAOAAAAAAAAAAEAIAAAACIBAABkcnMvZTJvRG9jLnhtbFBLBQYAAAAA&#10;BgAGAFkBAABNBQAAAAA=&#10;">
                        <v:fill on="f" focussize="0,0"/>
                        <v:stroke on="f"/>
                        <v:imagedata o:title=""/>
                        <o:lock v:ext="edit" aspectratio="f"/>
                        <v:textbox>
                          <w:txbxContent>
                            <w:p>
                              <w:pPr>
                                <w:rPr>
                                  <w:rFonts w:hint="eastAsia"/>
                                  <w:color w:val="C00000"/>
                                  <w:szCs w:val="21"/>
                                </w:rPr>
                              </w:pPr>
                              <w:r>
                                <w:rPr>
                                  <w:rFonts w:hint="eastAsia"/>
                                  <w:color w:val="C00000"/>
                                  <w:szCs w:val="21"/>
                                </w:rPr>
                                <w:t>上清液</w:t>
                              </w:r>
                            </w:p>
                          </w:txbxContent>
                        </v:textbox>
                      </v:shape>
                      <v:shape id="_x0000_s1026" o:spid="_x0000_s1026" o:spt="202" type="#_x0000_t202" style="position:absolute;left:3843020;top:3117850;height:281305;width:605790;"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nvLrnTAAAABgEAAA8AAAAAAAAAAQAgAAAA&#10;IgAAAGRycy9kb3ducmV2LnhtbFBLAQIUABQAAAAIAIdO4kBKfs+4EAIAABoEAAAOAAAAAAAAAAEA&#10;IAAAACIBAABkcnMvZTJvRG9jLnhtbFBLBQYAAAAABgAGAFkBAACkBQAAAAA=&#10;">
                        <v:fill on="f" focussize="0,0"/>
                        <v:stroke color="#000000" joinstyle="miter"/>
                        <v:imagedata o:title=""/>
                        <o:lock v:ext="edit" aspectratio="f"/>
                        <v:textbox>
                          <w:txbxContent>
                            <w:p>
                              <w:pPr>
                                <w:jc w:val="center"/>
                                <w:rPr>
                                  <w:rFonts w:hint="eastAsia"/>
                                  <w:szCs w:val="21"/>
                                </w:rPr>
                              </w:pPr>
                              <w:r>
                                <w:rPr>
                                  <w:rFonts w:hint="eastAsia"/>
                                  <w:szCs w:val="21"/>
                                </w:rPr>
                                <w:t>排泥池</w:t>
                              </w:r>
                            </w:p>
                          </w:txbxContent>
                        </v:textbox>
                      </v:shape>
                      <v:shape id="_x0000_s1026" o:spid="_x0000_s1026" o:spt="33" type="#_x0000_t33" style="position:absolute;left:2336800;top:2046605;height:1071245;width:1809115;" filled="f" stroked="t" coordsize="21600,21600" o:gfxdata="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AKMrWAAAABgEAAA8A&#10;AAAAAAAAAQAgAAAAIgAAAGRycy9kb3ducmV2LnhtbFBLAQIUABQAAAAIAIdO4kDoWWl1GQIAAAME&#10;AAAOAAAAAAAAAAEAIAAAACUBAABkcnMvZTJvRG9jLnhtbFBLBQYAAAAABgAGAFkBAACwBQAAAAA=&#10;">
                        <v:fill on="f" focussize="0,0"/>
                        <v:stroke color="#00B0F0" joinstyle="miter" dashstyle="dash" endarrow="block"/>
                        <v:imagedata o:title=""/>
                        <o:lock v:ext="edit" aspectratio="f"/>
                      </v:shape>
                      <v:shape id="_x0000_s1026" o:spid="_x0000_s1026" o:spt="202" type="#_x0000_t202" style="position:absolute;left:3644900;top:2475865;height:311785;width:69151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VE1TUtMAAAAGAQAADwAAAAAAAAABACAAAAAiAAAAZHJzL2Rvd25yZXYueG1sUEsBAhQAFAAA&#10;AAgAh07iQPv7YzW7AQAAWwMAAA4AAAAAAAAAAQAgAAAAIgEAAGRycy9lMm9Eb2MueG1sUEsFBgAA&#10;AAAGAAYAWQEAAE8FAAAAAA==&#10;">
                        <v:fill on="f" focussize="0,0"/>
                        <v:stroke on="f"/>
                        <v:imagedata o:title=""/>
                        <o:lock v:ext="edit" aspectratio="f"/>
                        <v:textbox>
                          <w:txbxContent>
                            <w:p>
                              <w:pPr>
                                <w:rPr>
                                  <w:rFonts w:hint="eastAsia"/>
                                  <w:color w:val="00B0F0"/>
                                  <w:szCs w:val="21"/>
                                </w:rPr>
                              </w:pPr>
                              <w:r>
                                <w:rPr>
                                  <w:rFonts w:hint="eastAsia"/>
                                  <w:color w:val="00B0F0"/>
                                  <w:szCs w:val="21"/>
                                </w:rPr>
                                <w:t>排泥水</w:t>
                              </w:r>
                            </w:p>
                          </w:txbxContent>
                        </v:textbox>
                      </v:shape>
                      <v:shape id="_x0000_s1026" o:spid="_x0000_s1026" o:spt="202" type="#_x0000_t202" style="position:absolute;left:3841115;top:3701415;height:281305;width:605790;"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e8uudMAAAAGAQAADwAAAAAAAAABACAA&#10;AAAiAAAAZHJzL2Rvd25yZXYueG1sUEsBAhQAFAAAAAgAh07iQGoWop8SAgAAGgQAAA4AAAAAAAAA&#10;AQAgAAAAIgEAAGRycy9lMm9Eb2MueG1sUEsFBgAAAAAGAAYAWQEAAKYFAAAAAA==&#10;">
                        <v:fill on="f" focussize="0,0"/>
                        <v:stroke color="#000000" joinstyle="miter"/>
                        <v:imagedata o:title=""/>
                        <o:lock v:ext="edit" aspectratio="f"/>
                        <v:textbox>
                          <w:txbxContent>
                            <w:p>
                              <w:pPr>
                                <w:jc w:val="center"/>
                                <w:rPr>
                                  <w:rFonts w:hint="eastAsia"/>
                                  <w:szCs w:val="21"/>
                                </w:rPr>
                              </w:pPr>
                              <w:r>
                                <w:rPr>
                                  <w:rFonts w:hint="eastAsia"/>
                                  <w:szCs w:val="21"/>
                                </w:rPr>
                                <w:t>浓缩池</w:t>
                              </w:r>
                            </w:p>
                          </w:txbxContent>
                        </v:textbox>
                      </v:shape>
                      <v:shape id="_x0000_s1026" o:spid="_x0000_s1026" o:spt="202" type="#_x0000_t202" style="position:absolute;left:3841115;top:4377690;height:433705;width:605790;"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nvLrnTAAAABgEAAA8AAAAAAAAAAQAgAAAA&#10;IgAAAGRycy9kb3ducmV2LnhtbFBLAQIUABQAAAAIAIdO4kB/rX3zEAIAABoEAAAOAAAAAAAAAAEA&#10;IAAAACIBAABkcnMvZTJvRG9jLnhtbFBLBQYAAAAABgAGAFkBAACkBQAAAAA=&#10;">
                        <v:fill on="f" focussize="0,0"/>
                        <v:stroke color="#000000" joinstyle="miter"/>
                        <v:imagedata o:title=""/>
                        <o:lock v:ext="edit" aspectratio="f"/>
                        <v:textbox>
                          <w:txbxContent>
                            <w:p>
                              <w:pPr>
                                <w:jc w:val="center"/>
                                <w:rPr>
                                  <w:rFonts w:hint="eastAsia"/>
                                  <w:szCs w:val="21"/>
                                </w:rPr>
                              </w:pPr>
                              <w:r>
                                <w:rPr>
                                  <w:rFonts w:hint="eastAsia"/>
                                  <w:szCs w:val="21"/>
                                </w:rPr>
                                <w:t>污泥平衡池</w:t>
                              </w:r>
                            </w:p>
                          </w:txbxContent>
                        </v:textbox>
                      </v:shape>
                      <v:shape id="_x0000_s1026" o:spid="_x0000_s1026" o:spt="202" type="#_x0000_t202" style="position:absolute;left:3755390;top:5212080;height:281305;width:777240;" filled="f" stroked="t" coordsize="21600,21600" o:gfxdata="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J7y650wAAAAYBAAAPAAAAAAAAAAEAIAAA&#10;ACIAAABkcnMvZG93bnJldi54bWxQSwECFAAUAAAACACHTuJAlQynFhECAAAaBAAADgAAAAAAAAAB&#10;ACAAAAAiAQAAZHJzL2Uyb0RvYy54bWxQSwUGAAAAAAYABgBZAQAApQUAAAAA&#10;">
                        <v:fill on="f" focussize="0,0"/>
                        <v:stroke color="#000000" joinstyle="miter"/>
                        <v:imagedata o:title=""/>
                        <o:lock v:ext="edit" aspectratio="f"/>
                        <v:textbox>
                          <w:txbxContent>
                            <w:p>
                              <w:pPr>
                                <w:jc w:val="center"/>
                                <w:rPr>
                                  <w:rFonts w:hint="eastAsia"/>
                                  <w:szCs w:val="21"/>
                                </w:rPr>
                              </w:pPr>
                              <w:r>
                                <w:rPr>
                                  <w:rFonts w:hint="eastAsia"/>
                                  <w:szCs w:val="21"/>
                                </w:rPr>
                                <w:t>脱水车间</w:t>
                              </w:r>
                            </w:p>
                          </w:txbxContent>
                        </v:textbox>
                      </v:shape>
                      <v:shape id="_x0000_s1026" o:spid="_x0000_s1026" o:spt="32" type="#_x0000_t32" style="position:absolute;left:4144009;top:3982720;height:394970;width:635;" filled="f" stroked="t" coordsize="21600,21600" o:gfxdata="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6Oz8LWAAAABgEAAA8AAAAA&#10;AAAAAQAgAAAAIgAAAGRycy9kb3ducmV2LnhtbFBLAQIUABQAAAAIAIdO4kD0aJFwFgIAAAAEAAAO&#10;AAAAAAAAAAEAIAAAACUBAABkcnMvZTJvRG9jLnhtbFBLBQYAAAAABgAGAFkBAACtBQAAAAA=&#10;">
                        <v:fill on="f" focussize="0,0"/>
                        <v:stroke color="#FF0000" joinstyle="round" dashstyle="dash" endarrow="block"/>
                        <v:imagedata o:title=""/>
                        <o:lock v:ext="edit" aspectratio="f"/>
                      </v:shape>
                      <v:shape id="_x0000_s1026" o:spid="_x0000_s1026" o:spt="32" type="#_x0000_t32" style="position:absolute;left:2193290;top:3258820;flip:y;height:4445;width:1649730;" filled="f" stroked="t" coordsize="21600,21600" o:gfxdata="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IJki3UAAAA&#10;BgEAAA8AAAAAAAAAAQAgAAAAIgAAAGRycy9kb3ducmV2LnhtbFBLAQIUABQAAAAIAIdO4kCHwljn&#10;IQIAAAwEAAAOAAAAAAAAAAEAIAAAACMBAABkcnMvZTJvRG9jLnhtbFBLBQYAAAAABgAGAFkBAAC2&#10;BQAAAAA=&#10;">
                        <v:fill on="f" focussize="0,0"/>
                        <v:stroke color="#00B0F0" joinstyle="round" dashstyle="dash" endarrow="block"/>
                        <v:imagedata o:title=""/>
                        <o:lock v:ext="edit" aspectratio="f"/>
                      </v:shape>
                      <v:shape id="_x0000_s1026" o:spid="_x0000_s1026" o:spt="33" type="#_x0000_t33" style="position:absolute;left:3675380;top:2706370;height:411480;width:470535;" filled="f" stroked="t" coordsize="21600,21600" o:gfxdata="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IAoytYAAAAGAQAADwAA&#10;AAAAAAABACAAAAAiAAAAZHJzL2Rvd25yZXYueG1sUEsBAhQAFAAAAAgAh07iQIsbdGsYAgAAAwQA&#10;AA4AAAAAAAAAAQAgAAAAJQEAAGRycy9lMm9Eb2MueG1sUEsFBgAAAAAGAAYAWQEAAK8FAAAAAA==&#10;">
                        <v:fill on="f" focussize="0,0"/>
                        <v:stroke color="#00B0F0" joinstyle="miter" dashstyle="dash" endarrow="block"/>
                        <v:imagedata o:title=""/>
                        <o:lock v:ext="edit" aspectratio="f"/>
                      </v:shape>
                      <v:shape id="_x0000_s1026" o:spid="_x0000_s1026" o:spt="202" type="#_x0000_t202" style="position:absolute;left:2372995;top:3037205;height:295275;width:74866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UTVNS0wAAAAYBAAAPAAAAAAAAAAEAIAAAACIAAABkcnMvZG93bnJldi54bWxQSwECFAAUAAAA&#10;CACHTuJAX7MyBroBAABdAwAADgAAAAAAAAABACAAAAAiAQAAZHJzL2Uyb0RvYy54bWxQSwUGAAAA&#10;AAYABgBZAQAATgUAAAAA&#10;">
                        <v:fill on="f" focussize="0,0"/>
                        <v:stroke on="f"/>
                        <v:imagedata o:title=""/>
                        <o:lock v:ext="edit" aspectratio="f"/>
                        <v:textbox>
                          <w:txbxContent>
                            <w:p>
                              <w:pPr>
                                <w:rPr>
                                  <w:rFonts w:hint="eastAsia"/>
                                  <w:color w:val="00B0F0"/>
                                  <w:szCs w:val="21"/>
                                </w:rPr>
                              </w:pPr>
                              <w:r>
                                <w:rPr>
                                  <w:rFonts w:hint="eastAsia"/>
                                  <w:color w:val="00B0F0"/>
                                  <w:szCs w:val="21"/>
                                </w:rPr>
                                <w:t>排泥水</w:t>
                              </w:r>
                            </w:p>
                          </w:txbxContent>
                        </v:textbox>
                      </v:shape>
                      <v:shape id="_x0000_s1026" o:spid="_x0000_s1026" o:spt="32" type="#_x0000_t32" style="position:absolute;left:4144009;top:3399155;flip:x;height:302260;width:1905;" filled="f" stroked="t" coordsize="21600,21600" o:gfxdata="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yi8jdQAAAAG&#10;AQAADwAAAAAAAAABACAAAAAiAAAAZHJzL2Rvd25yZXYueG1sUEsBAhQAFAAAAAgAh07iQNUs04og&#10;AgAACwQAAA4AAAAAAAAAAQAgAAAAIwEAAGRycy9lMm9Eb2MueG1sUEsFBgAAAAAGAAYAWQEAALUF&#10;AAAAAA==&#10;">
                        <v:fill on="f" focussize="0,0"/>
                        <v:stroke color="#FF0000" joinstyle="round" dashstyle="dash" endarrow="block"/>
                        <v:imagedata o:title=""/>
                        <o:lock v:ext="edit" aspectratio="f"/>
                      </v:shape>
                      <v:shape id="_x0000_s1026" o:spid="_x0000_s1026" o:spt="32" type="#_x0000_t32" style="position:absolute;left:4144009;top:4811395;height:400685;width:635;" filled="f" stroked="t" coordsize="21600,21600" o:gfxdata="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6Oz8LWAAAABgEAAA8AAAAA&#10;AAAAAQAgAAAAIgAAAGRycy9kb3ducmV2LnhtbFBLAQIUABQAAAAIAIdO4kAEJZD+FgIAAAAEAAAO&#10;AAAAAAAAAAEAIAAAACUBAABkcnMvZTJvRG9jLnhtbFBLBQYAAAAABgAGAFkBAACtBQAAAAA=&#10;">
                        <v:fill on="f" focussize="0,0"/>
                        <v:stroke color="#FF0000" joinstyle="round" dashstyle="dash" endarrow="block"/>
                        <v:imagedata o:title=""/>
                        <o:lock v:ext="edit" aspectratio="f"/>
                      </v:shape>
                      <v:shape id="_x0000_s1026" o:spid="_x0000_s1026" o:spt="202" type="#_x0000_t202" style="position:absolute;left:4408805;top:1134110;height:626745;width:62738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A/KmLwuQEAAF0DAAAOAAAAAAAAAAEAIAAAACIBAABkcnMvZTJvRG9jLnhtbFBLBQYAAAAA&#10;BgAGAFkBAABNBQAAAAA=&#10;">
                        <v:fill on="f" focussize="0,0"/>
                        <v:stroke on="f"/>
                        <v:imagedata o:title=""/>
                        <o:lock v:ext="edit" aspectratio="f"/>
                        <v:textbox>
                          <w:txbxContent>
                            <w:p>
                              <w:pPr>
                                <w:rPr>
                                  <w:rFonts w:hint="eastAsia"/>
                                  <w:color w:val="00B050"/>
                                  <w:szCs w:val="21"/>
                                </w:rPr>
                              </w:pPr>
                              <w:r>
                                <w:rPr>
                                  <w:rFonts w:hint="eastAsia"/>
                                  <w:color w:val="00B050"/>
                                  <w:szCs w:val="21"/>
                                </w:rPr>
                                <w:t>接入城镇污水处理厂</w:t>
                              </w:r>
                            </w:p>
                          </w:txbxContent>
                        </v:textbox>
                      </v:shape>
                      <v:shape id="_x0000_s1026" o:spid="_x0000_s1026" o:spt="33" type="#_x0000_t33" style="position:absolute;left:4446905;top:1760855;flip:y;height:2081530;width:275590;" filled="f" stroked="t" coordsize="21600,21600" o:gfxdata="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vCKSGdIAAAAG&#10;AQAADwAAAAAAAAABACAAAAAiAAAAZHJzL2Rvd25yZXYueG1sUEsBAhQAFAAAAAgAh07iQA/AKfUi&#10;AgAADgQAAA4AAAAAAAAAAQAgAAAAIQEAAGRycy9lMm9Eb2MueG1sUEsFBgAAAAAGAAYAWQEAALUF&#10;AAAAAA==&#10;">
                        <v:fill on="f" focussize="0,0"/>
                        <v:stroke color="#00B050" joinstyle="miter" dashstyle="dash" endarrow="block"/>
                        <v:imagedata o:title=""/>
                        <o:lock v:ext="edit" aspectratio="f"/>
                      </v:shape>
                      <v:shape id="_x0000_s1026" o:spid="_x0000_s1026" o:spt="202" type="#_x0000_t202" style="position:absolute;left:4359910;top:3607434;height:295275;width:62547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RNU1LTAAAABgEAAA8AAAAAAAAAAQAgAAAAIgAAAGRycy9kb3ducmV2LnhtbFBLAQIUABQAAAAI&#10;AIdO4kClVy58uQEAAF0DAAAOAAAAAAAAAAEAIAAAACIBAABkcnMvZTJvRG9jLnhtbFBLBQYAAAAA&#10;BgAGAFkBAABNBQAAAAA=&#10;">
                        <v:fill on="f" focussize="0,0"/>
                        <v:stroke on="f"/>
                        <v:imagedata o:title=""/>
                        <o:lock v:ext="edit" aspectratio="f"/>
                        <v:textbox>
                          <w:txbxContent>
                            <w:p>
                              <w:pPr>
                                <w:rPr>
                                  <w:rFonts w:hint="eastAsia"/>
                                  <w:color w:val="00B050"/>
                                  <w:szCs w:val="21"/>
                                </w:rPr>
                              </w:pPr>
                              <w:r>
                                <w:rPr>
                                  <w:rFonts w:hint="eastAsia"/>
                                  <w:color w:val="00B050"/>
                                  <w:szCs w:val="21"/>
                                </w:rPr>
                                <w:t>上清液</w:t>
                              </w:r>
                            </w:p>
                          </w:txbxContent>
                        </v:textbox>
                      </v:shape>
                      <v:shape id="_x0000_s1026" o:spid="_x0000_s1026" o:spt="202" type="#_x0000_t202" style="position:absolute;left:3728085;top:3394710;height:295275;width:62547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E1TUtMAAAAGAQAADwAAAAAAAAABACAAAAAiAAAAZHJzL2Rvd25yZXYueG1sUEsBAhQAFAAAAAgA&#10;h07iQIsDgSu4AQAAXQMAAA4AAAAAAAAAAQAgAAAAIgEAAGRycy9lMm9Eb2MueG1sUEsFBgAAAAAG&#10;AAYAWQEAAEwFAAAAAA==&#10;">
                        <v:fill on="f" focussize="0,0"/>
                        <v:stroke on="f"/>
                        <v:imagedata o:title=""/>
                        <o:lock v:ext="edit" aspectratio="f"/>
                        <v:textbox>
                          <w:txbxContent>
                            <w:p>
                              <w:pPr>
                                <w:rPr>
                                  <w:rFonts w:hint="eastAsia"/>
                                  <w:color w:val="FF0000"/>
                                  <w:szCs w:val="21"/>
                                </w:rPr>
                              </w:pPr>
                              <w:r>
                                <w:rPr>
                                  <w:rFonts w:hint="eastAsia"/>
                                  <w:color w:val="FF0000"/>
                                  <w:szCs w:val="21"/>
                                </w:rPr>
                                <w:t>污泥</w:t>
                              </w:r>
                            </w:p>
                          </w:txbxContent>
                        </v:textbox>
                      </v:shape>
                      <v:shape id="_x0000_s1026" o:spid="_x0000_s1026" o:spt="202" type="#_x0000_t202" style="position:absolute;left:3756660;top:4023359;height:295276;width:62547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UTVNS0wAAAAYBAAAPAAAAAAAAAAEAIAAAACIAAABkcnMvZG93bnJldi54bWxQSwECFAAUAAAA&#10;CACHTuJAbQsG77oBAABdAwAADgAAAAAAAAABACAAAAAiAQAAZHJzL2Uyb0RvYy54bWxQSwUGAAAA&#10;AAYABgBZAQAATgUAAAAA&#10;">
                        <v:fill on="f" focussize="0,0"/>
                        <v:stroke on="f"/>
                        <v:imagedata o:title=""/>
                        <o:lock v:ext="edit" aspectratio="f"/>
                        <v:textbox>
                          <w:txbxContent>
                            <w:p>
                              <w:pPr>
                                <w:rPr>
                                  <w:rFonts w:hint="eastAsia"/>
                                  <w:color w:val="FF0000"/>
                                  <w:szCs w:val="21"/>
                                </w:rPr>
                              </w:pPr>
                              <w:r>
                                <w:rPr>
                                  <w:rFonts w:hint="eastAsia"/>
                                  <w:color w:val="FF0000"/>
                                  <w:szCs w:val="21"/>
                                </w:rPr>
                                <w:t>污泥</w:t>
                              </w:r>
                            </w:p>
                          </w:txbxContent>
                        </v:textbox>
                      </v:shape>
                      <v:shape id="_x0000_s1026" o:spid="_x0000_s1026" o:spt="34" type="#_x0000_t34" style="position:absolute;left:3755390;top:3354070;flip:x;height:2027555;width:87630;rotation:11796480f;" filled="f" stroked="t" coordsize="21600,21600" o:gfxdata="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Fjtn1QAAAAYBAAAPAAAAAAAAAAEAIAAAACIAAABk&#10;cnMvZG93bnJldi54bWxQSwECFAAUAAAACACHTuJAETJ0tEICAABMBAAADgAAAAAAAAABACAAAAAk&#10;AQAAZHJzL2Uyb0RvYy54bWxQSwUGAAAAAAYABgBZAQAA2AUAAAAA&#10;" adj="-56348">
                        <v:fill on="f" focussize="0,0"/>
                        <v:stroke color="#FF0000" joinstyle="miter" dashstyle="dash" endarrow="block"/>
                        <v:imagedata o:title=""/>
                        <o:lock v:ext="edit" aspectratio="f"/>
                      </v:shape>
                      <v:shape id="_x0000_s1026" o:spid="_x0000_s1026" o:spt="202" type="#_x0000_t202" style="position:absolute;left:3755390;top:5755005;height:281305;width:777240;"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E1TUtMAAAAGAQAADwAAAAAAAAABACAAAAAiAAAAZHJzL2Rvd25yZXYueG1sUEsBAhQAFAAAAAgA&#10;h07iQHmrcZ24AQAAXQMAAA4AAAAAAAAAAQAgAAAAIgEAAGRycy9lMm9Eb2MueG1sUEsFBgAAAAAG&#10;AAYAWQEAAEwFAAAAAA==&#10;">
                        <v:fill on="f" focussize="0,0"/>
                        <v:stroke on="f"/>
                        <v:imagedata o:title=""/>
                        <o:lock v:ext="edit" aspectratio="f"/>
                        <v:textbox>
                          <w:txbxContent>
                            <w:p>
                              <w:pPr>
                                <w:jc w:val="center"/>
                                <w:rPr>
                                  <w:rFonts w:hint="eastAsia"/>
                                  <w:szCs w:val="21"/>
                                </w:rPr>
                              </w:pPr>
                              <w:r>
                                <w:rPr>
                                  <w:rFonts w:hint="eastAsia"/>
                                  <w:szCs w:val="21"/>
                                </w:rPr>
                                <w:t>泥饼外运</w:t>
                              </w:r>
                            </w:p>
                          </w:txbxContent>
                        </v:textbox>
                      </v:shape>
                      <v:shape id="_x0000_s1026" o:spid="_x0000_s1026" o:spt="32" type="#_x0000_t32" style="position:absolute;left:4144009;top:5493385;height:261620;width:635;" filled="f" stroked="t" coordsize="21600,21600" o:gfxdata="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js/C1gAAAAYBAAAP&#10;AAAAAAAAAAEAIAAAACIAAABkcnMvZG93bnJldi54bWxQSwECFAAUAAAACACHTuJA9UuxRBoCAAAA&#10;BAAADgAAAAAAAAABACAAAAAlAQAAZHJzL2Uyb0RvYy54bWxQSwUGAAAAAAYABgBZAQAAsQUAAAAA&#10;">
                        <v:fill on="f" focussize="0,0"/>
                        <v:stroke color="#FF0000" joinstyle="round" dashstyle="dash" endarrow="block"/>
                        <v:imagedata o:title=""/>
                        <o:lock v:ext="edit" aspectratio="f"/>
                      </v:shape>
                      <v:shape id="_x0000_s1026" o:spid="_x0000_s1026" o:spt="202" type="#_x0000_t202" style="position:absolute;left:3248660;top:4568190;height:684530;width:358775;" filled="f" stroked="f" coordsize="21600,21600" o:gfxdata="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UTVNS0wAAAAYBAAAPAAAAAAAAAAEAIAAAACIAAABkcnMvZG93bnJldi54bWxQSwECFAAUAAAA&#10;CACHTuJA/7tPsboBAABdAwAADgAAAAAAAAABACAAAAAiAQAAZHJzL2Uyb0RvYy54bWxQSwUGAAAA&#10;AAYABgBZAQAATgUAAAAA&#10;">
                        <v:fill on="f" focussize="0,0"/>
                        <v:stroke on="f"/>
                        <v:imagedata o:title=""/>
                        <o:lock v:ext="edit" aspectratio="f"/>
                        <v:textbox>
                          <w:txbxContent>
                            <w:p>
                              <w:pPr>
                                <w:rPr>
                                  <w:rFonts w:hint="eastAsia"/>
                                  <w:color w:val="FF0000"/>
                                  <w:szCs w:val="21"/>
                                </w:rPr>
                              </w:pPr>
                              <w:r>
                                <w:rPr>
                                  <w:rFonts w:hint="eastAsia"/>
                                  <w:color w:val="FF0000"/>
                                  <w:szCs w:val="21"/>
                                </w:rPr>
                                <w:t>分离水</w:t>
                              </w:r>
                            </w:p>
                          </w:txbxContent>
                        </v:textbox>
                      </v:shape>
                      <w10:wrap type="none"/>
                      <w10:anchorlock/>
                    </v:group>
                  </w:pict>
                </mc:Fallback>
              </mc:AlternateContent>
            </w:r>
          </w:p>
          <w:p>
            <w:pPr>
              <w:spacing w:line="360" w:lineRule="auto"/>
              <w:ind w:firstLine="482" w:firstLineChars="200"/>
              <w:rPr>
                <w:b/>
                <w:sz w:val="24"/>
              </w:rPr>
            </w:pPr>
            <w:r>
              <w:rPr>
                <w:rFonts w:hint="eastAsia"/>
                <w:b/>
                <w:sz w:val="24"/>
              </w:rPr>
              <w:t>工艺简述：</w:t>
            </w:r>
          </w:p>
          <w:p>
            <w:pPr>
              <w:pStyle w:val="183"/>
              <w:rPr>
                <w:rFonts w:hint="eastAsia"/>
                <w:kern w:val="0"/>
              </w:rPr>
            </w:pPr>
            <w:r>
              <w:rPr>
                <w:rFonts w:hint="eastAsia"/>
                <w:kern w:val="0"/>
              </w:rPr>
              <w:t>自来水厂采用絮凝沉淀</w:t>
            </w:r>
            <w:r>
              <w:rPr>
                <w:rFonts w:ascii="TimesNewRomanPSMT" w:eastAsia="TimesNewRomanPSMT" w:cs="TimesNewRomanPSMT"/>
                <w:kern w:val="0"/>
              </w:rPr>
              <w:t>+</w:t>
            </w:r>
            <w:r>
              <w:rPr>
                <w:rFonts w:hint="eastAsia"/>
                <w:kern w:val="0"/>
              </w:rPr>
              <w:t>气水反冲洗工艺。</w:t>
            </w:r>
            <w:r>
              <w:rPr>
                <w:rStyle w:val="42"/>
                <w:rFonts w:hint="eastAsia"/>
              </w:rPr>
              <w:t>原水由提水泵站提升（或由高压水池）通过压力输水管道进入配水井，</w:t>
            </w:r>
            <w:r>
              <w:rPr>
                <w:rFonts w:hint="eastAsia"/>
                <w:kern w:val="0"/>
              </w:rPr>
              <w:t>之后进入絮凝反应斜管沉淀池，反应沉淀池加 PAC 聚合氯化铝沉淀，池底排泥，上清液进入单阀气水反冲洗滤池，滤后清水在清水池进行加二氧化氯消毒后通过送水泵房输入输水管网，配给用户。</w:t>
            </w:r>
            <w:r>
              <w:rPr>
                <w:color w:val="000000"/>
              </w:rPr>
              <w:t>同时，在净水厂内设有污泥处理系统。</w:t>
            </w:r>
          </w:p>
          <w:p>
            <w:pPr>
              <w:snapToGrid w:val="0"/>
              <w:spacing w:line="360" w:lineRule="auto"/>
              <w:ind w:firstLine="480" w:firstLineChars="200"/>
              <w:jc w:val="left"/>
              <w:rPr>
                <w:color w:val="000000"/>
                <w:sz w:val="24"/>
              </w:rPr>
            </w:pPr>
            <w:r>
              <w:rPr>
                <w:rFonts w:hint="eastAsia"/>
                <w:color w:val="000000"/>
                <w:sz w:val="24"/>
              </w:rPr>
              <w:t>二氧化氯</w:t>
            </w:r>
            <w:r>
              <w:rPr>
                <w:rFonts w:hint="eastAsia"/>
                <w:bCs/>
                <w:sz w:val="24"/>
              </w:rPr>
              <w:t>发生器原理：</w:t>
            </w:r>
            <w:r>
              <w:rPr>
                <w:bCs/>
                <w:sz w:val="24"/>
              </w:rPr>
              <w:t>通过计量泵（输送原料及调节流量）将氯酸钠水溶液与盐酸溶液输送到反应器内，两者混合后，在一定的温度和负压下进行充分反应，产出物以二氧化氯为主。然后，经水射器的吸收与水充分混合后形成消毒液，输入到需要消毒的水中。</w:t>
            </w:r>
          </w:p>
          <w:p>
            <w:pPr>
              <w:pStyle w:val="4"/>
              <w:snapToGrid w:val="0"/>
              <w:spacing w:before="0" w:after="0" w:line="360" w:lineRule="auto"/>
              <w:ind w:firstLine="480" w:firstLineChars="200"/>
              <w:rPr>
                <w:b w:val="0"/>
                <w:sz w:val="24"/>
                <w:szCs w:val="24"/>
              </w:rPr>
            </w:pPr>
            <w:r>
              <w:rPr>
                <w:rFonts w:ascii="宋体" w:hAnsi="宋体"/>
                <w:b w:val="0"/>
                <w:bCs w:val="0"/>
                <w:color w:val="333333"/>
                <w:sz w:val="24"/>
                <w:szCs w:val="24"/>
                <w:shd w:val="clear" w:color="auto" w:fill="FFFFFF"/>
              </w:rPr>
              <w:t>2NaClO</w:t>
            </w:r>
            <w:r>
              <w:rPr>
                <w:rFonts w:ascii="宋体" w:hAnsi="宋体"/>
                <w:b w:val="0"/>
                <w:bCs w:val="0"/>
                <w:color w:val="333333"/>
                <w:sz w:val="24"/>
                <w:szCs w:val="24"/>
                <w:shd w:val="clear" w:color="auto" w:fill="FFFFFF"/>
                <w:vertAlign w:val="subscript"/>
              </w:rPr>
              <w:t>3</w:t>
            </w:r>
            <w:r>
              <w:rPr>
                <w:rFonts w:ascii="宋体" w:hAnsi="宋体"/>
                <w:b w:val="0"/>
                <w:bCs w:val="0"/>
                <w:color w:val="333333"/>
                <w:sz w:val="24"/>
                <w:szCs w:val="24"/>
                <w:shd w:val="clear" w:color="auto" w:fill="FFFFFF"/>
              </w:rPr>
              <w:t>+4HCl=2ClO</w:t>
            </w:r>
            <w:r>
              <w:rPr>
                <w:rFonts w:ascii="宋体" w:hAnsi="宋体"/>
                <w:b w:val="0"/>
                <w:bCs w:val="0"/>
                <w:color w:val="333333"/>
                <w:sz w:val="24"/>
                <w:szCs w:val="24"/>
                <w:shd w:val="clear" w:color="auto" w:fill="FFFFFF"/>
                <w:vertAlign w:val="subscript"/>
              </w:rPr>
              <w:t>2</w:t>
            </w:r>
            <w:r>
              <w:rPr>
                <w:rFonts w:ascii="宋体" w:hAnsi="宋体"/>
                <w:b w:val="0"/>
                <w:bCs w:val="0"/>
                <w:color w:val="333333"/>
                <w:sz w:val="24"/>
                <w:szCs w:val="24"/>
                <w:shd w:val="clear" w:color="auto" w:fill="FFFFFF"/>
              </w:rPr>
              <w:t>+ Cl</w:t>
            </w:r>
            <w:r>
              <w:rPr>
                <w:rFonts w:ascii="宋体" w:hAnsi="宋体"/>
                <w:b w:val="0"/>
                <w:bCs w:val="0"/>
                <w:color w:val="333333"/>
                <w:sz w:val="24"/>
                <w:szCs w:val="24"/>
                <w:shd w:val="clear" w:color="auto" w:fill="FFFFFF"/>
                <w:vertAlign w:val="subscript"/>
              </w:rPr>
              <w:t>2</w:t>
            </w:r>
            <w:r>
              <w:rPr>
                <w:rFonts w:ascii="宋体" w:hAnsi="宋体"/>
                <w:b w:val="0"/>
                <w:bCs w:val="0"/>
                <w:color w:val="333333"/>
                <w:sz w:val="24"/>
                <w:szCs w:val="24"/>
                <w:shd w:val="clear" w:color="auto" w:fill="FFFFFF"/>
              </w:rPr>
              <w:t>+2NaCl+2H</w:t>
            </w:r>
            <w:r>
              <w:rPr>
                <w:rFonts w:ascii="宋体" w:hAnsi="宋体"/>
                <w:b w:val="0"/>
                <w:bCs w:val="0"/>
                <w:color w:val="333333"/>
                <w:sz w:val="24"/>
                <w:szCs w:val="24"/>
                <w:shd w:val="clear" w:color="auto" w:fill="FFFFFF"/>
                <w:vertAlign w:val="subscript"/>
              </w:rPr>
              <w:t>2</w:t>
            </w:r>
            <w:r>
              <w:rPr>
                <w:rFonts w:ascii="宋体" w:hAnsi="宋体"/>
                <w:b w:val="0"/>
                <w:bCs w:val="0"/>
                <w:color w:val="333333"/>
                <w:sz w:val="24"/>
                <w:szCs w:val="24"/>
                <w:shd w:val="clear" w:color="auto" w:fill="FFFFFF"/>
              </w:rPr>
              <w:t>O</w:t>
            </w:r>
          </w:p>
          <w:p>
            <w:pPr>
              <w:spacing w:line="360" w:lineRule="auto"/>
              <w:ind w:firstLine="480" w:firstLineChars="200"/>
              <w:jc w:val="left"/>
              <w:rPr>
                <w:rFonts w:hint="eastAsia"/>
                <w:color w:val="000000"/>
                <w:sz w:val="24"/>
              </w:rPr>
            </w:pPr>
            <w:r>
              <w:rPr>
                <w:color w:val="000000"/>
                <w:sz w:val="24"/>
              </w:rPr>
              <w:t>水厂的生产废水主要为：沉淀池</w:t>
            </w:r>
            <w:r>
              <w:rPr>
                <w:rFonts w:hint="eastAsia"/>
                <w:color w:val="000000"/>
                <w:sz w:val="24"/>
              </w:rPr>
              <w:t>、反冲洗回收水池、清水池</w:t>
            </w:r>
            <w:r>
              <w:rPr>
                <w:color w:val="000000"/>
                <w:sz w:val="24"/>
              </w:rPr>
              <w:t>排泥水</w:t>
            </w:r>
            <w:r>
              <w:rPr>
                <w:rFonts w:hint="eastAsia"/>
                <w:color w:val="000000"/>
                <w:sz w:val="24"/>
              </w:rPr>
              <w:t>以及</w:t>
            </w:r>
            <w:r>
              <w:rPr>
                <w:color w:val="000000"/>
                <w:sz w:val="24"/>
              </w:rPr>
              <w:t>滤池反冲洗废水。排泥水进入排泥池，排泥池水进污泥浓缩池浓缩处理，浓缩后</w:t>
            </w:r>
            <w:r>
              <w:rPr>
                <w:rFonts w:hint="eastAsia"/>
                <w:color w:val="000000"/>
                <w:sz w:val="24"/>
              </w:rPr>
              <w:t>上清液通过管网排至城镇污水处理厂</w:t>
            </w:r>
            <w:r>
              <w:rPr>
                <w:color w:val="000000"/>
                <w:sz w:val="24"/>
              </w:rPr>
              <w:t>；滤池的反冲洗废水进入</w:t>
            </w:r>
            <w:r>
              <w:rPr>
                <w:rFonts w:hint="eastAsia"/>
                <w:color w:val="000000"/>
                <w:sz w:val="24"/>
              </w:rPr>
              <w:t>反冲洗水回收池</w:t>
            </w:r>
            <w:r>
              <w:rPr>
                <w:color w:val="000000"/>
                <w:sz w:val="24"/>
              </w:rPr>
              <w:t>，</w:t>
            </w:r>
            <w:r>
              <w:rPr>
                <w:rFonts w:hint="eastAsia"/>
                <w:color w:val="000000"/>
                <w:sz w:val="24"/>
              </w:rPr>
              <w:t>上清液</w:t>
            </w:r>
            <w:r>
              <w:rPr>
                <w:color w:val="000000"/>
                <w:sz w:val="24"/>
              </w:rPr>
              <w:t>进入</w:t>
            </w:r>
            <w:r>
              <w:rPr>
                <w:rFonts w:hint="eastAsia"/>
                <w:color w:val="000000"/>
                <w:sz w:val="24"/>
              </w:rPr>
              <w:t>配水井回用于生产；污泥处理工艺流程采用高效浓缩池+离心脱水的工艺，脱水后的污泥外运，污泥处理工艺产生废水循环至排泥池处理</w:t>
            </w:r>
            <w:r>
              <w:rPr>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3" w:type="dxa"/>
            <w:noWrap w:val="0"/>
            <w:vAlign w:val="center"/>
          </w:tcPr>
          <w:p>
            <w:pPr>
              <w:pStyle w:val="34"/>
              <w:adjustRightInd w:val="0"/>
              <w:snapToGrid w:val="0"/>
              <w:spacing w:before="0" w:beforeAutospacing="0" w:after="0" w:afterAutospacing="0"/>
              <w:jc w:val="center"/>
              <w:rPr>
                <w:rFonts w:cs="宋体"/>
                <w:sz w:val="21"/>
                <w:szCs w:val="21"/>
              </w:rPr>
            </w:pPr>
            <w:r>
              <w:rPr>
                <w:rFonts w:hint="eastAsia" w:cs="宋体"/>
                <w:bCs/>
                <w:kern w:val="2"/>
                <w:sz w:val="21"/>
                <w:szCs w:val="21"/>
              </w:rPr>
              <w:t>与项目有关的原有环境污染问题</w:t>
            </w:r>
          </w:p>
        </w:tc>
        <w:tc>
          <w:tcPr>
            <w:tcW w:w="8161" w:type="dxa"/>
            <w:noWrap w:val="0"/>
            <w:vAlign w:val="top"/>
          </w:tcPr>
          <w:p>
            <w:pPr>
              <w:pStyle w:val="183"/>
              <w:rPr>
                <w:rFonts w:hint="eastAsia"/>
              </w:rPr>
            </w:pPr>
            <w:r>
              <w:rPr>
                <w:rFonts w:hint="eastAsia"/>
              </w:rPr>
              <w:t xml:space="preserve">本项目为新建项目，位于农村地区，占地主要为林地、耕地、交通运输用地等，根据现场踏勘，项目所在地无原有环境污染问题。 </w:t>
            </w:r>
          </w:p>
          <w:p>
            <w:pPr>
              <w:wordWrap w:val="0"/>
              <w:adjustRightInd w:val="0"/>
              <w:snapToGrid w:val="0"/>
              <w:spacing w:line="360" w:lineRule="auto"/>
              <w:ind w:firstLine="480" w:firstLineChars="200"/>
              <w:jc w:val="left"/>
              <w:rPr>
                <w:sz w:val="24"/>
              </w:rPr>
            </w:pPr>
          </w:p>
        </w:tc>
      </w:tr>
    </w:tbl>
    <w:p>
      <w:pPr>
        <w:pStyle w:val="34"/>
        <w:jc w:val="center"/>
        <w:rPr>
          <w:rFonts w:ascii="黑体" w:hAnsi="黑体" w:eastAsia="黑体"/>
          <w:snapToGrid w:val="0"/>
          <w:sz w:val="36"/>
          <w:szCs w:val="36"/>
        </w:rPr>
        <w:sectPr>
          <w:pgSz w:w="11906" w:h="16838"/>
          <w:pgMar w:top="1797" w:right="1440" w:bottom="1797" w:left="1440" w:header="851" w:footer="851" w:gutter="0"/>
          <w:cols w:space="720" w:num="1"/>
          <w:docGrid w:linePitch="312" w:charSpace="0"/>
        </w:sectPr>
      </w:pPr>
    </w:p>
    <w:p>
      <w:pPr>
        <w:pStyle w:val="34"/>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83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33"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区域</w:t>
            </w:r>
          </w:p>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质量</w:t>
            </w:r>
          </w:p>
          <w:p>
            <w:pPr>
              <w:adjustRightInd w:val="0"/>
              <w:snapToGrid w:val="0"/>
              <w:jc w:val="center"/>
              <w:rPr>
                <w:rFonts w:ascii="宋体" w:hAnsi="宋体" w:cs="宋体"/>
                <w:kern w:val="0"/>
                <w:szCs w:val="21"/>
              </w:rPr>
            </w:pPr>
            <w:r>
              <w:rPr>
                <w:rFonts w:hint="eastAsia" w:ascii="宋体" w:hAnsi="宋体" w:cs="宋体"/>
                <w:kern w:val="0"/>
                <w:szCs w:val="21"/>
              </w:rPr>
              <w:t>现状</w:t>
            </w:r>
          </w:p>
        </w:tc>
        <w:tc>
          <w:tcPr>
            <w:tcW w:w="8350" w:type="dxa"/>
            <w:noWrap w:val="0"/>
            <w:vAlign w:val="center"/>
          </w:tcPr>
          <w:p>
            <w:pPr>
              <w:pStyle w:val="183"/>
              <w:ind w:firstLine="482"/>
              <w:rPr>
                <w:rFonts w:hint="eastAsia"/>
                <w:b/>
                <w:kern w:val="0"/>
              </w:rPr>
            </w:pPr>
            <w:r>
              <w:rPr>
                <w:rFonts w:hint="eastAsia"/>
                <w:b/>
                <w:kern w:val="0"/>
              </w:rPr>
              <w:t>1、环境空气质量现状</w:t>
            </w:r>
          </w:p>
          <w:p>
            <w:pPr>
              <w:wordWrap w:val="0"/>
              <w:adjustRightInd w:val="0"/>
              <w:spacing w:line="360" w:lineRule="auto"/>
              <w:ind w:firstLine="480" w:firstLineChars="200"/>
              <w:rPr>
                <w:bCs/>
                <w:color w:val="000000"/>
                <w:sz w:val="24"/>
              </w:rPr>
            </w:pPr>
            <w:r>
              <w:rPr>
                <w:rFonts w:hint="eastAsia"/>
                <w:bCs/>
                <w:color w:val="000000"/>
                <w:sz w:val="24"/>
              </w:rPr>
              <w:t>本项目位于乐山市市中区岷东片区，</w:t>
            </w:r>
            <w:r>
              <w:rPr>
                <w:bCs/>
                <w:color w:val="000000"/>
                <w:sz w:val="24"/>
              </w:rPr>
              <w:t>项目所在环境空气功能区属二类区，环境空气质量现状评价采用《环境空气质量标准》（GB3095-2012）及其修改单（生态环境部2018年第29号）中的二级标准。</w:t>
            </w:r>
            <w:r>
              <w:rPr>
                <w:rFonts w:hint="eastAsia"/>
                <w:bCs/>
                <w:color w:val="000000"/>
                <w:sz w:val="24"/>
              </w:rPr>
              <w:t>根据乐山市市中区人民政府网站上公布的《2020年乐山市市中区环境质量公报》（网址：</w:t>
            </w:r>
            <w:r>
              <w:rPr>
                <w:bCs/>
                <w:color w:val="000000"/>
                <w:sz w:val="24"/>
              </w:rPr>
              <w:t>http://www.lsszq.gov.cn/zfxxgk/gcontent.shtml?id=20210809165512-856981-00-000</w:t>
            </w:r>
            <w:r>
              <w:rPr>
                <w:rFonts w:hint="eastAsia"/>
                <w:bCs/>
                <w:color w:val="000000"/>
                <w:sz w:val="24"/>
              </w:rPr>
              <w:t>），乐山市市中区环境空气监测情况如下表。</w:t>
            </w:r>
          </w:p>
          <w:p>
            <w:pPr>
              <w:adjustRightInd w:val="0"/>
              <w:jc w:val="center"/>
              <w:rPr>
                <w:b/>
                <w:color w:val="000000"/>
                <w:szCs w:val="21"/>
              </w:rPr>
            </w:pPr>
            <w:r>
              <w:rPr>
                <w:b/>
                <w:color w:val="000000"/>
                <w:szCs w:val="21"/>
              </w:rPr>
              <w:t>表3-1</w:t>
            </w:r>
            <w:r>
              <w:rPr>
                <w:rFonts w:hint="eastAsia"/>
                <w:b/>
                <w:color w:val="000000"/>
                <w:szCs w:val="21"/>
              </w:rPr>
              <w:t xml:space="preserve">  2020年乐山市市中区</w:t>
            </w:r>
            <w:r>
              <w:rPr>
                <w:b/>
                <w:color w:val="000000"/>
                <w:szCs w:val="21"/>
              </w:rPr>
              <w:t>环境空气质量主要指标 单位：µg/m</w:t>
            </w:r>
            <w:r>
              <w:rPr>
                <w:b/>
                <w:color w:val="000000"/>
                <w:szCs w:val="21"/>
                <w:vertAlign w:val="superscript"/>
              </w:rPr>
              <w:t>3</w:t>
            </w:r>
            <w:r>
              <w:rPr>
                <w:b/>
                <w:color w:val="000000"/>
                <w:szCs w:val="21"/>
              </w:rPr>
              <w:t>，CO：mg/m</w:t>
            </w:r>
            <w:r>
              <w:rPr>
                <w:b/>
                <w:color w:val="000000"/>
                <w:szCs w:val="21"/>
                <w:vertAlign w:val="superscript"/>
              </w:rPr>
              <w:t>3</w:t>
            </w:r>
          </w:p>
          <w:tbl>
            <w:tblPr>
              <w:tblStyle w:val="39"/>
              <w:tblW w:w="45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2884"/>
              <w:gridCol w:w="829"/>
              <w:gridCol w:w="825"/>
              <w:gridCol w:w="1052"/>
              <w:gridCol w:w="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640" w:type="pct"/>
                  <w:noWrap w:val="0"/>
                  <w:vAlign w:val="center"/>
                </w:tcPr>
                <w:p>
                  <w:pPr>
                    <w:pStyle w:val="182"/>
                    <w:rPr>
                      <w:b/>
                      <w:color w:val="000000"/>
                    </w:rPr>
                  </w:pPr>
                  <w:r>
                    <w:rPr>
                      <w:b/>
                      <w:color w:val="000000"/>
                    </w:rPr>
                    <w:t>污染物</w:t>
                  </w:r>
                </w:p>
              </w:tc>
              <w:tc>
                <w:tcPr>
                  <w:tcW w:w="1969" w:type="pct"/>
                  <w:noWrap w:val="0"/>
                  <w:vAlign w:val="center"/>
                </w:tcPr>
                <w:p>
                  <w:pPr>
                    <w:pStyle w:val="182"/>
                    <w:rPr>
                      <w:b/>
                      <w:color w:val="000000"/>
                    </w:rPr>
                  </w:pPr>
                  <w:r>
                    <w:rPr>
                      <w:b/>
                      <w:color w:val="000000"/>
                    </w:rPr>
                    <w:t>年评价指标</w:t>
                  </w:r>
                </w:p>
              </w:tc>
              <w:tc>
                <w:tcPr>
                  <w:tcW w:w="566" w:type="pct"/>
                  <w:noWrap w:val="0"/>
                  <w:vAlign w:val="center"/>
                </w:tcPr>
                <w:p>
                  <w:pPr>
                    <w:pStyle w:val="182"/>
                    <w:rPr>
                      <w:b/>
                      <w:color w:val="000000"/>
                    </w:rPr>
                  </w:pPr>
                  <w:r>
                    <w:rPr>
                      <w:b/>
                      <w:color w:val="000000"/>
                    </w:rPr>
                    <w:t>现状浓度</w:t>
                  </w:r>
                </w:p>
              </w:tc>
              <w:tc>
                <w:tcPr>
                  <w:tcW w:w="563" w:type="pct"/>
                  <w:noWrap w:val="0"/>
                  <w:vAlign w:val="center"/>
                </w:tcPr>
                <w:p>
                  <w:pPr>
                    <w:pStyle w:val="182"/>
                    <w:rPr>
                      <w:b/>
                      <w:color w:val="000000"/>
                    </w:rPr>
                  </w:pPr>
                  <w:r>
                    <w:rPr>
                      <w:b/>
                      <w:color w:val="000000"/>
                    </w:rPr>
                    <w:t>标准值</w:t>
                  </w:r>
                </w:p>
              </w:tc>
              <w:tc>
                <w:tcPr>
                  <w:tcW w:w="718" w:type="pct"/>
                  <w:noWrap w:val="0"/>
                  <w:vAlign w:val="center"/>
                </w:tcPr>
                <w:p>
                  <w:pPr>
                    <w:pStyle w:val="182"/>
                    <w:rPr>
                      <w:b/>
                      <w:color w:val="000000"/>
                    </w:rPr>
                  </w:pPr>
                  <w:r>
                    <w:rPr>
                      <w:b/>
                      <w:color w:val="000000"/>
                    </w:rPr>
                    <w:t>占标率（%）</w:t>
                  </w:r>
                </w:p>
              </w:tc>
              <w:tc>
                <w:tcPr>
                  <w:tcW w:w="544" w:type="pct"/>
                  <w:noWrap w:val="0"/>
                  <w:vAlign w:val="center"/>
                </w:tcPr>
                <w:p>
                  <w:pPr>
                    <w:pStyle w:val="182"/>
                    <w:rPr>
                      <w:b/>
                      <w:color w:val="000000"/>
                    </w:rPr>
                  </w:pPr>
                  <w:r>
                    <w:rPr>
                      <w:b/>
                      <w:color w:val="00000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40" w:type="pct"/>
                  <w:noWrap w:val="0"/>
                  <w:vAlign w:val="center"/>
                </w:tcPr>
                <w:p>
                  <w:pPr>
                    <w:pStyle w:val="182"/>
                    <w:rPr>
                      <w:color w:val="000000"/>
                    </w:rPr>
                  </w:pPr>
                  <w:r>
                    <w:rPr>
                      <w:color w:val="000000"/>
                    </w:rPr>
                    <w:t>SO</w:t>
                  </w:r>
                  <w:r>
                    <w:rPr>
                      <w:color w:val="000000"/>
                      <w:vertAlign w:val="subscript"/>
                    </w:rPr>
                    <w:t>2</w:t>
                  </w:r>
                </w:p>
              </w:tc>
              <w:tc>
                <w:tcPr>
                  <w:tcW w:w="1969" w:type="pct"/>
                  <w:noWrap w:val="0"/>
                  <w:vAlign w:val="center"/>
                </w:tcPr>
                <w:p>
                  <w:pPr>
                    <w:pStyle w:val="182"/>
                    <w:rPr>
                      <w:color w:val="000000"/>
                    </w:rPr>
                  </w:pPr>
                  <w:r>
                    <w:rPr>
                      <w:color w:val="000000"/>
                    </w:rPr>
                    <w:t>年平均质量浓度</w:t>
                  </w:r>
                </w:p>
              </w:tc>
              <w:tc>
                <w:tcPr>
                  <w:tcW w:w="566" w:type="pct"/>
                  <w:noWrap w:val="0"/>
                  <w:vAlign w:val="center"/>
                </w:tcPr>
                <w:p>
                  <w:pPr>
                    <w:pStyle w:val="182"/>
                    <w:rPr>
                      <w:color w:val="000000"/>
                    </w:rPr>
                  </w:pPr>
                  <w:r>
                    <w:rPr>
                      <w:color w:val="000000"/>
                    </w:rPr>
                    <w:t>6.1</w:t>
                  </w:r>
                </w:p>
              </w:tc>
              <w:tc>
                <w:tcPr>
                  <w:tcW w:w="563" w:type="pct"/>
                  <w:noWrap w:val="0"/>
                  <w:vAlign w:val="center"/>
                </w:tcPr>
                <w:p>
                  <w:pPr>
                    <w:pStyle w:val="182"/>
                    <w:rPr>
                      <w:color w:val="000000"/>
                    </w:rPr>
                  </w:pPr>
                  <w:r>
                    <w:rPr>
                      <w:color w:val="000000"/>
                    </w:rPr>
                    <w:t>60</w:t>
                  </w:r>
                </w:p>
              </w:tc>
              <w:tc>
                <w:tcPr>
                  <w:tcW w:w="718" w:type="pct"/>
                  <w:noWrap w:val="0"/>
                  <w:vAlign w:val="center"/>
                </w:tcPr>
                <w:p>
                  <w:pPr>
                    <w:pStyle w:val="182"/>
                    <w:rPr>
                      <w:color w:val="000000"/>
                    </w:rPr>
                  </w:pPr>
                  <w:r>
                    <w:rPr>
                      <w:color w:val="000000"/>
                    </w:rPr>
                    <w:t>10.17</w:t>
                  </w:r>
                </w:p>
              </w:tc>
              <w:tc>
                <w:tcPr>
                  <w:tcW w:w="544" w:type="pct"/>
                  <w:noWrap w:val="0"/>
                  <w:vAlign w:val="center"/>
                </w:tcPr>
                <w:p>
                  <w:pPr>
                    <w:pStyle w:val="182"/>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40" w:type="pct"/>
                  <w:noWrap w:val="0"/>
                  <w:vAlign w:val="center"/>
                </w:tcPr>
                <w:p>
                  <w:pPr>
                    <w:pStyle w:val="182"/>
                    <w:rPr>
                      <w:color w:val="000000"/>
                    </w:rPr>
                  </w:pPr>
                  <w:r>
                    <w:rPr>
                      <w:color w:val="000000"/>
                    </w:rPr>
                    <w:t>NO</w:t>
                  </w:r>
                  <w:r>
                    <w:rPr>
                      <w:color w:val="000000"/>
                      <w:vertAlign w:val="subscript"/>
                    </w:rPr>
                    <w:t>2</w:t>
                  </w:r>
                </w:p>
              </w:tc>
              <w:tc>
                <w:tcPr>
                  <w:tcW w:w="1969" w:type="pct"/>
                  <w:noWrap w:val="0"/>
                  <w:vAlign w:val="center"/>
                </w:tcPr>
                <w:p>
                  <w:pPr>
                    <w:pStyle w:val="182"/>
                    <w:rPr>
                      <w:color w:val="000000"/>
                    </w:rPr>
                  </w:pPr>
                  <w:r>
                    <w:rPr>
                      <w:color w:val="000000"/>
                    </w:rPr>
                    <w:t>年平均质量浓度</w:t>
                  </w:r>
                </w:p>
              </w:tc>
              <w:tc>
                <w:tcPr>
                  <w:tcW w:w="566" w:type="pct"/>
                  <w:noWrap w:val="0"/>
                  <w:vAlign w:val="center"/>
                </w:tcPr>
                <w:p>
                  <w:pPr>
                    <w:pStyle w:val="182"/>
                    <w:rPr>
                      <w:color w:val="000000"/>
                    </w:rPr>
                  </w:pPr>
                  <w:r>
                    <w:rPr>
                      <w:color w:val="000000"/>
                    </w:rPr>
                    <w:t>27.1</w:t>
                  </w:r>
                </w:p>
              </w:tc>
              <w:tc>
                <w:tcPr>
                  <w:tcW w:w="563" w:type="pct"/>
                  <w:noWrap w:val="0"/>
                  <w:vAlign w:val="center"/>
                </w:tcPr>
                <w:p>
                  <w:pPr>
                    <w:pStyle w:val="182"/>
                    <w:rPr>
                      <w:color w:val="000000"/>
                    </w:rPr>
                  </w:pPr>
                  <w:r>
                    <w:rPr>
                      <w:color w:val="000000"/>
                    </w:rPr>
                    <w:t>40</w:t>
                  </w:r>
                </w:p>
              </w:tc>
              <w:tc>
                <w:tcPr>
                  <w:tcW w:w="718" w:type="pct"/>
                  <w:noWrap w:val="0"/>
                  <w:vAlign w:val="center"/>
                </w:tcPr>
                <w:p>
                  <w:pPr>
                    <w:pStyle w:val="182"/>
                    <w:rPr>
                      <w:color w:val="000000"/>
                    </w:rPr>
                  </w:pPr>
                  <w:r>
                    <w:rPr>
                      <w:color w:val="000000"/>
                    </w:rPr>
                    <w:t>37.75</w:t>
                  </w:r>
                </w:p>
              </w:tc>
              <w:tc>
                <w:tcPr>
                  <w:tcW w:w="544" w:type="pct"/>
                  <w:noWrap w:val="0"/>
                  <w:vAlign w:val="center"/>
                </w:tcPr>
                <w:p>
                  <w:pPr>
                    <w:pStyle w:val="182"/>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640" w:type="pct"/>
                  <w:noWrap w:val="0"/>
                  <w:vAlign w:val="center"/>
                </w:tcPr>
                <w:p>
                  <w:pPr>
                    <w:pStyle w:val="182"/>
                    <w:rPr>
                      <w:color w:val="000000"/>
                    </w:rPr>
                  </w:pPr>
                  <w:r>
                    <w:rPr>
                      <w:color w:val="000000"/>
                    </w:rPr>
                    <w:t>CO</w:t>
                  </w:r>
                </w:p>
              </w:tc>
              <w:tc>
                <w:tcPr>
                  <w:tcW w:w="1969" w:type="pct"/>
                  <w:noWrap w:val="0"/>
                  <w:vAlign w:val="center"/>
                </w:tcPr>
                <w:p>
                  <w:pPr>
                    <w:pStyle w:val="182"/>
                    <w:rPr>
                      <w:color w:val="000000"/>
                    </w:rPr>
                  </w:pPr>
                  <w:r>
                    <w:rPr>
                      <w:color w:val="000000"/>
                    </w:rPr>
                    <w:t>第95百位数24h评价质量浓度</w:t>
                  </w:r>
                </w:p>
              </w:tc>
              <w:tc>
                <w:tcPr>
                  <w:tcW w:w="566" w:type="pct"/>
                  <w:noWrap w:val="0"/>
                  <w:vAlign w:val="center"/>
                </w:tcPr>
                <w:p>
                  <w:pPr>
                    <w:pStyle w:val="182"/>
                    <w:rPr>
                      <w:color w:val="000000"/>
                    </w:rPr>
                  </w:pPr>
                  <w:r>
                    <w:rPr>
                      <w:color w:val="000000"/>
                    </w:rPr>
                    <w:t>1.1</w:t>
                  </w:r>
                </w:p>
              </w:tc>
              <w:tc>
                <w:tcPr>
                  <w:tcW w:w="563" w:type="pct"/>
                  <w:noWrap w:val="0"/>
                  <w:vAlign w:val="center"/>
                </w:tcPr>
                <w:p>
                  <w:pPr>
                    <w:pStyle w:val="182"/>
                    <w:rPr>
                      <w:color w:val="000000"/>
                    </w:rPr>
                  </w:pPr>
                  <w:r>
                    <w:rPr>
                      <w:color w:val="000000"/>
                    </w:rPr>
                    <w:t>4.0</w:t>
                  </w:r>
                </w:p>
              </w:tc>
              <w:tc>
                <w:tcPr>
                  <w:tcW w:w="718" w:type="pct"/>
                  <w:noWrap w:val="0"/>
                  <w:vAlign w:val="center"/>
                </w:tcPr>
                <w:p>
                  <w:pPr>
                    <w:pStyle w:val="182"/>
                    <w:rPr>
                      <w:color w:val="000000"/>
                    </w:rPr>
                  </w:pPr>
                  <w:r>
                    <w:rPr>
                      <w:color w:val="000000"/>
                    </w:rPr>
                    <w:t>27.5</w:t>
                  </w:r>
                </w:p>
              </w:tc>
              <w:tc>
                <w:tcPr>
                  <w:tcW w:w="544" w:type="pct"/>
                  <w:noWrap w:val="0"/>
                  <w:vAlign w:val="center"/>
                </w:tcPr>
                <w:p>
                  <w:pPr>
                    <w:pStyle w:val="182"/>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40" w:type="pct"/>
                  <w:noWrap w:val="0"/>
                  <w:vAlign w:val="center"/>
                </w:tcPr>
                <w:p>
                  <w:pPr>
                    <w:pStyle w:val="182"/>
                    <w:rPr>
                      <w:color w:val="000000"/>
                    </w:rPr>
                  </w:pPr>
                  <w:r>
                    <w:rPr>
                      <w:color w:val="000000"/>
                    </w:rPr>
                    <w:t>O</w:t>
                  </w:r>
                  <w:r>
                    <w:rPr>
                      <w:color w:val="000000"/>
                      <w:vertAlign w:val="subscript"/>
                    </w:rPr>
                    <w:t>3</w:t>
                  </w:r>
                </w:p>
              </w:tc>
              <w:tc>
                <w:tcPr>
                  <w:tcW w:w="1969" w:type="pct"/>
                  <w:noWrap w:val="0"/>
                  <w:vAlign w:val="center"/>
                </w:tcPr>
                <w:p>
                  <w:pPr>
                    <w:pStyle w:val="182"/>
                    <w:rPr>
                      <w:color w:val="000000"/>
                    </w:rPr>
                  </w:pPr>
                  <w:r>
                    <w:rPr>
                      <w:color w:val="000000"/>
                    </w:rPr>
                    <w:t>第90百分位8h评价质量浓度</w:t>
                  </w:r>
                </w:p>
              </w:tc>
              <w:tc>
                <w:tcPr>
                  <w:tcW w:w="566" w:type="pct"/>
                  <w:noWrap w:val="0"/>
                  <w:vAlign w:val="center"/>
                </w:tcPr>
                <w:p>
                  <w:pPr>
                    <w:pStyle w:val="182"/>
                    <w:rPr>
                      <w:color w:val="000000"/>
                    </w:rPr>
                  </w:pPr>
                  <w:r>
                    <w:rPr>
                      <w:color w:val="000000"/>
                    </w:rPr>
                    <w:t>143.5</w:t>
                  </w:r>
                </w:p>
              </w:tc>
              <w:tc>
                <w:tcPr>
                  <w:tcW w:w="563" w:type="pct"/>
                  <w:noWrap w:val="0"/>
                  <w:vAlign w:val="center"/>
                </w:tcPr>
                <w:p>
                  <w:pPr>
                    <w:pStyle w:val="182"/>
                    <w:rPr>
                      <w:color w:val="000000"/>
                    </w:rPr>
                  </w:pPr>
                  <w:r>
                    <w:rPr>
                      <w:color w:val="000000"/>
                    </w:rPr>
                    <w:t>160</w:t>
                  </w:r>
                </w:p>
              </w:tc>
              <w:tc>
                <w:tcPr>
                  <w:tcW w:w="718" w:type="pct"/>
                  <w:noWrap w:val="0"/>
                  <w:vAlign w:val="center"/>
                </w:tcPr>
                <w:p>
                  <w:pPr>
                    <w:pStyle w:val="182"/>
                    <w:rPr>
                      <w:color w:val="000000"/>
                    </w:rPr>
                  </w:pPr>
                  <w:r>
                    <w:rPr>
                      <w:color w:val="000000"/>
                    </w:rPr>
                    <w:t>89.69</w:t>
                  </w:r>
                </w:p>
              </w:tc>
              <w:tc>
                <w:tcPr>
                  <w:tcW w:w="544" w:type="pct"/>
                  <w:noWrap w:val="0"/>
                  <w:vAlign w:val="center"/>
                </w:tcPr>
                <w:p>
                  <w:pPr>
                    <w:pStyle w:val="182"/>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40" w:type="pct"/>
                  <w:noWrap w:val="0"/>
                  <w:vAlign w:val="center"/>
                </w:tcPr>
                <w:p>
                  <w:pPr>
                    <w:pStyle w:val="182"/>
                    <w:rPr>
                      <w:color w:val="000000"/>
                    </w:rPr>
                  </w:pPr>
                  <w:r>
                    <w:rPr>
                      <w:color w:val="000000"/>
                    </w:rPr>
                    <w:t>PM</w:t>
                  </w:r>
                  <w:r>
                    <w:rPr>
                      <w:color w:val="000000"/>
                      <w:vertAlign w:val="subscript"/>
                    </w:rPr>
                    <w:t>10</w:t>
                  </w:r>
                </w:p>
              </w:tc>
              <w:tc>
                <w:tcPr>
                  <w:tcW w:w="1969" w:type="pct"/>
                  <w:noWrap w:val="0"/>
                  <w:vAlign w:val="center"/>
                </w:tcPr>
                <w:p>
                  <w:pPr>
                    <w:pStyle w:val="182"/>
                    <w:rPr>
                      <w:color w:val="000000"/>
                    </w:rPr>
                  </w:pPr>
                  <w:r>
                    <w:rPr>
                      <w:color w:val="000000"/>
                    </w:rPr>
                    <w:t>年平均质量浓度</w:t>
                  </w:r>
                </w:p>
              </w:tc>
              <w:tc>
                <w:tcPr>
                  <w:tcW w:w="566" w:type="pct"/>
                  <w:noWrap w:val="0"/>
                  <w:vAlign w:val="center"/>
                </w:tcPr>
                <w:p>
                  <w:pPr>
                    <w:pStyle w:val="182"/>
                    <w:rPr>
                      <w:color w:val="000000"/>
                    </w:rPr>
                  </w:pPr>
                  <w:r>
                    <w:rPr>
                      <w:color w:val="000000"/>
                    </w:rPr>
                    <w:t>52.9</w:t>
                  </w:r>
                </w:p>
              </w:tc>
              <w:tc>
                <w:tcPr>
                  <w:tcW w:w="563" w:type="pct"/>
                  <w:noWrap w:val="0"/>
                  <w:vAlign w:val="center"/>
                </w:tcPr>
                <w:p>
                  <w:pPr>
                    <w:pStyle w:val="182"/>
                    <w:rPr>
                      <w:color w:val="000000"/>
                    </w:rPr>
                  </w:pPr>
                  <w:r>
                    <w:rPr>
                      <w:color w:val="000000"/>
                    </w:rPr>
                    <w:t>70</w:t>
                  </w:r>
                </w:p>
              </w:tc>
              <w:tc>
                <w:tcPr>
                  <w:tcW w:w="718" w:type="pct"/>
                  <w:noWrap w:val="0"/>
                  <w:vAlign w:val="center"/>
                </w:tcPr>
                <w:p>
                  <w:pPr>
                    <w:pStyle w:val="182"/>
                    <w:rPr>
                      <w:color w:val="000000"/>
                    </w:rPr>
                  </w:pPr>
                  <w:r>
                    <w:rPr>
                      <w:color w:val="000000"/>
                    </w:rPr>
                    <w:t>75.57</w:t>
                  </w:r>
                </w:p>
              </w:tc>
              <w:tc>
                <w:tcPr>
                  <w:tcW w:w="544" w:type="pct"/>
                  <w:noWrap w:val="0"/>
                  <w:vAlign w:val="center"/>
                </w:tcPr>
                <w:p>
                  <w:pPr>
                    <w:pStyle w:val="182"/>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40" w:type="pct"/>
                  <w:noWrap w:val="0"/>
                  <w:vAlign w:val="center"/>
                </w:tcPr>
                <w:p>
                  <w:pPr>
                    <w:pStyle w:val="182"/>
                    <w:rPr>
                      <w:color w:val="000000"/>
                    </w:rPr>
                  </w:pPr>
                  <w:r>
                    <w:rPr>
                      <w:color w:val="000000"/>
                    </w:rPr>
                    <w:t>PM</w:t>
                  </w:r>
                  <w:r>
                    <w:rPr>
                      <w:color w:val="000000"/>
                      <w:vertAlign w:val="subscript"/>
                    </w:rPr>
                    <w:t>2.5</w:t>
                  </w:r>
                </w:p>
              </w:tc>
              <w:tc>
                <w:tcPr>
                  <w:tcW w:w="1969" w:type="pct"/>
                  <w:noWrap w:val="0"/>
                  <w:vAlign w:val="center"/>
                </w:tcPr>
                <w:p>
                  <w:pPr>
                    <w:pStyle w:val="182"/>
                    <w:rPr>
                      <w:color w:val="000000"/>
                    </w:rPr>
                  </w:pPr>
                  <w:r>
                    <w:rPr>
                      <w:color w:val="000000"/>
                    </w:rPr>
                    <w:t>年平均质量浓度</w:t>
                  </w:r>
                </w:p>
              </w:tc>
              <w:tc>
                <w:tcPr>
                  <w:tcW w:w="566" w:type="pct"/>
                  <w:noWrap w:val="0"/>
                  <w:vAlign w:val="center"/>
                </w:tcPr>
                <w:p>
                  <w:pPr>
                    <w:pStyle w:val="182"/>
                    <w:rPr>
                      <w:color w:val="000000"/>
                    </w:rPr>
                  </w:pPr>
                  <w:r>
                    <w:rPr>
                      <w:color w:val="000000"/>
                    </w:rPr>
                    <w:t>35.0</w:t>
                  </w:r>
                </w:p>
              </w:tc>
              <w:tc>
                <w:tcPr>
                  <w:tcW w:w="563" w:type="pct"/>
                  <w:noWrap w:val="0"/>
                  <w:vAlign w:val="center"/>
                </w:tcPr>
                <w:p>
                  <w:pPr>
                    <w:pStyle w:val="182"/>
                    <w:rPr>
                      <w:color w:val="000000"/>
                    </w:rPr>
                  </w:pPr>
                  <w:r>
                    <w:rPr>
                      <w:color w:val="000000"/>
                    </w:rPr>
                    <w:t>35</w:t>
                  </w:r>
                </w:p>
              </w:tc>
              <w:tc>
                <w:tcPr>
                  <w:tcW w:w="718" w:type="pct"/>
                  <w:noWrap w:val="0"/>
                  <w:vAlign w:val="center"/>
                </w:tcPr>
                <w:p>
                  <w:pPr>
                    <w:pStyle w:val="182"/>
                    <w:rPr>
                      <w:color w:val="000000"/>
                    </w:rPr>
                  </w:pPr>
                  <w:r>
                    <w:rPr>
                      <w:color w:val="000000"/>
                    </w:rPr>
                    <w:t>100</w:t>
                  </w:r>
                </w:p>
              </w:tc>
              <w:tc>
                <w:tcPr>
                  <w:tcW w:w="544" w:type="pct"/>
                  <w:noWrap w:val="0"/>
                  <w:vAlign w:val="center"/>
                </w:tcPr>
                <w:p>
                  <w:pPr>
                    <w:pStyle w:val="182"/>
                    <w:rPr>
                      <w:color w:val="000000"/>
                    </w:rPr>
                  </w:pPr>
                  <w:r>
                    <w:rPr>
                      <w:rFonts w:hint="eastAsia"/>
                      <w:color w:val="000000"/>
                    </w:rPr>
                    <w:t>达标</w:t>
                  </w:r>
                </w:p>
              </w:tc>
            </w:tr>
          </w:tbl>
          <w:p>
            <w:pPr>
              <w:pStyle w:val="183"/>
              <w:rPr>
                <w:rFonts w:hint="eastAsia"/>
                <w:bCs/>
                <w:color w:val="000000"/>
              </w:rPr>
            </w:pPr>
            <w:r>
              <w:rPr>
                <w:bCs/>
                <w:color w:val="000000"/>
              </w:rPr>
              <w:t>由上表统计结果可知，</w:t>
            </w:r>
            <w:r>
              <w:rPr>
                <w:rFonts w:hint="eastAsia"/>
                <w:bCs/>
                <w:color w:val="000000"/>
              </w:rPr>
              <w:t>乐山市环境空气中SO</w:t>
            </w:r>
            <w:r>
              <w:rPr>
                <w:rFonts w:hint="eastAsia"/>
                <w:bCs/>
                <w:color w:val="000000"/>
                <w:vertAlign w:val="subscript"/>
              </w:rPr>
              <w:t>2</w:t>
            </w:r>
            <w:r>
              <w:rPr>
                <w:rFonts w:hint="eastAsia"/>
                <w:bCs/>
                <w:color w:val="000000"/>
              </w:rPr>
              <w:t>、NO</w:t>
            </w:r>
            <w:r>
              <w:rPr>
                <w:rFonts w:hint="eastAsia"/>
                <w:bCs/>
                <w:color w:val="000000"/>
                <w:vertAlign w:val="subscript"/>
              </w:rPr>
              <w:t>2</w:t>
            </w:r>
            <w:r>
              <w:rPr>
                <w:rFonts w:hint="eastAsia"/>
                <w:bCs/>
                <w:color w:val="000000"/>
              </w:rPr>
              <w:t>、CO、O</w:t>
            </w:r>
            <w:r>
              <w:rPr>
                <w:rFonts w:hint="eastAsia"/>
                <w:bCs/>
                <w:color w:val="000000"/>
                <w:vertAlign w:val="subscript"/>
              </w:rPr>
              <w:t>3</w:t>
            </w:r>
            <w:r>
              <w:rPr>
                <w:rFonts w:hint="eastAsia"/>
                <w:bCs/>
                <w:color w:val="000000"/>
              </w:rPr>
              <w:t>、PM</w:t>
            </w:r>
            <w:r>
              <w:rPr>
                <w:rFonts w:hint="eastAsia"/>
                <w:bCs/>
                <w:color w:val="000000"/>
                <w:vertAlign w:val="subscript"/>
              </w:rPr>
              <w:t>10</w:t>
            </w:r>
            <w:r>
              <w:rPr>
                <w:rFonts w:hint="eastAsia"/>
                <w:bCs/>
                <w:color w:val="000000"/>
              </w:rPr>
              <w:t>、PM</w:t>
            </w:r>
            <w:r>
              <w:rPr>
                <w:rFonts w:hint="eastAsia"/>
                <w:bCs/>
                <w:color w:val="000000"/>
                <w:vertAlign w:val="subscript"/>
              </w:rPr>
              <w:t>2.5</w:t>
            </w:r>
            <w:r>
              <w:rPr>
                <w:rFonts w:hint="eastAsia"/>
                <w:bCs/>
                <w:color w:val="000000"/>
              </w:rPr>
              <w:t>均满足《环境空气质量标准》（GB3095-2012）中二级标准，属于环境空气质量达标区。</w:t>
            </w:r>
          </w:p>
          <w:p>
            <w:pPr>
              <w:pStyle w:val="183"/>
              <w:ind w:firstLine="482"/>
              <w:rPr>
                <w:rFonts w:hint="eastAsia"/>
                <w:b/>
                <w:kern w:val="0"/>
              </w:rPr>
            </w:pPr>
            <w:r>
              <w:rPr>
                <w:rFonts w:hint="eastAsia"/>
                <w:b/>
                <w:kern w:val="0"/>
              </w:rPr>
              <w:t>2、地表水环境质量</w:t>
            </w:r>
          </w:p>
          <w:p>
            <w:pPr>
              <w:pStyle w:val="138"/>
              <w:ind w:firstLine="480"/>
              <w:rPr>
                <w:kern w:val="0"/>
              </w:rPr>
            </w:pPr>
            <w:r>
              <w:rPr>
                <w:rFonts w:hint="eastAsia"/>
                <w:kern w:val="0"/>
              </w:rPr>
              <w:t>本项目取水口位于关子门堰王沟、两河口水库大坝上游5</w:t>
            </w:r>
            <w:r>
              <w:rPr>
                <w:kern w:val="0"/>
              </w:rPr>
              <w:t>75m</w:t>
            </w:r>
            <w:r>
              <w:rPr>
                <w:rFonts w:hint="eastAsia"/>
                <w:kern w:val="0"/>
              </w:rPr>
              <w:t>处，天然水经管道输送至剑锋镇桂花村长冲岑的净水厂，净水厂废水经处理达标后排入土主镇污水处理厂处理。涉及地表水体为关子门堰王沟以及剑锋河。其水质如下：</w:t>
            </w:r>
          </w:p>
          <w:p>
            <w:pPr>
              <w:pStyle w:val="138"/>
              <w:ind w:firstLine="480"/>
              <w:rPr>
                <w:kern w:val="0"/>
              </w:rPr>
            </w:pPr>
            <w:r>
              <w:rPr>
                <w:rFonts w:hint="eastAsia"/>
                <w:kern w:val="0"/>
              </w:rPr>
              <w:t>（1）关子门堰王沟</w:t>
            </w:r>
          </w:p>
          <w:p>
            <w:pPr>
              <w:pStyle w:val="138"/>
              <w:ind w:firstLine="480"/>
              <w:rPr>
                <w:kern w:val="0"/>
              </w:rPr>
            </w:pPr>
            <w:r>
              <w:rPr>
                <w:rFonts w:hint="eastAsia"/>
                <w:kern w:val="0"/>
              </w:rPr>
              <w:t>项目委托四川巴斯德环境保护科技有限责任公司于2</w:t>
            </w:r>
            <w:r>
              <w:rPr>
                <w:kern w:val="0"/>
              </w:rPr>
              <w:t>022</w:t>
            </w:r>
            <w:r>
              <w:rPr>
                <w:rFonts w:hint="eastAsia"/>
                <w:kern w:val="0"/>
              </w:rPr>
              <w:t>年3月1</w:t>
            </w:r>
            <w:r>
              <w:rPr>
                <w:kern w:val="0"/>
              </w:rPr>
              <w:t>0</w:t>
            </w:r>
            <w:r>
              <w:rPr>
                <w:rFonts w:hint="eastAsia"/>
                <w:kern w:val="0"/>
              </w:rPr>
              <w:t>日对关子门堰王沟饮用水水源取水口（1</w:t>
            </w:r>
            <w:r>
              <w:rPr>
                <w:kern w:val="0"/>
              </w:rPr>
              <w:t>03°48′32.71″</w:t>
            </w:r>
            <w:r>
              <w:rPr>
                <w:rFonts w:hint="eastAsia"/>
                <w:kern w:val="0"/>
              </w:rPr>
              <w:t>，2</w:t>
            </w:r>
            <w:r>
              <w:rPr>
                <w:kern w:val="0"/>
              </w:rPr>
              <w:t>9°42′26.95″</w:t>
            </w:r>
            <w:r>
              <w:rPr>
                <w:rFonts w:hint="eastAsia"/>
                <w:kern w:val="0"/>
              </w:rPr>
              <w:t>）水质进行了采样监测，监测情况如下：</w:t>
            </w:r>
          </w:p>
          <w:p>
            <w:pPr>
              <w:pStyle w:val="138"/>
              <w:ind w:firstLine="480"/>
              <w:rPr>
                <w:kern w:val="0"/>
              </w:rPr>
            </w:pPr>
            <w:r>
              <w:rPr>
                <w:rFonts w:hint="eastAsia"/>
                <w:kern w:val="0"/>
              </w:rPr>
              <w:t>监测点位：对关子门堰王沟饮用水水源取水口（1</w:t>
            </w:r>
            <w:r>
              <w:rPr>
                <w:kern w:val="0"/>
              </w:rPr>
              <w:t>03°48′32.71″</w:t>
            </w:r>
            <w:r>
              <w:rPr>
                <w:rFonts w:hint="eastAsia"/>
                <w:kern w:val="0"/>
              </w:rPr>
              <w:t>，2</w:t>
            </w:r>
            <w:r>
              <w:rPr>
                <w:kern w:val="0"/>
              </w:rPr>
              <w:t>9°42′26.95″</w:t>
            </w:r>
            <w:r>
              <w:rPr>
                <w:rFonts w:hint="eastAsia"/>
                <w:kern w:val="0"/>
              </w:rPr>
              <w:t>）。</w:t>
            </w:r>
          </w:p>
          <w:p>
            <w:pPr>
              <w:snapToGrid w:val="0"/>
              <w:spacing w:line="360" w:lineRule="auto"/>
              <w:ind w:firstLine="456" w:firstLineChars="200"/>
              <w:rPr>
                <w:rFonts w:hint="eastAsia"/>
                <w:spacing w:val="-6"/>
                <w:sz w:val="24"/>
              </w:rPr>
            </w:pPr>
            <w:r>
              <w:rPr>
                <w:rFonts w:hint="eastAsia"/>
                <w:spacing w:val="-6"/>
                <w:sz w:val="24"/>
              </w:rPr>
              <w:t>监测因子：水温、p</w:t>
            </w:r>
            <w:r>
              <w:rPr>
                <w:spacing w:val="-6"/>
                <w:sz w:val="24"/>
              </w:rPr>
              <w:t>H</w:t>
            </w:r>
            <w:r>
              <w:rPr>
                <w:rFonts w:hint="eastAsia"/>
                <w:spacing w:val="-6"/>
                <w:sz w:val="24"/>
              </w:rPr>
              <w:t>、溶解氧、高锰酸盐指数、五日生化需氧量、氨氮、总磷、总氮、铜、锌、氟化物、硒、砷、汞、镉、六价铬、铅、氰化物、挥发酚、石油类、阴离子表面活性剂、硫化物、粪大肠菌群、硫酸盐、氯化物、硝酸盐、铁、锰等。</w:t>
            </w:r>
          </w:p>
          <w:p>
            <w:pPr>
              <w:snapToGrid w:val="0"/>
              <w:spacing w:line="360" w:lineRule="auto"/>
              <w:ind w:firstLine="456" w:firstLineChars="200"/>
              <w:rPr>
                <w:spacing w:val="-6"/>
                <w:sz w:val="24"/>
              </w:rPr>
            </w:pPr>
            <w:r>
              <w:rPr>
                <w:rFonts w:hint="eastAsia"/>
                <w:spacing w:val="-6"/>
                <w:sz w:val="24"/>
              </w:rPr>
              <w:t>监测时间及频次：监测一天，一次。</w:t>
            </w:r>
          </w:p>
          <w:p>
            <w:pPr>
              <w:snapToGrid w:val="0"/>
              <w:spacing w:line="360" w:lineRule="auto"/>
              <w:ind w:firstLine="456" w:firstLineChars="200"/>
              <w:rPr>
                <w:spacing w:val="-6"/>
                <w:sz w:val="24"/>
              </w:rPr>
            </w:pPr>
            <w:r>
              <w:rPr>
                <w:rFonts w:hint="eastAsia"/>
                <w:spacing w:val="-6"/>
                <w:sz w:val="24"/>
              </w:rPr>
              <w:t>以《地表水环境质量标准》(GB3838-2002）为评价标准，采用单因子评价法对地表水水质状况进行评价，具体计算方法如下：</w:t>
            </w:r>
          </w:p>
          <w:p>
            <w:pPr>
              <w:snapToGrid w:val="0"/>
              <w:spacing w:line="360" w:lineRule="auto"/>
              <w:ind w:firstLine="480" w:firstLineChars="200"/>
              <w:rPr>
                <w:spacing w:val="-6"/>
                <w:sz w:val="24"/>
              </w:rPr>
            </w:pPr>
            <w:r>
              <w:rPr>
                <w:sz w:val="24"/>
              </w:rPr>
              <w:drawing>
                <wp:anchor distT="0" distB="0" distL="114300" distR="114300" simplePos="0" relativeHeight="251662336" behindDoc="1" locked="0" layoutInCell="1" allowOverlap="1">
                  <wp:simplePos x="0" y="0"/>
                  <wp:positionH relativeFrom="column">
                    <wp:posOffset>1781175</wp:posOffset>
                  </wp:positionH>
                  <wp:positionV relativeFrom="paragraph">
                    <wp:posOffset>26035</wp:posOffset>
                  </wp:positionV>
                  <wp:extent cx="2066925" cy="666750"/>
                  <wp:effectExtent l="0" t="0" r="9525" b="0"/>
                  <wp:wrapTight wrapText="bothSides">
                    <wp:wrapPolygon>
                      <wp:start x="0" y="0"/>
                      <wp:lineTo x="0" y="20983"/>
                      <wp:lineTo x="21500" y="20983"/>
                      <wp:lineTo x="21500" y="0"/>
                      <wp:lineTo x="0" y="0"/>
                    </wp:wrapPolygon>
                  </wp:wrapTight>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6"/>
                          <a:stretch>
                            <a:fillRect/>
                          </a:stretch>
                        </pic:blipFill>
                        <pic:spPr>
                          <a:xfrm>
                            <a:off x="0" y="0"/>
                            <a:ext cx="2066925" cy="666750"/>
                          </a:xfrm>
                          <a:prstGeom prst="rect">
                            <a:avLst/>
                          </a:prstGeom>
                          <a:noFill/>
                          <a:ln>
                            <a:noFill/>
                          </a:ln>
                        </pic:spPr>
                      </pic:pic>
                    </a:graphicData>
                  </a:graphic>
                </wp:anchor>
              </w:drawing>
            </w:r>
          </w:p>
          <w:p>
            <w:pPr>
              <w:snapToGrid w:val="0"/>
              <w:spacing w:line="360" w:lineRule="auto"/>
              <w:rPr>
                <w:spacing w:val="-6"/>
                <w:sz w:val="24"/>
              </w:rPr>
            </w:pPr>
          </w:p>
          <w:p>
            <w:pPr>
              <w:snapToGrid w:val="0"/>
              <w:spacing w:line="360" w:lineRule="auto"/>
              <w:rPr>
                <w:rFonts w:hint="eastAsia"/>
                <w:spacing w:val="-6"/>
                <w:sz w:val="24"/>
              </w:rPr>
            </w:pPr>
          </w:p>
          <w:p>
            <w:pPr>
              <w:snapToGrid w:val="0"/>
              <w:spacing w:line="360" w:lineRule="auto"/>
              <w:ind w:firstLine="456" w:firstLineChars="200"/>
              <w:rPr>
                <w:spacing w:val="-6"/>
                <w:sz w:val="24"/>
              </w:rPr>
            </w:pPr>
            <w:r>
              <w:rPr>
                <w:rFonts w:hint="eastAsia"/>
                <w:spacing w:val="-6"/>
                <w:sz w:val="24"/>
              </w:rPr>
              <w:t>式中： S</w:t>
            </w:r>
            <w:r>
              <w:rPr>
                <w:rFonts w:hint="eastAsia"/>
                <w:spacing w:val="-6"/>
                <w:sz w:val="24"/>
                <w:vertAlign w:val="subscript"/>
              </w:rPr>
              <w:t>i</w:t>
            </w:r>
            <w:r>
              <w:rPr>
                <w:rFonts w:hint="eastAsia"/>
                <w:spacing w:val="-6"/>
                <w:sz w:val="24"/>
              </w:rPr>
              <w:t>—i污染物在监测点j的单因子指数；</w:t>
            </w:r>
          </w:p>
          <w:p>
            <w:pPr>
              <w:snapToGrid w:val="0"/>
              <w:spacing w:line="360" w:lineRule="auto"/>
              <w:ind w:firstLine="1368" w:firstLineChars="600"/>
              <w:rPr>
                <w:spacing w:val="-6"/>
                <w:sz w:val="24"/>
              </w:rPr>
            </w:pPr>
            <w:r>
              <w:rPr>
                <w:rFonts w:hint="eastAsia"/>
                <w:spacing w:val="-6"/>
                <w:sz w:val="24"/>
              </w:rPr>
              <w:t>C</w:t>
            </w:r>
            <w:r>
              <w:rPr>
                <w:rFonts w:hint="eastAsia"/>
                <w:spacing w:val="-6"/>
                <w:sz w:val="24"/>
                <w:vertAlign w:val="subscript"/>
              </w:rPr>
              <w:t>ij</w:t>
            </w:r>
            <w:r>
              <w:rPr>
                <w:rFonts w:hint="eastAsia"/>
                <w:spacing w:val="-6"/>
                <w:sz w:val="24"/>
              </w:rPr>
              <w:t>—i污染物在监测点j的地表水浓度值，（mg/L）；</w:t>
            </w:r>
          </w:p>
          <w:p>
            <w:pPr>
              <w:snapToGrid w:val="0"/>
              <w:spacing w:line="360" w:lineRule="auto"/>
              <w:ind w:firstLine="1368" w:firstLineChars="600"/>
              <w:rPr>
                <w:spacing w:val="-6"/>
                <w:sz w:val="24"/>
              </w:rPr>
            </w:pPr>
            <w:r>
              <w:rPr>
                <w:rFonts w:hint="eastAsia"/>
                <w:spacing w:val="-6"/>
                <w:sz w:val="24"/>
              </w:rPr>
              <w:t>C</w:t>
            </w:r>
            <w:r>
              <w:rPr>
                <w:rFonts w:hint="eastAsia"/>
                <w:spacing w:val="-6"/>
                <w:sz w:val="24"/>
                <w:vertAlign w:val="subscript"/>
              </w:rPr>
              <w:t>si</w:t>
            </w:r>
            <w:r>
              <w:rPr>
                <w:rFonts w:hint="eastAsia"/>
                <w:spacing w:val="-6"/>
                <w:sz w:val="24"/>
              </w:rPr>
              <w:t>—i污染物的地表水环境质量标准值，(mg/L)。</w:t>
            </w:r>
          </w:p>
          <w:p>
            <w:pPr>
              <w:snapToGrid w:val="0"/>
              <w:spacing w:line="360" w:lineRule="auto"/>
              <w:ind w:firstLine="456" w:firstLineChars="200"/>
              <w:rPr>
                <w:spacing w:val="-6"/>
                <w:sz w:val="24"/>
              </w:rPr>
            </w:pPr>
            <w:r>
              <w:rPr>
                <w:rFonts w:hint="eastAsia"/>
                <w:spacing w:val="-6"/>
                <w:sz w:val="24"/>
              </w:rPr>
              <w:t>pH的单因子指数公式：</w:t>
            </w:r>
          </w:p>
          <w:p>
            <w:pPr>
              <w:snapToGrid w:val="0"/>
              <w:spacing w:line="360" w:lineRule="auto"/>
              <w:ind w:firstLine="480" w:firstLineChars="200"/>
              <w:rPr>
                <w:spacing w:val="-6"/>
                <w:sz w:val="24"/>
              </w:rPr>
            </w:pPr>
            <w:r>
              <w:rPr>
                <w:sz w:val="24"/>
              </w:rPr>
              <w:drawing>
                <wp:anchor distT="0" distB="0" distL="114300" distR="114300" simplePos="0" relativeHeight="251663360" behindDoc="1" locked="0" layoutInCell="1" allowOverlap="1">
                  <wp:simplePos x="0" y="0"/>
                  <wp:positionH relativeFrom="column">
                    <wp:posOffset>504825</wp:posOffset>
                  </wp:positionH>
                  <wp:positionV relativeFrom="paragraph">
                    <wp:posOffset>54610</wp:posOffset>
                  </wp:positionV>
                  <wp:extent cx="3543300" cy="962025"/>
                  <wp:effectExtent l="0" t="0" r="0" b="9525"/>
                  <wp:wrapTight wrapText="bothSides">
                    <wp:wrapPolygon>
                      <wp:start x="0" y="0"/>
                      <wp:lineTo x="0" y="21386"/>
                      <wp:lineTo x="21484" y="21386"/>
                      <wp:lineTo x="21484" y="0"/>
                      <wp:lineTo x="0" y="0"/>
                    </wp:wrapPolygon>
                  </wp:wrapTight>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7"/>
                          <a:srcRect b="6480"/>
                          <a:stretch>
                            <a:fillRect/>
                          </a:stretch>
                        </pic:blipFill>
                        <pic:spPr>
                          <a:xfrm>
                            <a:off x="0" y="0"/>
                            <a:ext cx="3543300" cy="962025"/>
                          </a:xfrm>
                          <a:prstGeom prst="rect">
                            <a:avLst/>
                          </a:prstGeom>
                          <a:noFill/>
                          <a:ln>
                            <a:noFill/>
                          </a:ln>
                        </pic:spPr>
                      </pic:pic>
                    </a:graphicData>
                  </a:graphic>
                </wp:anchor>
              </w:drawing>
            </w:r>
          </w:p>
          <w:p>
            <w:pPr>
              <w:snapToGrid w:val="0"/>
              <w:spacing w:line="360" w:lineRule="auto"/>
              <w:ind w:firstLine="456" w:firstLineChars="200"/>
              <w:rPr>
                <w:spacing w:val="-6"/>
                <w:sz w:val="24"/>
              </w:rPr>
            </w:pPr>
          </w:p>
          <w:p>
            <w:pPr>
              <w:snapToGrid w:val="0"/>
              <w:spacing w:line="360" w:lineRule="auto"/>
              <w:ind w:firstLine="456" w:firstLineChars="200"/>
              <w:rPr>
                <w:spacing w:val="-6"/>
                <w:sz w:val="24"/>
              </w:rPr>
            </w:pPr>
          </w:p>
          <w:p>
            <w:pPr>
              <w:snapToGrid w:val="0"/>
              <w:spacing w:line="360" w:lineRule="auto"/>
              <w:ind w:firstLine="456" w:firstLineChars="200"/>
              <w:rPr>
                <w:spacing w:val="-6"/>
                <w:sz w:val="24"/>
              </w:rPr>
            </w:pPr>
          </w:p>
          <w:p>
            <w:pPr>
              <w:snapToGrid w:val="0"/>
              <w:spacing w:line="360" w:lineRule="auto"/>
              <w:ind w:firstLine="456" w:firstLineChars="200"/>
              <w:rPr>
                <w:spacing w:val="-6"/>
                <w:sz w:val="24"/>
              </w:rPr>
            </w:pPr>
            <w:r>
              <w:rPr>
                <w:rFonts w:hint="eastAsia"/>
                <w:spacing w:val="-6"/>
                <w:sz w:val="24"/>
              </w:rPr>
              <w:t>式中：P</w:t>
            </w:r>
            <w:r>
              <w:rPr>
                <w:rFonts w:hint="eastAsia"/>
                <w:spacing w:val="-6"/>
                <w:sz w:val="24"/>
                <w:vertAlign w:val="subscript"/>
              </w:rPr>
              <w:t>pH</w:t>
            </w:r>
            <w:r>
              <w:rPr>
                <w:rFonts w:hint="eastAsia"/>
                <w:spacing w:val="-6"/>
                <w:sz w:val="24"/>
              </w:rPr>
              <w:t>—pH值的单项指数；</w:t>
            </w:r>
          </w:p>
          <w:p>
            <w:pPr>
              <w:snapToGrid w:val="0"/>
              <w:spacing w:line="360" w:lineRule="auto"/>
              <w:ind w:firstLine="456" w:firstLineChars="200"/>
              <w:rPr>
                <w:spacing w:val="-6"/>
                <w:sz w:val="24"/>
              </w:rPr>
            </w:pPr>
            <w:r>
              <w:rPr>
                <w:rFonts w:hint="eastAsia"/>
                <w:spacing w:val="-6"/>
                <w:sz w:val="24"/>
              </w:rPr>
              <w:t xml:space="preserve">      pH</w:t>
            </w:r>
            <w:r>
              <w:rPr>
                <w:rFonts w:hint="eastAsia"/>
                <w:spacing w:val="-6"/>
                <w:sz w:val="24"/>
                <w:vertAlign w:val="subscript"/>
              </w:rPr>
              <w:t>i</w:t>
            </w:r>
            <w:r>
              <w:rPr>
                <w:rFonts w:hint="eastAsia"/>
                <w:spacing w:val="-6"/>
                <w:sz w:val="24"/>
              </w:rPr>
              <w:t>—点pH值监测值；</w:t>
            </w:r>
          </w:p>
          <w:p>
            <w:pPr>
              <w:snapToGrid w:val="0"/>
              <w:spacing w:line="360" w:lineRule="auto"/>
              <w:ind w:firstLine="456" w:firstLineChars="200"/>
              <w:rPr>
                <w:spacing w:val="-6"/>
                <w:sz w:val="24"/>
              </w:rPr>
            </w:pPr>
            <w:r>
              <w:rPr>
                <w:rFonts w:hint="eastAsia"/>
                <w:spacing w:val="-6"/>
                <w:sz w:val="24"/>
              </w:rPr>
              <w:t xml:space="preserve">      pH</w:t>
            </w:r>
            <w:r>
              <w:rPr>
                <w:rFonts w:hint="eastAsia"/>
                <w:spacing w:val="-6"/>
                <w:sz w:val="24"/>
                <w:vertAlign w:val="subscript"/>
              </w:rPr>
              <w:t>su</w:t>
            </w:r>
            <w:r>
              <w:rPr>
                <w:rFonts w:hint="eastAsia"/>
                <w:spacing w:val="-6"/>
                <w:sz w:val="24"/>
              </w:rPr>
              <w:t>—水质标准中pH值上限；</w:t>
            </w:r>
          </w:p>
          <w:p>
            <w:pPr>
              <w:snapToGrid w:val="0"/>
              <w:spacing w:line="360" w:lineRule="auto"/>
              <w:ind w:firstLine="1140" w:firstLineChars="500"/>
              <w:rPr>
                <w:spacing w:val="-6"/>
                <w:sz w:val="24"/>
              </w:rPr>
            </w:pPr>
            <w:r>
              <w:rPr>
                <w:rFonts w:hint="eastAsia"/>
                <w:spacing w:val="-6"/>
                <w:sz w:val="24"/>
              </w:rPr>
              <w:t>pH</w:t>
            </w:r>
            <w:r>
              <w:rPr>
                <w:rFonts w:hint="eastAsia"/>
                <w:spacing w:val="-6"/>
                <w:sz w:val="24"/>
                <w:vertAlign w:val="subscript"/>
              </w:rPr>
              <w:t>sd</w:t>
            </w:r>
            <w:r>
              <w:rPr>
                <w:rFonts w:hint="eastAsia"/>
                <w:spacing w:val="-6"/>
                <w:sz w:val="24"/>
              </w:rPr>
              <w:t>—水质标准中pH值下限；</w:t>
            </w:r>
          </w:p>
          <w:p>
            <w:pPr>
              <w:snapToGrid w:val="0"/>
              <w:spacing w:line="360" w:lineRule="auto"/>
              <w:ind w:firstLine="456" w:firstLineChars="200"/>
              <w:rPr>
                <w:spacing w:val="-6"/>
                <w:sz w:val="24"/>
              </w:rPr>
            </w:pPr>
            <w:r>
              <w:rPr>
                <w:rFonts w:hint="eastAsia"/>
                <w:spacing w:val="-6"/>
                <w:sz w:val="24"/>
              </w:rPr>
              <w:t>溶解氧的单因子指数模式为：</w:t>
            </w:r>
          </w:p>
          <w:p>
            <w:pPr>
              <w:snapToGrid w:val="0"/>
              <w:spacing w:line="360" w:lineRule="auto"/>
              <w:ind w:firstLine="960" w:firstLineChars="400"/>
              <w:rPr>
                <w:spacing w:val="-6"/>
                <w:sz w:val="24"/>
              </w:rPr>
            </w:pPr>
            <w:r>
              <w:rPr>
                <w:sz w:val="24"/>
              </w:rPr>
              <w:drawing>
                <wp:anchor distT="0" distB="0" distL="114300" distR="114300" simplePos="0" relativeHeight="251664384" behindDoc="0" locked="0" layoutInCell="1" allowOverlap="1">
                  <wp:simplePos x="0" y="0"/>
                  <wp:positionH relativeFrom="column">
                    <wp:posOffset>1171575</wp:posOffset>
                  </wp:positionH>
                  <wp:positionV relativeFrom="paragraph">
                    <wp:posOffset>35560</wp:posOffset>
                  </wp:positionV>
                  <wp:extent cx="2647950" cy="1305560"/>
                  <wp:effectExtent l="0" t="0" r="0" b="8890"/>
                  <wp:wrapNone/>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18"/>
                          <a:stretch>
                            <a:fillRect/>
                          </a:stretch>
                        </pic:blipFill>
                        <pic:spPr>
                          <a:xfrm>
                            <a:off x="0" y="0"/>
                            <a:ext cx="2647950" cy="1305560"/>
                          </a:xfrm>
                          <a:prstGeom prst="rect">
                            <a:avLst/>
                          </a:prstGeom>
                          <a:noFill/>
                          <a:ln>
                            <a:noFill/>
                          </a:ln>
                        </pic:spPr>
                      </pic:pic>
                    </a:graphicData>
                  </a:graphic>
                </wp:anchor>
              </w:drawing>
            </w:r>
          </w:p>
          <w:p>
            <w:pPr>
              <w:snapToGrid w:val="0"/>
              <w:spacing w:line="360" w:lineRule="auto"/>
              <w:ind w:firstLine="912" w:firstLineChars="400"/>
              <w:rPr>
                <w:spacing w:val="-6"/>
                <w:sz w:val="24"/>
              </w:rPr>
            </w:pPr>
          </w:p>
          <w:p>
            <w:pPr>
              <w:snapToGrid w:val="0"/>
              <w:spacing w:line="360" w:lineRule="auto"/>
              <w:ind w:firstLine="912" w:firstLineChars="400"/>
              <w:rPr>
                <w:spacing w:val="-6"/>
                <w:sz w:val="24"/>
              </w:rPr>
            </w:pPr>
          </w:p>
          <w:p>
            <w:pPr>
              <w:snapToGrid w:val="0"/>
              <w:spacing w:line="360" w:lineRule="auto"/>
              <w:ind w:firstLine="456" w:firstLineChars="200"/>
              <w:rPr>
                <w:spacing w:val="-6"/>
                <w:sz w:val="24"/>
              </w:rPr>
            </w:pPr>
          </w:p>
          <w:p>
            <w:pPr>
              <w:snapToGrid w:val="0"/>
              <w:spacing w:line="360" w:lineRule="auto"/>
              <w:ind w:firstLine="456" w:firstLineChars="200"/>
              <w:rPr>
                <w:rFonts w:hint="eastAsia"/>
                <w:spacing w:val="-6"/>
                <w:sz w:val="24"/>
              </w:rPr>
            </w:pPr>
          </w:p>
          <w:p>
            <w:pPr>
              <w:snapToGrid w:val="0"/>
              <w:spacing w:line="360" w:lineRule="auto"/>
              <w:ind w:firstLine="456" w:firstLineChars="200"/>
              <w:rPr>
                <w:spacing w:val="-6"/>
                <w:sz w:val="24"/>
              </w:rPr>
            </w:pPr>
            <w:r>
              <w:rPr>
                <w:rFonts w:hint="eastAsia"/>
                <w:spacing w:val="-6"/>
                <w:sz w:val="24"/>
              </w:rPr>
              <w:t>式中：DOi—某水温、气压下河水中的溶解氧饱和值，（mg/L）；</w:t>
            </w:r>
          </w:p>
          <w:p>
            <w:pPr>
              <w:snapToGrid w:val="0"/>
              <w:spacing w:line="360" w:lineRule="auto"/>
              <w:ind w:firstLine="456" w:firstLineChars="200"/>
              <w:rPr>
                <w:spacing w:val="-6"/>
                <w:sz w:val="24"/>
              </w:rPr>
            </w:pPr>
            <w:r>
              <w:rPr>
                <w:rFonts w:hint="eastAsia"/>
                <w:spacing w:val="-6"/>
                <w:sz w:val="24"/>
              </w:rPr>
              <w:t xml:space="preserve">      DOj—监测点j的溶解氧浓度，（mg/L）；</w:t>
            </w:r>
          </w:p>
          <w:p>
            <w:pPr>
              <w:snapToGrid w:val="0"/>
              <w:spacing w:line="360" w:lineRule="auto"/>
              <w:ind w:firstLine="1140" w:firstLineChars="500"/>
              <w:rPr>
                <w:spacing w:val="-6"/>
                <w:sz w:val="24"/>
              </w:rPr>
            </w:pPr>
            <w:r>
              <w:rPr>
                <w:rFonts w:hint="eastAsia"/>
                <w:spacing w:val="-6"/>
                <w:sz w:val="24"/>
              </w:rPr>
              <w:t>DOs—溶解氧的地表水水质标准，（mg/L）；</w:t>
            </w:r>
          </w:p>
          <w:p>
            <w:pPr>
              <w:snapToGrid w:val="0"/>
              <w:spacing w:line="360" w:lineRule="auto"/>
              <w:ind w:firstLine="1140" w:firstLineChars="500"/>
              <w:rPr>
                <w:spacing w:val="-6"/>
                <w:sz w:val="24"/>
              </w:rPr>
            </w:pPr>
            <w:r>
              <w:rPr>
                <w:rFonts w:hint="eastAsia"/>
                <w:spacing w:val="-6"/>
                <w:sz w:val="24"/>
              </w:rPr>
              <w:t>T—水温（℃）。</w:t>
            </w:r>
          </w:p>
          <w:p>
            <w:pPr>
              <w:autoSpaceDE w:val="0"/>
              <w:autoSpaceDN w:val="0"/>
              <w:adjustRightInd w:val="0"/>
              <w:snapToGrid w:val="0"/>
              <w:spacing w:line="360" w:lineRule="auto"/>
              <w:outlineLvl w:val="2"/>
              <w:rPr>
                <w:b/>
                <w:kern w:val="0"/>
                <w:sz w:val="24"/>
              </w:rPr>
            </w:pPr>
            <w:r>
              <w:rPr>
                <w:rFonts w:hint="eastAsia"/>
                <w:b/>
                <w:kern w:val="0"/>
                <w:sz w:val="24"/>
              </w:rPr>
              <w:t>3.2.2本次监测结果分析</w:t>
            </w:r>
          </w:p>
          <w:p>
            <w:pPr>
              <w:numPr>
                <w:ilvl w:val="0"/>
                <w:numId w:val="6"/>
              </w:numPr>
              <w:snapToGrid w:val="0"/>
              <w:spacing w:line="360" w:lineRule="auto"/>
              <w:ind w:firstLine="456" w:firstLineChars="200"/>
              <w:rPr>
                <w:spacing w:val="-6"/>
                <w:sz w:val="24"/>
              </w:rPr>
            </w:pPr>
            <w:r>
              <w:rPr>
                <w:rFonts w:hint="eastAsia"/>
                <w:spacing w:val="-6"/>
                <w:sz w:val="24"/>
              </w:rPr>
              <w:t>监测点位：取水口处。</w:t>
            </w:r>
          </w:p>
          <w:p>
            <w:pPr>
              <w:numPr>
                <w:ilvl w:val="0"/>
                <w:numId w:val="6"/>
              </w:numPr>
              <w:snapToGrid w:val="0"/>
              <w:spacing w:line="360" w:lineRule="auto"/>
              <w:ind w:firstLine="456" w:firstLineChars="200"/>
              <w:rPr>
                <w:spacing w:val="-6"/>
                <w:sz w:val="24"/>
              </w:rPr>
            </w:pPr>
            <w:r>
              <w:rPr>
                <w:rFonts w:hint="eastAsia"/>
                <w:spacing w:val="-6"/>
                <w:sz w:val="24"/>
              </w:rPr>
              <w:t>监测指标：监测项目为《地表水环境质量标准》（GB3838-2002）中基本项（不测化学需氧量和总氮）+补充项共27项。</w:t>
            </w:r>
          </w:p>
          <w:p>
            <w:pPr>
              <w:numPr>
                <w:ilvl w:val="0"/>
                <w:numId w:val="6"/>
              </w:numPr>
              <w:snapToGrid w:val="0"/>
              <w:spacing w:line="360" w:lineRule="auto"/>
              <w:ind w:firstLine="456" w:firstLineChars="200"/>
              <w:rPr>
                <w:spacing w:val="-6"/>
                <w:sz w:val="24"/>
              </w:rPr>
            </w:pPr>
            <w:r>
              <w:rPr>
                <w:rFonts w:hint="eastAsia"/>
                <w:spacing w:val="-6"/>
                <w:sz w:val="24"/>
              </w:rPr>
              <w:t>评价标准：执行《地表水环境质量标准》（GB3838-2002）Ⅱ类标准限值。</w:t>
            </w:r>
          </w:p>
          <w:p>
            <w:pPr>
              <w:numPr>
                <w:ilvl w:val="0"/>
                <w:numId w:val="6"/>
              </w:numPr>
              <w:snapToGrid w:val="0"/>
              <w:spacing w:line="360" w:lineRule="auto"/>
              <w:ind w:firstLine="456" w:firstLineChars="200"/>
              <w:rPr>
                <w:spacing w:val="-6"/>
                <w:sz w:val="24"/>
              </w:rPr>
            </w:pPr>
            <w:r>
              <w:rPr>
                <w:rFonts w:hint="eastAsia"/>
                <w:spacing w:val="-6"/>
                <w:sz w:val="24"/>
              </w:rPr>
              <w:t>监测结果：各项指标均达到Ⅱ类标准要求。</w:t>
            </w:r>
          </w:p>
          <w:p>
            <w:pPr>
              <w:snapToGrid w:val="0"/>
              <w:spacing w:line="360" w:lineRule="auto"/>
              <w:jc w:val="center"/>
              <w:rPr>
                <w:rFonts w:hint="eastAsia"/>
                <w:b/>
                <w:bCs/>
                <w:spacing w:val="-6"/>
                <w:sz w:val="24"/>
              </w:rPr>
            </w:pPr>
            <w:r>
              <w:rPr>
                <w:rFonts w:hint="eastAsia"/>
                <w:b/>
                <w:bCs/>
                <w:spacing w:val="-6"/>
                <w:sz w:val="24"/>
              </w:rPr>
              <w:t>表3-</w:t>
            </w:r>
            <w:r>
              <w:rPr>
                <w:b/>
                <w:bCs/>
                <w:spacing w:val="-6"/>
                <w:sz w:val="24"/>
              </w:rPr>
              <w:t>2</w:t>
            </w:r>
            <w:r>
              <w:rPr>
                <w:rFonts w:hint="eastAsia"/>
                <w:b/>
                <w:bCs/>
                <w:spacing w:val="-6"/>
                <w:sz w:val="24"/>
              </w:rPr>
              <w:t xml:space="preserve">  地表水监测结果评价表</w:t>
            </w:r>
          </w:p>
          <w:tbl>
            <w:tblPr>
              <w:tblStyle w:val="39"/>
              <w:tblW w:w="416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88"/>
              <w:gridCol w:w="2473"/>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2" w:type="pct"/>
                  <w:vMerge w:val="restart"/>
                  <w:tcBorders>
                    <w:top w:val="single" w:color="auto" w:sz="12" w:space="0"/>
                    <w:left w:val="nil"/>
                    <w:bottom w:val="single" w:color="auto" w:sz="4" w:space="0"/>
                    <w:right w:val="single" w:color="auto" w:sz="4" w:space="0"/>
                  </w:tcBorders>
                  <w:noWrap w:val="0"/>
                  <w:vAlign w:val="center"/>
                </w:tcPr>
                <w:p>
                  <w:pPr>
                    <w:jc w:val="center"/>
                    <w:rPr>
                      <w:bCs/>
                      <w:szCs w:val="21"/>
                    </w:rPr>
                  </w:pPr>
                  <w:r>
                    <w:rPr>
                      <w:bCs/>
                      <w:szCs w:val="21"/>
                    </w:rPr>
                    <w:t>检测项目</w:t>
                  </w:r>
                </w:p>
              </w:tc>
              <w:tc>
                <w:tcPr>
                  <w:tcW w:w="1826" w:type="pct"/>
                  <w:tcBorders>
                    <w:top w:val="single" w:color="auto" w:sz="12" w:space="0"/>
                    <w:left w:val="single" w:color="auto" w:sz="4" w:space="0"/>
                    <w:bottom w:val="single" w:color="auto" w:sz="4" w:space="0"/>
                    <w:right w:val="single" w:color="auto" w:sz="4" w:space="0"/>
                  </w:tcBorders>
                  <w:noWrap w:val="0"/>
                  <w:vAlign w:val="center"/>
                </w:tcPr>
                <w:p>
                  <w:pPr>
                    <w:jc w:val="center"/>
                    <w:rPr>
                      <w:bCs/>
                      <w:szCs w:val="21"/>
                    </w:rPr>
                  </w:pPr>
                  <w:r>
                    <w:rPr>
                      <w:bCs/>
                      <w:szCs w:val="21"/>
                    </w:rPr>
                    <w:t>检测结果</w:t>
                  </w:r>
                </w:p>
              </w:tc>
              <w:tc>
                <w:tcPr>
                  <w:tcW w:w="1042" w:type="pct"/>
                  <w:vMerge w:val="restart"/>
                  <w:tcBorders>
                    <w:top w:val="single" w:color="auto" w:sz="12" w:space="0"/>
                    <w:left w:val="single" w:color="auto" w:sz="4" w:space="0"/>
                  </w:tcBorders>
                  <w:noWrap w:val="0"/>
                  <w:vAlign w:val="center"/>
                </w:tcPr>
                <w:p>
                  <w:pPr>
                    <w:jc w:val="center"/>
                    <w:rPr>
                      <w:szCs w:val="21"/>
                    </w:rPr>
                  </w:pPr>
                  <w:r>
                    <w:rPr>
                      <w:szCs w:val="21"/>
                    </w:rPr>
                    <w:t>标准限值</w:t>
                  </w:r>
                  <w:r>
                    <w:rPr>
                      <w:sz w:val="18"/>
                      <w:szCs w:val="18"/>
                    </w:rPr>
                    <w:t>（</w:t>
                  </w:r>
                  <w:r>
                    <w:rPr>
                      <w:bCs/>
                      <w:sz w:val="18"/>
                      <w:szCs w:val="18"/>
                    </w:rPr>
                    <w:t>mg/L</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2" w:type="pct"/>
                  <w:vMerge w:val="continue"/>
                  <w:tcBorders>
                    <w:top w:val="single" w:color="auto" w:sz="4" w:space="0"/>
                    <w:left w:val="nil"/>
                    <w:bottom w:val="single" w:color="auto" w:sz="12" w:space="0"/>
                    <w:right w:val="single" w:color="auto" w:sz="4" w:space="0"/>
                  </w:tcBorders>
                  <w:noWrap w:val="0"/>
                  <w:vAlign w:val="center"/>
                </w:tcPr>
                <w:p>
                  <w:pPr>
                    <w:jc w:val="center"/>
                    <w:rPr>
                      <w:bCs/>
                      <w:szCs w:val="21"/>
                    </w:rPr>
                  </w:pPr>
                </w:p>
              </w:tc>
              <w:tc>
                <w:tcPr>
                  <w:tcW w:w="1826" w:type="pct"/>
                  <w:tcBorders>
                    <w:top w:val="single" w:color="auto" w:sz="4" w:space="0"/>
                    <w:left w:val="single" w:color="auto" w:sz="4" w:space="0"/>
                    <w:bottom w:val="single" w:color="auto" w:sz="12" w:space="0"/>
                    <w:right w:val="single" w:color="auto" w:sz="4" w:space="0"/>
                  </w:tcBorders>
                  <w:noWrap w:val="0"/>
                  <w:vAlign w:val="center"/>
                </w:tcPr>
                <w:p>
                  <w:pPr>
                    <w:widowControl/>
                    <w:jc w:val="center"/>
                    <w:textAlignment w:val="center"/>
                    <w:rPr>
                      <w:szCs w:val="21"/>
                    </w:rPr>
                  </w:pPr>
                  <w:r>
                    <w:rPr>
                      <w:bCs/>
                      <w:color w:val="000000"/>
                      <w:kern w:val="0"/>
                      <w:szCs w:val="21"/>
                      <w:lang w:bidi="ar"/>
                    </w:rPr>
                    <w:t>1</w:t>
                  </w:r>
                  <w:r>
                    <w:rPr>
                      <w:bCs/>
                      <w:color w:val="000000"/>
                      <w:kern w:val="0"/>
                      <w:szCs w:val="21"/>
                      <w:vertAlign w:val="superscript"/>
                      <w:lang w:bidi="ar"/>
                    </w:rPr>
                    <w:t>#</w:t>
                  </w:r>
                  <w:r>
                    <w:rPr>
                      <w:rFonts w:hint="eastAsia"/>
                      <w:bCs/>
                      <w:color w:val="000000"/>
                      <w:kern w:val="0"/>
                      <w:szCs w:val="21"/>
                      <w:vertAlign w:val="superscript"/>
                      <w:lang w:bidi="ar"/>
                    </w:rPr>
                    <w:t xml:space="preserve"> </w:t>
                  </w:r>
                  <w:r>
                    <w:rPr>
                      <w:bCs/>
                      <w:color w:val="000000"/>
                      <w:kern w:val="0"/>
                      <w:szCs w:val="21"/>
                      <w:lang w:bidi="ar"/>
                    </w:rPr>
                    <w:t>关子门堰王沟饮用水水源取水口</w:t>
                  </w:r>
                </w:p>
              </w:tc>
              <w:tc>
                <w:tcPr>
                  <w:tcW w:w="1042" w:type="pct"/>
                  <w:vMerge w:val="continue"/>
                  <w:tcBorders>
                    <w:left w:val="single" w:color="auto" w:sz="4" w:space="0"/>
                    <w:bottom w:val="single" w:color="auto" w:sz="12" w:space="0"/>
                  </w:tcBorders>
                  <w:noWrap w:val="0"/>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12" w:space="0"/>
                    <w:left w:val="nil"/>
                    <w:bottom w:val="single" w:color="auto" w:sz="4" w:space="0"/>
                    <w:right w:val="single" w:color="auto" w:sz="4" w:space="0"/>
                  </w:tcBorders>
                  <w:noWrap w:val="0"/>
                  <w:vAlign w:val="center"/>
                </w:tcPr>
                <w:p>
                  <w:pPr>
                    <w:jc w:val="center"/>
                    <w:rPr>
                      <w:bCs/>
                      <w:szCs w:val="21"/>
                    </w:rPr>
                  </w:pPr>
                  <w:r>
                    <w:rPr>
                      <w:szCs w:val="21"/>
                    </w:rPr>
                    <w:t>水温</w:t>
                  </w:r>
                  <w:r>
                    <w:rPr>
                      <w:sz w:val="18"/>
                      <w:szCs w:val="18"/>
                    </w:rPr>
                    <w:t>（</w:t>
                  </w:r>
                  <w:r>
                    <w:rPr>
                      <w:rFonts w:hint="eastAsia" w:ascii="宋体" w:hAnsi="宋体" w:cs="宋体"/>
                      <w:sz w:val="18"/>
                      <w:szCs w:val="18"/>
                    </w:rPr>
                    <w:t>℃</w:t>
                  </w:r>
                  <w:r>
                    <w:rPr>
                      <w:sz w:val="18"/>
                      <w:szCs w:val="18"/>
                    </w:rPr>
                    <w:t>）</w:t>
                  </w:r>
                </w:p>
              </w:tc>
              <w:tc>
                <w:tcPr>
                  <w:tcW w:w="1826" w:type="pct"/>
                  <w:tcBorders>
                    <w:top w:val="single" w:color="auto" w:sz="12"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16.4</w:t>
                  </w:r>
                </w:p>
              </w:tc>
              <w:tc>
                <w:tcPr>
                  <w:tcW w:w="1042" w:type="pct"/>
                  <w:tcBorders>
                    <w:top w:val="single" w:color="auto" w:sz="12" w:space="0"/>
                    <w:left w:val="single" w:color="auto" w:sz="4" w:space="0"/>
                    <w:bottom w:val="single" w:color="auto" w:sz="4" w:space="0"/>
                  </w:tcBorders>
                  <w:noWrap w:val="0"/>
                  <w:vAlign w:val="center"/>
                </w:tcPr>
                <w:p>
                  <w:pPr>
                    <w:jc w:val="center"/>
                    <w:rPr>
                      <w:bCs/>
                      <w:szCs w:val="21"/>
                    </w:rPr>
                  </w:pPr>
                  <w:r>
                    <w:rPr>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bCs/>
                      <w:szCs w:val="21"/>
                    </w:rPr>
                    <w:t>pH</w:t>
                  </w:r>
                  <w:r>
                    <w:rPr>
                      <w:bCs/>
                      <w:sz w:val="18"/>
                      <w:szCs w:val="18"/>
                    </w:rPr>
                    <w:t>（无量纲）</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8.3</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6~9</w:t>
                  </w:r>
                  <w:r>
                    <w:rPr>
                      <w:bCs/>
                      <w:sz w:val="18"/>
                      <w:szCs w:val="18"/>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溶解氧</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8.01</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高锰酸盐指数</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1.7</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五日生化需氧量</w:t>
                  </w:r>
                  <w:r>
                    <w:rPr>
                      <w:sz w:val="18"/>
                      <w:szCs w:val="18"/>
                    </w:rPr>
                    <w:t>（BOD</w:t>
                  </w:r>
                  <w:r>
                    <w:rPr>
                      <w:sz w:val="18"/>
                      <w:szCs w:val="18"/>
                      <w:vertAlign w:val="subscript"/>
                    </w:rPr>
                    <w:t>5</w:t>
                  </w:r>
                  <w:r>
                    <w:rPr>
                      <w:sz w:val="18"/>
                      <w:szCs w:val="18"/>
                    </w:rPr>
                    <w:t>）</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1.2</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氨氮</w:t>
                  </w:r>
                  <w:r>
                    <w:rPr>
                      <w:sz w:val="18"/>
                      <w:szCs w:val="18"/>
                    </w:rPr>
                    <w:t>（NH</w:t>
                  </w:r>
                  <w:r>
                    <w:rPr>
                      <w:sz w:val="18"/>
                      <w:szCs w:val="18"/>
                      <w:vertAlign w:val="subscript"/>
                    </w:rPr>
                    <w:t>3</w:t>
                  </w:r>
                  <w:r>
                    <w:rPr>
                      <w:sz w:val="18"/>
                      <w:szCs w:val="18"/>
                    </w:rPr>
                    <w:t>-N）</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0.220</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总磷</w:t>
                  </w:r>
                  <w:r>
                    <w:rPr>
                      <w:sz w:val="18"/>
                      <w:szCs w:val="18"/>
                    </w:rPr>
                    <w:t>（以P计）</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0.07</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总氮</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1.80</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铜</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6.54</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锌</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13.2</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氟化物</w:t>
                  </w:r>
                  <w:r>
                    <w:rPr>
                      <w:sz w:val="18"/>
                      <w:szCs w:val="18"/>
                    </w:rPr>
                    <w:t>（以F</w:t>
                  </w:r>
                  <w:r>
                    <w:rPr>
                      <w:sz w:val="18"/>
                      <w:szCs w:val="18"/>
                      <w:vertAlign w:val="superscript"/>
                    </w:rPr>
                    <w:t>-</w:t>
                  </w:r>
                  <w:r>
                    <w:rPr>
                      <w:sz w:val="18"/>
                      <w:szCs w:val="18"/>
                    </w:rPr>
                    <w:t>计）</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0.416</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硒</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0.4L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砷</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1.4</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汞</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0.04L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≤0.</w:t>
                  </w:r>
                  <w:r>
                    <w:rPr>
                      <w:rFonts w:hint="eastAsia"/>
                      <w:bCs/>
                      <w:szCs w:val="21"/>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镉</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0.05L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szCs w:val="21"/>
                    </w:rPr>
                  </w:pPr>
                  <w:r>
                    <w:rPr>
                      <w:bCs/>
                      <w:szCs w:val="21"/>
                    </w:rPr>
                    <w:t>六价铬</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0.004L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铅</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color w:val="000000"/>
                      <w:szCs w:val="21"/>
                    </w:rPr>
                    <w:t>0.45</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氰化物</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0.004L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挥发酚</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0.0003L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石油类</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0.01L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阴离子表面活性剂</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bCs/>
                      <w:color w:val="000000"/>
                      <w:kern w:val="0"/>
                      <w:szCs w:val="21"/>
                      <w:lang w:bidi="ar"/>
                    </w:rPr>
                    <w:t>0.05L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硫化物</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0.01L</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粪大肠菌群</w:t>
                  </w:r>
                  <w:r>
                    <w:rPr>
                      <w:sz w:val="18"/>
                      <w:szCs w:val="18"/>
                    </w:rPr>
                    <w:t>（MPN/L）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1.7×10</w:t>
                  </w:r>
                  <w:r>
                    <w:rPr>
                      <w:szCs w:val="21"/>
                      <w:vertAlign w:val="superscript"/>
                    </w:rPr>
                    <w:t>3</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硫酸盐</w:t>
                  </w:r>
                  <w:r>
                    <w:rPr>
                      <w:sz w:val="18"/>
                      <w:szCs w:val="18"/>
                    </w:rPr>
                    <w:t>（以SO</w:t>
                  </w:r>
                  <w:r>
                    <w:rPr>
                      <w:sz w:val="18"/>
                      <w:szCs w:val="18"/>
                      <w:vertAlign w:val="subscript"/>
                    </w:rPr>
                    <w:t>4</w:t>
                  </w:r>
                  <w:r>
                    <w:rPr>
                      <w:sz w:val="18"/>
                      <w:szCs w:val="18"/>
                      <w:vertAlign w:val="superscript"/>
                    </w:rPr>
                    <w:t>2-</w:t>
                  </w:r>
                  <w:r>
                    <w:rPr>
                      <w:sz w:val="18"/>
                      <w:szCs w:val="18"/>
                    </w:rPr>
                    <w:t>计）</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63.6</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氯化物</w:t>
                  </w:r>
                  <w:r>
                    <w:rPr>
                      <w:sz w:val="18"/>
                      <w:szCs w:val="18"/>
                    </w:rPr>
                    <w:t>（以Cl</w:t>
                  </w:r>
                  <w:r>
                    <w:rPr>
                      <w:sz w:val="18"/>
                      <w:szCs w:val="18"/>
                      <w:vertAlign w:val="superscript"/>
                    </w:rPr>
                    <w:t>-</w:t>
                  </w:r>
                  <w:r>
                    <w:rPr>
                      <w:sz w:val="18"/>
                      <w:szCs w:val="18"/>
                    </w:rPr>
                    <w:t>计）</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33.6</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硝酸盐</w:t>
                  </w:r>
                  <w:r>
                    <w:rPr>
                      <w:sz w:val="18"/>
                      <w:szCs w:val="18"/>
                    </w:rPr>
                    <w:t>（以N计）</w:t>
                  </w:r>
                  <w:r>
                    <w:rPr>
                      <w:bCs/>
                      <w:sz w:val="18"/>
                      <w:szCs w:val="18"/>
                    </w:rPr>
                    <w:t>（mg/L）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1.57</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铁</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7.06</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2" w:type="pct"/>
                  <w:tcBorders>
                    <w:top w:val="single" w:color="auto" w:sz="4" w:space="0"/>
                    <w:left w:val="nil"/>
                    <w:bottom w:val="single" w:color="auto" w:sz="4" w:space="0"/>
                    <w:right w:val="single" w:color="auto" w:sz="4" w:space="0"/>
                  </w:tcBorders>
                  <w:noWrap w:val="0"/>
                  <w:vAlign w:val="center"/>
                </w:tcPr>
                <w:p>
                  <w:pPr>
                    <w:jc w:val="center"/>
                    <w:rPr>
                      <w:bCs/>
                      <w:szCs w:val="21"/>
                    </w:rPr>
                  </w:pPr>
                  <w:r>
                    <w:rPr>
                      <w:szCs w:val="21"/>
                    </w:rPr>
                    <w:t>锰</w:t>
                  </w:r>
                  <w:r>
                    <w:rPr>
                      <w:sz w:val="18"/>
                      <w:szCs w:val="18"/>
                    </w:rPr>
                    <w:t>（</w:t>
                  </w:r>
                  <w:r>
                    <w:rPr>
                      <w:kern w:val="0"/>
                      <w:sz w:val="18"/>
                      <w:szCs w:val="18"/>
                      <w:lang w:bidi="ar"/>
                    </w:rPr>
                    <w:t>μg/L）</w:t>
                  </w:r>
                </w:p>
              </w:tc>
              <w:tc>
                <w:tcPr>
                  <w:tcW w:w="182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24.0</w:t>
                  </w:r>
                </w:p>
              </w:tc>
              <w:tc>
                <w:tcPr>
                  <w:tcW w:w="1042" w:type="pct"/>
                  <w:tcBorders>
                    <w:top w:val="single" w:color="auto" w:sz="4" w:space="0"/>
                    <w:left w:val="single" w:color="auto" w:sz="4" w:space="0"/>
                    <w:bottom w:val="single" w:color="auto" w:sz="4" w:space="0"/>
                  </w:tcBorders>
                  <w:noWrap w:val="0"/>
                  <w:vAlign w:val="center"/>
                </w:tcPr>
                <w:p>
                  <w:pPr>
                    <w:jc w:val="center"/>
                    <w:rPr>
                      <w:bCs/>
                      <w:szCs w:val="21"/>
                    </w:rPr>
                  </w:pPr>
                  <w:r>
                    <w:rPr>
                      <w:bCs/>
                      <w:szCs w:val="21"/>
                    </w:rPr>
                    <w:t>≤</w:t>
                  </w:r>
                  <w:r>
                    <w:rPr>
                      <w:rFonts w:hint="eastAsia"/>
                      <w:bCs/>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3"/>
                  <w:tcBorders>
                    <w:top w:val="single" w:color="auto" w:sz="4" w:space="0"/>
                    <w:left w:val="nil"/>
                    <w:bottom w:val="single" w:color="auto" w:sz="12" w:space="0"/>
                  </w:tcBorders>
                  <w:noWrap w:val="0"/>
                  <w:vAlign w:val="center"/>
                </w:tcPr>
                <w:p>
                  <w:pPr>
                    <w:snapToGrid w:val="0"/>
                    <w:spacing w:line="300" w:lineRule="exact"/>
                    <w:jc w:val="left"/>
                    <w:rPr>
                      <w:szCs w:val="21"/>
                    </w:rPr>
                  </w:pPr>
                  <w:r>
                    <w:rPr>
                      <w:rFonts w:hint="eastAsia"/>
                      <w:bCs/>
                      <w:szCs w:val="21"/>
                    </w:rPr>
                    <w:t>注：</w:t>
                  </w:r>
                  <w:r>
                    <w:rPr>
                      <w:szCs w:val="21"/>
                    </w:rPr>
                    <w:t>地表水标准限值执行</w:t>
                  </w:r>
                  <w:r>
                    <w:rPr>
                      <w:kern w:val="0"/>
                      <w:szCs w:val="21"/>
                      <w:lang w:bidi="ar"/>
                    </w:rPr>
                    <w:t>《地表水环境质量标准》（GB 3838-2002）</w:t>
                  </w:r>
                  <w:r>
                    <w:rPr>
                      <w:szCs w:val="21"/>
                    </w:rPr>
                    <w:t>表1中</w:t>
                  </w:r>
                  <w:r>
                    <w:rPr>
                      <w:szCs w:val="21"/>
                    </w:rPr>
                    <w:fldChar w:fldCharType="begin"/>
                  </w:r>
                  <w:r>
                    <w:rPr>
                      <w:szCs w:val="21"/>
                    </w:rPr>
                    <w:instrText xml:space="preserve"> = 2 \* ROMAN \* MERGEFORMAT </w:instrText>
                  </w:r>
                  <w:r>
                    <w:rPr>
                      <w:szCs w:val="21"/>
                    </w:rPr>
                    <w:fldChar w:fldCharType="separate"/>
                  </w:r>
                  <w:r>
                    <w:t>II</w:t>
                  </w:r>
                  <w:r>
                    <w:rPr>
                      <w:szCs w:val="21"/>
                    </w:rPr>
                    <w:fldChar w:fldCharType="end"/>
                  </w:r>
                  <w:r>
                    <w:rPr>
                      <w:szCs w:val="21"/>
                    </w:rPr>
                    <w:t>类标准、表2</w:t>
                  </w:r>
                </w:p>
                <w:p>
                  <w:pPr>
                    <w:pStyle w:val="17"/>
                    <w:snapToGrid w:val="0"/>
                    <w:spacing w:line="300" w:lineRule="exact"/>
                    <w:ind w:left="720" w:leftChars="300"/>
                    <w:rPr>
                      <w:rFonts w:ascii="Times New Roman" w:hAnsi="Times New Roman" w:cs="Times New Roman"/>
                      <w:bCs/>
                    </w:rPr>
                  </w:pPr>
                  <w:r>
                    <w:rPr>
                      <w:rFonts w:ascii="Times New Roman" w:hAnsi="Times New Roman" w:cs="Times New Roman"/>
                    </w:rPr>
                    <w:t>标准</w:t>
                  </w:r>
                  <w:r>
                    <w:rPr>
                      <w:rFonts w:hint="eastAsia" w:ascii="Times New Roman" w:hAnsi="Times New Roman" w:cs="Times New Roman"/>
                    </w:rPr>
                    <w:t>；</w:t>
                  </w:r>
                  <w:r>
                    <w:rPr>
                      <w:rFonts w:ascii="Times New Roman" w:hAnsi="Times New Roman" w:cs="Times New Roman"/>
                    </w:rPr>
                    <w:t>“/”表示该项目不评价或所使用的标准对该项目无限值要求；</w:t>
                  </w:r>
                </w:p>
              </w:tc>
            </w:tr>
          </w:tbl>
          <w:p>
            <w:pPr>
              <w:pStyle w:val="138"/>
              <w:ind w:firstLine="480"/>
              <w:rPr>
                <w:rFonts w:hint="eastAsia"/>
              </w:rPr>
            </w:pPr>
            <w:r>
              <w:rPr>
                <w:rFonts w:hint="eastAsia"/>
              </w:rPr>
              <w:t>根据上表可知，关子门堰王沟取水口水质满足</w:t>
            </w:r>
            <w:r>
              <w:t>《地表水环境质量标准》（GB 3838-2002）表1中</w:t>
            </w:r>
            <w:r>
              <w:fldChar w:fldCharType="begin"/>
            </w:r>
            <w:r>
              <w:instrText xml:space="preserve"> = 2 \* ROMAN \* MERGEFORMAT </w:instrText>
            </w:r>
            <w:r>
              <w:fldChar w:fldCharType="separate"/>
            </w:r>
            <w:r>
              <w:t>II</w:t>
            </w:r>
            <w:r>
              <w:fldChar w:fldCharType="end"/>
            </w:r>
            <w:r>
              <w:t>类标准、表2标准</w:t>
            </w:r>
            <w:r>
              <w:rPr>
                <w:rFonts w:hint="eastAsia"/>
              </w:rPr>
              <w:t>。</w:t>
            </w:r>
          </w:p>
          <w:p>
            <w:pPr>
              <w:pStyle w:val="138"/>
              <w:ind w:firstLine="480"/>
              <w:rPr>
                <w:kern w:val="0"/>
              </w:rPr>
            </w:pPr>
            <w:r>
              <w:rPr>
                <w:rFonts w:hint="eastAsia"/>
                <w:kern w:val="0"/>
              </w:rPr>
              <w:t>2）剑锋河</w:t>
            </w:r>
          </w:p>
          <w:p>
            <w:pPr>
              <w:pStyle w:val="138"/>
              <w:ind w:firstLine="480"/>
              <w:rPr>
                <w:rFonts w:hint="eastAsia"/>
              </w:rPr>
            </w:pPr>
            <w:r>
              <w:rPr>
                <w:rFonts w:hint="eastAsia"/>
              </w:rPr>
              <w:t>根据乐山市市中区人民政府网站上公布的《2020年乐山市市中区环境质量公报》（网址：</w:t>
            </w:r>
            <w:r>
              <w:fldChar w:fldCharType="begin"/>
            </w:r>
            <w:r>
              <w:instrText xml:space="preserve"> HYPERLINK "http://www.lsszq.gov.cn/zfxxgk/gcontent.shtml?id=20210809165512-856981-00-000" </w:instrText>
            </w:r>
            <w:r>
              <w:fldChar w:fldCharType="separate"/>
            </w:r>
            <w:r>
              <w:t>http://www.lsszq.gov.cn/zfxxgk/gcontent.shtml?id=20210809165512-856981-00-000</w:t>
            </w:r>
            <w:r>
              <w:fldChar w:fldCharType="end"/>
            </w:r>
            <w:r>
              <w:rPr>
                <w:rFonts w:hint="eastAsia"/>
              </w:rPr>
              <w:t>），剑峰河2020年综合评价为Ⅳ类水质，水质受到轻度污染，主要污染物为总磷、高锰酸盐指数。</w:t>
            </w:r>
          </w:p>
          <w:p>
            <w:pPr>
              <w:pStyle w:val="183"/>
              <w:ind w:firstLine="482"/>
              <w:rPr>
                <w:rFonts w:hint="eastAsia"/>
                <w:b/>
              </w:rPr>
            </w:pPr>
            <w:r>
              <w:rPr>
                <w:rFonts w:hint="eastAsia"/>
                <w:b/>
              </w:rPr>
              <w:t>3、声环境质量</w:t>
            </w:r>
          </w:p>
          <w:p>
            <w:pPr>
              <w:pStyle w:val="183"/>
            </w:pPr>
            <w:r>
              <w:rPr>
                <w:rFonts w:hint="eastAsia"/>
              </w:rPr>
              <w:t>由于本项目净水厂及提水泵站厂界外周边5</w:t>
            </w:r>
            <w:r>
              <w:t>0m</w:t>
            </w:r>
            <w:r>
              <w:rPr>
                <w:rFonts w:hint="eastAsia"/>
              </w:rPr>
              <w:t>范围内无声环境保护目标，因此本项目主要对管道沿线居民进行噪声现状监测。本项目委托中优环境检测成都有限责任公司于2</w:t>
            </w:r>
            <w:r>
              <w:t>022</w:t>
            </w:r>
            <w:r>
              <w:rPr>
                <w:rFonts w:hint="eastAsia"/>
              </w:rPr>
              <w:t>年1</w:t>
            </w:r>
            <w:r>
              <w:t>1</w:t>
            </w:r>
            <w:r>
              <w:rPr>
                <w:rFonts w:hint="eastAsia"/>
              </w:rPr>
              <w:t>月1</w:t>
            </w:r>
            <w:r>
              <w:t>3</w:t>
            </w:r>
            <w:r>
              <w:rPr>
                <w:rFonts w:hint="eastAsia"/>
              </w:rPr>
              <w:t>日对本项目管道沿线居民噪声进行了现状监测，监测结果如下：</w:t>
            </w:r>
          </w:p>
          <w:p>
            <w:pPr>
              <w:pStyle w:val="183"/>
              <w:ind w:firstLine="0" w:firstLineChars="0"/>
              <w:jc w:val="center"/>
              <w:rPr>
                <w:rFonts w:hint="eastAsia"/>
                <w:b/>
                <w:bCs/>
              </w:rPr>
            </w:pPr>
            <w:r>
              <w:rPr>
                <w:rFonts w:hint="eastAsia"/>
                <w:b/>
                <w:bCs/>
              </w:rPr>
              <w:t>表3</w:t>
            </w:r>
            <w:r>
              <w:rPr>
                <w:b/>
                <w:bCs/>
              </w:rPr>
              <w:t xml:space="preserve">-3 </w:t>
            </w:r>
            <w:r>
              <w:rPr>
                <w:rFonts w:hint="eastAsia"/>
                <w:b/>
                <w:bCs/>
              </w:rPr>
              <w:t>噪声监测结果表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828"/>
              <w:gridCol w:w="708"/>
              <w:gridCol w:w="709"/>
              <w:gridCol w:w="1117"/>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09" w:type="dxa"/>
                  <w:vMerge w:val="restart"/>
                  <w:noWrap w:val="0"/>
                  <w:vAlign w:val="center"/>
                </w:tcPr>
                <w:p>
                  <w:pPr>
                    <w:pStyle w:val="183"/>
                    <w:spacing w:line="240" w:lineRule="auto"/>
                    <w:ind w:firstLine="0" w:firstLineChars="0"/>
                    <w:jc w:val="center"/>
                    <w:rPr>
                      <w:rFonts w:hint="eastAsia"/>
                      <w:sz w:val="21"/>
                      <w:szCs w:val="21"/>
                    </w:rPr>
                  </w:pPr>
                  <w:r>
                    <w:rPr>
                      <w:rFonts w:hint="eastAsia"/>
                      <w:sz w:val="21"/>
                      <w:szCs w:val="21"/>
                    </w:rPr>
                    <w:t>监测时间</w:t>
                  </w:r>
                </w:p>
              </w:tc>
              <w:tc>
                <w:tcPr>
                  <w:tcW w:w="3828" w:type="dxa"/>
                  <w:vMerge w:val="restart"/>
                  <w:noWrap w:val="0"/>
                  <w:vAlign w:val="center"/>
                </w:tcPr>
                <w:p>
                  <w:pPr>
                    <w:pStyle w:val="183"/>
                    <w:spacing w:line="240" w:lineRule="auto"/>
                    <w:ind w:firstLine="0" w:firstLineChars="0"/>
                    <w:jc w:val="center"/>
                    <w:rPr>
                      <w:rFonts w:hint="eastAsia"/>
                      <w:sz w:val="21"/>
                      <w:szCs w:val="21"/>
                    </w:rPr>
                  </w:pPr>
                  <w:r>
                    <w:rPr>
                      <w:rFonts w:hint="eastAsia"/>
                      <w:sz w:val="21"/>
                      <w:szCs w:val="21"/>
                    </w:rPr>
                    <w:t>点位</w:t>
                  </w:r>
                </w:p>
              </w:tc>
              <w:tc>
                <w:tcPr>
                  <w:tcW w:w="1417" w:type="dxa"/>
                  <w:gridSpan w:val="2"/>
                  <w:noWrap w:val="0"/>
                  <w:vAlign w:val="center"/>
                </w:tcPr>
                <w:p>
                  <w:pPr>
                    <w:pStyle w:val="183"/>
                    <w:spacing w:line="240" w:lineRule="auto"/>
                    <w:ind w:firstLine="0" w:firstLineChars="0"/>
                    <w:jc w:val="center"/>
                    <w:rPr>
                      <w:rFonts w:hint="eastAsia"/>
                      <w:sz w:val="21"/>
                      <w:szCs w:val="21"/>
                    </w:rPr>
                  </w:pPr>
                  <w:r>
                    <w:rPr>
                      <w:rFonts w:hint="eastAsia"/>
                      <w:sz w:val="21"/>
                      <w:szCs w:val="21"/>
                    </w:rPr>
                    <w:t>监测结果</w:t>
                  </w:r>
                </w:p>
              </w:tc>
              <w:tc>
                <w:tcPr>
                  <w:tcW w:w="1117" w:type="dxa"/>
                  <w:vMerge w:val="restart"/>
                  <w:noWrap w:val="0"/>
                  <w:vAlign w:val="center"/>
                </w:tcPr>
                <w:p>
                  <w:pPr>
                    <w:pStyle w:val="183"/>
                    <w:spacing w:line="240" w:lineRule="auto"/>
                    <w:ind w:firstLine="0" w:firstLineChars="0"/>
                    <w:jc w:val="center"/>
                    <w:rPr>
                      <w:rFonts w:hint="eastAsia"/>
                      <w:sz w:val="21"/>
                      <w:szCs w:val="21"/>
                    </w:rPr>
                  </w:pPr>
                  <w:r>
                    <w:rPr>
                      <w:rFonts w:hint="eastAsia"/>
                      <w:sz w:val="21"/>
                      <w:szCs w:val="21"/>
                    </w:rPr>
                    <w:t>标准值</w:t>
                  </w:r>
                </w:p>
              </w:tc>
              <w:tc>
                <w:tcPr>
                  <w:tcW w:w="867" w:type="dxa"/>
                  <w:vMerge w:val="restart"/>
                  <w:noWrap w:val="0"/>
                  <w:vAlign w:val="center"/>
                </w:tcPr>
                <w:p>
                  <w:pPr>
                    <w:pStyle w:val="183"/>
                    <w:spacing w:line="240" w:lineRule="auto"/>
                    <w:ind w:firstLine="0" w:firstLineChars="0"/>
                    <w:jc w:val="center"/>
                    <w:rPr>
                      <w:rFonts w:hint="eastAsia"/>
                      <w:sz w:val="21"/>
                      <w:szCs w:val="21"/>
                    </w:rPr>
                  </w:pPr>
                  <w:r>
                    <w:rPr>
                      <w:rFonts w:hint="eastAsia"/>
                      <w:sz w:val="21"/>
                      <w:szCs w:val="21"/>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9" w:type="dxa"/>
                  <w:vMerge w:val="continue"/>
                  <w:noWrap w:val="0"/>
                  <w:vAlign w:val="center"/>
                </w:tcPr>
                <w:p>
                  <w:pPr>
                    <w:pStyle w:val="183"/>
                    <w:spacing w:line="240" w:lineRule="auto"/>
                    <w:ind w:firstLine="0" w:firstLineChars="0"/>
                    <w:jc w:val="center"/>
                    <w:rPr>
                      <w:rFonts w:hint="eastAsia"/>
                      <w:sz w:val="21"/>
                      <w:szCs w:val="21"/>
                    </w:rPr>
                  </w:pPr>
                </w:p>
              </w:tc>
              <w:tc>
                <w:tcPr>
                  <w:tcW w:w="3828" w:type="dxa"/>
                  <w:vMerge w:val="continue"/>
                  <w:noWrap w:val="0"/>
                  <w:vAlign w:val="center"/>
                </w:tcPr>
                <w:p>
                  <w:pPr>
                    <w:pStyle w:val="183"/>
                    <w:spacing w:line="240" w:lineRule="auto"/>
                    <w:ind w:firstLine="0" w:firstLineChars="0"/>
                    <w:jc w:val="center"/>
                    <w:rPr>
                      <w:rFonts w:hint="eastAsia"/>
                      <w:sz w:val="21"/>
                      <w:szCs w:val="21"/>
                    </w:rPr>
                  </w:pPr>
                </w:p>
              </w:tc>
              <w:tc>
                <w:tcPr>
                  <w:tcW w:w="708" w:type="dxa"/>
                  <w:noWrap w:val="0"/>
                  <w:vAlign w:val="center"/>
                </w:tcPr>
                <w:p>
                  <w:pPr>
                    <w:pStyle w:val="183"/>
                    <w:spacing w:line="240" w:lineRule="auto"/>
                    <w:ind w:firstLine="0" w:firstLineChars="0"/>
                    <w:jc w:val="center"/>
                    <w:rPr>
                      <w:rFonts w:hint="eastAsia"/>
                      <w:sz w:val="21"/>
                      <w:szCs w:val="21"/>
                    </w:rPr>
                  </w:pPr>
                  <w:r>
                    <w:rPr>
                      <w:rFonts w:hint="eastAsia"/>
                      <w:sz w:val="21"/>
                      <w:szCs w:val="21"/>
                    </w:rPr>
                    <w:t>昼间</w:t>
                  </w:r>
                </w:p>
              </w:tc>
              <w:tc>
                <w:tcPr>
                  <w:tcW w:w="709" w:type="dxa"/>
                  <w:noWrap w:val="0"/>
                  <w:vAlign w:val="center"/>
                </w:tcPr>
                <w:p>
                  <w:pPr>
                    <w:pStyle w:val="183"/>
                    <w:spacing w:line="240" w:lineRule="auto"/>
                    <w:ind w:firstLine="0" w:firstLineChars="0"/>
                    <w:jc w:val="center"/>
                    <w:rPr>
                      <w:rFonts w:hint="eastAsia"/>
                      <w:sz w:val="21"/>
                      <w:szCs w:val="21"/>
                    </w:rPr>
                  </w:pPr>
                  <w:r>
                    <w:rPr>
                      <w:rFonts w:hint="eastAsia"/>
                      <w:sz w:val="21"/>
                      <w:szCs w:val="21"/>
                    </w:rPr>
                    <w:t>夜间</w:t>
                  </w:r>
                </w:p>
              </w:tc>
              <w:tc>
                <w:tcPr>
                  <w:tcW w:w="1117" w:type="dxa"/>
                  <w:vMerge w:val="continue"/>
                  <w:noWrap w:val="0"/>
                  <w:vAlign w:val="center"/>
                </w:tcPr>
                <w:p>
                  <w:pPr>
                    <w:pStyle w:val="183"/>
                    <w:spacing w:line="240" w:lineRule="auto"/>
                    <w:ind w:firstLine="0" w:firstLineChars="0"/>
                    <w:jc w:val="center"/>
                    <w:rPr>
                      <w:rFonts w:hint="eastAsia"/>
                      <w:sz w:val="21"/>
                      <w:szCs w:val="21"/>
                    </w:rPr>
                  </w:pPr>
                </w:p>
              </w:tc>
              <w:tc>
                <w:tcPr>
                  <w:tcW w:w="867" w:type="dxa"/>
                  <w:vMerge w:val="continue"/>
                  <w:noWrap w:val="0"/>
                  <w:vAlign w:val="center"/>
                </w:tcPr>
                <w:p>
                  <w:pPr>
                    <w:pStyle w:val="183"/>
                    <w:spacing w:line="240" w:lineRule="auto"/>
                    <w:ind w:firstLine="0" w:firstLineChars="0"/>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noWrap w:val="0"/>
                  <w:vAlign w:val="center"/>
                </w:tcPr>
                <w:p>
                  <w:pPr>
                    <w:pStyle w:val="183"/>
                    <w:spacing w:line="240" w:lineRule="auto"/>
                    <w:ind w:firstLine="0" w:firstLineChars="0"/>
                    <w:jc w:val="center"/>
                    <w:rPr>
                      <w:rFonts w:hint="eastAsia"/>
                      <w:sz w:val="21"/>
                      <w:szCs w:val="21"/>
                    </w:rPr>
                  </w:pPr>
                  <w:r>
                    <w:rPr>
                      <w:rFonts w:hint="eastAsia"/>
                      <w:sz w:val="21"/>
                      <w:szCs w:val="21"/>
                    </w:rPr>
                    <w:t>2</w:t>
                  </w:r>
                  <w:r>
                    <w:rPr>
                      <w:sz w:val="21"/>
                      <w:szCs w:val="21"/>
                    </w:rPr>
                    <w:t>022.11.13</w:t>
                  </w:r>
                </w:p>
              </w:tc>
              <w:tc>
                <w:tcPr>
                  <w:tcW w:w="3828" w:type="dxa"/>
                  <w:noWrap w:val="0"/>
                  <w:vAlign w:val="center"/>
                </w:tcPr>
                <w:p>
                  <w:pPr>
                    <w:pStyle w:val="183"/>
                    <w:spacing w:line="240" w:lineRule="auto"/>
                    <w:ind w:firstLine="0" w:firstLineChars="0"/>
                    <w:jc w:val="center"/>
                    <w:rPr>
                      <w:rFonts w:hint="eastAsia"/>
                      <w:sz w:val="21"/>
                      <w:szCs w:val="21"/>
                    </w:rPr>
                  </w:pPr>
                  <w:r>
                    <w:rPr>
                      <w:rFonts w:hint="eastAsia"/>
                      <w:sz w:val="21"/>
                      <w:szCs w:val="21"/>
                    </w:rPr>
                    <w:t>1</w:t>
                  </w:r>
                  <w:r>
                    <w:rPr>
                      <w:sz w:val="21"/>
                      <w:szCs w:val="21"/>
                    </w:rPr>
                    <w:t>#</w:t>
                  </w:r>
                  <w:r>
                    <w:rPr>
                      <w:rFonts w:hint="eastAsia"/>
                      <w:sz w:val="21"/>
                      <w:szCs w:val="21"/>
                    </w:rPr>
                    <w:t>管线沿线火地铺居民点外1</w:t>
                  </w:r>
                  <w:r>
                    <w:rPr>
                      <w:sz w:val="21"/>
                      <w:szCs w:val="21"/>
                    </w:rPr>
                    <w:t>m</w:t>
                  </w:r>
                  <w:r>
                    <w:rPr>
                      <w:rFonts w:hint="eastAsia"/>
                      <w:sz w:val="21"/>
                      <w:szCs w:val="21"/>
                    </w:rPr>
                    <w:t>处</w:t>
                  </w:r>
                </w:p>
              </w:tc>
              <w:tc>
                <w:tcPr>
                  <w:tcW w:w="708" w:type="dxa"/>
                  <w:noWrap w:val="0"/>
                  <w:vAlign w:val="center"/>
                </w:tcPr>
                <w:p>
                  <w:pPr>
                    <w:pStyle w:val="183"/>
                    <w:spacing w:line="240" w:lineRule="auto"/>
                    <w:ind w:firstLine="0" w:firstLineChars="0"/>
                    <w:jc w:val="center"/>
                    <w:rPr>
                      <w:rFonts w:hint="eastAsia"/>
                      <w:sz w:val="21"/>
                      <w:szCs w:val="21"/>
                    </w:rPr>
                  </w:pPr>
                  <w:r>
                    <w:rPr>
                      <w:rFonts w:hint="eastAsia"/>
                      <w:sz w:val="21"/>
                      <w:szCs w:val="21"/>
                    </w:rPr>
                    <w:t>3</w:t>
                  </w:r>
                  <w:r>
                    <w:rPr>
                      <w:sz w:val="21"/>
                      <w:szCs w:val="21"/>
                    </w:rPr>
                    <w:t>7</w:t>
                  </w:r>
                </w:p>
              </w:tc>
              <w:tc>
                <w:tcPr>
                  <w:tcW w:w="709" w:type="dxa"/>
                  <w:noWrap w:val="0"/>
                  <w:vAlign w:val="center"/>
                </w:tcPr>
                <w:p>
                  <w:pPr>
                    <w:pStyle w:val="183"/>
                    <w:spacing w:line="240" w:lineRule="auto"/>
                    <w:ind w:firstLine="0" w:firstLineChars="0"/>
                    <w:jc w:val="center"/>
                    <w:rPr>
                      <w:rFonts w:hint="eastAsia"/>
                      <w:sz w:val="21"/>
                      <w:szCs w:val="21"/>
                    </w:rPr>
                  </w:pPr>
                  <w:r>
                    <w:rPr>
                      <w:rFonts w:hint="eastAsia"/>
                      <w:sz w:val="21"/>
                      <w:szCs w:val="21"/>
                    </w:rPr>
                    <w:t>3</w:t>
                  </w:r>
                  <w:r>
                    <w:rPr>
                      <w:sz w:val="21"/>
                      <w:szCs w:val="21"/>
                    </w:rPr>
                    <w:t>4</w:t>
                  </w:r>
                </w:p>
              </w:tc>
              <w:tc>
                <w:tcPr>
                  <w:tcW w:w="1117" w:type="dxa"/>
                  <w:vMerge w:val="restart"/>
                  <w:noWrap w:val="0"/>
                  <w:vAlign w:val="center"/>
                </w:tcPr>
                <w:p>
                  <w:pPr>
                    <w:pStyle w:val="183"/>
                    <w:spacing w:line="240" w:lineRule="auto"/>
                    <w:ind w:firstLine="0" w:firstLineChars="0"/>
                    <w:jc w:val="center"/>
                    <w:rPr>
                      <w:sz w:val="21"/>
                      <w:szCs w:val="21"/>
                    </w:rPr>
                  </w:pPr>
                  <w:r>
                    <w:rPr>
                      <w:rFonts w:hint="eastAsia"/>
                      <w:sz w:val="21"/>
                      <w:szCs w:val="21"/>
                    </w:rPr>
                    <w:t>昼间：6</w:t>
                  </w:r>
                  <w:r>
                    <w:rPr>
                      <w:sz w:val="21"/>
                      <w:szCs w:val="21"/>
                    </w:rPr>
                    <w:t>0</w:t>
                  </w:r>
                  <w:r>
                    <w:rPr>
                      <w:rFonts w:hint="eastAsia"/>
                      <w:sz w:val="21"/>
                      <w:szCs w:val="21"/>
                    </w:rPr>
                    <w:t>；</w:t>
                  </w:r>
                </w:p>
                <w:p>
                  <w:pPr>
                    <w:pStyle w:val="183"/>
                    <w:spacing w:line="240" w:lineRule="auto"/>
                    <w:ind w:firstLine="0" w:firstLineChars="0"/>
                    <w:jc w:val="center"/>
                    <w:rPr>
                      <w:rFonts w:hint="eastAsia"/>
                      <w:sz w:val="21"/>
                      <w:szCs w:val="21"/>
                    </w:rPr>
                  </w:pPr>
                  <w:r>
                    <w:rPr>
                      <w:rFonts w:hint="eastAsia"/>
                      <w:sz w:val="21"/>
                      <w:szCs w:val="21"/>
                    </w:rPr>
                    <w:t>夜间：5</w:t>
                  </w:r>
                  <w:r>
                    <w:rPr>
                      <w:sz w:val="21"/>
                      <w:szCs w:val="21"/>
                    </w:rPr>
                    <w:t>0</w:t>
                  </w:r>
                </w:p>
              </w:tc>
              <w:tc>
                <w:tcPr>
                  <w:tcW w:w="867" w:type="dxa"/>
                  <w:noWrap w:val="0"/>
                  <w:vAlign w:val="center"/>
                </w:tcPr>
                <w:p>
                  <w:pPr>
                    <w:pStyle w:val="183"/>
                    <w:spacing w:line="240" w:lineRule="auto"/>
                    <w:ind w:firstLine="0" w:firstLineChars="0"/>
                    <w:jc w:val="center"/>
                    <w:rPr>
                      <w:rFonts w:hint="eastAsia"/>
                      <w:sz w:val="21"/>
                      <w:szCs w:val="21"/>
                    </w:rPr>
                  </w:pPr>
                  <w:r>
                    <w:rPr>
                      <w:rFonts w:hint="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noWrap w:val="0"/>
                  <w:vAlign w:val="center"/>
                </w:tcPr>
                <w:p>
                  <w:pPr>
                    <w:pStyle w:val="183"/>
                    <w:spacing w:line="240" w:lineRule="auto"/>
                    <w:ind w:firstLine="0" w:firstLineChars="0"/>
                    <w:jc w:val="center"/>
                    <w:rPr>
                      <w:rFonts w:hint="eastAsia"/>
                      <w:sz w:val="21"/>
                      <w:szCs w:val="21"/>
                    </w:rPr>
                  </w:pPr>
                </w:p>
              </w:tc>
              <w:tc>
                <w:tcPr>
                  <w:tcW w:w="3828" w:type="dxa"/>
                  <w:noWrap w:val="0"/>
                  <w:vAlign w:val="center"/>
                </w:tcPr>
                <w:p>
                  <w:pPr>
                    <w:pStyle w:val="183"/>
                    <w:spacing w:line="240" w:lineRule="auto"/>
                    <w:ind w:firstLine="0" w:firstLineChars="0"/>
                    <w:jc w:val="center"/>
                    <w:rPr>
                      <w:rFonts w:hint="eastAsia"/>
                      <w:sz w:val="21"/>
                      <w:szCs w:val="21"/>
                    </w:rPr>
                  </w:pPr>
                  <w:r>
                    <w:rPr>
                      <w:sz w:val="21"/>
                      <w:szCs w:val="21"/>
                    </w:rPr>
                    <w:t>2#</w:t>
                  </w:r>
                  <w:r>
                    <w:rPr>
                      <w:rFonts w:hint="eastAsia"/>
                      <w:sz w:val="21"/>
                      <w:szCs w:val="21"/>
                    </w:rPr>
                    <w:t>管线沿线见风垭居民点外1</w:t>
                  </w:r>
                  <w:r>
                    <w:rPr>
                      <w:sz w:val="21"/>
                      <w:szCs w:val="21"/>
                    </w:rPr>
                    <w:t>m</w:t>
                  </w:r>
                  <w:r>
                    <w:rPr>
                      <w:rFonts w:hint="eastAsia"/>
                      <w:sz w:val="21"/>
                      <w:szCs w:val="21"/>
                    </w:rPr>
                    <w:t>处</w:t>
                  </w:r>
                </w:p>
              </w:tc>
              <w:tc>
                <w:tcPr>
                  <w:tcW w:w="708" w:type="dxa"/>
                  <w:noWrap w:val="0"/>
                  <w:vAlign w:val="center"/>
                </w:tcPr>
                <w:p>
                  <w:pPr>
                    <w:pStyle w:val="183"/>
                    <w:spacing w:line="240" w:lineRule="auto"/>
                    <w:ind w:firstLine="0" w:firstLineChars="0"/>
                    <w:jc w:val="center"/>
                    <w:rPr>
                      <w:rFonts w:hint="eastAsia"/>
                      <w:sz w:val="21"/>
                      <w:szCs w:val="21"/>
                    </w:rPr>
                  </w:pPr>
                  <w:r>
                    <w:rPr>
                      <w:rFonts w:hint="eastAsia"/>
                      <w:sz w:val="21"/>
                      <w:szCs w:val="21"/>
                    </w:rPr>
                    <w:t>3</w:t>
                  </w:r>
                  <w:r>
                    <w:rPr>
                      <w:sz w:val="21"/>
                      <w:szCs w:val="21"/>
                    </w:rPr>
                    <w:t>8</w:t>
                  </w:r>
                </w:p>
              </w:tc>
              <w:tc>
                <w:tcPr>
                  <w:tcW w:w="709" w:type="dxa"/>
                  <w:noWrap w:val="0"/>
                  <w:vAlign w:val="center"/>
                </w:tcPr>
                <w:p>
                  <w:pPr>
                    <w:pStyle w:val="183"/>
                    <w:spacing w:line="240" w:lineRule="auto"/>
                    <w:ind w:firstLine="0" w:firstLineChars="0"/>
                    <w:jc w:val="center"/>
                    <w:rPr>
                      <w:rFonts w:hint="eastAsia"/>
                      <w:sz w:val="21"/>
                      <w:szCs w:val="21"/>
                    </w:rPr>
                  </w:pPr>
                  <w:r>
                    <w:rPr>
                      <w:rFonts w:hint="eastAsia"/>
                      <w:sz w:val="21"/>
                      <w:szCs w:val="21"/>
                    </w:rPr>
                    <w:t>3</w:t>
                  </w:r>
                  <w:r>
                    <w:rPr>
                      <w:sz w:val="21"/>
                      <w:szCs w:val="21"/>
                    </w:rPr>
                    <w:t>7</w:t>
                  </w:r>
                </w:p>
              </w:tc>
              <w:tc>
                <w:tcPr>
                  <w:tcW w:w="1117" w:type="dxa"/>
                  <w:vMerge w:val="continue"/>
                  <w:noWrap w:val="0"/>
                  <w:vAlign w:val="center"/>
                </w:tcPr>
                <w:p>
                  <w:pPr>
                    <w:pStyle w:val="183"/>
                    <w:spacing w:line="240" w:lineRule="auto"/>
                    <w:ind w:firstLine="0" w:firstLineChars="0"/>
                    <w:jc w:val="center"/>
                    <w:rPr>
                      <w:rFonts w:hint="eastAsia"/>
                      <w:sz w:val="21"/>
                      <w:szCs w:val="21"/>
                    </w:rPr>
                  </w:pPr>
                </w:p>
              </w:tc>
              <w:tc>
                <w:tcPr>
                  <w:tcW w:w="867" w:type="dxa"/>
                  <w:noWrap w:val="0"/>
                  <w:vAlign w:val="center"/>
                </w:tcPr>
                <w:p>
                  <w:pPr>
                    <w:pStyle w:val="183"/>
                    <w:spacing w:line="240" w:lineRule="auto"/>
                    <w:ind w:firstLine="0" w:firstLineChars="0"/>
                    <w:jc w:val="center"/>
                    <w:rPr>
                      <w:rFonts w:hint="eastAsia"/>
                      <w:sz w:val="21"/>
                      <w:szCs w:val="21"/>
                    </w:rPr>
                  </w:pPr>
                  <w:r>
                    <w:rPr>
                      <w:rFonts w:hint="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noWrap w:val="0"/>
                  <w:vAlign w:val="center"/>
                </w:tcPr>
                <w:p>
                  <w:pPr>
                    <w:pStyle w:val="183"/>
                    <w:spacing w:line="240" w:lineRule="auto"/>
                    <w:ind w:firstLine="0" w:firstLineChars="0"/>
                    <w:jc w:val="center"/>
                    <w:rPr>
                      <w:rFonts w:hint="eastAsia"/>
                      <w:sz w:val="21"/>
                      <w:szCs w:val="21"/>
                    </w:rPr>
                  </w:pPr>
                </w:p>
              </w:tc>
              <w:tc>
                <w:tcPr>
                  <w:tcW w:w="3828" w:type="dxa"/>
                  <w:noWrap w:val="0"/>
                  <w:vAlign w:val="center"/>
                </w:tcPr>
                <w:p>
                  <w:pPr>
                    <w:pStyle w:val="183"/>
                    <w:spacing w:line="240" w:lineRule="auto"/>
                    <w:ind w:firstLine="0" w:firstLineChars="0"/>
                    <w:jc w:val="center"/>
                    <w:rPr>
                      <w:rFonts w:hint="eastAsia"/>
                      <w:sz w:val="21"/>
                      <w:szCs w:val="21"/>
                    </w:rPr>
                  </w:pPr>
                  <w:r>
                    <w:rPr>
                      <w:sz w:val="21"/>
                      <w:szCs w:val="21"/>
                    </w:rPr>
                    <w:t>3#</w:t>
                  </w:r>
                  <w:r>
                    <w:rPr>
                      <w:rFonts w:hint="eastAsia"/>
                      <w:sz w:val="21"/>
                      <w:szCs w:val="21"/>
                    </w:rPr>
                    <w:t>管线沿线桂花村北侧居民点外1</w:t>
                  </w:r>
                  <w:r>
                    <w:rPr>
                      <w:sz w:val="21"/>
                      <w:szCs w:val="21"/>
                    </w:rPr>
                    <w:t>m</w:t>
                  </w:r>
                  <w:r>
                    <w:rPr>
                      <w:rFonts w:hint="eastAsia"/>
                      <w:sz w:val="21"/>
                      <w:szCs w:val="21"/>
                    </w:rPr>
                    <w:t>处</w:t>
                  </w:r>
                </w:p>
              </w:tc>
              <w:tc>
                <w:tcPr>
                  <w:tcW w:w="708" w:type="dxa"/>
                  <w:noWrap w:val="0"/>
                  <w:vAlign w:val="center"/>
                </w:tcPr>
                <w:p>
                  <w:pPr>
                    <w:pStyle w:val="183"/>
                    <w:spacing w:line="240" w:lineRule="auto"/>
                    <w:ind w:firstLine="0" w:firstLineChars="0"/>
                    <w:jc w:val="center"/>
                    <w:rPr>
                      <w:rFonts w:hint="eastAsia"/>
                      <w:sz w:val="21"/>
                      <w:szCs w:val="21"/>
                    </w:rPr>
                  </w:pPr>
                  <w:r>
                    <w:rPr>
                      <w:rFonts w:hint="eastAsia"/>
                      <w:sz w:val="21"/>
                      <w:szCs w:val="21"/>
                    </w:rPr>
                    <w:t>4</w:t>
                  </w:r>
                  <w:r>
                    <w:rPr>
                      <w:sz w:val="21"/>
                      <w:szCs w:val="21"/>
                    </w:rPr>
                    <w:t>5</w:t>
                  </w:r>
                </w:p>
              </w:tc>
              <w:tc>
                <w:tcPr>
                  <w:tcW w:w="709" w:type="dxa"/>
                  <w:noWrap w:val="0"/>
                  <w:vAlign w:val="center"/>
                </w:tcPr>
                <w:p>
                  <w:pPr>
                    <w:pStyle w:val="183"/>
                    <w:spacing w:line="240" w:lineRule="auto"/>
                    <w:ind w:firstLine="0" w:firstLineChars="0"/>
                    <w:jc w:val="center"/>
                    <w:rPr>
                      <w:rFonts w:hint="eastAsia"/>
                      <w:sz w:val="21"/>
                      <w:szCs w:val="21"/>
                    </w:rPr>
                  </w:pPr>
                  <w:r>
                    <w:rPr>
                      <w:rFonts w:hint="eastAsia"/>
                      <w:sz w:val="21"/>
                      <w:szCs w:val="21"/>
                    </w:rPr>
                    <w:t>4</w:t>
                  </w:r>
                  <w:r>
                    <w:rPr>
                      <w:sz w:val="21"/>
                      <w:szCs w:val="21"/>
                    </w:rPr>
                    <w:t>1</w:t>
                  </w:r>
                </w:p>
              </w:tc>
              <w:tc>
                <w:tcPr>
                  <w:tcW w:w="1117" w:type="dxa"/>
                  <w:vMerge w:val="continue"/>
                  <w:noWrap w:val="0"/>
                  <w:vAlign w:val="center"/>
                </w:tcPr>
                <w:p>
                  <w:pPr>
                    <w:pStyle w:val="183"/>
                    <w:spacing w:line="240" w:lineRule="auto"/>
                    <w:ind w:firstLine="0" w:firstLineChars="0"/>
                    <w:jc w:val="center"/>
                    <w:rPr>
                      <w:rFonts w:hint="eastAsia"/>
                      <w:sz w:val="21"/>
                      <w:szCs w:val="21"/>
                    </w:rPr>
                  </w:pPr>
                </w:p>
              </w:tc>
              <w:tc>
                <w:tcPr>
                  <w:tcW w:w="867" w:type="dxa"/>
                  <w:noWrap w:val="0"/>
                  <w:vAlign w:val="center"/>
                </w:tcPr>
                <w:p>
                  <w:pPr>
                    <w:pStyle w:val="183"/>
                    <w:spacing w:line="240" w:lineRule="auto"/>
                    <w:ind w:firstLine="0" w:firstLineChars="0"/>
                    <w:jc w:val="center"/>
                    <w:rPr>
                      <w:rFonts w:hint="eastAsia"/>
                      <w:sz w:val="21"/>
                      <w:szCs w:val="21"/>
                    </w:rPr>
                  </w:pPr>
                  <w:r>
                    <w:rPr>
                      <w:rFonts w:hint="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noWrap w:val="0"/>
                  <w:vAlign w:val="center"/>
                </w:tcPr>
                <w:p>
                  <w:pPr>
                    <w:pStyle w:val="183"/>
                    <w:spacing w:line="240" w:lineRule="auto"/>
                    <w:ind w:firstLine="0" w:firstLineChars="0"/>
                    <w:jc w:val="center"/>
                    <w:rPr>
                      <w:rFonts w:hint="eastAsia"/>
                      <w:sz w:val="21"/>
                      <w:szCs w:val="21"/>
                    </w:rPr>
                  </w:pPr>
                </w:p>
              </w:tc>
              <w:tc>
                <w:tcPr>
                  <w:tcW w:w="3828" w:type="dxa"/>
                  <w:noWrap w:val="0"/>
                  <w:vAlign w:val="center"/>
                </w:tcPr>
                <w:p>
                  <w:pPr>
                    <w:pStyle w:val="183"/>
                    <w:spacing w:line="240" w:lineRule="auto"/>
                    <w:ind w:firstLine="0" w:firstLineChars="0"/>
                    <w:jc w:val="center"/>
                    <w:rPr>
                      <w:rFonts w:hint="eastAsia"/>
                      <w:sz w:val="21"/>
                      <w:szCs w:val="21"/>
                    </w:rPr>
                  </w:pPr>
                  <w:r>
                    <w:rPr>
                      <w:sz w:val="21"/>
                      <w:szCs w:val="21"/>
                    </w:rPr>
                    <w:t>4#</w:t>
                  </w:r>
                  <w:r>
                    <w:rPr>
                      <w:rFonts w:hint="eastAsia"/>
                      <w:sz w:val="21"/>
                      <w:szCs w:val="21"/>
                    </w:rPr>
                    <w:t>管线沿线桂花村东侧居民点外1</w:t>
                  </w:r>
                  <w:r>
                    <w:rPr>
                      <w:sz w:val="21"/>
                      <w:szCs w:val="21"/>
                    </w:rPr>
                    <w:t>m</w:t>
                  </w:r>
                  <w:r>
                    <w:rPr>
                      <w:rFonts w:hint="eastAsia"/>
                      <w:sz w:val="21"/>
                      <w:szCs w:val="21"/>
                    </w:rPr>
                    <w:t>处</w:t>
                  </w:r>
                </w:p>
              </w:tc>
              <w:tc>
                <w:tcPr>
                  <w:tcW w:w="708" w:type="dxa"/>
                  <w:noWrap w:val="0"/>
                  <w:vAlign w:val="center"/>
                </w:tcPr>
                <w:p>
                  <w:pPr>
                    <w:pStyle w:val="183"/>
                    <w:spacing w:line="240" w:lineRule="auto"/>
                    <w:ind w:firstLine="0" w:firstLineChars="0"/>
                    <w:jc w:val="center"/>
                    <w:rPr>
                      <w:rFonts w:hint="eastAsia"/>
                      <w:sz w:val="21"/>
                      <w:szCs w:val="21"/>
                    </w:rPr>
                  </w:pPr>
                  <w:r>
                    <w:rPr>
                      <w:rFonts w:hint="eastAsia"/>
                      <w:sz w:val="21"/>
                      <w:szCs w:val="21"/>
                    </w:rPr>
                    <w:t>4</w:t>
                  </w:r>
                  <w:r>
                    <w:rPr>
                      <w:sz w:val="21"/>
                      <w:szCs w:val="21"/>
                    </w:rPr>
                    <w:t>3</w:t>
                  </w:r>
                </w:p>
              </w:tc>
              <w:tc>
                <w:tcPr>
                  <w:tcW w:w="709" w:type="dxa"/>
                  <w:noWrap w:val="0"/>
                  <w:vAlign w:val="center"/>
                </w:tcPr>
                <w:p>
                  <w:pPr>
                    <w:pStyle w:val="183"/>
                    <w:spacing w:line="240" w:lineRule="auto"/>
                    <w:ind w:firstLine="0" w:firstLineChars="0"/>
                    <w:jc w:val="center"/>
                    <w:rPr>
                      <w:rFonts w:hint="eastAsia"/>
                      <w:sz w:val="21"/>
                      <w:szCs w:val="21"/>
                    </w:rPr>
                  </w:pPr>
                  <w:r>
                    <w:rPr>
                      <w:rFonts w:hint="eastAsia"/>
                      <w:sz w:val="21"/>
                      <w:szCs w:val="21"/>
                    </w:rPr>
                    <w:t>3</w:t>
                  </w:r>
                  <w:r>
                    <w:rPr>
                      <w:sz w:val="21"/>
                      <w:szCs w:val="21"/>
                    </w:rPr>
                    <w:t>5</w:t>
                  </w:r>
                </w:p>
              </w:tc>
              <w:tc>
                <w:tcPr>
                  <w:tcW w:w="1117" w:type="dxa"/>
                  <w:vMerge w:val="continue"/>
                  <w:noWrap w:val="0"/>
                  <w:vAlign w:val="center"/>
                </w:tcPr>
                <w:p>
                  <w:pPr>
                    <w:pStyle w:val="183"/>
                    <w:spacing w:line="240" w:lineRule="auto"/>
                    <w:ind w:firstLine="0" w:firstLineChars="0"/>
                    <w:jc w:val="center"/>
                    <w:rPr>
                      <w:rFonts w:hint="eastAsia"/>
                      <w:sz w:val="21"/>
                      <w:szCs w:val="21"/>
                    </w:rPr>
                  </w:pPr>
                </w:p>
              </w:tc>
              <w:tc>
                <w:tcPr>
                  <w:tcW w:w="867" w:type="dxa"/>
                  <w:noWrap w:val="0"/>
                  <w:vAlign w:val="center"/>
                </w:tcPr>
                <w:p>
                  <w:pPr>
                    <w:pStyle w:val="183"/>
                    <w:spacing w:line="240" w:lineRule="auto"/>
                    <w:ind w:firstLine="0" w:firstLineChars="0"/>
                    <w:jc w:val="center"/>
                    <w:rPr>
                      <w:rFonts w:hint="eastAsia"/>
                      <w:sz w:val="21"/>
                      <w:szCs w:val="21"/>
                    </w:rPr>
                  </w:pPr>
                  <w:r>
                    <w:rPr>
                      <w:rFonts w:hint="eastAsia"/>
                      <w:sz w:val="21"/>
                      <w:szCs w:val="21"/>
                    </w:rPr>
                    <w:t>达标</w:t>
                  </w:r>
                </w:p>
              </w:tc>
            </w:tr>
          </w:tbl>
          <w:p>
            <w:pPr>
              <w:pStyle w:val="183"/>
              <w:rPr>
                <w:rFonts w:hint="eastAsia"/>
              </w:rPr>
            </w:pPr>
            <w:r>
              <w:rPr>
                <w:rFonts w:hint="eastAsia"/>
              </w:rPr>
              <w:t>从上表可以看出，项目所在地噪声监测值满足《声环境质量标准》（G</w:t>
            </w:r>
            <w:r>
              <w:t>B3096-2008</w:t>
            </w:r>
            <w:r>
              <w:rPr>
                <w:rFonts w:hint="eastAsia"/>
              </w:rPr>
              <w:t>）中2类标准要求。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33"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保护</w:t>
            </w:r>
          </w:p>
          <w:p>
            <w:pPr>
              <w:adjustRightInd w:val="0"/>
              <w:snapToGrid w:val="0"/>
              <w:jc w:val="center"/>
              <w:rPr>
                <w:rFonts w:hint="eastAsia" w:ascii="宋体" w:hAnsi="宋体" w:cs="宋体"/>
                <w:kern w:val="0"/>
                <w:szCs w:val="21"/>
              </w:rPr>
            </w:pPr>
            <w:r>
              <w:rPr>
                <w:rFonts w:hint="eastAsia" w:ascii="宋体" w:hAnsi="宋体" w:cs="宋体"/>
                <w:kern w:val="0"/>
                <w:szCs w:val="21"/>
              </w:rPr>
              <w:t>目标</w:t>
            </w:r>
          </w:p>
        </w:tc>
        <w:tc>
          <w:tcPr>
            <w:tcW w:w="8350" w:type="dxa"/>
            <w:noWrap w:val="0"/>
            <w:vAlign w:val="center"/>
          </w:tcPr>
          <w:p>
            <w:pPr>
              <w:pStyle w:val="183"/>
              <w:ind w:firstLine="482"/>
            </w:pPr>
            <w:r>
              <w:rPr>
                <w:rFonts w:hint="eastAsia"/>
                <w:b/>
              </w:rPr>
              <w:t>一、外环境关系</w:t>
            </w:r>
          </w:p>
          <w:p>
            <w:pPr>
              <w:pStyle w:val="183"/>
              <w:rPr>
                <w:kern w:val="0"/>
              </w:rPr>
            </w:pPr>
            <w:r>
              <w:rPr>
                <w:rFonts w:hint="eastAsia"/>
                <w:kern w:val="0"/>
              </w:rPr>
              <w:t>本项目位于乐山市市中区，在关子门堰王沟设置取水口，采用提水泵站加压，设置最大引水流量1</w:t>
            </w:r>
            <w:r>
              <w:rPr>
                <w:kern w:val="0"/>
              </w:rPr>
              <w:t>.5m</w:t>
            </w:r>
            <w:r>
              <w:rPr>
                <w:kern w:val="0"/>
                <w:vertAlign w:val="superscript"/>
              </w:rPr>
              <w:t>3</w:t>
            </w:r>
            <w:r>
              <w:rPr>
                <w:kern w:val="0"/>
              </w:rPr>
              <w:t>/s</w:t>
            </w:r>
            <w:r>
              <w:rPr>
                <w:rFonts w:hint="eastAsia"/>
                <w:kern w:val="0"/>
              </w:rPr>
              <w:t>的引水总干管（G</w:t>
            </w:r>
            <w:r>
              <w:rPr>
                <w:kern w:val="0"/>
              </w:rPr>
              <w:t>K0+000~GK1+800.67</w:t>
            </w:r>
            <w:r>
              <w:rPr>
                <w:rFonts w:hint="eastAsia"/>
                <w:kern w:val="0"/>
              </w:rPr>
              <w:t>）1</w:t>
            </w:r>
            <w:r>
              <w:rPr>
                <w:kern w:val="0"/>
              </w:rPr>
              <w:t>800.67m</w:t>
            </w:r>
            <w:r>
              <w:rPr>
                <w:rFonts w:hint="eastAsia"/>
                <w:kern w:val="0"/>
              </w:rPr>
              <w:t>，项目在</w:t>
            </w:r>
            <w:r>
              <w:rPr>
                <w:kern w:val="0"/>
              </w:rPr>
              <w:t>GK1+800.67</w:t>
            </w:r>
            <w:r>
              <w:rPr>
                <w:rFonts w:hint="eastAsia"/>
                <w:kern w:val="0"/>
              </w:rPr>
              <w:t>处设置分水闸阀，通过D</w:t>
            </w:r>
            <w:r>
              <w:rPr>
                <w:kern w:val="0"/>
              </w:rPr>
              <w:t>N600</w:t>
            </w:r>
            <w:r>
              <w:rPr>
                <w:rFonts w:hint="eastAsia"/>
                <w:kern w:val="0"/>
              </w:rPr>
              <w:t>的输水管道将水引至剑锋镇桂花村新建的净水厂进行处理。项目输水管线途经联合村、桂花村等。项目外环境关系如下：</w:t>
            </w:r>
          </w:p>
          <w:p>
            <w:pPr>
              <w:pStyle w:val="183"/>
              <w:rPr>
                <w:rFonts w:hint="eastAsia"/>
                <w:kern w:val="0"/>
              </w:rPr>
            </w:pPr>
            <w:r>
              <w:rPr>
                <w:rFonts w:hint="eastAsia"/>
                <w:kern w:val="0"/>
              </w:rPr>
              <w:t>提水泵站：东面紧邻王沟，下游5</w:t>
            </w:r>
            <w:r>
              <w:rPr>
                <w:kern w:val="0"/>
              </w:rPr>
              <w:t>75m</w:t>
            </w:r>
            <w:r>
              <w:rPr>
                <w:rFonts w:hint="eastAsia"/>
                <w:kern w:val="0"/>
              </w:rPr>
              <w:t>处为两河口电站取水大坝，东面1</w:t>
            </w:r>
            <w:r>
              <w:rPr>
                <w:kern w:val="0"/>
              </w:rPr>
              <w:t>05m</w:t>
            </w:r>
            <w:r>
              <w:rPr>
                <w:rFonts w:hint="eastAsia"/>
                <w:kern w:val="0"/>
              </w:rPr>
              <w:t>处有三户散居住户，西南面4</w:t>
            </w:r>
            <w:r>
              <w:rPr>
                <w:kern w:val="0"/>
              </w:rPr>
              <w:t>80m</w:t>
            </w:r>
            <w:r>
              <w:rPr>
                <w:rFonts w:hint="eastAsia"/>
                <w:kern w:val="0"/>
              </w:rPr>
              <w:t>处为两河口电站站房，其余均为林地。</w:t>
            </w:r>
          </w:p>
          <w:p>
            <w:pPr>
              <w:pStyle w:val="183"/>
              <w:rPr>
                <w:kern w:val="0"/>
              </w:rPr>
            </w:pPr>
            <w:r>
              <w:rPr>
                <w:rFonts w:hint="eastAsia"/>
                <w:kern w:val="0"/>
              </w:rPr>
              <w:t>原水管线：输水管线穿越王沟、徐沟，翻越陈坳儿山，途经联合村火地铺、见风垭、桂花村等，项目沿线主要为火地铺、见风垭、桂花村住户。</w:t>
            </w:r>
          </w:p>
          <w:p>
            <w:pPr>
              <w:pStyle w:val="183"/>
              <w:rPr>
                <w:kern w:val="0"/>
              </w:rPr>
            </w:pPr>
            <w:r>
              <w:rPr>
                <w:rFonts w:hint="eastAsia"/>
                <w:kern w:val="0"/>
              </w:rPr>
              <w:t>净水厂：东面为桂花村住户，与本项目最近距离为1</w:t>
            </w:r>
            <w:r>
              <w:rPr>
                <w:kern w:val="0"/>
              </w:rPr>
              <w:t>02m</w:t>
            </w:r>
            <w:r>
              <w:rPr>
                <w:rFonts w:hint="eastAsia"/>
                <w:kern w:val="0"/>
              </w:rPr>
              <w:t>，高差-</w:t>
            </w:r>
            <w:r>
              <w:rPr>
                <w:kern w:val="0"/>
              </w:rPr>
              <w:t>20m</w:t>
            </w:r>
            <w:r>
              <w:rPr>
                <w:rFonts w:hint="eastAsia"/>
                <w:kern w:val="0"/>
              </w:rPr>
              <w:t>，有树木阻隔；与南面住户的最近距离为2</w:t>
            </w:r>
            <w:r>
              <w:rPr>
                <w:kern w:val="0"/>
              </w:rPr>
              <w:t>30m</w:t>
            </w:r>
            <w:r>
              <w:rPr>
                <w:rFonts w:hint="eastAsia"/>
                <w:kern w:val="0"/>
              </w:rPr>
              <w:t>，高差-</w:t>
            </w:r>
            <w:r>
              <w:rPr>
                <w:kern w:val="0"/>
              </w:rPr>
              <w:t>20m</w:t>
            </w:r>
            <w:r>
              <w:rPr>
                <w:rFonts w:hint="eastAsia"/>
                <w:kern w:val="0"/>
              </w:rPr>
              <w:t>，有树木阻隔；与西南面住户的最近距离为2</w:t>
            </w:r>
            <w:r>
              <w:rPr>
                <w:kern w:val="0"/>
              </w:rPr>
              <w:t>10m</w:t>
            </w:r>
            <w:r>
              <w:rPr>
                <w:rFonts w:hint="eastAsia"/>
                <w:kern w:val="0"/>
              </w:rPr>
              <w:t>，高差-</w:t>
            </w:r>
            <w:r>
              <w:rPr>
                <w:kern w:val="0"/>
              </w:rPr>
              <w:t>20m</w:t>
            </w:r>
            <w:r>
              <w:rPr>
                <w:rFonts w:hint="eastAsia"/>
                <w:kern w:val="0"/>
              </w:rPr>
              <w:t>，有树木阻隔；与西面住户的最近距离为</w:t>
            </w:r>
            <w:r>
              <w:rPr>
                <w:kern w:val="0"/>
              </w:rPr>
              <w:t>207m</w:t>
            </w:r>
            <w:r>
              <w:rPr>
                <w:rFonts w:hint="eastAsia"/>
                <w:kern w:val="0"/>
              </w:rPr>
              <w:t>，高差-</w:t>
            </w:r>
            <w:r>
              <w:rPr>
                <w:kern w:val="0"/>
              </w:rPr>
              <w:t>9m</w:t>
            </w:r>
            <w:r>
              <w:rPr>
                <w:rFonts w:hint="eastAsia"/>
                <w:kern w:val="0"/>
              </w:rPr>
              <w:t>，有树木阻隔；与北面住户的最近距离为1</w:t>
            </w:r>
            <w:r>
              <w:rPr>
                <w:kern w:val="0"/>
              </w:rPr>
              <w:t>90m</w:t>
            </w:r>
            <w:r>
              <w:rPr>
                <w:rFonts w:hint="eastAsia"/>
                <w:kern w:val="0"/>
              </w:rPr>
              <w:t>，高差2</w:t>
            </w:r>
            <w:r>
              <w:rPr>
                <w:kern w:val="0"/>
              </w:rPr>
              <w:t>1m</w:t>
            </w:r>
            <w:r>
              <w:rPr>
                <w:rFonts w:hint="eastAsia"/>
                <w:kern w:val="0"/>
              </w:rPr>
              <w:t>，有树木阻隔。</w:t>
            </w:r>
          </w:p>
          <w:p>
            <w:pPr>
              <w:pStyle w:val="183"/>
              <w:rPr>
                <w:rFonts w:hint="eastAsia"/>
                <w:kern w:val="0"/>
              </w:rPr>
            </w:pPr>
            <w:r>
              <w:rPr>
                <w:rFonts w:hint="eastAsia"/>
                <w:kern w:val="0"/>
              </w:rPr>
              <w:t>同时，项目周围没有自然保护区、风景游览区、名胜古迹、生态脆弱敏感区和其他需要特别保护的敏感目标。本项目生产过程中无废气产生，产生的废水经处理达标后排入土主镇污水处理厂处理，项目噪声能实现达标排放，固废能够得到合理处置，对周边的环境影响可接受。</w:t>
            </w:r>
          </w:p>
          <w:p>
            <w:pPr>
              <w:pStyle w:val="183"/>
              <w:ind w:firstLine="482"/>
              <w:rPr>
                <w:rFonts w:hint="eastAsia"/>
                <w:b/>
              </w:rPr>
            </w:pPr>
            <w:r>
              <w:rPr>
                <w:rFonts w:hint="eastAsia"/>
                <w:b/>
              </w:rPr>
              <w:t>二、环境保护目标</w:t>
            </w:r>
          </w:p>
          <w:p>
            <w:pPr>
              <w:pStyle w:val="183"/>
              <w:rPr>
                <w:rFonts w:hint="eastAsia"/>
              </w:rPr>
            </w:pPr>
            <w:r>
              <w:rPr>
                <w:rFonts w:hint="eastAsia"/>
              </w:rPr>
              <w:t>根据本项目特点和外环境特征确定环境保护目标及要求如下：</w:t>
            </w:r>
          </w:p>
          <w:p>
            <w:pPr>
              <w:pStyle w:val="183"/>
              <w:rPr>
                <w:rFonts w:hint="eastAsia"/>
              </w:rPr>
            </w:pPr>
            <w:r>
              <w:rPr>
                <w:rFonts w:hint="eastAsia"/>
              </w:rPr>
              <w:t>环境空气：本项目评价区内的环境空气质量应达到《环境空气质量标准》（GB3095-2012）中的二级标准要求；</w:t>
            </w:r>
          </w:p>
          <w:p>
            <w:pPr>
              <w:pStyle w:val="183"/>
              <w:rPr>
                <w:rFonts w:hint="eastAsia"/>
              </w:rPr>
            </w:pPr>
            <w:r>
              <w:rPr>
                <w:rFonts w:hint="eastAsia"/>
              </w:rPr>
              <w:t>声环境：项目评价区内声环境质量应达到《声环境质量标准》（GB3096-2008）中的2类标准要求；</w:t>
            </w:r>
          </w:p>
          <w:p>
            <w:pPr>
              <w:pStyle w:val="183"/>
              <w:rPr>
                <w:rFonts w:hint="eastAsia"/>
              </w:rPr>
            </w:pPr>
            <w:r>
              <w:rPr>
                <w:rFonts w:hint="eastAsia"/>
              </w:rPr>
              <w:t>地表水环境：本项目评价区内的地表水环境质量应达到《地表水环境质量标准》（GB3838-2002）中的Ⅲ类水域标准要求。</w:t>
            </w:r>
          </w:p>
          <w:p>
            <w:pPr>
              <w:pStyle w:val="184"/>
              <w:rPr>
                <w:rFonts w:hint="eastAsia"/>
                <w:color w:val="auto"/>
              </w:rPr>
            </w:pPr>
            <w:r>
              <w:rPr>
                <w:rFonts w:hint="eastAsia"/>
                <w:color w:val="auto"/>
              </w:rPr>
              <w:t>表3-9  项目加工区外环境关系及主要保护目标一览表</w:t>
            </w:r>
          </w:p>
          <w:tbl>
            <w:tblPr>
              <w:tblStyle w:val="39"/>
              <w:tblW w:w="75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840"/>
              <w:gridCol w:w="857"/>
              <w:gridCol w:w="1044"/>
              <w:gridCol w:w="18"/>
              <w:gridCol w:w="713"/>
              <w:gridCol w:w="1664"/>
              <w:gridCol w:w="15"/>
              <w:gridCol w:w="1741"/>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noWrap w:val="0"/>
                  <w:vAlign w:val="center"/>
                </w:tcPr>
                <w:p>
                  <w:pPr>
                    <w:pStyle w:val="182"/>
                    <w:rPr>
                      <w:rFonts w:hint="eastAsia"/>
                      <w:b/>
                    </w:rPr>
                  </w:pPr>
                  <w:r>
                    <w:rPr>
                      <w:rFonts w:hint="eastAsia"/>
                      <w:b/>
                    </w:rPr>
                    <w:t>环境因素</w:t>
                  </w:r>
                </w:p>
              </w:tc>
              <w:tc>
                <w:tcPr>
                  <w:tcW w:w="1697" w:type="dxa"/>
                  <w:gridSpan w:val="2"/>
                  <w:noWrap w:val="0"/>
                  <w:vAlign w:val="center"/>
                </w:tcPr>
                <w:p>
                  <w:pPr>
                    <w:pStyle w:val="182"/>
                    <w:rPr>
                      <w:rFonts w:hint="eastAsia"/>
                      <w:b/>
                    </w:rPr>
                  </w:pPr>
                  <w:r>
                    <w:rPr>
                      <w:rFonts w:hint="eastAsia"/>
                      <w:b/>
                    </w:rPr>
                    <w:t>保护目标</w:t>
                  </w:r>
                </w:p>
              </w:tc>
              <w:tc>
                <w:tcPr>
                  <w:tcW w:w="1044" w:type="dxa"/>
                  <w:noWrap w:val="0"/>
                  <w:vAlign w:val="center"/>
                </w:tcPr>
                <w:p>
                  <w:pPr>
                    <w:pStyle w:val="182"/>
                    <w:rPr>
                      <w:rFonts w:hint="eastAsia"/>
                      <w:b/>
                    </w:rPr>
                  </w:pPr>
                  <w:r>
                    <w:rPr>
                      <w:rFonts w:hint="eastAsia"/>
                      <w:b/>
                    </w:rPr>
                    <w:t>人数/规模</w:t>
                  </w:r>
                </w:p>
              </w:tc>
              <w:tc>
                <w:tcPr>
                  <w:tcW w:w="731" w:type="dxa"/>
                  <w:gridSpan w:val="2"/>
                  <w:noWrap w:val="0"/>
                  <w:vAlign w:val="center"/>
                </w:tcPr>
                <w:p>
                  <w:pPr>
                    <w:pStyle w:val="182"/>
                    <w:rPr>
                      <w:rFonts w:hint="eastAsia"/>
                      <w:b/>
                    </w:rPr>
                  </w:pPr>
                  <w:r>
                    <w:rPr>
                      <w:rFonts w:hint="eastAsia"/>
                      <w:b/>
                    </w:rPr>
                    <w:t>方位</w:t>
                  </w:r>
                </w:p>
              </w:tc>
              <w:tc>
                <w:tcPr>
                  <w:tcW w:w="1664" w:type="dxa"/>
                  <w:noWrap w:val="0"/>
                  <w:vAlign w:val="center"/>
                </w:tcPr>
                <w:p>
                  <w:pPr>
                    <w:pStyle w:val="182"/>
                    <w:rPr>
                      <w:rFonts w:hint="eastAsia"/>
                      <w:b/>
                    </w:rPr>
                  </w:pPr>
                  <w:r>
                    <w:rPr>
                      <w:rFonts w:hint="eastAsia"/>
                      <w:b/>
                    </w:rPr>
                    <w:t>最近距离、高差、阻隔</w:t>
                  </w:r>
                </w:p>
              </w:tc>
              <w:tc>
                <w:tcPr>
                  <w:tcW w:w="1756" w:type="dxa"/>
                  <w:gridSpan w:val="2"/>
                  <w:noWrap w:val="0"/>
                  <w:vAlign w:val="center"/>
                </w:tcPr>
                <w:p>
                  <w:pPr>
                    <w:pStyle w:val="182"/>
                    <w:rPr>
                      <w:rFonts w:hint="eastAsia"/>
                      <w:b/>
                    </w:rPr>
                  </w:pPr>
                  <w:r>
                    <w:rPr>
                      <w:rFonts w:hint="eastAsia"/>
                      <w:b/>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restart"/>
                  <w:noWrap w:val="0"/>
                  <w:vAlign w:val="center"/>
                </w:tcPr>
                <w:p>
                  <w:pPr>
                    <w:pStyle w:val="182"/>
                    <w:rPr>
                      <w:rFonts w:hint="eastAsia"/>
                    </w:rPr>
                  </w:pPr>
                  <w:r>
                    <w:rPr>
                      <w:rFonts w:hint="eastAsia"/>
                    </w:rPr>
                    <w:t>环境空气</w:t>
                  </w:r>
                </w:p>
              </w:tc>
              <w:tc>
                <w:tcPr>
                  <w:tcW w:w="840" w:type="dxa"/>
                  <w:noWrap w:val="0"/>
                  <w:vAlign w:val="center"/>
                </w:tcPr>
                <w:p>
                  <w:pPr>
                    <w:pStyle w:val="182"/>
                    <w:rPr>
                      <w:rFonts w:hint="eastAsia"/>
                    </w:rPr>
                  </w:pPr>
                  <w:r>
                    <w:rPr>
                      <w:rFonts w:hint="eastAsia"/>
                    </w:rPr>
                    <w:t>提水泵房</w:t>
                  </w: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t>10</w:t>
                  </w:r>
                  <w:r>
                    <w:rPr>
                      <w:rFonts w:hint="eastAsia"/>
                    </w:rPr>
                    <w:t>人</w:t>
                  </w:r>
                </w:p>
              </w:tc>
              <w:tc>
                <w:tcPr>
                  <w:tcW w:w="731" w:type="dxa"/>
                  <w:gridSpan w:val="2"/>
                  <w:noWrap w:val="0"/>
                  <w:vAlign w:val="center"/>
                </w:tcPr>
                <w:p>
                  <w:pPr>
                    <w:pStyle w:val="182"/>
                    <w:rPr>
                      <w:rFonts w:hint="eastAsia"/>
                    </w:rPr>
                  </w:pPr>
                  <w:r>
                    <w:rPr>
                      <w:rFonts w:hint="eastAsia"/>
                    </w:rPr>
                    <w:t>东</w:t>
                  </w:r>
                </w:p>
              </w:tc>
              <w:tc>
                <w:tcPr>
                  <w:tcW w:w="1664" w:type="dxa"/>
                  <w:noWrap w:val="0"/>
                  <w:vAlign w:val="center"/>
                </w:tcPr>
                <w:p>
                  <w:pPr>
                    <w:pStyle w:val="182"/>
                    <w:rPr>
                      <w:rFonts w:hint="eastAsia"/>
                    </w:rPr>
                  </w:pPr>
                  <w:r>
                    <w:t>105</w:t>
                  </w:r>
                  <w:r>
                    <w:rPr>
                      <w:rFonts w:hint="eastAsia"/>
                    </w:rPr>
                    <w:t>m，高差</w:t>
                  </w:r>
                  <w:r>
                    <w:t>+24</w:t>
                  </w:r>
                  <w:r>
                    <w:rPr>
                      <w:rFonts w:hint="eastAsia"/>
                    </w:rPr>
                    <w:t>m、有树木阻隔</w:t>
                  </w:r>
                </w:p>
              </w:tc>
              <w:tc>
                <w:tcPr>
                  <w:tcW w:w="1756" w:type="dxa"/>
                  <w:gridSpan w:val="2"/>
                  <w:vMerge w:val="restart"/>
                  <w:noWrap w:val="0"/>
                  <w:vAlign w:val="center"/>
                </w:tcPr>
                <w:p>
                  <w:pPr>
                    <w:pStyle w:val="182"/>
                    <w:rPr>
                      <w:rFonts w:hint="eastAsia"/>
                    </w:rPr>
                  </w:pPr>
                  <w:r>
                    <w:rPr>
                      <w:rFonts w:hint="eastAsia"/>
                    </w:rPr>
                    <w:t xml:space="preserve">满足《环境空气质量标准》GB3095-2012中二级标准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restart"/>
                  <w:noWrap w:val="0"/>
                  <w:vAlign w:val="center"/>
                </w:tcPr>
                <w:p>
                  <w:pPr>
                    <w:pStyle w:val="182"/>
                    <w:rPr>
                      <w:rFonts w:hint="eastAsia"/>
                    </w:rPr>
                  </w:pPr>
                  <w:r>
                    <w:rPr>
                      <w:rFonts w:hint="eastAsia"/>
                    </w:rPr>
                    <w:t>原水管线</w:t>
                  </w:r>
                </w:p>
              </w:tc>
              <w:tc>
                <w:tcPr>
                  <w:tcW w:w="857" w:type="dxa"/>
                  <w:noWrap w:val="0"/>
                  <w:vAlign w:val="center"/>
                </w:tcPr>
                <w:p>
                  <w:pPr>
                    <w:pStyle w:val="182"/>
                    <w:rPr>
                      <w:rFonts w:hint="eastAsia"/>
                    </w:rPr>
                  </w:pPr>
                  <w:r>
                    <w:rPr>
                      <w:rFonts w:hint="eastAsia"/>
                    </w:rPr>
                    <w:t>火地铺住户</w:t>
                  </w:r>
                </w:p>
              </w:tc>
              <w:tc>
                <w:tcPr>
                  <w:tcW w:w="1044" w:type="dxa"/>
                  <w:noWrap w:val="0"/>
                  <w:vAlign w:val="center"/>
                </w:tcPr>
                <w:p>
                  <w:pPr>
                    <w:pStyle w:val="182"/>
                    <w:rPr>
                      <w:rFonts w:hint="eastAsia"/>
                    </w:rPr>
                  </w:pPr>
                  <w:r>
                    <w:rPr>
                      <w:rFonts w:hint="eastAsia"/>
                    </w:rPr>
                    <w:t>2</w:t>
                  </w:r>
                  <w:r>
                    <w:t>2</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rPr>
                      <w:rFonts w:hint="eastAsia"/>
                    </w:rPr>
                    <w:t>3</w:t>
                  </w:r>
                  <w:r>
                    <w:t>m</w:t>
                  </w:r>
                  <w:r>
                    <w:rPr>
                      <w:rFonts w:hint="eastAsia"/>
                    </w:rPr>
                    <w:t>，高差0，无阻隔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见风垭住户</w:t>
                  </w:r>
                </w:p>
              </w:tc>
              <w:tc>
                <w:tcPr>
                  <w:tcW w:w="1044" w:type="dxa"/>
                  <w:noWrap w:val="0"/>
                  <w:vAlign w:val="center"/>
                </w:tcPr>
                <w:p>
                  <w:pPr>
                    <w:pStyle w:val="182"/>
                    <w:rPr>
                      <w:rFonts w:hint="eastAsia"/>
                    </w:rPr>
                  </w:pPr>
                  <w:r>
                    <w:rPr>
                      <w:rFonts w:hint="eastAsia"/>
                    </w:rPr>
                    <w:t>约1</w:t>
                  </w:r>
                  <w:r>
                    <w:t>22</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桂花村住户</w:t>
                  </w:r>
                </w:p>
              </w:tc>
              <w:tc>
                <w:tcPr>
                  <w:tcW w:w="1044" w:type="dxa"/>
                  <w:noWrap w:val="0"/>
                  <w:vAlign w:val="center"/>
                </w:tcPr>
                <w:p>
                  <w:pPr>
                    <w:pStyle w:val="182"/>
                    <w:rPr>
                      <w:rFonts w:hint="eastAsia"/>
                    </w:rPr>
                  </w:pPr>
                  <w:r>
                    <w:rPr>
                      <w:rFonts w:hint="eastAsia"/>
                    </w:rPr>
                    <w:t>约2</w:t>
                  </w:r>
                  <w:r>
                    <w:t>10</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restart"/>
                  <w:noWrap w:val="0"/>
                  <w:vAlign w:val="center"/>
                </w:tcPr>
                <w:p>
                  <w:pPr>
                    <w:pStyle w:val="182"/>
                    <w:rPr>
                      <w:rFonts w:hint="eastAsia"/>
                    </w:rPr>
                  </w:pPr>
                  <w:r>
                    <w:rPr>
                      <w:rFonts w:hint="eastAsia"/>
                    </w:rPr>
                    <w:t>净水厂（含送水泵房）</w:t>
                  </w: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约3</w:t>
                  </w:r>
                  <w:r>
                    <w:t>5</w:t>
                  </w:r>
                  <w:r>
                    <w:rPr>
                      <w:rFonts w:hint="eastAsia"/>
                    </w:rPr>
                    <w:t>人</w:t>
                  </w:r>
                </w:p>
              </w:tc>
              <w:tc>
                <w:tcPr>
                  <w:tcW w:w="731" w:type="dxa"/>
                  <w:gridSpan w:val="2"/>
                  <w:noWrap w:val="0"/>
                  <w:vAlign w:val="center"/>
                </w:tcPr>
                <w:p>
                  <w:pPr>
                    <w:pStyle w:val="182"/>
                    <w:rPr>
                      <w:rFonts w:hint="eastAsia"/>
                    </w:rPr>
                  </w:pPr>
                  <w:r>
                    <w:rPr>
                      <w:rFonts w:hint="eastAsia"/>
                    </w:rPr>
                    <w:t>东面</w:t>
                  </w:r>
                </w:p>
              </w:tc>
              <w:tc>
                <w:tcPr>
                  <w:tcW w:w="1664" w:type="dxa"/>
                  <w:noWrap w:val="0"/>
                  <w:vAlign w:val="center"/>
                </w:tcPr>
                <w:p>
                  <w:pPr>
                    <w:pStyle w:val="182"/>
                    <w:rPr>
                      <w:rFonts w:hint="eastAsia"/>
                    </w:rPr>
                  </w:pPr>
                  <w:r>
                    <w:rPr>
                      <w:rFonts w:hint="eastAsia"/>
                    </w:rPr>
                    <w:t>1</w:t>
                  </w:r>
                  <w:r>
                    <w:t>02m</w:t>
                  </w:r>
                  <w:r>
                    <w:rPr>
                      <w:rFonts w:hint="eastAsia"/>
                    </w:rPr>
                    <w:t>，高差-</w:t>
                  </w:r>
                  <w:r>
                    <w:t>20m</w:t>
                  </w:r>
                  <w:r>
                    <w:rPr>
                      <w:rFonts w:hint="eastAsia"/>
                    </w:rPr>
                    <w:t>，树木阻隔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约4</w:t>
                  </w:r>
                  <w:r>
                    <w:t>2</w:t>
                  </w:r>
                  <w:r>
                    <w:rPr>
                      <w:rFonts w:hint="eastAsia"/>
                    </w:rPr>
                    <w:t>人</w:t>
                  </w:r>
                </w:p>
              </w:tc>
              <w:tc>
                <w:tcPr>
                  <w:tcW w:w="731" w:type="dxa"/>
                  <w:gridSpan w:val="2"/>
                  <w:noWrap w:val="0"/>
                  <w:vAlign w:val="center"/>
                </w:tcPr>
                <w:p>
                  <w:pPr>
                    <w:pStyle w:val="182"/>
                    <w:rPr>
                      <w:rFonts w:hint="eastAsia"/>
                    </w:rPr>
                  </w:pPr>
                  <w:r>
                    <w:rPr>
                      <w:rFonts w:hint="eastAsia"/>
                    </w:rPr>
                    <w:t>南面</w:t>
                  </w:r>
                </w:p>
              </w:tc>
              <w:tc>
                <w:tcPr>
                  <w:tcW w:w="1664" w:type="dxa"/>
                  <w:noWrap w:val="0"/>
                  <w:vAlign w:val="center"/>
                </w:tcPr>
                <w:p>
                  <w:pPr>
                    <w:pStyle w:val="182"/>
                    <w:rPr>
                      <w:rFonts w:hint="eastAsia"/>
                    </w:rPr>
                  </w:pPr>
                  <w:r>
                    <w:t>230m</w:t>
                  </w:r>
                  <w:r>
                    <w:rPr>
                      <w:rFonts w:hint="eastAsia"/>
                    </w:rPr>
                    <w:t>，高差-</w:t>
                  </w:r>
                  <w:r>
                    <w:t>20m</w:t>
                  </w:r>
                  <w:r>
                    <w:rPr>
                      <w:rFonts w:hint="eastAsia"/>
                    </w:rPr>
                    <w:t>，树木阻隔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约4</w:t>
                  </w:r>
                  <w:r>
                    <w:t>8</w:t>
                  </w:r>
                  <w:r>
                    <w:rPr>
                      <w:rFonts w:hint="eastAsia"/>
                    </w:rPr>
                    <w:t>人</w:t>
                  </w:r>
                </w:p>
              </w:tc>
              <w:tc>
                <w:tcPr>
                  <w:tcW w:w="731" w:type="dxa"/>
                  <w:gridSpan w:val="2"/>
                  <w:noWrap w:val="0"/>
                  <w:vAlign w:val="center"/>
                </w:tcPr>
                <w:p>
                  <w:pPr>
                    <w:pStyle w:val="182"/>
                    <w:rPr>
                      <w:rFonts w:hint="eastAsia"/>
                    </w:rPr>
                  </w:pPr>
                  <w:r>
                    <w:rPr>
                      <w:rFonts w:hint="eastAsia"/>
                    </w:rPr>
                    <w:t>西面</w:t>
                  </w:r>
                </w:p>
              </w:tc>
              <w:tc>
                <w:tcPr>
                  <w:tcW w:w="1664" w:type="dxa"/>
                  <w:noWrap w:val="0"/>
                  <w:vAlign w:val="center"/>
                </w:tcPr>
                <w:p>
                  <w:pPr>
                    <w:pStyle w:val="182"/>
                  </w:pPr>
                  <w:r>
                    <w:t>207m</w:t>
                  </w:r>
                  <w:r>
                    <w:rPr>
                      <w:rFonts w:hint="eastAsia"/>
                    </w:rPr>
                    <w:t>，高差-</w:t>
                  </w:r>
                  <w:r>
                    <w:t>9m</w:t>
                  </w:r>
                  <w:r>
                    <w:rPr>
                      <w:rFonts w:hint="eastAsia"/>
                    </w:rPr>
                    <w:t>，树木阻隔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w:t>
                  </w:r>
                  <w:r>
                    <w:t>68</w:t>
                  </w:r>
                  <w:r>
                    <w:rPr>
                      <w:rFonts w:hint="eastAsia"/>
                    </w:rPr>
                    <w:t>人</w:t>
                  </w:r>
                </w:p>
              </w:tc>
              <w:tc>
                <w:tcPr>
                  <w:tcW w:w="731" w:type="dxa"/>
                  <w:gridSpan w:val="2"/>
                  <w:noWrap w:val="0"/>
                  <w:vAlign w:val="center"/>
                </w:tcPr>
                <w:p>
                  <w:pPr>
                    <w:pStyle w:val="182"/>
                    <w:rPr>
                      <w:rFonts w:hint="eastAsia"/>
                    </w:rPr>
                  </w:pPr>
                  <w:r>
                    <w:rPr>
                      <w:rFonts w:hint="eastAsia"/>
                    </w:rPr>
                    <w:t>北</w:t>
                  </w:r>
                </w:p>
              </w:tc>
              <w:tc>
                <w:tcPr>
                  <w:tcW w:w="1664" w:type="dxa"/>
                  <w:noWrap w:val="0"/>
                  <w:vAlign w:val="center"/>
                </w:tcPr>
                <w:p>
                  <w:pPr>
                    <w:pStyle w:val="182"/>
                    <w:rPr>
                      <w:rFonts w:hint="eastAsia"/>
                    </w:rPr>
                  </w:pPr>
                  <w:r>
                    <w:t>190</w:t>
                  </w:r>
                  <w:r>
                    <w:rPr>
                      <w:rFonts w:hint="eastAsia"/>
                    </w:rPr>
                    <w:t>m，高差</w:t>
                  </w:r>
                  <w:r>
                    <w:t>+21</w:t>
                  </w:r>
                  <w:r>
                    <w:rPr>
                      <w:rFonts w:hint="eastAsia"/>
                    </w:rPr>
                    <w:t>m，树木阻隔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restart"/>
                  <w:noWrap w:val="0"/>
                  <w:vAlign w:val="center"/>
                </w:tcPr>
                <w:p>
                  <w:pPr>
                    <w:pStyle w:val="182"/>
                    <w:rPr>
                      <w:rFonts w:hint="eastAsia"/>
                    </w:rPr>
                  </w:pPr>
                  <w:r>
                    <w:rPr>
                      <w:rFonts w:hint="eastAsia"/>
                    </w:rPr>
                    <w:t>声环境</w:t>
                  </w:r>
                </w:p>
              </w:tc>
              <w:tc>
                <w:tcPr>
                  <w:tcW w:w="840" w:type="dxa"/>
                  <w:vMerge w:val="restart"/>
                  <w:noWrap w:val="0"/>
                  <w:vAlign w:val="center"/>
                </w:tcPr>
                <w:p>
                  <w:pPr>
                    <w:pStyle w:val="182"/>
                    <w:rPr>
                      <w:rFonts w:hint="eastAsia"/>
                    </w:rPr>
                  </w:pPr>
                  <w:r>
                    <w:rPr>
                      <w:rFonts w:hint="eastAsia"/>
                    </w:rPr>
                    <w:t>原水管线</w:t>
                  </w:r>
                </w:p>
              </w:tc>
              <w:tc>
                <w:tcPr>
                  <w:tcW w:w="857" w:type="dxa"/>
                  <w:noWrap w:val="0"/>
                  <w:vAlign w:val="center"/>
                </w:tcPr>
                <w:p>
                  <w:pPr>
                    <w:pStyle w:val="182"/>
                    <w:rPr>
                      <w:rFonts w:hint="eastAsia"/>
                    </w:rPr>
                  </w:pPr>
                  <w:r>
                    <w:rPr>
                      <w:rFonts w:hint="eastAsia"/>
                    </w:rPr>
                    <w:t>火地铺住户</w:t>
                  </w:r>
                </w:p>
              </w:tc>
              <w:tc>
                <w:tcPr>
                  <w:tcW w:w="1044" w:type="dxa"/>
                  <w:noWrap w:val="0"/>
                  <w:vAlign w:val="center"/>
                </w:tcPr>
                <w:p>
                  <w:pPr>
                    <w:pStyle w:val="182"/>
                    <w:rPr>
                      <w:rFonts w:hint="eastAsia"/>
                    </w:rPr>
                  </w:pPr>
                  <w:r>
                    <w:rPr>
                      <w:rFonts w:hint="eastAsia"/>
                    </w:rPr>
                    <w:t>2</w:t>
                  </w:r>
                  <w:r>
                    <w:t>2</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rPr>
                      <w:rFonts w:hint="eastAsia"/>
                    </w:rPr>
                    <w:t>3</w:t>
                  </w:r>
                  <w:r>
                    <w:t>m</w:t>
                  </w:r>
                  <w:r>
                    <w:rPr>
                      <w:rFonts w:hint="eastAsia"/>
                    </w:rPr>
                    <w:t>，高差0，无阻隔</w:t>
                  </w:r>
                </w:p>
              </w:tc>
              <w:tc>
                <w:tcPr>
                  <w:tcW w:w="1756" w:type="dxa"/>
                  <w:gridSpan w:val="2"/>
                  <w:vMerge w:val="restart"/>
                  <w:noWrap w:val="0"/>
                  <w:vAlign w:val="center"/>
                </w:tcPr>
                <w:p>
                  <w:pPr>
                    <w:pStyle w:val="182"/>
                    <w:rPr>
                      <w:rFonts w:hint="eastAsia"/>
                    </w:rPr>
                  </w:pPr>
                  <w:r>
                    <w:rPr>
                      <w:rFonts w:hint="eastAsia"/>
                    </w:rPr>
                    <w:t>声环境满足GB3096-2008中2类标准要求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见风垭住户</w:t>
                  </w:r>
                </w:p>
              </w:tc>
              <w:tc>
                <w:tcPr>
                  <w:tcW w:w="1044" w:type="dxa"/>
                  <w:noWrap w:val="0"/>
                  <w:vAlign w:val="center"/>
                </w:tcPr>
                <w:p>
                  <w:pPr>
                    <w:pStyle w:val="182"/>
                    <w:rPr>
                      <w:rFonts w:hint="eastAsia"/>
                    </w:rPr>
                  </w:pPr>
                  <w:r>
                    <w:rPr>
                      <w:rFonts w:hint="eastAsia"/>
                    </w:rPr>
                    <w:t>约1</w:t>
                  </w:r>
                  <w:r>
                    <w:t>22</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桂花村住户</w:t>
                  </w:r>
                </w:p>
              </w:tc>
              <w:tc>
                <w:tcPr>
                  <w:tcW w:w="1044" w:type="dxa"/>
                  <w:noWrap w:val="0"/>
                  <w:vAlign w:val="center"/>
                </w:tcPr>
                <w:p>
                  <w:pPr>
                    <w:pStyle w:val="182"/>
                    <w:rPr>
                      <w:rFonts w:hint="eastAsia"/>
                    </w:rPr>
                  </w:pPr>
                  <w:r>
                    <w:rPr>
                      <w:rFonts w:hint="eastAsia"/>
                    </w:rPr>
                    <w:t>约2</w:t>
                  </w:r>
                  <w:r>
                    <w:t>10</w:t>
                  </w:r>
                  <w:r>
                    <w:rPr>
                      <w:rFonts w:hint="eastAsia"/>
                    </w:rPr>
                    <w:t>人</w:t>
                  </w:r>
                </w:p>
              </w:tc>
              <w:tc>
                <w:tcPr>
                  <w:tcW w:w="731"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gridSpan w:val="2"/>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jc w:val="center"/>
              </w:trPr>
              <w:tc>
                <w:tcPr>
                  <w:tcW w:w="645" w:type="dxa"/>
                  <w:vMerge w:val="restart"/>
                  <w:noWrap w:val="0"/>
                  <w:vAlign w:val="center"/>
                </w:tcPr>
                <w:p>
                  <w:pPr>
                    <w:pStyle w:val="182"/>
                    <w:rPr>
                      <w:rFonts w:hint="eastAsia"/>
                    </w:rPr>
                  </w:pPr>
                  <w:r>
                    <w:rPr>
                      <w:rFonts w:hint="eastAsia"/>
                    </w:rPr>
                    <w:t>地表水环境</w:t>
                  </w:r>
                </w:p>
              </w:tc>
              <w:tc>
                <w:tcPr>
                  <w:tcW w:w="1697" w:type="dxa"/>
                  <w:gridSpan w:val="2"/>
                  <w:noWrap w:val="0"/>
                  <w:vAlign w:val="center"/>
                </w:tcPr>
                <w:p>
                  <w:pPr>
                    <w:pStyle w:val="182"/>
                    <w:rPr>
                      <w:rFonts w:hint="eastAsia"/>
                    </w:rPr>
                  </w:pPr>
                  <w:r>
                    <w:rPr>
                      <w:rFonts w:hint="eastAsia"/>
                    </w:rPr>
                    <w:t>剑锋河</w:t>
                  </w:r>
                </w:p>
              </w:tc>
              <w:tc>
                <w:tcPr>
                  <w:tcW w:w="1044" w:type="dxa"/>
                  <w:noWrap w:val="0"/>
                  <w:vAlign w:val="center"/>
                </w:tcPr>
                <w:p>
                  <w:pPr>
                    <w:pStyle w:val="182"/>
                    <w:rPr>
                      <w:rFonts w:hint="eastAsia"/>
                    </w:rPr>
                  </w:pPr>
                  <w:r>
                    <w:rPr>
                      <w:rFonts w:hint="eastAsia"/>
                    </w:rPr>
                    <w:t>小河</w:t>
                  </w:r>
                </w:p>
              </w:tc>
              <w:tc>
                <w:tcPr>
                  <w:tcW w:w="731" w:type="dxa"/>
                  <w:gridSpan w:val="2"/>
                  <w:noWrap w:val="0"/>
                  <w:vAlign w:val="center"/>
                </w:tcPr>
                <w:p>
                  <w:pPr>
                    <w:pStyle w:val="182"/>
                    <w:rPr>
                      <w:rFonts w:hint="eastAsia"/>
                    </w:rPr>
                  </w:pPr>
                  <w:r>
                    <w:rPr>
                      <w:rFonts w:hint="eastAsia"/>
                    </w:rPr>
                    <w:t>净水厂东南侧</w:t>
                  </w:r>
                </w:p>
              </w:tc>
              <w:tc>
                <w:tcPr>
                  <w:tcW w:w="1664" w:type="dxa"/>
                  <w:noWrap w:val="0"/>
                  <w:vAlign w:val="center"/>
                </w:tcPr>
                <w:p>
                  <w:pPr>
                    <w:pStyle w:val="182"/>
                    <w:rPr>
                      <w:rFonts w:hint="eastAsia"/>
                    </w:rPr>
                  </w:pPr>
                  <w:r>
                    <w:t>610m</w:t>
                  </w:r>
                </w:p>
              </w:tc>
              <w:tc>
                <w:tcPr>
                  <w:tcW w:w="1756" w:type="dxa"/>
                  <w:gridSpan w:val="2"/>
                  <w:noWrap w:val="0"/>
                  <w:vAlign w:val="center"/>
                </w:tcPr>
                <w:p>
                  <w:pPr>
                    <w:pStyle w:val="182"/>
                    <w:rPr>
                      <w:rFonts w:hint="eastAsia"/>
                    </w:rPr>
                  </w:pPr>
                  <w:r>
                    <w:rPr>
                      <w:rFonts w:hint="eastAsia"/>
                    </w:rPr>
                    <w:t>满足GB3838-2002中Ⅲ类标准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40" w:hRule="atLeast"/>
                <w:jc w:val="center"/>
              </w:trPr>
              <w:tc>
                <w:tcPr>
                  <w:tcW w:w="645" w:type="dxa"/>
                  <w:vMerge w:val="continue"/>
                  <w:noWrap w:val="0"/>
                  <w:vAlign w:val="center"/>
                </w:tcPr>
                <w:p>
                  <w:pPr>
                    <w:pStyle w:val="182"/>
                    <w:rPr>
                      <w:rFonts w:hint="eastAsia"/>
                    </w:rPr>
                  </w:pPr>
                </w:p>
              </w:tc>
              <w:tc>
                <w:tcPr>
                  <w:tcW w:w="1697" w:type="dxa"/>
                  <w:gridSpan w:val="2"/>
                  <w:noWrap w:val="0"/>
                  <w:vAlign w:val="center"/>
                </w:tcPr>
                <w:p>
                  <w:pPr>
                    <w:pStyle w:val="182"/>
                    <w:rPr>
                      <w:rFonts w:hint="eastAsia"/>
                    </w:rPr>
                  </w:pPr>
                  <w:r>
                    <w:rPr>
                      <w:rFonts w:hint="eastAsia"/>
                    </w:rPr>
                    <w:t>王沟</w:t>
                  </w:r>
                </w:p>
              </w:tc>
              <w:tc>
                <w:tcPr>
                  <w:tcW w:w="1044" w:type="dxa"/>
                  <w:noWrap w:val="0"/>
                  <w:vAlign w:val="center"/>
                </w:tcPr>
                <w:p>
                  <w:pPr>
                    <w:pStyle w:val="182"/>
                    <w:rPr>
                      <w:rFonts w:hint="eastAsia"/>
                    </w:rPr>
                  </w:pPr>
                  <w:r>
                    <w:rPr>
                      <w:rFonts w:hint="eastAsia"/>
                    </w:rPr>
                    <w:t>小河</w:t>
                  </w:r>
                </w:p>
              </w:tc>
              <w:tc>
                <w:tcPr>
                  <w:tcW w:w="731" w:type="dxa"/>
                  <w:gridSpan w:val="2"/>
                  <w:noWrap w:val="0"/>
                  <w:vAlign w:val="center"/>
                </w:tcPr>
                <w:p>
                  <w:pPr>
                    <w:pStyle w:val="182"/>
                    <w:rPr>
                      <w:rFonts w:hint="eastAsia"/>
                    </w:rPr>
                  </w:pPr>
                  <w:r>
                    <w:rPr>
                      <w:rFonts w:hint="eastAsia"/>
                    </w:rPr>
                    <w:t>提水泵站东侧</w:t>
                  </w:r>
                </w:p>
              </w:tc>
              <w:tc>
                <w:tcPr>
                  <w:tcW w:w="1664" w:type="dxa"/>
                  <w:noWrap w:val="0"/>
                  <w:vAlign w:val="center"/>
                </w:tcPr>
                <w:p>
                  <w:pPr>
                    <w:pStyle w:val="182"/>
                  </w:pPr>
                  <w:r>
                    <w:rPr>
                      <w:rFonts w:hint="eastAsia"/>
                    </w:rPr>
                    <w:t>2</w:t>
                  </w:r>
                  <w:r>
                    <w:t>m</w:t>
                  </w:r>
                </w:p>
              </w:tc>
              <w:tc>
                <w:tcPr>
                  <w:tcW w:w="1756" w:type="dxa"/>
                  <w:gridSpan w:val="2"/>
                  <w:noWrap w:val="0"/>
                  <w:vAlign w:val="center"/>
                </w:tcPr>
                <w:p>
                  <w:pPr>
                    <w:pStyle w:val="182"/>
                    <w:rPr>
                      <w:rFonts w:hint="eastAsia"/>
                    </w:rPr>
                  </w:pPr>
                  <w:r>
                    <w:rPr>
                      <w:rFonts w:hint="eastAsia"/>
                    </w:rPr>
                    <w:t>满足GB3838-2002中Ⅲ类标准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noWrap w:val="0"/>
                  <w:vAlign w:val="center"/>
                </w:tcPr>
                <w:p>
                  <w:pPr>
                    <w:pStyle w:val="182"/>
                    <w:rPr>
                      <w:rFonts w:hint="eastAsia"/>
                    </w:rPr>
                  </w:pPr>
                  <w:r>
                    <w:rPr>
                      <w:rFonts w:hint="eastAsia"/>
                    </w:rPr>
                    <w:t>地下水</w:t>
                  </w:r>
                </w:p>
              </w:tc>
              <w:tc>
                <w:tcPr>
                  <w:tcW w:w="2759" w:type="dxa"/>
                  <w:gridSpan w:val="4"/>
                  <w:noWrap w:val="0"/>
                  <w:vAlign w:val="center"/>
                </w:tcPr>
                <w:p>
                  <w:pPr>
                    <w:pStyle w:val="70"/>
                  </w:pPr>
                  <w:r>
                    <w:rPr>
                      <w:rFonts w:hint="eastAsia"/>
                    </w:rPr>
                    <w:t>地下水</w:t>
                  </w:r>
                </w:p>
              </w:tc>
              <w:tc>
                <w:tcPr>
                  <w:tcW w:w="2392" w:type="dxa"/>
                  <w:gridSpan w:val="3"/>
                  <w:noWrap w:val="0"/>
                  <w:vAlign w:val="center"/>
                </w:tcPr>
                <w:p>
                  <w:pPr>
                    <w:pStyle w:val="70"/>
                  </w:pPr>
                  <w:r>
                    <w:t>同一水文地质单元</w:t>
                  </w:r>
                </w:p>
              </w:tc>
              <w:tc>
                <w:tcPr>
                  <w:tcW w:w="1756" w:type="dxa"/>
                  <w:gridSpan w:val="2"/>
                  <w:noWrap w:val="0"/>
                  <w:vAlign w:val="center"/>
                </w:tcPr>
                <w:p>
                  <w:pPr>
                    <w:pStyle w:val="182"/>
                    <w:rPr>
                      <w:rFonts w:hint="eastAsia"/>
                    </w:rPr>
                  </w:pPr>
                  <w:r>
                    <w:t>满足《地下水质量标准》</w:t>
                  </w:r>
                  <w:r>
                    <w:rPr>
                      <w:rFonts w:hint="eastAsia"/>
                    </w:rPr>
                    <w:t>（</w:t>
                  </w:r>
                  <w:r>
                    <w:t>GB/T14848-2017</w:t>
                  </w:r>
                  <w:r>
                    <w:rPr>
                      <w:rFonts w:ascii="宋体" w:hAnsi="宋体"/>
                    </w:rPr>
                    <w:t>）中</w:t>
                  </w:r>
                  <w:r>
                    <w:rPr>
                      <w:rFonts w:hint="eastAsia" w:ascii="宋体" w:hAnsi="宋体"/>
                    </w:rPr>
                    <w:t>Ⅲ</w:t>
                  </w:r>
                  <w:r>
                    <w:t>类标准</w:t>
                  </w:r>
                </w:p>
              </w:tc>
            </w:tr>
          </w:tbl>
          <w:p>
            <w:pPr>
              <w:adjustRightInd w:val="0"/>
              <w:snapToGrid w:val="0"/>
              <w:jc w:val="center"/>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dxa"/>
            <w:noWrap w:val="0"/>
            <w:tcMar>
              <w:left w:w="28" w:type="dxa"/>
              <w:right w:w="28" w:type="dxa"/>
            </w:tcMar>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污染</w:t>
            </w:r>
          </w:p>
          <w:p>
            <w:pPr>
              <w:adjustRightInd w:val="0"/>
              <w:snapToGrid w:val="0"/>
              <w:jc w:val="center"/>
              <w:rPr>
                <w:rFonts w:hint="eastAsia" w:ascii="宋体" w:hAnsi="宋体" w:cs="宋体"/>
                <w:kern w:val="0"/>
                <w:szCs w:val="21"/>
              </w:rPr>
            </w:pPr>
            <w:r>
              <w:rPr>
                <w:rFonts w:hint="eastAsia" w:ascii="宋体" w:hAnsi="宋体" w:cs="宋体"/>
                <w:kern w:val="0"/>
                <w:szCs w:val="21"/>
              </w:rPr>
              <w:t>物排</w:t>
            </w:r>
          </w:p>
          <w:p>
            <w:pPr>
              <w:adjustRightInd w:val="0"/>
              <w:snapToGrid w:val="0"/>
              <w:jc w:val="center"/>
              <w:rPr>
                <w:rFonts w:hint="eastAsia" w:ascii="宋体" w:hAnsi="宋体" w:cs="宋体"/>
                <w:kern w:val="0"/>
                <w:szCs w:val="21"/>
              </w:rPr>
            </w:pPr>
            <w:r>
              <w:rPr>
                <w:rFonts w:hint="eastAsia" w:ascii="宋体" w:hAnsi="宋体" w:cs="宋体"/>
                <w:kern w:val="0"/>
                <w:szCs w:val="21"/>
              </w:rPr>
              <w:t>放控</w:t>
            </w:r>
          </w:p>
          <w:p>
            <w:pPr>
              <w:adjustRightInd w:val="0"/>
              <w:snapToGrid w:val="0"/>
              <w:jc w:val="center"/>
              <w:rPr>
                <w:rFonts w:hint="eastAsia" w:ascii="宋体" w:hAnsi="宋体" w:cs="宋体"/>
                <w:kern w:val="0"/>
                <w:szCs w:val="21"/>
              </w:rPr>
            </w:pPr>
            <w:r>
              <w:rPr>
                <w:rFonts w:hint="eastAsia" w:ascii="宋体" w:hAnsi="宋体" w:cs="宋体"/>
                <w:kern w:val="0"/>
                <w:szCs w:val="21"/>
              </w:rPr>
              <w:t>制标</w:t>
            </w:r>
          </w:p>
          <w:p>
            <w:pPr>
              <w:adjustRightInd w:val="0"/>
              <w:snapToGrid w:val="0"/>
              <w:jc w:val="center"/>
              <w:rPr>
                <w:rFonts w:ascii="宋体" w:hAnsi="宋体" w:cs="宋体"/>
                <w:kern w:val="0"/>
                <w:szCs w:val="21"/>
              </w:rPr>
            </w:pPr>
            <w:r>
              <w:rPr>
                <w:rFonts w:hint="eastAsia" w:ascii="宋体" w:hAnsi="宋体" w:cs="宋体"/>
                <w:kern w:val="0"/>
                <w:szCs w:val="21"/>
              </w:rPr>
              <w:t>准</w:t>
            </w:r>
          </w:p>
        </w:tc>
        <w:tc>
          <w:tcPr>
            <w:tcW w:w="8350" w:type="dxa"/>
            <w:noWrap w:val="0"/>
            <w:vAlign w:val="center"/>
          </w:tcPr>
          <w:p>
            <w:pPr>
              <w:pStyle w:val="183"/>
            </w:pPr>
            <w:r>
              <w:t>1、废气</w:t>
            </w:r>
          </w:p>
          <w:p>
            <w:pPr>
              <w:pStyle w:val="183"/>
              <w:rPr>
                <w:b/>
              </w:rPr>
            </w:pPr>
            <w:r>
              <w:t>执行国家《大气污染物综合排放标准》（GB16297-1996）二级标准，允许排放浓度值见下表：</w:t>
            </w:r>
          </w:p>
          <w:p>
            <w:pPr>
              <w:pStyle w:val="184"/>
              <w:rPr>
                <w:color w:val="auto"/>
              </w:rPr>
            </w:pPr>
            <w:r>
              <w:rPr>
                <w:color w:val="auto"/>
              </w:rPr>
              <w:t>表</w:t>
            </w:r>
            <w:r>
              <w:rPr>
                <w:rFonts w:hint="eastAsia"/>
                <w:color w:val="auto"/>
              </w:rPr>
              <w:t>3-10</w:t>
            </w:r>
            <w:r>
              <w:rPr>
                <w:color w:val="auto"/>
              </w:rPr>
              <w:t xml:space="preserve"> 《大气污染物综合排放标准》二级标准</w:t>
            </w:r>
          </w:p>
          <w:tbl>
            <w:tblPr>
              <w:tblStyle w:val="39"/>
              <w:tblW w:w="7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2"/>
              <w:gridCol w:w="2976"/>
              <w:gridCol w:w="2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062" w:type="dxa"/>
                  <w:vMerge w:val="restart"/>
                  <w:noWrap w:val="0"/>
                  <w:vAlign w:val="center"/>
                </w:tcPr>
                <w:p>
                  <w:pPr>
                    <w:tabs>
                      <w:tab w:val="left" w:pos="0"/>
                    </w:tabs>
                    <w:jc w:val="center"/>
                    <w:rPr>
                      <w:b/>
                    </w:rPr>
                  </w:pPr>
                  <w:r>
                    <w:rPr>
                      <w:b/>
                    </w:rPr>
                    <w:t>污染物</w:t>
                  </w:r>
                </w:p>
              </w:tc>
              <w:tc>
                <w:tcPr>
                  <w:tcW w:w="5176" w:type="dxa"/>
                  <w:gridSpan w:val="2"/>
                  <w:noWrap w:val="0"/>
                  <w:vAlign w:val="center"/>
                </w:tcPr>
                <w:p>
                  <w:pPr>
                    <w:tabs>
                      <w:tab w:val="left" w:pos="0"/>
                    </w:tabs>
                    <w:jc w:val="center"/>
                    <w:rPr>
                      <w:b/>
                    </w:rPr>
                  </w:pPr>
                  <w:r>
                    <w:rPr>
                      <w:b/>
                    </w:rPr>
                    <w:t>无组织排放监控浓度限值（mg/m</w:t>
                  </w:r>
                  <w:r>
                    <w:rPr>
                      <w:b/>
                      <w:vertAlign w:val="superscript"/>
                    </w:rPr>
                    <w:t>3</w:t>
                  </w:r>
                  <w:r>
                    <w:rPr>
                      <w:b/>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062" w:type="dxa"/>
                  <w:vMerge w:val="continue"/>
                  <w:noWrap w:val="0"/>
                  <w:vAlign w:val="center"/>
                </w:tcPr>
                <w:p>
                  <w:pPr>
                    <w:tabs>
                      <w:tab w:val="left" w:pos="0"/>
                    </w:tabs>
                    <w:jc w:val="center"/>
                    <w:rPr>
                      <w:rFonts w:eastAsia="黑体"/>
                    </w:rPr>
                  </w:pPr>
                </w:p>
              </w:tc>
              <w:tc>
                <w:tcPr>
                  <w:tcW w:w="2976" w:type="dxa"/>
                  <w:noWrap w:val="0"/>
                  <w:vAlign w:val="center"/>
                </w:tcPr>
                <w:p>
                  <w:pPr>
                    <w:tabs>
                      <w:tab w:val="left" w:pos="0"/>
                    </w:tabs>
                    <w:jc w:val="center"/>
                  </w:pPr>
                  <w:r>
                    <w:t>监控点</w:t>
                  </w:r>
                </w:p>
              </w:tc>
              <w:tc>
                <w:tcPr>
                  <w:tcW w:w="2200" w:type="dxa"/>
                  <w:noWrap w:val="0"/>
                  <w:vAlign w:val="center"/>
                </w:tcPr>
                <w:p>
                  <w:pPr>
                    <w:tabs>
                      <w:tab w:val="left" w:pos="0"/>
                    </w:tabs>
                    <w:jc w:val="center"/>
                  </w:pPr>
                  <w:r>
                    <w:t>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2062" w:type="dxa"/>
                  <w:noWrap w:val="0"/>
                  <w:vAlign w:val="center"/>
                </w:tcPr>
                <w:p>
                  <w:pPr>
                    <w:tabs>
                      <w:tab w:val="left" w:pos="0"/>
                    </w:tabs>
                    <w:jc w:val="center"/>
                  </w:pPr>
                  <w:r>
                    <w:rPr>
                      <w:rFonts w:hint="eastAsia"/>
                    </w:rPr>
                    <w:t>氯化氢</w:t>
                  </w:r>
                </w:p>
              </w:tc>
              <w:tc>
                <w:tcPr>
                  <w:tcW w:w="2976" w:type="dxa"/>
                  <w:noWrap w:val="0"/>
                  <w:vAlign w:val="center"/>
                </w:tcPr>
                <w:p>
                  <w:pPr>
                    <w:tabs>
                      <w:tab w:val="left" w:pos="0"/>
                    </w:tabs>
                    <w:jc w:val="center"/>
                  </w:pPr>
                  <w:r>
                    <w:t>周界外浓度最高点</w:t>
                  </w:r>
                </w:p>
              </w:tc>
              <w:tc>
                <w:tcPr>
                  <w:tcW w:w="2200" w:type="dxa"/>
                  <w:noWrap w:val="0"/>
                  <w:vAlign w:val="center"/>
                </w:tcPr>
                <w:p>
                  <w:pPr>
                    <w:tabs>
                      <w:tab w:val="left" w:pos="0"/>
                    </w:tabs>
                    <w:jc w:val="center"/>
                  </w:pPr>
                  <w:r>
                    <w:t>1.0</w:t>
                  </w:r>
                </w:p>
              </w:tc>
            </w:tr>
          </w:tbl>
          <w:p>
            <w:pPr>
              <w:wordWrap w:val="0"/>
              <w:adjustRightInd w:val="0"/>
              <w:snapToGrid w:val="0"/>
              <w:spacing w:line="360" w:lineRule="auto"/>
              <w:ind w:firstLine="480" w:firstLineChars="200"/>
              <w:jc w:val="left"/>
              <w:rPr>
                <w:sz w:val="24"/>
              </w:rPr>
            </w:pPr>
            <w:r>
              <w:rPr>
                <w:sz w:val="24"/>
              </w:rPr>
              <w:t>2、废水</w:t>
            </w:r>
          </w:p>
          <w:p>
            <w:pPr>
              <w:spacing w:line="360" w:lineRule="auto"/>
              <w:ind w:firstLine="480" w:firstLineChars="200"/>
              <w:rPr>
                <w:rFonts w:hint="eastAsia"/>
                <w:color w:val="000000"/>
              </w:rPr>
            </w:pPr>
            <w:r>
              <w:rPr>
                <w:rFonts w:hint="eastAsia"/>
                <w:sz w:val="24"/>
              </w:rPr>
              <w:t>项目产生废水主要为生产废水以及员工生活污水。其中员工生活污水经隔油池+化粪池预处理后用作周边农肥。生产废水主要包括净水厂</w:t>
            </w:r>
            <w:r>
              <w:rPr>
                <w:sz w:val="24"/>
              </w:rPr>
              <w:t>沉淀池</w:t>
            </w:r>
            <w:r>
              <w:rPr>
                <w:rFonts w:hint="eastAsia"/>
                <w:sz w:val="24"/>
              </w:rPr>
              <w:t>、反冲洗回收水池、清水池</w:t>
            </w:r>
            <w:r>
              <w:rPr>
                <w:sz w:val="24"/>
              </w:rPr>
              <w:t>排泥水</w:t>
            </w:r>
            <w:r>
              <w:rPr>
                <w:rFonts w:hint="eastAsia"/>
                <w:sz w:val="24"/>
              </w:rPr>
              <w:t>以及</w:t>
            </w:r>
            <w:r>
              <w:rPr>
                <w:sz w:val="24"/>
              </w:rPr>
              <w:t>滤池反冲洗废水</w:t>
            </w:r>
            <w:r>
              <w:rPr>
                <w:rFonts w:hint="eastAsia"/>
                <w:sz w:val="24"/>
              </w:rPr>
              <w:t>、污泥脱水废水</w:t>
            </w:r>
            <w:r>
              <w:rPr>
                <w:sz w:val="24"/>
              </w:rPr>
              <w:t>。</w:t>
            </w:r>
            <w:r>
              <w:rPr>
                <w:rFonts w:hint="eastAsia"/>
                <w:sz w:val="24"/>
              </w:rPr>
              <w:t>排泥水及污泥脱水废水进入厂内污水处理设施处理满足《污水综合排放标准》（G</w:t>
            </w:r>
            <w:r>
              <w:rPr>
                <w:sz w:val="24"/>
              </w:rPr>
              <w:t>B8978-1996</w:t>
            </w:r>
            <w:r>
              <w:rPr>
                <w:rFonts w:hint="eastAsia"/>
                <w:sz w:val="24"/>
              </w:rPr>
              <w:t>）中三级标准后后排入土主镇污水处理厂，土主镇污水处理厂出水标准满足《城镇污水处理厂污染物排放标准》（G</w:t>
            </w:r>
            <w:r>
              <w:rPr>
                <w:sz w:val="24"/>
              </w:rPr>
              <w:t>B18919-2002</w:t>
            </w:r>
            <w:r>
              <w:rPr>
                <w:rFonts w:hint="eastAsia"/>
                <w:sz w:val="24"/>
              </w:rPr>
              <w:t>）中一级A标后排污剑锋河。</w:t>
            </w:r>
          </w:p>
          <w:p>
            <w:pPr>
              <w:pStyle w:val="261"/>
              <w:spacing w:before="120"/>
            </w:pPr>
            <w:r>
              <w:rPr>
                <w:rFonts w:hint="eastAsia"/>
              </w:rPr>
              <w:t>表3-</w:t>
            </w:r>
            <w:r>
              <w:t>12</w:t>
            </w:r>
            <w:r>
              <w:rPr>
                <w:rFonts w:hint="eastAsia"/>
              </w:rPr>
              <w:t xml:space="preserve"> 接入污水管网前项目废水排放标准（除</w:t>
            </w:r>
            <w:r>
              <w:t>pH</w:t>
            </w:r>
            <w:r>
              <w:rPr>
                <w:rFonts w:hint="eastAsia"/>
              </w:rPr>
              <w:t>外，其余单位为</w:t>
            </w:r>
            <w:r>
              <w:t>mg/l</w:t>
            </w:r>
            <w:r>
              <w:rPr>
                <w:rFonts w:hint="eastAsia"/>
              </w:rPr>
              <w:t>）</w:t>
            </w:r>
          </w:p>
          <w:tbl>
            <w:tblPr>
              <w:tblStyle w:val="39"/>
              <w:tblW w:w="8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3118"/>
              <w:gridCol w:w="1438"/>
              <w:gridCol w:w="2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54" w:type="dxa"/>
                  <w:tcBorders>
                    <w:top w:val="single" w:color="auto" w:sz="12" w:space="0"/>
                    <w:left w:val="single" w:color="auto" w:sz="12" w:space="0"/>
                  </w:tcBorders>
                  <w:noWrap w:val="0"/>
                  <w:vAlign w:val="center"/>
                </w:tcPr>
                <w:p>
                  <w:pPr>
                    <w:adjustRightInd w:val="0"/>
                    <w:snapToGrid w:val="0"/>
                    <w:jc w:val="center"/>
                    <w:rPr>
                      <w:szCs w:val="21"/>
                    </w:rPr>
                  </w:pPr>
                  <w:r>
                    <w:rPr>
                      <w:szCs w:val="21"/>
                    </w:rPr>
                    <w:t>序号</w:t>
                  </w:r>
                </w:p>
              </w:tc>
              <w:tc>
                <w:tcPr>
                  <w:tcW w:w="3118" w:type="dxa"/>
                  <w:tcBorders>
                    <w:top w:val="single" w:color="auto" w:sz="12" w:space="0"/>
                  </w:tcBorders>
                  <w:noWrap w:val="0"/>
                  <w:vAlign w:val="center"/>
                </w:tcPr>
                <w:p>
                  <w:pPr>
                    <w:adjustRightInd w:val="0"/>
                    <w:snapToGrid w:val="0"/>
                    <w:jc w:val="center"/>
                    <w:rPr>
                      <w:szCs w:val="21"/>
                    </w:rPr>
                  </w:pPr>
                  <w:r>
                    <w:rPr>
                      <w:szCs w:val="21"/>
                    </w:rPr>
                    <w:t>项目</w:t>
                  </w:r>
                </w:p>
              </w:tc>
              <w:tc>
                <w:tcPr>
                  <w:tcW w:w="1438" w:type="dxa"/>
                  <w:tcBorders>
                    <w:top w:val="single" w:color="auto" w:sz="12" w:space="0"/>
                  </w:tcBorders>
                  <w:noWrap w:val="0"/>
                  <w:vAlign w:val="center"/>
                </w:tcPr>
                <w:p>
                  <w:pPr>
                    <w:adjustRightInd w:val="0"/>
                    <w:snapToGrid w:val="0"/>
                    <w:jc w:val="center"/>
                    <w:rPr>
                      <w:szCs w:val="21"/>
                    </w:rPr>
                  </w:pPr>
                  <w:r>
                    <w:rPr>
                      <w:szCs w:val="21"/>
                    </w:rPr>
                    <w:t>标准限值</w:t>
                  </w:r>
                </w:p>
              </w:tc>
              <w:tc>
                <w:tcPr>
                  <w:tcW w:w="2860" w:type="dxa"/>
                  <w:tcBorders>
                    <w:top w:val="single" w:color="auto" w:sz="12" w:space="0"/>
                    <w:right w:val="single" w:color="auto" w:sz="12" w:space="0"/>
                  </w:tcBorders>
                  <w:noWrap w:val="0"/>
                  <w:vAlign w:val="center"/>
                </w:tcPr>
                <w:p>
                  <w:pPr>
                    <w:adjustRightInd w:val="0"/>
                    <w:snapToGrid w:val="0"/>
                    <w:jc w:val="center"/>
                    <w:rPr>
                      <w:szCs w:val="21"/>
                    </w:rPr>
                  </w:pPr>
                  <w:r>
                    <w:rPr>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1</w:t>
                  </w:r>
                </w:p>
              </w:tc>
              <w:tc>
                <w:tcPr>
                  <w:tcW w:w="3118" w:type="dxa"/>
                  <w:noWrap w:val="0"/>
                  <w:vAlign w:val="center"/>
                </w:tcPr>
                <w:p>
                  <w:pPr>
                    <w:adjustRightInd w:val="0"/>
                    <w:snapToGrid w:val="0"/>
                    <w:jc w:val="center"/>
                    <w:rPr>
                      <w:szCs w:val="21"/>
                    </w:rPr>
                  </w:pPr>
                  <w:r>
                    <w:rPr>
                      <w:szCs w:val="21"/>
                    </w:rPr>
                    <w:t>pH</w:t>
                  </w:r>
                </w:p>
              </w:tc>
              <w:tc>
                <w:tcPr>
                  <w:tcW w:w="1438" w:type="dxa"/>
                  <w:noWrap w:val="0"/>
                  <w:vAlign w:val="center"/>
                </w:tcPr>
                <w:p>
                  <w:pPr>
                    <w:adjustRightInd w:val="0"/>
                    <w:snapToGrid w:val="0"/>
                    <w:jc w:val="center"/>
                    <w:rPr>
                      <w:szCs w:val="21"/>
                    </w:rPr>
                  </w:pPr>
                  <w:r>
                    <w:rPr>
                      <w:szCs w:val="21"/>
                    </w:rPr>
                    <w:t>6~9</w:t>
                  </w:r>
                </w:p>
              </w:tc>
              <w:tc>
                <w:tcPr>
                  <w:tcW w:w="2860" w:type="dxa"/>
                  <w:vMerge w:val="restart"/>
                  <w:tcBorders>
                    <w:right w:val="single" w:color="auto" w:sz="12" w:space="0"/>
                  </w:tcBorders>
                  <w:noWrap w:val="0"/>
                  <w:vAlign w:val="center"/>
                </w:tcPr>
                <w:p>
                  <w:pPr>
                    <w:adjustRightInd w:val="0"/>
                    <w:snapToGrid w:val="0"/>
                    <w:jc w:val="center"/>
                    <w:rPr>
                      <w:szCs w:val="21"/>
                    </w:rPr>
                  </w:pPr>
                  <w:r>
                    <w:rPr>
                      <w:szCs w:val="21"/>
                    </w:rPr>
                    <w:t>《污水综合排放标准》（GB8978-1996）</w:t>
                  </w:r>
                  <w:r>
                    <w:rPr>
                      <w:rFonts w:hint="eastAsia"/>
                      <w:szCs w:val="21"/>
                    </w:rPr>
                    <w:t>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2</w:t>
                  </w:r>
                </w:p>
              </w:tc>
              <w:tc>
                <w:tcPr>
                  <w:tcW w:w="3118" w:type="dxa"/>
                  <w:noWrap w:val="0"/>
                  <w:vAlign w:val="center"/>
                </w:tcPr>
                <w:p>
                  <w:pPr>
                    <w:adjustRightInd w:val="0"/>
                    <w:snapToGrid w:val="0"/>
                    <w:jc w:val="center"/>
                    <w:rPr>
                      <w:szCs w:val="21"/>
                    </w:rPr>
                  </w:pPr>
                  <w:r>
                    <w:rPr>
                      <w:szCs w:val="21"/>
                    </w:rPr>
                    <w:t>化学需氧量（COD</w:t>
                  </w:r>
                  <w:r>
                    <w:rPr>
                      <w:szCs w:val="21"/>
                      <w:vertAlign w:val="subscript"/>
                    </w:rPr>
                    <w:t>Cr</w:t>
                  </w:r>
                  <w:r>
                    <w:rPr>
                      <w:szCs w:val="21"/>
                    </w:rPr>
                    <w:t>），mg/L</w:t>
                  </w:r>
                </w:p>
              </w:tc>
              <w:tc>
                <w:tcPr>
                  <w:tcW w:w="1438" w:type="dxa"/>
                  <w:noWrap w:val="0"/>
                  <w:vAlign w:val="center"/>
                </w:tcPr>
                <w:p>
                  <w:pPr>
                    <w:adjustRightInd w:val="0"/>
                    <w:snapToGrid w:val="0"/>
                    <w:jc w:val="center"/>
                    <w:rPr>
                      <w:szCs w:val="21"/>
                    </w:rPr>
                  </w:pPr>
                  <w:r>
                    <w:rPr>
                      <w:szCs w:val="21"/>
                    </w:rPr>
                    <w:t>500</w:t>
                  </w:r>
                </w:p>
              </w:tc>
              <w:tc>
                <w:tcPr>
                  <w:tcW w:w="2860" w:type="dxa"/>
                  <w:vMerge w:val="continue"/>
                  <w:tcBorders>
                    <w:right w:val="single" w:color="auto" w:sz="12" w:space="0"/>
                  </w:tcBorders>
                  <w:noWrap w:val="0"/>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3</w:t>
                  </w:r>
                </w:p>
              </w:tc>
              <w:tc>
                <w:tcPr>
                  <w:tcW w:w="3118" w:type="dxa"/>
                  <w:noWrap w:val="0"/>
                  <w:vAlign w:val="center"/>
                </w:tcPr>
                <w:p>
                  <w:pPr>
                    <w:adjustRightInd w:val="0"/>
                    <w:snapToGrid w:val="0"/>
                    <w:jc w:val="center"/>
                    <w:rPr>
                      <w:szCs w:val="21"/>
                    </w:rPr>
                  </w:pPr>
                  <w:r>
                    <w:rPr>
                      <w:szCs w:val="21"/>
                    </w:rPr>
                    <w:t>五日生化需氧量（BOD</w:t>
                  </w:r>
                  <w:r>
                    <w:rPr>
                      <w:szCs w:val="21"/>
                      <w:vertAlign w:val="subscript"/>
                    </w:rPr>
                    <w:t>5</w:t>
                  </w:r>
                  <w:r>
                    <w:rPr>
                      <w:szCs w:val="21"/>
                    </w:rPr>
                    <w:t>），mg/L</w:t>
                  </w:r>
                </w:p>
              </w:tc>
              <w:tc>
                <w:tcPr>
                  <w:tcW w:w="1438" w:type="dxa"/>
                  <w:noWrap w:val="0"/>
                  <w:vAlign w:val="center"/>
                </w:tcPr>
                <w:p>
                  <w:pPr>
                    <w:adjustRightInd w:val="0"/>
                    <w:snapToGrid w:val="0"/>
                    <w:jc w:val="center"/>
                    <w:rPr>
                      <w:szCs w:val="21"/>
                    </w:rPr>
                  </w:pPr>
                  <w:r>
                    <w:rPr>
                      <w:szCs w:val="21"/>
                    </w:rPr>
                    <w:t>300</w:t>
                  </w:r>
                </w:p>
              </w:tc>
              <w:tc>
                <w:tcPr>
                  <w:tcW w:w="2860" w:type="dxa"/>
                  <w:vMerge w:val="continue"/>
                  <w:tcBorders>
                    <w:right w:val="single" w:color="auto" w:sz="12" w:space="0"/>
                  </w:tcBorders>
                  <w:noWrap w:val="0"/>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54" w:type="dxa"/>
                  <w:tcBorders>
                    <w:left w:val="single" w:color="auto" w:sz="12" w:space="0"/>
                  </w:tcBorders>
                  <w:noWrap w:val="0"/>
                  <w:vAlign w:val="center"/>
                </w:tcPr>
                <w:p>
                  <w:pPr>
                    <w:adjustRightInd w:val="0"/>
                    <w:snapToGrid w:val="0"/>
                    <w:jc w:val="center"/>
                    <w:rPr>
                      <w:szCs w:val="21"/>
                    </w:rPr>
                  </w:pPr>
                  <w:r>
                    <w:rPr>
                      <w:rFonts w:hint="eastAsia"/>
                      <w:szCs w:val="21"/>
                    </w:rPr>
                    <w:t>4</w:t>
                  </w:r>
                </w:p>
              </w:tc>
              <w:tc>
                <w:tcPr>
                  <w:tcW w:w="3118" w:type="dxa"/>
                  <w:noWrap w:val="0"/>
                  <w:vAlign w:val="center"/>
                </w:tcPr>
                <w:p>
                  <w:pPr>
                    <w:adjustRightInd w:val="0"/>
                    <w:snapToGrid w:val="0"/>
                    <w:jc w:val="center"/>
                    <w:rPr>
                      <w:szCs w:val="21"/>
                    </w:rPr>
                  </w:pPr>
                  <w:r>
                    <w:rPr>
                      <w:szCs w:val="21"/>
                    </w:rPr>
                    <w:t>悬浮物（SS），mg/L</w:t>
                  </w:r>
                </w:p>
              </w:tc>
              <w:tc>
                <w:tcPr>
                  <w:tcW w:w="1438" w:type="dxa"/>
                  <w:noWrap w:val="0"/>
                  <w:vAlign w:val="center"/>
                </w:tcPr>
                <w:p>
                  <w:pPr>
                    <w:adjustRightInd w:val="0"/>
                    <w:snapToGrid w:val="0"/>
                    <w:jc w:val="center"/>
                    <w:rPr>
                      <w:szCs w:val="21"/>
                    </w:rPr>
                  </w:pPr>
                  <w:r>
                    <w:rPr>
                      <w:szCs w:val="21"/>
                    </w:rPr>
                    <w:t>400</w:t>
                  </w:r>
                </w:p>
              </w:tc>
              <w:tc>
                <w:tcPr>
                  <w:tcW w:w="2860" w:type="dxa"/>
                  <w:vMerge w:val="continue"/>
                  <w:tcBorders>
                    <w:right w:val="single" w:color="auto" w:sz="12" w:space="0"/>
                  </w:tcBorders>
                  <w:noWrap w:val="0"/>
                  <w:vAlign w:val="center"/>
                </w:tcPr>
                <w:p>
                  <w:pPr>
                    <w:adjustRightInd w:val="0"/>
                    <w:snapToGrid w:val="0"/>
                    <w:jc w:val="center"/>
                    <w:rPr>
                      <w:szCs w:val="21"/>
                    </w:rPr>
                  </w:pPr>
                </w:p>
              </w:tc>
            </w:tr>
          </w:tbl>
          <w:p>
            <w:pPr>
              <w:pStyle w:val="261"/>
              <w:spacing w:before="120"/>
            </w:pPr>
            <w:r>
              <w:rPr>
                <w:rFonts w:hint="eastAsia"/>
              </w:rPr>
              <w:t>表2.4-1</w:t>
            </w:r>
            <w:r>
              <w:t xml:space="preserve">3 </w:t>
            </w:r>
            <w:r>
              <w:rPr>
                <w:rFonts w:hint="eastAsia"/>
              </w:rPr>
              <w:t>园区污水处理厂外排废水排放标准（除</w:t>
            </w:r>
            <w:r>
              <w:t>pH</w:t>
            </w:r>
            <w:r>
              <w:rPr>
                <w:rFonts w:hint="eastAsia"/>
              </w:rPr>
              <w:t>外，其余单位为</w:t>
            </w:r>
            <w:r>
              <w:t>mg/l</w:t>
            </w:r>
            <w:r>
              <w:rPr>
                <w:rFonts w:hint="eastAsia"/>
              </w:rPr>
              <w:t>）</w:t>
            </w:r>
          </w:p>
          <w:tbl>
            <w:tblPr>
              <w:tblStyle w:val="39"/>
              <w:tblW w:w="79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3118"/>
              <w:gridCol w:w="1438"/>
              <w:gridCol w:w="2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tcBorders>
                    <w:top w:val="single" w:color="auto" w:sz="12" w:space="0"/>
                    <w:left w:val="single" w:color="auto" w:sz="12" w:space="0"/>
                  </w:tcBorders>
                  <w:noWrap w:val="0"/>
                  <w:vAlign w:val="center"/>
                </w:tcPr>
                <w:p>
                  <w:pPr>
                    <w:adjustRightInd w:val="0"/>
                    <w:snapToGrid w:val="0"/>
                    <w:jc w:val="center"/>
                    <w:rPr>
                      <w:szCs w:val="21"/>
                    </w:rPr>
                  </w:pPr>
                  <w:r>
                    <w:rPr>
                      <w:szCs w:val="21"/>
                    </w:rPr>
                    <w:t>序号</w:t>
                  </w:r>
                </w:p>
              </w:tc>
              <w:tc>
                <w:tcPr>
                  <w:tcW w:w="3118" w:type="dxa"/>
                  <w:tcBorders>
                    <w:top w:val="single" w:color="auto" w:sz="12" w:space="0"/>
                  </w:tcBorders>
                  <w:noWrap w:val="0"/>
                  <w:vAlign w:val="center"/>
                </w:tcPr>
                <w:p>
                  <w:pPr>
                    <w:adjustRightInd w:val="0"/>
                    <w:snapToGrid w:val="0"/>
                    <w:jc w:val="center"/>
                    <w:rPr>
                      <w:szCs w:val="21"/>
                    </w:rPr>
                  </w:pPr>
                  <w:r>
                    <w:rPr>
                      <w:szCs w:val="21"/>
                    </w:rPr>
                    <w:t>项目</w:t>
                  </w:r>
                </w:p>
              </w:tc>
              <w:tc>
                <w:tcPr>
                  <w:tcW w:w="1438" w:type="dxa"/>
                  <w:tcBorders>
                    <w:top w:val="single" w:color="auto" w:sz="12" w:space="0"/>
                  </w:tcBorders>
                  <w:noWrap w:val="0"/>
                  <w:vAlign w:val="center"/>
                </w:tcPr>
                <w:p>
                  <w:pPr>
                    <w:adjustRightInd w:val="0"/>
                    <w:snapToGrid w:val="0"/>
                    <w:jc w:val="center"/>
                    <w:rPr>
                      <w:szCs w:val="21"/>
                    </w:rPr>
                  </w:pPr>
                  <w:r>
                    <w:rPr>
                      <w:szCs w:val="21"/>
                    </w:rPr>
                    <w:t>标准限值</w:t>
                  </w:r>
                </w:p>
              </w:tc>
              <w:tc>
                <w:tcPr>
                  <w:tcW w:w="2719" w:type="dxa"/>
                  <w:tcBorders>
                    <w:top w:val="single" w:color="auto" w:sz="12" w:space="0"/>
                    <w:right w:val="single" w:color="auto" w:sz="12" w:space="0"/>
                  </w:tcBorders>
                  <w:noWrap w:val="0"/>
                  <w:vAlign w:val="center"/>
                </w:tcPr>
                <w:p>
                  <w:pPr>
                    <w:adjustRightInd w:val="0"/>
                    <w:snapToGrid w:val="0"/>
                    <w:jc w:val="center"/>
                    <w:rPr>
                      <w:szCs w:val="21"/>
                    </w:rPr>
                  </w:pPr>
                  <w:r>
                    <w:rPr>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1</w:t>
                  </w:r>
                </w:p>
              </w:tc>
              <w:tc>
                <w:tcPr>
                  <w:tcW w:w="3118" w:type="dxa"/>
                  <w:noWrap w:val="0"/>
                  <w:vAlign w:val="center"/>
                </w:tcPr>
                <w:p>
                  <w:pPr>
                    <w:adjustRightInd w:val="0"/>
                    <w:snapToGrid w:val="0"/>
                    <w:jc w:val="center"/>
                    <w:rPr>
                      <w:szCs w:val="21"/>
                    </w:rPr>
                  </w:pPr>
                  <w:r>
                    <w:rPr>
                      <w:szCs w:val="21"/>
                    </w:rPr>
                    <w:t>pH</w:t>
                  </w:r>
                </w:p>
              </w:tc>
              <w:tc>
                <w:tcPr>
                  <w:tcW w:w="1438" w:type="dxa"/>
                  <w:noWrap w:val="0"/>
                  <w:vAlign w:val="center"/>
                </w:tcPr>
                <w:p>
                  <w:pPr>
                    <w:adjustRightInd w:val="0"/>
                    <w:snapToGrid w:val="0"/>
                    <w:jc w:val="center"/>
                    <w:rPr>
                      <w:szCs w:val="21"/>
                    </w:rPr>
                  </w:pPr>
                  <w:r>
                    <w:rPr>
                      <w:szCs w:val="21"/>
                    </w:rPr>
                    <w:t>6~9</w:t>
                  </w:r>
                </w:p>
              </w:tc>
              <w:tc>
                <w:tcPr>
                  <w:tcW w:w="2719" w:type="dxa"/>
                  <w:vMerge w:val="restart"/>
                  <w:tcBorders>
                    <w:right w:val="single" w:color="auto" w:sz="12" w:space="0"/>
                  </w:tcBorders>
                  <w:noWrap w:val="0"/>
                  <w:vAlign w:val="center"/>
                </w:tcPr>
                <w:p>
                  <w:pPr>
                    <w:adjustRightInd w:val="0"/>
                    <w:snapToGrid w:val="0"/>
                    <w:ind w:right="-118" w:rightChars="-49"/>
                    <w:jc w:val="center"/>
                    <w:rPr>
                      <w:szCs w:val="21"/>
                    </w:rPr>
                  </w:pPr>
                  <w:r>
                    <w:rPr>
                      <w:szCs w:val="21"/>
                    </w:rPr>
                    <w:t>《城镇污水处理厂污染物排放标准》（GB18918-2002）中一级A标准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2</w:t>
                  </w:r>
                </w:p>
              </w:tc>
              <w:tc>
                <w:tcPr>
                  <w:tcW w:w="3118" w:type="dxa"/>
                  <w:noWrap w:val="0"/>
                  <w:vAlign w:val="center"/>
                </w:tcPr>
                <w:p>
                  <w:pPr>
                    <w:adjustRightInd w:val="0"/>
                    <w:snapToGrid w:val="0"/>
                    <w:jc w:val="center"/>
                    <w:rPr>
                      <w:szCs w:val="21"/>
                    </w:rPr>
                  </w:pPr>
                  <w:r>
                    <w:rPr>
                      <w:szCs w:val="21"/>
                    </w:rPr>
                    <w:t>化学需氧量（COD</w:t>
                  </w:r>
                  <w:r>
                    <w:rPr>
                      <w:szCs w:val="21"/>
                      <w:vertAlign w:val="subscript"/>
                    </w:rPr>
                    <w:t>Cr</w:t>
                  </w:r>
                  <w:r>
                    <w:rPr>
                      <w:szCs w:val="21"/>
                    </w:rPr>
                    <w:t>），mg/L</w:t>
                  </w:r>
                </w:p>
              </w:tc>
              <w:tc>
                <w:tcPr>
                  <w:tcW w:w="1438" w:type="dxa"/>
                  <w:noWrap w:val="0"/>
                  <w:vAlign w:val="center"/>
                </w:tcPr>
                <w:p>
                  <w:pPr>
                    <w:adjustRightInd w:val="0"/>
                    <w:snapToGrid w:val="0"/>
                    <w:jc w:val="center"/>
                    <w:rPr>
                      <w:szCs w:val="21"/>
                    </w:rPr>
                  </w:pPr>
                  <w:r>
                    <w:rPr>
                      <w:rFonts w:hint="eastAsia"/>
                      <w:szCs w:val="21"/>
                    </w:rPr>
                    <w:t>5</w:t>
                  </w:r>
                  <w:r>
                    <w:rPr>
                      <w:szCs w:val="21"/>
                    </w:rPr>
                    <w:t>0</w:t>
                  </w:r>
                </w:p>
              </w:tc>
              <w:tc>
                <w:tcPr>
                  <w:tcW w:w="2719" w:type="dxa"/>
                  <w:vMerge w:val="continue"/>
                  <w:tcBorders>
                    <w:right w:val="single" w:color="auto" w:sz="12" w:space="0"/>
                  </w:tcBorders>
                  <w:noWrap w:val="0"/>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3</w:t>
                  </w:r>
                </w:p>
              </w:tc>
              <w:tc>
                <w:tcPr>
                  <w:tcW w:w="3118" w:type="dxa"/>
                  <w:noWrap w:val="0"/>
                  <w:vAlign w:val="center"/>
                </w:tcPr>
                <w:p>
                  <w:pPr>
                    <w:adjustRightInd w:val="0"/>
                    <w:snapToGrid w:val="0"/>
                    <w:jc w:val="center"/>
                    <w:rPr>
                      <w:szCs w:val="21"/>
                    </w:rPr>
                  </w:pPr>
                  <w:r>
                    <w:rPr>
                      <w:szCs w:val="21"/>
                    </w:rPr>
                    <w:t>五日生化需氧量（BOD</w:t>
                  </w:r>
                  <w:r>
                    <w:rPr>
                      <w:szCs w:val="21"/>
                      <w:vertAlign w:val="subscript"/>
                    </w:rPr>
                    <w:t>5</w:t>
                  </w:r>
                  <w:r>
                    <w:rPr>
                      <w:szCs w:val="21"/>
                    </w:rPr>
                    <w:t>），mg/L</w:t>
                  </w:r>
                </w:p>
              </w:tc>
              <w:tc>
                <w:tcPr>
                  <w:tcW w:w="1438" w:type="dxa"/>
                  <w:noWrap w:val="0"/>
                  <w:vAlign w:val="center"/>
                </w:tcPr>
                <w:p>
                  <w:pPr>
                    <w:adjustRightInd w:val="0"/>
                    <w:snapToGrid w:val="0"/>
                    <w:jc w:val="center"/>
                    <w:rPr>
                      <w:szCs w:val="21"/>
                    </w:rPr>
                  </w:pPr>
                  <w:r>
                    <w:rPr>
                      <w:szCs w:val="21"/>
                    </w:rPr>
                    <w:t>10</w:t>
                  </w:r>
                </w:p>
              </w:tc>
              <w:tc>
                <w:tcPr>
                  <w:tcW w:w="2719" w:type="dxa"/>
                  <w:vMerge w:val="continue"/>
                  <w:tcBorders>
                    <w:right w:val="single" w:color="auto" w:sz="12" w:space="0"/>
                  </w:tcBorders>
                  <w:noWrap w:val="0"/>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4" w:hRule="atLeast"/>
                <w:jc w:val="center"/>
              </w:trPr>
              <w:tc>
                <w:tcPr>
                  <w:tcW w:w="654" w:type="dxa"/>
                  <w:tcBorders>
                    <w:left w:val="single" w:color="auto" w:sz="12" w:space="0"/>
                  </w:tcBorders>
                  <w:noWrap w:val="0"/>
                  <w:vAlign w:val="center"/>
                </w:tcPr>
                <w:p>
                  <w:pPr>
                    <w:adjustRightInd w:val="0"/>
                    <w:snapToGrid w:val="0"/>
                    <w:jc w:val="center"/>
                    <w:rPr>
                      <w:szCs w:val="21"/>
                    </w:rPr>
                  </w:pPr>
                  <w:r>
                    <w:rPr>
                      <w:szCs w:val="21"/>
                    </w:rPr>
                    <w:t>4</w:t>
                  </w:r>
                </w:p>
              </w:tc>
              <w:tc>
                <w:tcPr>
                  <w:tcW w:w="3118" w:type="dxa"/>
                  <w:noWrap w:val="0"/>
                  <w:vAlign w:val="center"/>
                </w:tcPr>
                <w:p>
                  <w:pPr>
                    <w:adjustRightInd w:val="0"/>
                    <w:snapToGrid w:val="0"/>
                    <w:jc w:val="center"/>
                    <w:rPr>
                      <w:szCs w:val="21"/>
                    </w:rPr>
                  </w:pPr>
                  <w:r>
                    <w:rPr>
                      <w:szCs w:val="21"/>
                    </w:rPr>
                    <w:t>悬浮物（SS），mg/L</w:t>
                  </w:r>
                </w:p>
              </w:tc>
              <w:tc>
                <w:tcPr>
                  <w:tcW w:w="1438" w:type="dxa"/>
                  <w:noWrap w:val="0"/>
                  <w:vAlign w:val="center"/>
                </w:tcPr>
                <w:p>
                  <w:pPr>
                    <w:adjustRightInd w:val="0"/>
                    <w:snapToGrid w:val="0"/>
                    <w:jc w:val="center"/>
                    <w:rPr>
                      <w:szCs w:val="21"/>
                    </w:rPr>
                  </w:pPr>
                  <w:r>
                    <w:rPr>
                      <w:szCs w:val="21"/>
                    </w:rPr>
                    <w:t>10</w:t>
                  </w:r>
                </w:p>
              </w:tc>
              <w:tc>
                <w:tcPr>
                  <w:tcW w:w="2719" w:type="dxa"/>
                  <w:vMerge w:val="continue"/>
                  <w:tcBorders>
                    <w:right w:val="single" w:color="auto" w:sz="12" w:space="0"/>
                  </w:tcBorders>
                  <w:noWrap w:val="0"/>
                  <w:vAlign w:val="center"/>
                </w:tcPr>
                <w:p>
                  <w:pPr>
                    <w:adjustRightInd w:val="0"/>
                    <w:snapToGrid w:val="0"/>
                    <w:jc w:val="center"/>
                    <w:rPr>
                      <w:szCs w:val="21"/>
                    </w:rPr>
                  </w:pPr>
                </w:p>
              </w:tc>
            </w:tr>
          </w:tbl>
          <w:p>
            <w:pPr>
              <w:wordWrap w:val="0"/>
              <w:adjustRightInd w:val="0"/>
              <w:snapToGrid w:val="0"/>
              <w:spacing w:line="360" w:lineRule="auto"/>
              <w:ind w:firstLine="480" w:firstLineChars="200"/>
              <w:jc w:val="left"/>
              <w:rPr>
                <w:sz w:val="24"/>
              </w:rPr>
            </w:pPr>
            <w:r>
              <w:rPr>
                <w:sz w:val="24"/>
              </w:rPr>
              <w:t>3、噪声</w:t>
            </w:r>
          </w:p>
          <w:p>
            <w:pPr>
              <w:wordWrap w:val="0"/>
              <w:adjustRightInd w:val="0"/>
              <w:snapToGrid w:val="0"/>
              <w:spacing w:line="360" w:lineRule="auto"/>
              <w:ind w:firstLine="480" w:firstLineChars="200"/>
              <w:jc w:val="left"/>
              <w:rPr>
                <w:sz w:val="24"/>
              </w:rPr>
            </w:pPr>
            <w:r>
              <w:rPr>
                <w:sz w:val="24"/>
              </w:rPr>
              <w:t>运营期执行国家《工业企业厂界环境噪声排放标准》GB12348-2008中</w:t>
            </w:r>
            <w:r>
              <w:rPr>
                <w:rFonts w:hint="eastAsia"/>
                <w:sz w:val="24"/>
              </w:rPr>
              <w:t>2</w:t>
            </w:r>
            <w:r>
              <w:rPr>
                <w:sz w:val="24"/>
              </w:rPr>
              <w:t>类标准。标准限值见下表：</w:t>
            </w:r>
          </w:p>
          <w:p>
            <w:pPr>
              <w:pStyle w:val="184"/>
              <w:rPr>
                <w:color w:val="auto"/>
              </w:rPr>
            </w:pPr>
            <w:r>
              <w:rPr>
                <w:color w:val="auto"/>
              </w:rPr>
              <w:t xml:space="preserve">       表</w:t>
            </w:r>
            <w:r>
              <w:rPr>
                <w:rFonts w:hint="eastAsia"/>
                <w:color w:val="auto"/>
              </w:rPr>
              <w:t>3-11</w:t>
            </w:r>
            <w:r>
              <w:rPr>
                <w:color w:val="auto"/>
              </w:rPr>
              <w:t xml:space="preserve">  厂界噪声排放标准限值表     等效声级 LAeq:dB（A）</w:t>
            </w:r>
          </w:p>
          <w:tbl>
            <w:tblPr>
              <w:tblStyle w:val="39"/>
              <w:tblW w:w="79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4"/>
              <w:gridCol w:w="4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66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firstLine="482" w:firstLineChars="200"/>
                    <w:jc w:val="center"/>
                    <w:rPr>
                      <w:b/>
                      <w:bCs/>
                      <w:kern w:val="0"/>
                      <w:szCs w:val="21"/>
                    </w:rPr>
                  </w:pPr>
                  <w:r>
                    <w:rPr>
                      <w:b/>
                      <w:bCs/>
                      <w:kern w:val="0"/>
                      <w:szCs w:val="21"/>
                    </w:rPr>
                    <w:t>昼间</w:t>
                  </w:r>
                </w:p>
              </w:tc>
              <w:tc>
                <w:tcPr>
                  <w:tcW w:w="4289" w:type="dxa"/>
                  <w:tcBorders>
                    <w:top w:val="single" w:color="auto" w:sz="4" w:space="0"/>
                    <w:left w:val="nil"/>
                    <w:bottom w:val="single" w:color="auto" w:sz="4" w:space="0"/>
                    <w:right w:val="single" w:color="auto" w:sz="4" w:space="0"/>
                  </w:tcBorders>
                  <w:noWrap w:val="0"/>
                  <w:vAlign w:val="center"/>
                </w:tcPr>
                <w:p>
                  <w:pPr>
                    <w:wordWrap w:val="0"/>
                    <w:autoSpaceDE w:val="0"/>
                    <w:autoSpaceDN w:val="0"/>
                    <w:adjustRightInd w:val="0"/>
                    <w:ind w:firstLine="482" w:firstLineChars="200"/>
                    <w:jc w:val="center"/>
                    <w:rPr>
                      <w:b/>
                      <w:bCs/>
                      <w:kern w:val="0"/>
                      <w:szCs w:val="21"/>
                    </w:rPr>
                  </w:pPr>
                  <w:r>
                    <w:rPr>
                      <w:b/>
                      <w:bCs/>
                      <w:kern w:val="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66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firstLine="480" w:firstLineChars="200"/>
                    <w:jc w:val="center"/>
                    <w:rPr>
                      <w:kern w:val="0"/>
                      <w:szCs w:val="21"/>
                    </w:rPr>
                  </w:pPr>
                  <w:r>
                    <w:rPr>
                      <w:rFonts w:hint="eastAsia"/>
                      <w:kern w:val="0"/>
                      <w:szCs w:val="21"/>
                    </w:rPr>
                    <w:t>60</w:t>
                  </w:r>
                </w:p>
              </w:tc>
              <w:tc>
                <w:tcPr>
                  <w:tcW w:w="4289" w:type="dxa"/>
                  <w:tcBorders>
                    <w:top w:val="single" w:color="auto" w:sz="4" w:space="0"/>
                    <w:left w:val="nil"/>
                    <w:bottom w:val="single" w:color="auto" w:sz="4" w:space="0"/>
                    <w:right w:val="single" w:color="auto" w:sz="4" w:space="0"/>
                  </w:tcBorders>
                  <w:noWrap w:val="0"/>
                  <w:vAlign w:val="center"/>
                </w:tcPr>
                <w:p>
                  <w:pPr>
                    <w:wordWrap w:val="0"/>
                    <w:autoSpaceDE w:val="0"/>
                    <w:autoSpaceDN w:val="0"/>
                    <w:adjustRightInd w:val="0"/>
                    <w:ind w:firstLine="480" w:firstLineChars="200"/>
                    <w:jc w:val="center"/>
                    <w:rPr>
                      <w:kern w:val="0"/>
                      <w:szCs w:val="21"/>
                    </w:rPr>
                  </w:pPr>
                  <w:r>
                    <w:rPr>
                      <w:rFonts w:hint="eastAsia"/>
                      <w:kern w:val="0"/>
                      <w:szCs w:val="21"/>
                    </w:rPr>
                    <w:t>50</w:t>
                  </w:r>
                </w:p>
              </w:tc>
            </w:tr>
          </w:tbl>
          <w:p>
            <w:pPr>
              <w:wordWrap w:val="0"/>
              <w:adjustRightInd w:val="0"/>
              <w:snapToGrid w:val="0"/>
              <w:spacing w:line="360" w:lineRule="auto"/>
              <w:ind w:firstLine="480" w:firstLineChars="200"/>
              <w:jc w:val="left"/>
              <w:rPr>
                <w:sz w:val="24"/>
              </w:rPr>
            </w:pPr>
            <w:r>
              <w:rPr>
                <w:sz w:val="24"/>
              </w:rPr>
              <w:t>4、固废</w:t>
            </w:r>
          </w:p>
          <w:p>
            <w:pPr>
              <w:pStyle w:val="183"/>
              <w:rPr>
                <w:rFonts w:hint="eastAsia"/>
              </w:rPr>
            </w:pPr>
            <w:r>
              <w:t>一般固废：执行《一般工业固体废物贮存、处置场污染控制标准》（GB18599-2001）及2013年修改单中的相关标准；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833"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总量</w:t>
            </w:r>
          </w:p>
          <w:p>
            <w:pPr>
              <w:adjustRightInd w:val="0"/>
              <w:snapToGrid w:val="0"/>
              <w:jc w:val="center"/>
              <w:rPr>
                <w:rFonts w:hint="eastAsia" w:ascii="宋体" w:hAnsi="宋体" w:cs="宋体"/>
                <w:kern w:val="0"/>
                <w:szCs w:val="21"/>
              </w:rPr>
            </w:pPr>
            <w:r>
              <w:rPr>
                <w:rFonts w:hint="eastAsia" w:ascii="宋体" w:hAnsi="宋体" w:cs="宋体"/>
                <w:kern w:val="0"/>
                <w:szCs w:val="21"/>
              </w:rPr>
              <w:t>控制</w:t>
            </w:r>
          </w:p>
          <w:p>
            <w:pPr>
              <w:adjustRightInd w:val="0"/>
              <w:snapToGrid w:val="0"/>
              <w:jc w:val="center"/>
              <w:rPr>
                <w:rFonts w:ascii="宋体" w:hAnsi="宋体" w:cs="宋体"/>
                <w:kern w:val="0"/>
                <w:szCs w:val="21"/>
              </w:rPr>
            </w:pPr>
            <w:r>
              <w:rPr>
                <w:rFonts w:hint="eastAsia" w:ascii="宋体" w:hAnsi="宋体" w:cs="宋体"/>
                <w:kern w:val="0"/>
                <w:szCs w:val="21"/>
              </w:rPr>
              <w:t>指标</w:t>
            </w:r>
          </w:p>
        </w:tc>
        <w:tc>
          <w:tcPr>
            <w:tcW w:w="8350" w:type="dxa"/>
            <w:noWrap w:val="0"/>
            <w:vAlign w:val="center"/>
          </w:tcPr>
          <w:p>
            <w:pPr>
              <w:pStyle w:val="183"/>
              <w:jc w:val="center"/>
              <w:rPr>
                <w:rFonts w:hint="eastAsia"/>
                <w:kern w:val="0"/>
              </w:rPr>
            </w:pPr>
            <w:r>
              <w:rPr>
                <w:rFonts w:hint="eastAsia"/>
                <w:kern w:val="0"/>
              </w:rPr>
              <w:t>本项目废气主要为盐酸储罐废气以及食堂油烟，均为无组织排放。废水主要为排泥水、污泥脱水废水以及员工生活污水，其中排泥水以及污泥脱水废水经</w:t>
            </w:r>
            <w:r>
              <w:rPr>
                <w:rFonts w:hint="eastAsia"/>
              </w:rPr>
              <w:t>厂内污水处理设施处理达《污水综合排放标准》（G</w:t>
            </w:r>
            <w:r>
              <w:t>B8978-1996</w:t>
            </w:r>
            <w:r>
              <w:rPr>
                <w:rFonts w:hint="eastAsia"/>
              </w:rPr>
              <w:t>）中三级标准后排污土主镇污水处理厂，经土主镇污水处理厂处理达《城镇污水处理厂污染物排放标准》（G</w:t>
            </w:r>
            <w:r>
              <w:t>B18919-2002</w:t>
            </w:r>
            <w:r>
              <w:rPr>
                <w:rFonts w:hint="eastAsia"/>
              </w:rPr>
              <w:t>）中一级A标后排污剑锋河。员工生活污水经预处理后用作周边农肥。因此本项目水污染物总量控制指标纳入土主镇污水处理厂内管理，不新增总量控制指标。</w:t>
            </w:r>
          </w:p>
        </w:tc>
      </w:tr>
    </w:tbl>
    <w:p>
      <w:pPr>
        <w:pStyle w:val="34"/>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746" w:type="dxa"/>
            <w:noWrap w:val="0"/>
            <w:tcMar>
              <w:left w:w="28" w:type="dxa"/>
              <w:right w:w="28" w:type="dxa"/>
            </w:tcMar>
            <w:vAlign w:val="center"/>
          </w:tcPr>
          <w:p>
            <w:pPr>
              <w:pStyle w:val="34"/>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施工</w:t>
            </w:r>
          </w:p>
          <w:p>
            <w:pPr>
              <w:pStyle w:val="34"/>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期环</w:t>
            </w:r>
          </w:p>
          <w:p>
            <w:pPr>
              <w:pStyle w:val="34"/>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境保</w:t>
            </w:r>
          </w:p>
          <w:p>
            <w:pPr>
              <w:pStyle w:val="34"/>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护措</w:t>
            </w:r>
          </w:p>
          <w:p>
            <w:pPr>
              <w:pStyle w:val="34"/>
              <w:adjustRightInd w:val="0"/>
              <w:snapToGrid w:val="0"/>
              <w:spacing w:before="0" w:beforeAutospacing="0" w:after="0" w:afterAutospacing="0"/>
              <w:jc w:val="center"/>
              <w:rPr>
                <w:rFonts w:hint="eastAsia" w:cs="宋体"/>
                <w:bCs/>
                <w:kern w:val="2"/>
                <w:sz w:val="21"/>
                <w:szCs w:val="21"/>
              </w:rPr>
            </w:pPr>
            <w:r>
              <w:rPr>
                <w:rFonts w:hint="eastAsia" w:cs="宋体"/>
                <w:kern w:val="2"/>
                <w:sz w:val="21"/>
                <w:szCs w:val="21"/>
              </w:rPr>
              <w:t>施</w:t>
            </w:r>
          </w:p>
        </w:tc>
        <w:tc>
          <w:tcPr>
            <w:tcW w:w="8162" w:type="dxa"/>
            <w:noWrap w:val="0"/>
            <w:vAlign w:val="center"/>
          </w:tcPr>
          <w:p>
            <w:pPr>
              <w:snapToGrid w:val="0"/>
              <w:spacing w:line="360" w:lineRule="auto"/>
              <w:rPr>
                <w:b/>
                <w:sz w:val="24"/>
              </w:rPr>
            </w:pPr>
            <w:r>
              <w:rPr>
                <w:rFonts w:hint="eastAsia" w:ascii="黑体" w:hAnsi="黑体" w:eastAsia="黑体" w:cs="黑体"/>
                <w:kern w:val="0"/>
                <w:sz w:val="24"/>
                <w:lang w:bidi="ar"/>
              </w:rPr>
              <w:t>一、</w:t>
            </w:r>
            <w:r>
              <w:rPr>
                <w:b/>
                <w:sz w:val="24"/>
              </w:rPr>
              <w:t>施工期污染物排放及治理措施</w:t>
            </w:r>
          </w:p>
          <w:p>
            <w:pPr>
              <w:snapToGrid w:val="0"/>
              <w:spacing w:line="360" w:lineRule="auto"/>
              <w:ind w:firstLine="480" w:firstLineChars="200"/>
              <w:rPr>
                <w:rFonts w:hint="eastAsia" w:ascii="宋体" w:hAnsi="宋体"/>
                <w:sz w:val="24"/>
              </w:rPr>
            </w:pPr>
            <w:r>
              <w:rPr>
                <w:rFonts w:hint="eastAsia" w:ascii="宋体" w:hAnsi="宋体"/>
                <w:sz w:val="24"/>
              </w:rPr>
              <w:t>本项目施工期包括管道铺设、提水泵站及净水厂的建设等</w:t>
            </w:r>
            <w:r>
              <w:rPr>
                <w:rFonts w:ascii="宋体" w:hAnsi="宋体"/>
                <w:sz w:val="24"/>
              </w:rPr>
              <w:t>，施工期</w:t>
            </w:r>
            <w:r>
              <w:rPr>
                <w:rFonts w:hint="eastAsia" w:ascii="宋体" w:hAnsi="宋体"/>
                <w:sz w:val="24"/>
              </w:rPr>
              <w:t>管道铺设包括</w:t>
            </w:r>
            <w:r>
              <w:rPr>
                <w:rFonts w:ascii="宋体" w:hAnsi="宋体"/>
                <w:sz w:val="24"/>
              </w:rPr>
              <w:t>主要任务为场地平整、</w:t>
            </w:r>
            <w:r>
              <w:rPr>
                <w:rFonts w:hint="eastAsia" w:ascii="宋体" w:hAnsi="宋体"/>
                <w:sz w:val="24"/>
              </w:rPr>
              <w:t>加工场</w:t>
            </w:r>
            <w:r>
              <w:rPr>
                <w:rFonts w:ascii="宋体" w:hAnsi="宋体"/>
                <w:sz w:val="24"/>
              </w:rPr>
              <w:t>建设、设备安装</w:t>
            </w:r>
            <w:r>
              <w:rPr>
                <w:rFonts w:hint="eastAsia" w:ascii="宋体" w:hAnsi="宋体"/>
                <w:bCs/>
                <w:sz w:val="24"/>
              </w:rPr>
              <w:t>等</w:t>
            </w:r>
            <w:r>
              <w:rPr>
                <w:rFonts w:hint="eastAsia" w:ascii="宋体" w:hAnsi="宋体"/>
                <w:sz w:val="24"/>
              </w:rPr>
              <w:t>。施工期主要有施工扬尘、弃土（固体废弃物）、噪声和废水（包括工地生活污水和工地施工废水）产生。</w:t>
            </w:r>
          </w:p>
          <w:p>
            <w:pPr>
              <w:snapToGrid w:val="0"/>
              <w:spacing w:line="360" w:lineRule="auto"/>
              <w:ind w:firstLine="480" w:firstLineChars="200"/>
              <w:rPr>
                <w:rFonts w:hint="eastAsia" w:ascii="宋体" w:hAnsi="宋体"/>
                <w:sz w:val="24"/>
              </w:rPr>
            </w:pPr>
            <w:r>
              <w:rPr>
                <w:rFonts w:hint="eastAsia" w:ascii="宋体" w:hAnsi="宋体"/>
                <w:sz w:val="24"/>
              </w:rPr>
              <w:t>1、施工期废水</w:t>
            </w:r>
          </w:p>
          <w:p>
            <w:pPr>
              <w:snapToGrid w:val="0"/>
              <w:spacing w:line="360" w:lineRule="auto"/>
              <w:ind w:firstLine="480" w:firstLineChars="200"/>
              <w:rPr>
                <w:rFonts w:hint="eastAsia" w:ascii="宋体" w:hAnsi="宋体"/>
                <w:sz w:val="24"/>
              </w:rPr>
            </w:pPr>
            <w:r>
              <w:rPr>
                <w:rFonts w:hint="eastAsia" w:ascii="宋体" w:hAnsi="宋体"/>
                <w:sz w:val="24"/>
              </w:rPr>
              <w:t>项目施工期废水主要为工地生活污水和施工场地废水。施工高峰期，施工人员5</w:t>
            </w:r>
            <w:r>
              <w:rPr>
                <w:rFonts w:ascii="宋体" w:hAnsi="宋体"/>
                <w:sz w:val="24"/>
              </w:rPr>
              <w:t>0</w:t>
            </w:r>
            <w:r>
              <w:rPr>
                <w:rFonts w:hint="eastAsia" w:ascii="宋体" w:hAnsi="宋体"/>
                <w:sz w:val="24"/>
              </w:rPr>
              <w:t>人。</w:t>
            </w:r>
          </w:p>
          <w:p>
            <w:pPr>
              <w:snapToGrid w:val="0"/>
              <w:spacing w:line="360" w:lineRule="auto"/>
              <w:ind w:firstLine="480" w:firstLineChars="200"/>
              <w:rPr>
                <w:rFonts w:hint="eastAsia" w:ascii="宋体" w:hAnsi="宋体"/>
                <w:sz w:val="24"/>
              </w:rPr>
            </w:pPr>
            <w:r>
              <w:rPr>
                <w:rFonts w:hint="eastAsia" w:ascii="宋体" w:hAnsi="宋体"/>
                <w:sz w:val="24"/>
              </w:rPr>
              <w:t>（1）工地生活污水</w:t>
            </w:r>
          </w:p>
          <w:p>
            <w:pPr>
              <w:snapToGrid w:val="0"/>
              <w:spacing w:line="360" w:lineRule="auto"/>
              <w:ind w:firstLine="480" w:firstLineChars="200"/>
              <w:rPr>
                <w:rFonts w:hint="eastAsia" w:ascii="宋体" w:hAnsi="宋体"/>
                <w:sz w:val="24"/>
              </w:rPr>
            </w:pPr>
            <w:r>
              <w:rPr>
                <w:rFonts w:hint="eastAsia" w:ascii="宋体" w:hAnsi="宋体"/>
                <w:sz w:val="24"/>
              </w:rPr>
              <w:t>施工期间施工人员按</w:t>
            </w:r>
            <w:r>
              <w:rPr>
                <w:rFonts w:ascii="宋体" w:hAnsi="宋体"/>
                <w:sz w:val="24"/>
              </w:rPr>
              <w:t>5</w:t>
            </w:r>
            <w:r>
              <w:rPr>
                <w:rFonts w:hint="eastAsia" w:ascii="宋体" w:hAnsi="宋体"/>
                <w:sz w:val="24"/>
              </w:rPr>
              <w:t>0</w:t>
            </w:r>
            <w:r>
              <w:rPr>
                <w:rFonts w:ascii="宋体" w:hAnsi="宋体"/>
                <w:sz w:val="24"/>
              </w:rPr>
              <w:t>人</w:t>
            </w:r>
            <w:r>
              <w:rPr>
                <w:rFonts w:hint="eastAsia" w:ascii="宋体" w:hAnsi="宋体"/>
                <w:sz w:val="24"/>
              </w:rPr>
              <w:t>/</w:t>
            </w:r>
            <w:r>
              <w:rPr>
                <w:rFonts w:ascii="宋体" w:hAnsi="宋体"/>
                <w:sz w:val="24"/>
              </w:rPr>
              <w:t>d计，</w:t>
            </w:r>
            <w:r>
              <w:rPr>
                <w:rFonts w:hint="eastAsia" w:ascii="宋体" w:hAnsi="宋体"/>
                <w:sz w:val="24"/>
              </w:rPr>
              <w:t>施工</w:t>
            </w:r>
            <w:r>
              <w:rPr>
                <w:rFonts w:ascii="宋体" w:hAnsi="宋体"/>
                <w:sz w:val="24"/>
              </w:rPr>
              <w:t>人员</w:t>
            </w:r>
            <w:r>
              <w:rPr>
                <w:rFonts w:hint="eastAsia" w:ascii="宋体" w:hAnsi="宋体"/>
                <w:sz w:val="24"/>
              </w:rPr>
              <w:t>均为当地人，不在厂区食</w:t>
            </w:r>
            <w:r>
              <w:rPr>
                <w:rFonts w:ascii="宋体" w:hAnsi="宋体"/>
                <w:sz w:val="24"/>
              </w:rPr>
              <w:t>宿，生活用水按</w:t>
            </w:r>
            <w:r>
              <w:rPr>
                <w:rFonts w:hint="eastAsia" w:ascii="宋体" w:hAnsi="宋体"/>
                <w:sz w:val="24"/>
              </w:rPr>
              <w:t>5</w:t>
            </w:r>
            <w:r>
              <w:rPr>
                <w:rFonts w:ascii="宋体" w:hAnsi="宋体"/>
                <w:sz w:val="24"/>
              </w:rPr>
              <w:t>0L/人·日计，则用水量为2.5m</w:t>
            </w:r>
            <w:r>
              <w:rPr>
                <w:rFonts w:ascii="宋体" w:hAnsi="宋体"/>
                <w:sz w:val="24"/>
                <w:vertAlign w:val="superscript"/>
              </w:rPr>
              <w:t>3</w:t>
            </w:r>
            <w:r>
              <w:rPr>
                <w:rFonts w:ascii="宋体" w:hAnsi="宋体"/>
                <w:sz w:val="24"/>
              </w:rPr>
              <w:t>/d。生活水污的排放量按用水量的</w:t>
            </w:r>
            <w:r>
              <w:rPr>
                <w:rFonts w:hint="eastAsia" w:ascii="宋体" w:hAnsi="宋体"/>
                <w:sz w:val="24"/>
              </w:rPr>
              <w:t>8</w:t>
            </w:r>
            <w:r>
              <w:rPr>
                <w:rFonts w:ascii="宋体" w:hAnsi="宋体"/>
                <w:sz w:val="24"/>
              </w:rPr>
              <w:t>0%计，则排放量为2.0m</w:t>
            </w:r>
            <w:r>
              <w:rPr>
                <w:rFonts w:ascii="宋体" w:hAnsi="宋体"/>
                <w:sz w:val="24"/>
                <w:vertAlign w:val="superscript"/>
              </w:rPr>
              <w:t>3</w:t>
            </w:r>
            <w:r>
              <w:rPr>
                <w:rFonts w:ascii="宋体" w:hAnsi="宋体"/>
                <w:sz w:val="24"/>
              </w:rPr>
              <w:t>/d。该污水的主要污染因子为COD</w:t>
            </w:r>
            <w:r>
              <w:rPr>
                <w:rFonts w:ascii="宋体" w:hAnsi="宋体"/>
                <w:sz w:val="24"/>
                <w:vertAlign w:val="subscript"/>
              </w:rPr>
              <w:t>cr</w:t>
            </w:r>
            <w:r>
              <w:rPr>
                <w:rFonts w:ascii="宋体" w:hAnsi="宋体"/>
                <w:sz w:val="24"/>
              </w:rPr>
              <w:t>、BOD</w:t>
            </w:r>
            <w:r>
              <w:rPr>
                <w:rFonts w:ascii="宋体" w:hAnsi="宋体"/>
                <w:sz w:val="24"/>
                <w:vertAlign w:val="subscript"/>
              </w:rPr>
              <w:t>5</w:t>
            </w:r>
            <w:r>
              <w:rPr>
                <w:rFonts w:ascii="宋体" w:hAnsi="宋体"/>
                <w:sz w:val="24"/>
              </w:rPr>
              <w:t>和NH</w:t>
            </w:r>
            <w:r>
              <w:rPr>
                <w:rFonts w:ascii="宋体" w:hAnsi="宋体"/>
                <w:sz w:val="24"/>
                <w:vertAlign w:val="subscript"/>
              </w:rPr>
              <w:t>3</w:t>
            </w:r>
            <w:r>
              <w:rPr>
                <w:rFonts w:ascii="宋体" w:hAnsi="宋体"/>
                <w:sz w:val="24"/>
              </w:rPr>
              <w:t>-N等，其污染物浓度分别为COD</w:t>
            </w:r>
            <w:r>
              <w:rPr>
                <w:rFonts w:ascii="宋体" w:hAnsi="宋体"/>
                <w:sz w:val="24"/>
                <w:vertAlign w:val="subscript"/>
              </w:rPr>
              <w:t>cr</w:t>
            </w:r>
            <w:r>
              <w:rPr>
                <w:rFonts w:ascii="宋体" w:hAnsi="宋体"/>
                <w:sz w:val="24"/>
              </w:rPr>
              <w:t>约</w:t>
            </w:r>
            <w:r>
              <w:rPr>
                <w:rFonts w:hint="eastAsia" w:ascii="宋体" w:hAnsi="宋体"/>
                <w:sz w:val="24"/>
              </w:rPr>
              <w:t>40</w:t>
            </w:r>
            <w:r>
              <w:rPr>
                <w:rFonts w:ascii="宋体" w:hAnsi="宋体"/>
                <w:sz w:val="24"/>
              </w:rPr>
              <w:t>0mg/L、BOD</w:t>
            </w:r>
            <w:r>
              <w:rPr>
                <w:rFonts w:ascii="宋体" w:hAnsi="宋体"/>
                <w:sz w:val="24"/>
                <w:vertAlign w:val="subscript"/>
              </w:rPr>
              <w:t>5</w:t>
            </w:r>
            <w:r>
              <w:rPr>
                <w:rFonts w:ascii="宋体" w:hAnsi="宋体"/>
                <w:sz w:val="24"/>
              </w:rPr>
              <w:t>约2</w:t>
            </w:r>
            <w:r>
              <w:rPr>
                <w:rFonts w:hint="eastAsia" w:ascii="宋体" w:hAnsi="宋体"/>
                <w:sz w:val="24"/>
              </w:rPr>
              <w:t>5</w:t>
            </w:r>
            <w:r>
              <w:rPr>
                <w:rFonts w:ascii="宋体" w:hAnsi="宋体"/>
                <w:sz w:val="24"/>
              </w:rPr>
              <w:t>0mg/L、NH</w:t>
            </w:r>
            <w:r>
              <w:rPr>
                <w:rFonts w:ascii="宋体" w:hAnsi="宋体"/>
                <w:sz w:val="24"/>
                <w:vertAlign w:val="subscript"/>
              </w:rPr>
              <w:t>3</w:t>
            </w:r>
            <w:r>
              <w:rPr>
                <w:rFonts w:ascii="宋体" w:hAnsi="宋体"/>
                <w:sz w:val="24"/>
              </w:rPr>
              <w:t>-N约</w:t>
            </w:r>
            <w:r>
              <w:rPr>
                <w:rFonts w:hint="eastAsia" w:ascii="宋体" w:hAnsi="宋体"/>
                <w:sz w:val="24"/>
              </w:rPr>
              <w:t>25</w:t>
            </w:r>
            <w:r>
              <w:rPr>
                <w:rFonts w:ascii="宋体" w:hAnsi="宋体"/>
                <w:sz w:val="24"/>
              </w:rPr>
              <w:t>mg/L。</w:t>
            </w:r>
            <w:r>
              <w:rPr>
                <w:rFonts w:hint="eastAsia" w:ascii="宋体" w:hAnsi="宋体"/>
                <w:sz w:val="24"/>
              </w:rPr>
              <w:t>施工期生活污水经化粪池预处理后</w:t>
            </w:r>
            <w:r>
              <w:rPr>
                <w:rFonts w:ascii="宋体" w:hAnsi="宋体"/>
                <w:sz w:val="24"/>
              </w:rPr>
              <w:t>于农肥</w:t>
            </w:r>
            <w:r>
              <w:rPr>
                <w:rFonts w:hint="eastAsia" w:ascii="宋体" w:hAnsi="宋体"/>
                <w:bCs/>
                <w:sz w:val="24"/>
              </w:rPr>
              <w:t>。</w:t>
            </w:r>
          </w:p>
          <w:p>
            <w:pPr>
              <w:snapToGrid w:val="0"/>
              <w:spacing w:line="360" w:lineRule="auto"/>
              <w:ind w:firstLine="480" w:firstLineChars="200"/>
              <w:rPr>
                <w:rFonts w:hint="eastAsia" w:ascii="宋体" w:hAnsi="宋体"/>
                <w:sz w:val="24"/>
              </w:rPr>
            </w:pPr>
            <w:r>
              <w:rPr>
                <w:rFonts w:hint="eastAsia" w:ascii="宋体" w:hAnsi="宋体"/>
                <w:sz w:val="24"/>
              </w:rPr>
              <w:t>（2）工地施工废水</w:t>
            </w:r>
          </w:p>
          <w:p>
            <w:pPr>
              <w:snapToGrid w:val="0"/>
              <w:spacing w:line="360" w:lineRule="auto"/>
              <w:ind w:firstLine="482"/>
              <w:rPr>
                <w:rFonts w:hint="eastAsia"/>
                <w:sz w:val="24"/>
              </w:rPr>
            </w:pPr>
            <w:r>
              <w:rPr>
                <w:rFonts w:hint="eastAsia"/>
                <w:sz w:val="24"/>
              </w:rPr>
              <w:t>本项目施工期间施工废水主要包括含泥沙雨水、泥浆水以及运输车辆冲洗废水等，产生量较少，主要污染物为</w:t>
            </w:r>
            <w:r>
              <w:rPr>
                <w:sz w:val="24"/>
              </w:rPr>
              <w:t>COD</w:t>
            </w:r>
            <w:r>
              <w:rPr>
                <w:rFonts w:hint="eastAsia"/>
                <w:sz w:val="24"/>
              </w:rPr>
              <w:t>、</w:t>
            </w:r>
            <w:r>
              <w:rPr>
                <w:sz w:val="24"/>
              </w:rPr>
              <w:t>SS</w:t>
            </w:r>
            <w:r>
              <w:rPr>
                <w:rFonts w:hint="eastAsia"/>
                <w:sz w:val="24"/>
              </w:rPr>
              <w:t>、石油类等。施工期间施工单位应严格按照《建设工程施工地文明施工及环境管理暂行规定》要求，在施工场地设置</w:t>
            </w:r>
            <w:r>
              <w:rPr>
                <w:sz w:val="24"/>
              </w:rPr>
              <w:t>1</w:t>
            </w:r>
            <w:r>
              <w:rPr>
                <w:rFonts w:hint="eastAsia"/>
                <w:sz w:val="24"/>
              </w:rPr>
              <w:t>座</w:t>
            </w:r>
            <w:r>
              <w:rPr>
                <w:sz w:val="24"/>
              </w:rPr>
              <w:t>10m</w:t>
            </w:r>
            <w:r>
              <w:rPr>
                <w:sz w:val="24"/>
                <w:vertAlign w:val="superscript"/>
              </w:rPr>
              <w:t>3</w:t>
            </w:r>
            <w:r>
              <w:rPr>
                <w:rFonts w:hint="eastAsia"/>
                <w:sz w:val="24"/>
              </w:rPr>
              <w:t>临时防渗沉砂池及排水渠道用于含泥沙雨水、泥浆水、运输车辆冲洗废水的收集和处理，处理后的水可回用于道路洒水抑尘、施工用水等，对周围环境影响较小。</w:t>
            </w:r>
          </w:p>
          <w:p>
            <w:pPr>
              <w:snapToGrid w:val="0"/>
              <w:spacing w:line="360" w:lineRule="auto"/>
              <w:ind w:firstLine="482"/>
              <w:rPr>
                <w:sz w:val="24"/>
              </w:rPr>
            </w:pPr>
            <w:r>
              <w:rPr>
                <w:rFonts w:hint="eastAsia"/>
                <w:sz w:val="24"/>
              </w:rPr>
              <w:t>此外</w:t>
            </w:r>
            <w:r>
              <w:rPr>
                <w:sz w:val="24"/>
              </w:rPr>
              <w:t>管道施工废水主要来自管道安装完毕清管试压时排放的废水。项目管道组焊并完成稳管后，将采用清洁水对管道进行清管、试压。管道试压后排水</w:t>
            </w:r>
            <w:r>
              <w:rPr>
                <w:spacing w:val="-99"/>
                <w:sz w:val="24"/>
              </w:rPr>
              <w:t xml:space="preserve"> </w:t>
            </w:r>
            <w:r>
              <w:rPr>
                <w:sz w:val="24"/>
              </w:rPr>
              <w:t>中的主要污染物为少量悬浮物，根据类比，该部分废水</w:t>
            </w:r>
            <w:r>
              <w:rPr>
                <w:spacing w:val="-45"/>
                <w:sz w:val="24"/>
              </w:rPr>
              <w:t xml:space="preserve"> </w:t>
            </w:r>
            <w:r>
              <w:rPr>
                <w:rFonts w:eastAsia="Times New Roman"/>
                <w:sz w:val="24"/>
              </w:rPr>
              <w:t>SS</w:t>
            </w:r>
            <w:r>
              <w:rPr>
                <w:rFonts w:eastAsia="Times New Roman"/>
                <w:spacing w:val="12"/>
                <w:sz w:val="24"/>
              </w:rPr>
              <w:t xml:space="preserve"> </w:t>
            </w:r>
            <w:r>
              <w:rPr>
                <w:sz w:val="24"/>
              </w:rPr>
              <w:t>浓度约在</w:t>
            </w:r>
            <w:r>
              <w:rPr>
                <w:spacing w:val="-45"/>
                <w:sz w:val="24"/>
              </w:rPr>
              <w:t xml:space="preserve"> </w:t>
            </w:r>
            <w:r>
              <w:rPr>
                <w:rFonts w:eastAsia="Times New Roman"/>
                <w:sz w:val="24"/>
              </w:rPr>
              <w:t>40</w:t>
            </w:r>
            <w:r>
              <w:rPr>
                <w:sz w:val="24"/>
              </w:rPr>
              <w:t>～</w:t>
            </w:r>
            <w:r>
              <w:rPr>
                <w:rFonts w:eastAsia="Times New Roman"/>
                <w:sz w:val="24"/>
              </w:rPr>
              <w:t>60</w:t>
            </w:r>
            <w:r>
              <w:rPr>
                <w:rFonts w:eastAsia="Times New Roman"/>
                <w:spacing w:val="-56"/>
                <w:sz w:val="24"/>
              </w:rPr>
              <w:t xml:space="preserve"> </w:t>
            </w:r>
            <w:r>
              <w:rPr>
                <w:rFonts w:eastAsia="Times New Roman"/>
                <w:sz w:val="24"/>
              </w:rPr>
              <w:t>mg/L</w:t>
            </w:r>
            <w:r>
              <w:rPr>
                <w:rFonts w:eastAsia="Times New Roman"/>
                <w:spacing w:val="16"/>
                <w:sz w:val="24"/>
              </w:rPr>
              <w:t xml:space="preserve"> </w:t>
            </w:r>
            <w:r>
              <w:rPr>
                <w:spacing w:val="-3"/>
                <w:sz w:val="24"/>
              </w:rPr>
              <w:t>左右。处置方式为沉淀池沉淀处理后就近回用于厂区绿化用水或洒水降</w:t>
            </w:r>
            <w:r>
              <w:rPr>
                <w:spacing w:val="-118"/>
                <w:sz w:val="24"/>
              </w:rPr>
              <w:t xml:space="preserve"> </w:t>
            </w:r>
            <w:r>
              <w:rPr>
                <w:sz w:val="24"/>
              </w:rPr>
              <w:t>尘，不外排。</w:t>
            </w:r>
          </w:p>
          <w:p>
            <w:pPr>
              <w:snapToGrid w:val="0"/>
              <w:spacing w:line="360" w:lineRule="auto"/>
              <w:ind w:firstLine="482"/>
              <w:rPr>
                <w:sz w:val="24"/>
              </w:rPr>
            </w:pPr>
            <w:r>
              <w:rPr>
                <w:sz w:val="24"/>
              </w:rPr>
              <w:t>施工污水采取以上措施，可有效减少施工期污水对环境的影响</w:t>
            </w:r>
            <w:r>
              <w:rPr>
                <w:rFonts w:hint="eastAsia"/>
                <w:sz w:val="24"/>
              </w:rPr>
              <w:t>。</w:t>
            </w:r>
          </w:p>
          <w:p>
            <w:pPr>
              <w:snapToGrid w:val="0"/>
              <w:spacing w:line="360" w:lineRule="auto"/>
              <w:ind w:firstLine="480" w:firstLineChars="200"/>
              <w:rPr>
                <w:rFonts w:hint="eastAsia" w:ascii="宋体" w:hAnsi="宋体"/>
                <w:sz w:val="24"/>
              </w:rPr>
            </w:pPr>
            <w:r>
              <w:rPr>
                <w:rFonts w:hint="eastAsia" w:ascii="宋体" w:hAnsi="宋体"/>
                <w:sz w:val="24"/>
              </w:rPr>
              <w:t>2、施工期废气</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项目</w:t>
            </w:r>
            <w:r>
              <w:rPr>
                <w:rFonts w:ascii="宋体" w:hAnsi="宋体" w:cs="宋体"/>
                <w:kern w:val="0"/>
                <w:sz w:val="24"/>
              </w:rPr>
              <w:t>施工期主要大气污染物为</w:t>
            </w:r>
            <w:r>
              <w:rPr>
                <w:rFonts w:hint="eastAsia" w:ascii="宋体" w:hAnsi="宋体" w:cs="宋体"/>
                <w:kern w:val="0"/>
                <w:sz w:val="24"/>
              </w:rPr>
              <w:t>扬尘</w:t>
            </w:r>
            <w:r>
              <w:rPr>
                <w:rFonts w:ascii="宋体" w:hAnsi="宋体" w:cs="宋体"/>
                <w:kern w:val="0"/>
                <w:sz w:val="24"/>
              </w:rPr>
              <w:t>、施工机械</w:t>
            </w:r>
            <w:r>
              <w:rPr>
                <w:rFonts w:hint="eastAsia" w:ascii="宋体" w:hAnsi="宋体" w:cs="宋体"/>
                <w:kern w:val="0"/>
                <w:sz w:val="24"/>
              </w:rPr>
              <w:t>及</w:t>
            </w:r>
            <w:r>
              <w:rPr>
                <w:rFonts w:ascii="宋体" w:hAnsi="宋体" w:cs="宋体"/>
                <w:kern w:val="0"/>
                <w:sz w:val="24"/>
              </w:rPr>
              <w:t>车辆</w:t>
            </w:r>
            <w:r>
              <w:rPr>
                <w:rFonts w:hint="eastAsia" w:ascii="宋体" w:hAnsi="宋体" w:cs="宋体"/>
                <w:kern w:val="0"/>
                <w:sz w:val="24"/>
              </w:rPr>
              <w:t>尾</w:t>
            </w:r>
            <w:r>
              <w:rPr>
                <w:rFonts w:ascii="宋体" w:hAnsi="宋体" w:cs="宋体"/>
                <w:kern w:val="0"/>
                <w:sz w:val="24"/>
              </w:rPr>
              <w:t>气。</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（1）扬尘</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 xml:space="preserve">施工过程中，主要大气污染源有施工扬尘（砂石加工系统、混凝土拌和系统及施工过程产生的扬尘；弃渣场、料场及材料堆场风蚀扬尘；交通运输扬尘；爆破与开挖过程产生的粉尘和废气）、机械设备运行排出的机械设备燃油废气等。 </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（1）砂石加工系统和混凝土拌和系统产生的粉尘</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 xml:space="preserve">砂石料加工及混凝土搅拌过程中产生的粉尘与施工方法和气候条件有关，其影响范围一般在 100m 内，使用湿法筛分和封闭式拌和楼等低尘工艺，同时通过合理布置料场、混凝土搅拌点，使其远离居民区，可有效减轻粉尘污染影响。 </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（2）弃渣场及材料堆场风蚀扬尘</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 xml:space="preserve">材料堆场位于水库施工区，建筑材料及弃土石方装卸、堆放产生的扬尘受风速影响较大，建筑材料加盖毡布，弃土石方及时清运，弃渣场位于古楼村附近，需定期洒水并及时恢复植被，则扬尘污染影响较小。 </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（3）交通运输扬尘</w:t>
            </w:r>
          </w:p>
          <w:p>
            <w:pPr>
              <w:autoSpaceDE w:val="0"/>
              <w:autoSpaceDN w:val="0"/>
              <w:snapToGrid w:val="0"/>
              <w:spacing w:line="360" w:lineRule="auto"/>
              <w:ind w:firstLine="551"/>
              <w:jc w:val="left"/>
              <w:rPr>
                <w:rFonts w:ascii="宋体" w:hAnsi="宋体" w:cs="宋体"/>
                <w:kern w:val="0"/>
                <w:sz w:val="24"/>
              </w:rPr>
            </w:pPr>
            <w:r>
              <w:rPr>
                <w:rFonts w:hint="eastAsia" w:ascii="宋体" w:hAnsi="宋体" w:cs="宋体"/>
                <w:kern w:val="0"/>
                <w:sz w:val="24"/>
              </w:rPr>
              <w:t>交通运输中产生扬尘主要来自两个方面：一是汽车行驶产生的扬尘，二是装载水泥、石料等多尘物料运输时，汽车在行进中如果防护不当，物料容易散落，导致道路两侧空气中含尘量增加，对运输沿线 200m 范围的村庄造成一定影响。通过交通车辆减速行驶、车辆加盖苫盖等措施，可以有效降低交通运输产生的扬尘影响。</w:t>
            </w:r>
          </w:p>
          <w:p>
            <w:pPr>
              <w:autoSpaceDE w:val="0"/>
              <w:autoSpaceDN w:val="0"/>
              <w:snapToGrid w:val="0"/>
              <w:spacing w:line="360" w:lineRule="auto"/>
              <w:ind w:firstLine="551"/>
              <w:jc w:val="left"/>
              <w:rPr>
                <w:rFonts w:ascii="宋体" w:hAnsi="宋体" w:cs="宋体"/>
                <w:kern w:val="0"/>
                <w:sz w:val="24"/>
              </w:rPr>
            </w:pPr>
            <w:r>
              <w:rPr>
                <w:rFonts w:hint="eastAsia" w:ascii="宋体" w:hAnsi="宋体" w:cs="宋体"/>
                <w:kern w:val="0"/>
                <w:sz w:val="24"/>
              </w:rPr>
              <w:t>项目在建设施工过程中的大气污染物主要来自于施工扬尘（砂石加工系统、混凝土拌和系统及施工过程产生的扬尘；弃渣场、料场及材料堆场风蚀扬尘；管道开挖回填扬尘、交通运输扬尘））、机械设备运行排出的机械设备燃油废气等。</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（1）砂石加工系统和混凝土拌和系统产生的粉尘</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 xml:space="preserve">砂石料加工及混凝土搅拌过程中产生的粉尘与施工方法和气候条件有关，其影响范围一般在 100m 内，使用湿法筛分和封闭式拌和楼等低尘工艺，同时通过合理布置料场、混凝土搅拌点，使其远离居民区，可有效减轻粉尘污染影响。 </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（2）弃渣场及材料堆场风蚀扬尘</w:t>
            </w:r>
          </w:p>
          <w:p>
            <w:pPr>
              <w:autoSpaceDE w:val="0"/>
              <w:autoSpaceDN w:val="0"/>
              <w:snapToGrid w:val="0"/>
              <w:spacing w:line="360" w:lineRule="auto"/>
              <w:ind w:firstLine="551"/>
              <w:jc w:val="left"/>
              <w:rPr>
                <w:rFonts w:hint="eastAsia" w:ascii="宋体" w:hAnsi="宋体" w:cs="宋体"/>
                <w:kern w:val="0"/>
                <w:sz w:val="24"/>
              </w:rPr>
            </w:pPr>
            <w:r>
              <w:rPr>
                <w:rFonts w:hint="eastAsia" w:ascii="宋体" w:hAnsi="宋体" w:cs="宋体"/>
                <w:kern w:val="0"/>
                <w:sz w:val="24"/>
              </w:rPr>
              <w:t xml:space="preserve">材料堆场位于施工工区内，建筑材料及弃土石方装卸、堆放产生的扬尘受风速影响较大，建筑材料加盖毡布，弃土石方及时清运，弃渣场位于净水厂附近，需定期洒水并及时恢复植被，则扬尘污染影响较小。 </w:t>
            </w:r>
          </w:p>
          <w:p>
            <w:pPr>
              <w:snapToGrid w:val="0"/>
              <w:spacing w:line="360" w:lineRule="auto"/>
              <w:ind w:firstLine="480"/>
              <w:rPr>
                <w:sz w:val="24"/>
              </w:rPr>
            </w:pPr>
            <w:r>
              <w:rPr>
                <w:rFonts w:hint="eastAsia"/>
                <w:sz w:val="24"/>
              </w:rPr>
              <w:t>（3）管线开挖回填废气</w:t>
            </w:r>
          </w:p>
          <w:p>
            <w:pPr>
              <w:snapToGrid w:val="0"/>
              <w:spacing w:line="360" w:lineRule="auto"/>
              <w:ind w:firstLine="480"/>
              <w:rPr>
                <w:rFonts w:hint="eastAsia"/>
                <w:sz w:val="24"/>
              </w:rPr>
            </w:pPr>
            <w:r>
              <w:rPr>
                <w:rFonts w:hint="eastAsia"/>
                <w:sz w:val="24"/>
              </w:rPr>
              <w:t>管线施工废气主要来自运输车辆尾气，土石方开挖、运输、堆放产生的扬尘，管线焊接施工产生的废气及施工机械和运输车辆排放的废气等。管段一般分段施工，道路扬尘不可忽视。路面积尘数量与湿度、运输车辆速度、风速等有关，此外风速和风向还直接影响道路扬尘的污染范围。根据相关资料，通过洒水可有效减少起尘量达70%，影响范围控制在30m。为减少起尘量，建议在人口集中的地区采取经常洒水降尘措施。施工车辆尾气具有流动性和短暂性，且施工区域位于室外开阔地带，仅对局部地点产生影响，且这种影响非常短暂。</w:t>
            </w:r>
          </w:p>
          <w:p>
            <w:pPr>
              <w:snapToGrid w:val="0"/>
              <w:spacing w:line="360" w:lineRule="auto"/>
              <w:ind w:firstLine="480"/>
              <w:rPr>
                <w:sz w:val="24"/>
              </w:rPr>
            </w:pPr>
            <w:r>
              <w:rPr>
                <w:rFonts w:hint="eastAsia"/>
                <w:sz w:val="24"/>
              </w:rPr>
              <w:t>管线工程施工时，施工地点将集中排放施工机械废气、扬尘、焊接废气等，将对会施工场地周边50m 以内的区域的环境空气造成影响。但这种影响是短暂的，随着施工结束立即消失，且施工现场均在野外，有利于空气的扩散，同时废气污染源具有间歇性和流动性，通过在集中的施工区域采取必要的降尘措施，管线施工废气对周围环境空气影响甚微。</w:t>
            </w:r>
          </w:p>
          <w:p>
            <w:pPr>
              <w:snapToGrid w:val="0"/>
              <w:spacing w:line="360" w:lineRule="auto"/>
              <w:ind w:firstLine="480"/>
              <w:rPr>
                <w:rFonts w:hint="eastAsia"/>
                <w:kern w:val="0"/>
                <w:sz w:val="24"/>
              </w:rPr>
            </w:pPr>
            <w:r>
              <w:rPr>
                <w:rFonts w:hint="eastAsia"/>
                <w:kern w:val="0"/>
                <w:sz w:val="24"/>
              </w:rPr>
              <w:t>（3）交通运输扬尘</w:t>
            </w:r>
          </w:p>
          <w:p>
            <w:pPr>
              <w:snapToGrid w:val="0"/>
              <w:spacing w:line="360" w:lineRule="auto"/>
              <w:ind w:firstLine="480"/>
              <w:rPr>
                <w:rFonts w:hint="eastAsia"/>
                <w:kern w:val="0"/>
                <w:sz w:val="24"/>
              </w:rPr>
            </w:pPr>
            <w:r>
              <w:rPr>
                <w:rFonts w:hint="eastAsia"/>
                <w:kern w:val="0"/>
                <w:sz w:val="24"/>
              </w:rPr>
              <w:t>交通运输中产生扬尘主要来自两个方面：一是汽车行驶产生的扬尘，二是装载水泥、石料等多尘物料运输时，汽车在行进中如果防护不当，物料容易散落，导致道路两侧空气中含尘量增加，对运输沿线 200m 范围的村庄造成一定影响。通过交通车辆减速行驶、车辆加盖苫盖等措施，可以有效降低交通运输产生的扬尘影响。</w:t>
            </w:r>
          </w:p>
          <w:p>
            <w:pPr>
              <w:spacing w:line="360" w:lineRule="auto"/>
              <w:ind w:firstLine="480" w:firstLineChars="200"/>
              <w:rPr>
                <w:rFonts w:ascii="宋体" w:hAnsi="宋体"/>
                <w:sz w:val="24"/>
              </w:rPr>
            </w:pPr>
            <w:r>
              <w:rPr>
                <w:rFonts w:ascii="宋体" w:hAnsi="宋体"/>
                <w:sz w:val="24"/>
              </w:rPr>
              <w:t>在项目施工期对施工污染物采取有效防治措施后，施工期产生的废气浓度可得到有效控制，对周边环境影响较小。</w:t>
            </w:r>
          </w:p>
          <w:p>
            <w:pPr>
              <w:spacing w:line="360" w:lineRule="auto"/>
              <w:ind w:firstLine="480" w:firstLineChars="200"/>
              <w:rPr>
                <w:rFonts w:hint="eastAsia" w:ascii="宋体" w:hAnsi="宋体"/>
                <w:sz w:val="24"/>
              </w:rPr>
            </w:pPr>
            <w:r>
              <w:rPr>
                <w:rFonts w:hint="eastAsia" w:ascii="宋体" w:hAnsi="宋体"/>
                <w:sz w:val="24"/>
              </w:rPr>
              <w:t>3、施工期噪声</w:t>
            </w:r>
          </w:p>
          <w:p>
            <w:pPr>
              <w:snapToGrid w:val="0"/>
              <w:spacing w:line="360" w:lineRule="auto"/>
              <w:ind w:firstLine="480"/>
              <w:rPr>
                <w:kern w:val="0"/>
                <w:sz w:val="24"/>
              </w:rPr>
            </w:pPr>
            <w:r>
              <w:rPr>
                <w:rFonts w:hint="eastAsia"/>
                <w:kern w:val="0"/>
                <w:sz w:val="24"/>
              </w:rPr>
              <w:t>施工期噪声主要是施工机械设备噪声和运输车辆运行噪声。主要产噪源有推土机、挖掘机、装载机、起重机等。噪声源强为</w:t>
            </w:r>
            <w:r>
              <w:rPr>
                <w:kern w:val="0"/>
                <w:sz w:val="24"/>
              </w:rPr>
              <w:t>85~95dB</w:t>
            </w:r>
            <w:r>
              <w:rPr>
                <w:rFonts w:hint="eastAsia"/>
                <w:kern w:val="0"/>
                <w:sz w:val="24"/>
              </w:rPr>
              <w:t>（</w:t>
            </w:r>
            <w:r>
              <w:rPr>
                <w:kern w:val="0"/>
                <w:sz w:val="24"/>
              </w:rPr>
              <w:t>A</w:t>
            </w:r>
            <w:r>
              <w:rPr>
                <w:rFonts w:hint="eastAsia"/>
                <w:kern w:val="0"/>
                <w:sz w:val="24"/>
              </w:rPr>
              <w:t>）。施工期噪声对周围环境将会产生一定程度的影响。</w:t>
            </w:r>
          </w:p>
          <w:p>
            <w:pPr>
              <w:snapToGrid w:val="0"/>
              <w:spacing w:line="360" w:lineRule="auto"/>
              <w:ind w:firstLine="480"/>
              <w:rPr>
                <w:kern w:val="0"/>
                <w:sz w:val="24"/>
              </w:rPr>
            </w:pPr>
            <w:r>
              <w:rPr>
                <w:rFonts w:hint="eastAsia"/>
                <w:kern w:val="0"/>
                <w:sz w:val="24"/>
              </w:rPr>
              <w:t>（</w:t>
            </w:r>
            <w:r>
              <w:rPr>
                <w:kern w:val="0"/>
                <w:sz w:val="24"/>
              </w:rPr>
              <w:t>1</w:t>
            </w:r>
            <w:r>
              <w:rPr>
                <w:rFonts w:hint="eastAsia"/>
                <w:kern w:val="0"/>
                <w:sz w:val="24"/>
              </w:rPr>
              <w:t>）施工期噪声预测</w:t>
            </w:r>
          </w:p>
          <w:p>
            <w:pPr>
              <w:snapToGrid w:val="0"/>
              <w:spacing w:line="360" w:lineRule="auto"/>
              <w:ind w:firstLine="480"/>
              <w:rPr>
                <w:kern w:val="0"/>
                <w:sz w:val="24"/>
              </w:rPr>
            </w:pPr>
            <w:r>
              <w:rPr>
                <w:rFonts w:hint="eastAsia"/>
                <w:kern w:val="0"/>
                <w:sz w:val="24"/>
              </w:rPr>
              <w:t>施工机械中除各种运输车辆外，一般可视作固定声源。因此，我们将施工机械噪声作为点声源处理，在不考虑其它因素的情况下，施工机械噪声预测模式如下：</w:t>
            </w:r>
          </w:p>
          <w:p>
            <w:pPr>
              <w:snapToGrid w:val="0"/>
              <w:spacing w:line="360" w:lineRule="auto"/>
              <w:ind w:firstLine="480"/>
              <w:rPr>
                <w:kern w:val="0"/>
                <w:sz w:val="24"/>
              </w:rPr>
            </w:pPr>
            <w:r>
              <w:rPr>
                <w:kern w:val="0"/>
                <w:sz w:val="24"/>
              </w:rPr>
              <w:drawing>
                <wp:inline distT="0" distB="0" distL="114300" distR="114300">
                  <wp:extent cx="1670050" cy="325755"/>
                  <wp:effectExtent l="0" t="0" r="6350" b="17145"/>
                  <wp:docPr id="1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
                          <pic:cNvPicPr>
                            <a:picLocks noChangeAspect="1"/>
                          </pic:cNvPicPr>
                        </pic:nvPicPr>
                        <pic:blipFill>
                          <a:blip r:embed="rId19"/>
                          <a:stretch>
                            <a:fillRect/>
                          </a:stretch>
                        </pic:blipFill>
                        <pic:spPr>
                          <a:xfrm>
                            <a:off x="0" y="0"/>
                            <a:ext cx="1670050" cy="325755"/>
                          </a:xfrm>
                          <a:prstGeom prst="rect">
                            <a:avLst/>
                          </a:prstGeom>
                          <a:noFill/>
                          <a:ln>
                            <a:noFill/>
                          </a:ln>
                        </pic:spPr>
                      </pic:pic>
                    </a:graphicData>
                  </a:graphic>
                </wp:inline>
              </w:drawing>
            </w:r>
          </w:p>
          <w:p>
            <w:pPr>
              <w:snapToGrid w:val="0"/>
              <w:spacing w:line="360" w:lineRule="auto"/>
              <w:ind w:firstLine="480"/>
              <w:rPr>
                <w:kern w:val="0"/>
                <w:sz w:val="24"/>
              </w:rPr>
            </w:pPr>
            <w:r>
              <w:rPr>
                <w:rFonts w:hint="eastAsia"/>
                <w:kern w:val="0"/>
                <w:sz w:val="24"/>
              </w:rPr>
              <w:t>式中：</w:t>
            </w:r>
            <w:r>
              <w:rPr>
                <w:kern w:val="0"/>
                <w:sz w:val="24"/>
              </w:rPr>
              <w:t>L</w:t>
            </w:r>
            <w:r>
              <w:rPr>
                <w:kern w:val="0"/>
                <w:sz w:val="24"/>
                <w:vertAlign w:val="subscript"/>
              </w:rPr>
              <w:t>A</w:t>
            </w:r>
            <w:r>
              <w:rPr>
                <w:rFonts w:hint="eastAsia"/>
                <w:kern w:val="0"/>
                <w:sz w:val="24"/>
              </w:rPr>
              <w:t>、</w:t>
            </w:r>
            <w:r>
              <w:rPr>
                <w:kern w:val="0"/>
                <w:sz w:val="24"/>
              </w:rPr>
              <w:t>L</w:t>
            </w:r>
            <w:r>
              <w:rPr>
                <w:kern w:val="0"/>
                <w:sz w:val="24"/>
                <w:vertAlign w:val="subscript"/>
              </w:rPr>
              <w:t>O</w:t>
            </w:r>
            <w:r>
              <w:rPr>
                <w:kern w:val="0"/>
                <w:sz w:val="24"/>
              </w:rPr>
              <w:t>----</w:t>
            </w:r>
            <w:r>
              <w:rPr>
                <w:rFonts w:hint="eastAsia"/>
                <w:kern w:val="0"/>
                <w:sz w:val="24"/>
              </w:rPr>
              <w:t>距声源</w:t>
            </w:r>
            <w:r>
              <w:rPr>
                <w:kern w:val="0"/>
                <w:sz w:val="24"/>
              </w:rPr>
              <w:t>r</w:t>
            </w:r>
            <w:r>
              <w:rPr>
                <w:kern w:val="0"/>
                <w:sz w:val="24"/>
                <w:vertAlign w:val="subscript"/>
              </w:rPr>
              <w:t>A</w:t>
            </w:r>
            <w:r>
              <w:rPr>
                <w:rFonts w:hint="eastAsia"/>
                <w:kern w:val="0"/>
                <w:sz w:val="24"/>
              </w:rPr>
              <w:t>、</w:t>
            </w:r>
            <w:r>
              <w:rPr>
                <w:kern w:val="0"/>
                <w:sz w:val="24"/>
              </w:rPr>
              <w:t>r</w:t>
            </w:r>
            <w:r>
              <w:rPr>
                <w:kern w:val="0"/>
                <w:sz w:val="24"/>
                <w:vertAlign w:val="subscript"/>
              </w:rPr>
              <w:t>O</w:t>
            </w:r>
            <w:r>
              <w:rPr>
                <w:rFonts w:hint="eastAsia"/>
                <w:kern w:val="0"/>
                <w:sz w:val="24"/>
              </w:rPr>
              <w:t>处的声级，</w:t>
            </w:r>
            <w:r>
              <w:rPr>
                <w:kern w:val="0"/>
                <w:sz w:val="24"/>
              </w:rPr>
              <w:t>dB</w:t>
            </w:r>
            <w:r>
              <w:rPr>
                <w:rFonts w:hint="eastAsia"/>
                <w:kern w:val="0"/>
                <w:sz w:val="24"/>
              </w:rPr>
              <w:t>（</w:t>
            </w:r>
            <w:r>
              <w:rPr>
                <w:kern w:val="0"/>
                <w:sz w:val="24"/>
              </w:rPr>
              <w:t>A</w:t>
            </w:r>
            <w:r>
              <w:rPr>
                <w:rFonts w:hint="eastAsia"/>
                <w:kern w:val="0"/>
                <w:sz w:val="24"/>
              </w:rPr>
              <w:t>）；</w:t>
            </w:r>
          </w:p>
          <w:p>
            <w:pPr>
              <w:snapToGrid w:val="0"/>
              <w:spacing w:line="360" w:lineRule="auto"/>
              <w:ind w:firstLine="480"/>
              <w:rPr>
                <w:kern w:val="0"/>
                <w:sz w:val="24"/>
              </w:rPr>
            </w:pPr>
            <w:r>
              <w:rPr>
                <w:rFonts w:hint="eastAsia"/>
                <w:kern w:val="0"/>
                <w:sz w:val="24"/>
              </w:rPr>
              <w:t>噪声叠加公式：</w:t>
            </w:r>
          </w:p>
          <w:p>
            <w:pPr>
              <w:snapToGrid w:val="0"/>
              <w:spacing w:line="360" w:lineRule="auto"/>
              <w:ind w:firstLine="480"/>
              <w:rPr>
                <w:kern w:val="0"/>
                <w:sz w:val="24"/>
              </w:rPr>
            </w:pPr>
            <w:r>
              <w:rPr>
                <w:kern w:val="0"/>
                <w:sz w:val="24"/>
              </w:rPr>
              <w:drawing>
                <wp:inline distT="0" distB="0" distL="114300" distR="114300">
                  <wp:extent cx="2162175" cy="469265"/>
                  <wp:effectExtent l="0" t="0" r="9525" b="6985"/>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
                          <pic:cNvPicPr>
                            <a:picLocks noChangeAspect="1"/>
                          </pic:cNvPicPr>
                        </pic:nvPicPr>
                        <pic:blipFill>
                          <a:blip r:embed="rId20"/>
                          <a:stretch>
                            <a:fillRect/>
                          </a:stretch>
                        </pic:blipFill>
                        <pic:spPr>
                          <a:xfrm>
                            <a:off x="0" y="0"/>
                            <a:ext cx="2162175" cy="469265"/>
                          </a:xfrm>
                          <a:prstGeom prst="rect">
                            <a:avLst/>
                          </a:prstGeom>
                          <a:noFill/>
                          <a:ln>
                            <a:noFill/>
                          </a:ln>
                        </pic:spPr>
                      </pic:pic>
                    </a:graphicData>
                  </a:graphic>
                </wp:inline>
              </w:drawing>
            </w:r>
          </w:p>
          <w:p>
            <w:pPr>
              <w:snapToGrid w:val="0"/>
              <w:spacing w:line="360" w:lineRule="auto"/>
              <w:ind w:firstLine="480"/>
              <w:rPr>
                <w:kern w:val="0"/>
                <w:sz w:val="24"/>
              </w:rPr>
            </w:pPr>
            <w:r>
              <w:rPr>
                <w:rFonts w:hint="eastAsia"/>
                <w:kern w:val="0"/>
                <w:sz w:val="24"/>
              </w:rPr>
              <w:t>式中：</w:t>
            </w:r>
            <w:r>
              <w:rPr>
                <w:kern w:val="0"/>
                <w:sz w:val="24"/>
              </w:rPr>
              <w:t>Leqs----</w:t>
            </w:r>
            <w:r>
              <w:rPr>
                <w:rFonts w:hint="eastAsia"/>
                <w:kern w:val="0"/>
                <w:sz w:val="24"/>
              </w:rPr>
              <w:t>预测点处的等效声级，</w:t>
            </w:r>
            <w:r>
              <w:rPr>
                <w:kern w:val="0"/>
                <w:sz w:val="24"/>
              </w:rPr>
              <w:t>dB</w:t>
            </w:r>
            <w:r>
              <w:rPr>
                <w:rFonts w:hint="eastAsia"/>
                <w:kern w:val="0"/>
                <w:sz w:val="24"/>
              </w:rPr>
              <w:t>（</w:t>
            </w:r>
            <w:r>
              <w:rPr>
                <w:kern w:val="0"/>
                <w:sz w:val="24"/>
              </w:rPr>
              <w:t>A</w:t>
            </w:r>
            <w:r>
              <w:rPr>
                <w:rFonts w:hint="eastAsia"/>
                <w:kern w:val="0"/>
                <w:sz w:val="24"/>
              </w:rPr>
              <w:t>）；</w:t>
            </w:r>
          </w:p>
          <w:p>
            <w:pPr>
              <w:snapToGrid w:val="0"/>
              <w:spacing w:line="360" w:lineRule="auto"/>
              <w:ind w:firstLine="480"/>
              <w:rPr>
                <w:kern w:val="0"/>
                <w:sz w:val="24"/>
              </w:rPr>
            </w:pPr>
            <w:r>
              <w:rPr>
                <w:kern w:val="0"/>
                <w:sz w:val="24"/>
              </w:rPr>
              <w:t xml:space="preserve">      Leqi----</w:t>
            </w:r>
            <w:r>
              <w:rPr>
                <w:rFonts w:hint="eastAsia"/>
                <w:kern w:val="0"/>
                <w:sz w:val="24"/>
              </w:rPr>
              <w:t>第</w:t>
            </w:r>
            <w:r>
              <w:rPr>
                <w:kern w:val="0"/>
                <w:sz w:val="24"/>
              </w:rPr>
              <w:t>i</w:t>
            </w:r>
            <w:r>
              <w:rPr>
                <w:rFonts w:hint="eastAsia"/>
                <w:kern w:val="0"/>
                <w:sz w:val="24"/>
              </w:rPr>
              <w:t>个点声源对预测点的等效声级，</w:t>
            </w:r>
            <w:r>
              <w:rPr>
                <w:kern w:val="0"/>
                <w:sz w:val="24"/>
              </w:rPr>
              <w:t>dB</w:t>
            </w:r>
            <w:r>
              <w:rPr>
                <w:rFonts w:hint="eastAsia"/>
                <w:kern w:val="0"/>
                <w:sz w:val="24"/>
              </w:rPr>
              <w:t>（</w:t>
            </w:r>
            <w:r>
              <w:rPr>
                <w:kern w:val="0"/>
                <w:sz w:val="24"/>
              </w:rPr>
              <w:t>A</w:t>
            </w:r>
            <w:r>
              <w:rPr>
                <w:rFonts w:hint="eastAsia"/>
                <w:kern w:val="0"/>
                <w:sz w:val="24"/>
              </w:rPr>
              <w:t>）。</w:t>
            </w:r>
          </w:p>
          <w:p>
            <w:pPr>
              <w:snapToGrid w:val="0"/>
              <w:spacing w:line="360" w:lineRule="auto"/>
              <w:ind w:firstLine="480"/>
              <w:rPr>
                <w:kern w:val="0"/>
                <w:sz w:val="24"/>
              </w:rPr>
            </w:pPr>
            <w:r>
              <w:rPr>
                <w:rFonts w:hint="eastAsia"/>
                <w:kern w:val="0"/>
                <w:sz w:val="24"/>
              </w:rPr>
              <w:t>根据《建筑施工场界环境噪声排放标准》（</w:t>
            </w:r>
            <w:r>
              <w:rPr>
                <w:kern w:val="0"/>
                <w:sz w:val="24"/>
              </w:rPr>
              <w:t>GB12523-2011</w:t>
            </w:r>
            <w:r>
              <w:rPr>
                <w:rFonts w:hint="eastAsia"/>
                <w:kern w:val="0"/>
                <w:sz w:val="24"/>
              </w:rPr>
              <w:t>）的规定，经计算，各施工阶段主要设备噪声级及最大超标范围见表</w:t>
            </w:r>
            <w:r>
              <w:rPr>
                <w:kern w:val="0"/>
                <w:sz w:val="24"/>
              </w:rPr>
              <w:t>4-1</w:t>
            </w:r>
            <w:r>
              <w:rPr>
                <w:rFonts w:hint="eastAsia"/>
                <w:kern w:val="0"/>
                <w:sz w:val="24"/>
              </w:rPr>
              <w:t>。</w:t>
            </w:r>
          </w:p>
          <w:p>
            <w:pPr>
              <w:snapToGrid w:val="0"/>
              <w:spacing w:line="360" w:lineRule="auto"/>
              <w:jc w:val="center"/>
              <w:rPr>
                <w:b/>
                <w:sz w:val="24"/>
              </w:rPr>
            </w:pPr>
            <w:r>
              <w:rPr>
                <w:rFonts w:hint="eastAsia"/>
                <w:b/>
                <w:sz w:val="24"/>
              </w:rPr>
              <w:t>表</w:t>
            </w:r>
            <w:r>
              <w:rPr>
                <w:b/>
                <w:sz w:val="24"/>
              </w:rPr>
              <w:t xml:space="preserve">4-1  </w:t>
            </w:r>
            <w:r>
              <w:rPr>
                <w:rFonts w:hint="eastAsia"/>
                <w:b/>
                <w:sz w:val="24"/>
              </w:rPr>
              <w:t>施工机械环境噪声源及噪声影响预测结果表</w:t>
            </w:r>
          </w:p>
          <w:tbl>
            <w:tblPr>
              <w:tblStyle w:val="39"/>
              <w:tblW w:w="80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3"/>
              <w:gridCol w:w="1509"/>
              <w:gridCol w:w="1127"/>
              <w:gridCol w:w="1151"/>
              <w:gridCol w:w="1094"/>
              <w:gridCol w:w="1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rPr>
                  </w:pPr>
                  <w:r>
                    <w:rPr>
                      <w:rFonts w:hint="eastAsia"/>
                      <w:szCs w:val="21"/>
                    </w:rPr>
                    <w:t>设备名称</w:t>
                  </w:r>
                </w:p>
              </w:tc>
              <w:tc>
                <w:tcPr>
                  <w:tcW w:w="1509"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rPr>
                  </w:pPr>
                  <w:r>
                    <w:rPr>
                      <w:rFonts w:hint="eastAsia"/>
                      <w:szCs w:val="21"/>
                    </w:rPr>
                    <w:t>声级</w:t>
                  </w:r>
                  <w:r>
                    <w:rPr>
                      <w:szCs w:val="21"/>
                    </w:rPr>
                    <w:t>dB</w:t>
                  </w:r>
                  <w:r>
                    <w:rPr>
                      <w:rFonts w:hint="eastAsia"/>
                      <w:szCs w:val="21"/>
                    </w:rPr>
                    <w:t>（</w:t>
                  </w:r>
                  <w:r>
                    <w:rPr>
                      <w:szCs w:val="21"/>
                    </w:rPr>
                    <w:t>A</w:t>
                  </w:r>
                  <w:r>
                    <w:rPr>
                      <w:rFonts w:hint="eastAsia"/>
                      <w:szCs w:val="21"/>
                    </w:rPr>
                    <w:t>）</w:t>
                  </w:r>
                </w:p>
              </w:tc>
              <w:tc>
                <w:tcPr>
                  <w:tcW w:w="2278" w:type="dxa"/>
                  <w:gridSpan w:val="2"/>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评价标准</w:t>
                  </w:r>
                  <w:r>
                    <w:rPr>
                      <w:szCs w:val="21"/>
                    </w:rPr>
                    <w:t>dB</w:t>
                  </w:r>
                  <w:r>
                    <w:rPr>
                      <w:rFonts w:hint="eastAsia"/>
                      <w:szCs w:val="21"/>
                    </w:rPr>
                    <w:t>（</w:t>
                  </w:r>
                  <w:r>
                    <w:rPr>
                      <w:szCs w:val="21"/>
                    </w:rPr>
                    <w:t>A</w:t>
                  </w:r>
                  <w:r>
                    <w:rPr>
                      <w:rFonts w:hint="eastAsia"/>
                      <w:szCs w:val="21"/>
                    </w:rPr>
                    <w:t>）</w:t>
                  </w:r>
                </w:p>
              </w:tc>
              <w:tc>
                <w:tcPr>
                  <w:tcW w:w="2305" w:type="dxa"/>
                  <w:gridSpan w:val="2"/>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最大超标范围（</w:t>
                  </w:r>
                  <w:r>
                    <w:rPr>
                      <w:szCs w:val="21"/>
                    </w:rPr>
                    <w:t>m</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1509"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昼间</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夜间</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昼间</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推土机</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92</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13</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挖掘机</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90</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10</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装载机</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86</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搅拌机</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85</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6</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起重机</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85</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6</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电锯</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90</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10</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9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rFonts w:hint="eastAsia"/>
                      <w:szCs w:val="21"/>
                    </w:rPr>
                    <w:t>吊车</w:t>
                  </w:r>
                </w:p>
              </w:tc>
              <w:tc>
                <w:tcPr>
                  <w:tcW w:w="1509"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86</w:t>
                  </w:r>
                </w:p>
              </w:tc>
              <w:tc>
                <w:tcPr>
                  <w:tcW w:w="1127"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70</w:t>
                  </w:r>
                </w:p>
              </w:tc>
              <w:tc>
                <w:tcPr>
                  <w:tcW w:w="115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55</w:t>
                  </w:r>
                </w:p>
              </w:tc>
              <w:tc>
                <w:tcPr>
                  <w:tcW w:w="109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7</w:t>
                  </w:r>
                </w:p>
              </w:tc>
              <w:tc>
                <w:tcPr>
                  <w:tcW w:w="1211"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center"/>
                    <w:rPr>
                      <w:szCs w:val="21"/>
                    </w:rPr>
                  </w:pPr>
                  <w:r>
                    <w:rPr>
                      <w:szCs w:val="21"/>
                    </w:rPr>
                    <w:t>36</w:t>
                  </w:r>
                </w:p>
              </w:tc>
            </w:tr>
          </w:tbl>
          <w:p>
            <w:pPr>
              <w:snapToGrid w:val="0"/>
              <w:spacing w:line="360" w:lineRule="auto"/>
              <w:ind w:firstLine="482"/>
              <w:rPr>
                <w:kern w:val="0"/>
                <w:sz w:val="24"/>
              </w:rPr>
            </w:pPr>
            <w:r>
              <w:rPr>
                <w:rFonts w:hint="eastAsia"/>
                <w:kern w:val="0"/>
                <w:sz w:val="24"/>
              </w:rPr>
              <w:t>（</w:t>
            </w:r>
            <w:r>
              <w:rPr>
                <w:kern w:val="0"/>
                <w:sz w:val="24"/>
              </w:rPr>
              <w:t>2</w:t>
            </w:r>
            <w:r>
              <w:rPr>
                <w:rFonts w:hint="eastAsia"/>
                <w:kern w:val="0"/>
                <w:sz w:val="24"/>
              </w:rPr>
              <w:t>）施工噪声对周围环境的影响分析</w:t>
            </w:r>
          </w:p>
          <w:p>
            <w:pPr>
              <w:snapToGrid w:val="0"/>
              <w:spacing w:line="360" w:lineRule="auto"/>
              <w:ind w:firstLine="482"/>
              <w:rPr>
                <w:kern w:val="0"/>
                <w:sz w:val="24"/>
              </w:rPr>
            </w:pPr>
            <w:r>
              <w:rPr>
                <w:rFonts w:hint="eastAsia"/>
                <w:kern w:val="0"/>
                <w:sz w:val="24"/>
              </w:rPr>
              <w:t>①施工期主要为露天作业，在多台机械设备同时作业时，各台设备产生噪声会产生噪声叠加影响，各个阶段机械噪声叠加后噪声级和最大超标范围见表</w:t>
            </w:r>
            <w:r>
              <w:rPr>
                <w:kern w:val="0"/>
                <w:sz w:val="24"/>
              </w:rPr>
              <w:t>4-1</w:t>
            </w:r>
            <w:r>
              <w:rPr>
                <w:rFonts w:hint="eastAsia"/>
                <w:kern w:val="0"/>
                <w:sz w:val="24"/>
              </w:rPr>
              <w:t>。</w:t>
            </w:r>
          </w:p>
          <w:p>
            <w:pPr>
              <w:snapToGrid w:val="0"/>
              <w:spacing w:line="360" w:lineRule="auto"/>
              <w:ind w:firstLine="482"/>
              <w:rPr>
                <w:rFonts w:hint="eastAsia"/>
                <w:kern w:val="0"/>
                <w:sz w:val="24"/>
              </w:rPr>
            </w:pPr>
            <w:r>
              <w:rPr>
                <w:rFonts w:hint="eastAsia"/>
                <w:kern w:val="0"/>
                <w:sz w:val="24"/>
              </w:rPr>
              <w:t>由表</w:t>
            </w:r>
            <w:r>
              <w:rPr>
                <w:kern w:val="0"/>
                <w:sz w:val="24"/>
              </w:rPr>
              <w:t>4-1</w:t>
            </w:r>
            <w:r>
              <w:rPr>
                <w:rFonts w:hint="eastAsia"/>
                <w:kern w:val="0"/>
                <w:sz w:val="24"/>
              </w:rPr>
              <w:t>可以看出，当施工机械单独作业时，施工机械噪声由于噪声级较高，在空旷地带声传播距离较远，昼间最远至</w:t>
            </w:r>
            <w:r>
              <w:rPr>
                <w:kern w:val="0"/>
                <w:sz w:val="24"/>
              </w:rPr>
              <w:t>18m</w:t>
            </w:r>
            <w:r>
              <w:rPr>
                <w:rFonts w:hint="eastAsia"/>
                <w:kern w:val="0"/>
                <w:sz w:val="24"/>
              </w:rPr>
              <w:t>处才能达标，夜间最大影响范围在</w:t>
            </w:r>
            <w:r>
              <w:rPr>
                <w:kern w:val="0"/>
                <w:sz w:val="24"/>
              </w:rPr>
              <w:t>100m</w:t>
            </w:r>
            <w:r>
              <w:rPr>
                <w:rFonts w:hint="eastAsia"/>
                <w:kern w:val="0"/>
                <w:sz w:val="24"/>
              </w:rPr>
              <w:t>范围以内。</w:t>
            </w:r>
          </w:p>
          <w:p>
            <w:pPr>
              <w:snapToGrid w:val="0"/>
              <w:spacing w:line="360" w:lineRule="auto"/>
              <w:ind w:firstLine="482"/>
              <w:rPr>
                <w:kern w:val="0"/>
                <w:sz w:val="24"/>
              </w:rPr>
            </w:pPr>
            <w:r>
              <w:rPr>
                <w:rFonts w:hint="eastAsia"/>
                <w:kern w:val="0"/>
                <w:sz w:val="24"/>
              </w:rPr>
              <w:t>项目施工应严格控制高噪声设备的运行时段，并按照《建筑施工厂界环境噪声排放标准》（</w:t>
            </w:r>
            <w:r>
              <w:rPr>
                <w:kern w:val="0"/>
                <w:sz w:val="24"/>
              </w:rPr>
              <w:t>GB12523-2011</w:t>
            </w:r>
            <w:r>
              <w:rPr>
                <w:rFonts w:hint="eastAsia"/>
                <w:kern w:val="0"/>
                <w:sz w:val="24"/>
              </w:rPr>
              <w:t>）要求，避免夜间（</w:t>
            </w:r>
            <w:r>
              <w:rPr>
                <w:kern w:val="0"/>
                <w:sz w:val="24"/>
              </w:rPr>
              <w:t>23:00~06:00</w:t>
            </w:r>
            <w:r>
              <w:rPr>
                <w:rFonts w:hint="eastAsia"/>
                <w:kern w:val="0"/>
                <w:sz w:val="24"/>
              </w:rPr>
              <w:t>）施工对周围环境产生大的影响。</w:t>
            </w:r>
          </w:p>
          <w:p>
            <w:pPr>
              <w:snapToGrid w:val="0"/>
              <w:spacing w:line="360" w:lineRule="auto"/>
              <w:ind w:firstLine="482"/>
              <w:rPr>
                <w:kern w:val="0"/>
                <w:sz w:val="24"/>
              </w:rPr>
            </w:pPr>
            <w:r>
              <w:rPr>
                <w:rFonts w:hint="eastAsia"/>
                <w:kern w:val="0"/>
                <w:sz w:val="24"/>
              </w:rPr>
              <w:t>②施工期间运输建筑材料车辆增多，并加重附近道路交通噪声污染，运输车辆的噪声级一般在</w:t>
            </w:r>
            <w:r>
              <w:rPr>
                <w:kern w:val="0"/>
                <w:sz w:val="24"/>
              </w:rPr>
              <w:t>75~90dB</w:t>
            </w:r>
            <w:r>
              <w:rPr>
                <w:rFonts w:hint="eastAsia"/>
                <w:kern w:val="0"/>
                <w:sz w:val="24"/>
              </w:rPr>
              <w:t>（</w:t>
            </w:r>
            <w:r>
              <w:rPr>
                <w:kern w:val="0"/>
                <w:sz w:val="24"/>
              </w:rPr>
              <w:t>A</w:t>
            </w:r>
            <w:r>
              <w:rPr>
                <w:rFonts w:hint="eastAsia"/>
                <w:kern w:val="0"/>
                <w:sz w:val="24"/>
              </w:rPr>
              <w:t>）。由于运输车辆属于间歇运行，且运输量有限，因此施工期间运输车辆对项目周围环境产生的噪声污染是短暂的，随着施工期的结束，影响将会逐渐减少。</w:t>
            </w:r>
          </w:p>
          <w:p>
            <w:pPr>
              <w:snapToGrid w:val="0"/>
              <w:spacing w:line="360" w:lineRule="auto"/>
              <w:ind w:firstLine="482"/>
              <w:rPr>
                <w:kern w:val="0"/>
                <w:sz w:val="24"/>
              </w:rPr>
            </w:pPr>
            <w:r>
              <w:rPr>
                <w:rFonts w:hint="eastAsia"/>
                <w:kern w:val="0"/>
                <w:sz w:val="24"/>
              </w:rPr>
              <w:t>（</w:t>
            </w:r>
            <w:r>
              <w:rPr>
                <w:kern w:val="0"/>
                <w:sz w:val="24"/>
              </w:rPr>
              <w:t>3</w:t>
            </w:r>
            <w:r>
              <w:rPr>
                <w:rFonts w:hint="eastAsia"/>
                <w:kern w:val="0"/>
                <w:sz w:val="24"/>
              </w:rPr>
              <w:t>）施工期噪声控制要求</w:t>
            </w:r>
          </w:p>
          <w:p>
            <w:pPr>
              <w:snapToGrid w:val="0"/>
              <w:spacing w:line="360" w:lineRule="auto"/>
              <w:ind w:firstLine="482"/>
              <w:rPr>
                <w:kern w:val="0"/>
                <w:sz w:val="24"/>
              </w:rPr>
            </w:pPr>
            <w:r>
              <w:rPr>
                <w:rFonts w:hint="eastAsia"/>
                <w:kern w:val="0"/>
                <w:sz w:val="24"/>
              </w:rPr>
              <w:t>为了最大限度的减少施工期噪声对环境的影响，要求建设单位在工程施工期采取以下噪声控制措施：</w:t>
            </w:r>
          </w:p>
          <w:p>
            <w:pPr>
              <w:snapToGrid w:val="0"/>
              <w:spacing w:line="360" w:lineRule="auto"/>
              <w:ind w:firstLine="482"/>
              <w:rPr>
                <w:kern w:val="0"/>
                <w:sz w:val="24"/>
              </w:rPr>
            </w:pPr>
            <w:r>
              <w:rPr>
                <w:rFonts w:hint="eastAsia"/>
                <w:kern w:val="0"/>
                <w:sz w:val="24"/>
              </w:rPr>
              <w:t>①合理布置施工场地、施工方式及施工时间，控制环境噪声污染。</w:t>
            </w:r>
          </w:p>
          <w:p>
            <w:pPr>
              <w:snapToGrid w:val="0"/>
              <w:spacing w:line="360" w:lineRule="auto"/>
              <w:ind w:firstLine="482"/>
              <w:rPr>
                <w:kern w:val="0"/>
                <w:sz w:val="24"/>
              </w:rPr>
            </w:pPr>
            <w:r>
              <w:rPr>
                <w:rFonts w:hint="eastAsia"/>
                <w:kern w:val="0"/>
                <w:sz w:val="24"/>
              </w:rPr>
              <w:t>对于产生噪声较大的机械设备，如挖掘机等应尽量远离居民点，合理安排施工时间及车辆运输线路，尽量避免经过人群集中区，并采取限速、禁止鸣笛等措施，严禁夜间进行施工。</w:t>
            </w:r>
          </w:p>
          <w:p>
            <w:pPr>
              <w:snapToGrid w:val="0"/>
              <w:spacing w:line="360" w:lineRule="auto"/>
              <w:ind w:firstLine="482"/>
              <w:rPr>
                <w:kern w:val="0"/>
                <w:sz w:val="24"/>
              </w:rPr>
            </w:pPr>
            <w:r>
              <w:rPr>
                <w:rFonts w:hint="eastAsia"/>
                <w:kern w:val="0"/>
                <w:sz w:val="24"/>
              </w:rPr>
              <w:t>②严格操作规程，加强施工机械管理，降低人为噪声影响。</w:t>
            </w:r>
          </w:p>
          <w:p>
            <w:pPr>
              <w:snapToGrid w:val="0"/>
              <w:spacing w:line="360" w:lineRule="auto"/>
              <w:ind w:firstLine="482"/>
              <w:rPr>
                <w:kern w:val="0"/>
                <w:sz w:val="24"/>
              </w:rPr>
            </w:pPr>
            <w:r>
              <w:rPr>
                <w:rFonts w:hint="eastAsia"/>
                <w:kern w:val="0"/>
                <w:sz w:val="24"/>
              </w:rPr>
              <w:t>不合理施工作业是产生人为噪声的主要原因，如设备的安装、拆除、钢筋材料的装卸等过程产生的金属撞击声和落料声等均会产生较大距离的声环境影响，因此要杜绝人为敲打、装卸现象规范建筑物料、土石方清运车辆进出工地高速行驶、鸣笛等，做到文明施工。</w:t>
            </w:r>
          </w:p>
          <w:p>
            <w:pPr>
              <w:snapToGrid w:val="0"/>
              <w:spacing w:line="360" w:lineRule="auto"/>
              <w:ind w:firstLine="482"/>
              <w:rPr>
                <w:kern w:val="0"/>
                <w:sz w:val="24"/>
              </w:rPr>
            </w:pPr>
            <w:r>
              <w:rPr>
                <w:rFonts w:hint="eastAsia"/>
                <w:kern w:val="0"/>
                <w:sz w:val="24"/>
              </w:rPr>
              <w:t>③尽量采用低噪声设备，并对设备定期进行维护和保养，减少机械设备因故障而增加的噪声级，对因故障而使其噪声级成倍增加的设备应该立即关闭；采取有效的隔音、减振、消声措施，降低噪声。</w:t>
            </w:r>
          </w:p>
          <w:p>
            <w:pPr>
              <w:snapToGrid w:val="0"/>
              <w:spacing w:line="360" w:lineRule="auto"/>
              <w:ind w:firstLine="482"/>
              <w:rPr>
                <w:rFonts w:hint="eastAsia" w:ascii="宋体" w:hAnsi="宋体"/>
                <w:b/>
                <w:bCs/>
                <w:sz w:val="24"/>
              </w:rPr>
            </w:pPr>
            <w:r>
              <w:rPr>
                <w:rFonts w:hint="eastAsia" w:ascii="宋体" w:hAnsi="宋体"/>
                <w:b/>
                <w:bCs/>
                <w:sz w:val="24"/>
              </w:rPr>
              <w:t>4、施工期</w:t>
            </w:r>
            <w:r>
              <w:rPr>
                <w:rFonts w:ascii="宋体" w:hAnsi="宋体"/>
                <w:b/>
                <w:bCs/>
                <w:sz w:val="24"/>
              </w:rPr>
              <w:t>固废</w:t>
            </w:r>
          </w:p>
          <w:p>
            <w:pPr>
              <w:snapToGrid w:val="0"/>
              <w:spacing w:line="360" w:lineRule="auto"/>
              <w:ind w:firstLine="480"/>
              <w:rPr>
                <w:sz w:val="24"/>
              </w:rPr>
            </w:pPr>
            <w:r>
              <w:rPr>
                <w:rFonts w:hint="eastAsia"/>
                <w:sz w:val="24"/>
              </w:rPr>
              <w:t>（</w:t>
            </w:r>
            <w:r>
              <w:rPr>
                <w:sz w:val="24"/>
              </w:rPr>
              <w:t>1</w:t>
            </w:r>
            <w:r>
              <w:rPr>
                <w:rFonts w:hint="eastAsia"/>
                <w:sz w:val="24"/>
              </w:rPr>
              <w:t>）建筑垃圾</w:t>
            </w:r>
          </w:p>
          <w:p>
            <w:pPr>
              <w:snapToGrid w:val="0"/>
              <w:spacing w:line="360" w:lineRule="auto"/>
              <w:ind w:firstLine="480"/>
              <w:rPr>
                <w:sz w:val="24"/>
              </w:rPr>
            </w:pPr>
            <w:r>
              <w:rPr>
                <w:rFonts w:hint="eastAsia"/>
                <w:sz w:val="24"/>
              </w:rPr>
              <w:t>项目建筑垃圾主要为余土、废砖块、混凝土块、废木料、钢筋头等，能回收利用部分回收利用，不能回收利用部分必须及时处理。</w:t>
            </w:r>
          </w:p>
          <w:p>
            <w:pPr>
              <w:snapToGrid w:val="0"/>
              <w:spacing w:line="360" w:lineRule="auto"/>
              <w:ind w:firstLine="480"/>
              <w:rPr>
                <w:sz w:val="24"/>
              </w:rPr>
            </w:pPr>
            <w:r>
              <w:rPr>
                <w:rFonts w:hint="eastAsia"/>
                <w:sz w:val="24"/>
              </w:rPr>
              <w:t>（</w:t>
            </w:r>
            <w:r>
              <w:rPr>
                <w:sz w:val="24"/>
              </w:rPr>
              <w:t>2</w:t>
            </w:r>
            <w:r>
              <w:rPr>
                <w:rFonts w:hint="eastAsia"/>
                <w:sz w:val="24"/>
              </w:rPr>
              <w:t>）土石方</w:t>
            </w:r>
          </w:p>
          <w:p>
            <w:pPr>
              <w:snapToGrid w:val="0"/>
              <w:spacing w:line="360" w:lineRule="auto"/>
              <w:ind w:firstLine="480"/>
              <w:rPr>
                <w:rFonts w:hint="eastAsia"/>
                <w:sz w:val="24"/>
              </w:rPr>
            </w:pPr>
            <w:r>
              <w:rPr>
                <w:rFonts w:hint="eastAsia"/>
                <w:sz w:val="24"/>
              </w:rPr>
              <w:t>由于项目建设主要的挖方和填方产生于管线开挖与回填、地基、地下建筑、道路、场地垫层、景观绿化等五处，根据业主提供设计资料，本项目挖方量为</w:t>
            </w:r>
            <w:r>
              <w:rPr>
                <w:rFonts w:hint="eastAsia" w:ascii="宋体" w:hAnsi="宋体" w:cs="宋体"/>
                <w:bCs/>
                <w:sz w:val="24"/>
              </w:rPr>
              <w:t>8</w:t>
            </w:r>
            <w:r>
              <w:rPr>
                <w:rFonts w:ascii="宋体" w:hAnsi="宋体" w:cs="宋体"/>
                <w:bCs/>
                <w:sz w:val="24"/>
              </w:rPr>
              <w:t>51183.4m</w:t>
            </w:r>
            <w:r>
              <w:rPr>
                <w:rFonts w:ascii="宋体" w:hAnsi="宋体" w:cs="宋体"/>
                <w:bCs/>
                <w:sz w:val="24"/>
                <w:vertAlign w:val="superscript"/>
              </w:rPr>
              <w:t>3</w:t>
            </w:r>
            <w:r>
              <w:rPr>
                <w:rFonts w:hint="eastAsia" w:ascii="宋体" w:hAnsi="宋体" w:cs="宋体"/>
                <w:bCs/>
                <w:sz w:val="24"/>
              </w:rPr>
              <w:t>，填方量为1</w:t>
            </w:r>
            <w:r>
              <w:rPr>
                <w:rFonts w:ascii="宋体" w:hAnsi="宋体" w:cs="宋体"/>
                <w:bCs/>
                <w:sz w:val="24"/>
              </w:rPr>
              <w:t>95609.1m</w:t>
            </w:r>
            <w:r>
              <w:rPr>
                <w:rFonts w:ascii="宋体" w:hAnsi="宋体" w:cs="宋体"/>
                <w:bCs/>
                <w:sz w:val="24"/>
                <w:vertAlign w:val="superscript"/>
              </w:rPr>
              <w:t>3</w:t>
            </w:r>
            <w:r>
              <w:rPr>
                <w:rFonts w:hint="eastAsia" w:ascii="宋体" w:hAnsi="宋体" w:cs="宋体"/>
                <w:bCs/>
                <w:sz w:val="24"/>
              </w:rPr>
              <w:t>，弃渣量为6</w:t>
            </w:r>
            <w:r>
              <w:rPr>
                <w:rFonts w:ascii="宋体" w:hAnsi="宋体" w:cs="宋体"/>
                <w:bCs/>
                <w:sz w:val="24"/>
              </w:rPr>
              <w:t>55574.3m</w:t>
            </w:r>
            <w:r>
              <w:rPr>
                <w:rFonts w:ascii="宋体" w:hAnsi="宋体" w:cs="宋体"/>
                <w:bCs/>
                <w:sz w:val="24"/>
                <w:vertAlign w:val="superscript"/>
              </w:rPr>
              <w:t>3</w:t>
            </w:r>
            <w:r>
              <w:rPr>
                <w:rFonts w:hint="eastAsia"/>
                <w:sz w:val="24"/>
              </w:rPr>
              <w:t>，本项目在净水厂西侧山谷设置弃渣场用于本项目弃渣堆放。不会对周围环境造成明显的不利影响。</w:t>
            </w:r>
          </w:p>
          <w:p>
            <w:pPr>
              <w:snapToGrid w:val="0"/>
              <w:spacing w:line="360" w:lineRule="auto"/>
              <w:ind w:firstLine="480"/>
              <w:rPr>
                <w:sz w:val="24"/>
              </w:rPr>
            </w:pPr>
            <w:r>
              <w:rPr>
                <w:rFonts w:hint="eastAsia"/>
                <w:sz w:val="24"/>
              </w:rPr>
              <w:t>根据企业提供资料，管线开挖产生的余土全部用于管线两侧的土地平整，不产生弃土。</w:t>
            </w:r>
          </w:p>
          <w:p>
            <w:pPr>
              <w:snapToGrid w:val="0"/>
              <w:spacing w:line="360" w:lineRule="auto"/>
              <w:ind w:firstLine="480"/>
              <w:rPr>
                <w:rFonts w:hint="eastAsia"/>
                <w:sz w:val="24"/>
              </w:rPr>
            </w:pPr>
            <w:r>
              <w:rPr>
                <w:rFonts w:hint="eastAsia"/>
                <w:sz w:val="24"/>
              </w:rPr>
              <w:t>针对渣场，本次评价提出以下环保要求：</w:t>
            </w:r>
          </w:p>
          <w:p>
            <w:pPr>
              <w:snapToGrid w:val="0"/>
              <w:spacing w:line="360" w:lineRule="auto"/>
              <w:ind w:firstLine="480" w:firstLineChars="200"/>
              <w:rPr>
                <w:rFonts w:hint="eastAsia" w:ascii="宋体" w:hAnsi="宋体"/>
                <w:sz w:val="24"/>
              </w:rPr>
            </w:pPr>
            <w:r>
              <w:rPr>
                <w:rFonts w:ascii="宋体" w:hAnsi="宋体"/>
                <w:sz w:val="24"/>
              </w:rPr>
              <w:fldChar w:fldCharType="begin"/>
            </w:r>
            <w:r>
              <w:rPr>
                <w:rFonts w:ascii="宋体" w:hAnsi="宋体"/>
                <w:sz w:val="24"/>
              </w:rPr>
              <w:instrText xml:space="preserve"> = 1 \* GB3 </w:instrText>
            </w:r>
            <w:r>
              <w:rPr>
                <w:rFonts w:ascii="宋体" w:hAnsi="宋体"/>
                <w:sz w:val="24"/>
              </w:rPr>
              <w:fldChar w:fldCharType="separate"/>
            </w:r>
            <w:r>
              <w:rPr>
                <w:rFonts w:ascii="宋体" w:hAnsi="宋体"/>
                <w:sz w:val="24"/>
              </w:rPr>
              <w:t>①</w:t>
            </w:r>
            <w:r>
              <w:rPr>
                <w:rFonts w:ascii="宋体" w:hAnsi="宋体"/>
                <w:sz w:val="24"/>
              </w:rPr>
              <w:fldChar w:fldCharType="end"/>
            </w:r>
            <w:r>
              <w:rPr>
                <w:rFonts w:hint="eastAsia" w:ascii="宋体" w:hAnsi="宋体"/>
                <w:sz w:val="24"/>
              </w:rPr>
              <w:t>渣场应根据相关要求设置截排水措施，在排水沟出口设置临时沉沙凼，雨水经沉淀后接入场外沟渠；</w:t>
            </w:r>
          </w:p>
          <w:p>
            <w:pPr>
              <w:snapToGrid w:val="0"/>
              <w:spacing w:line="360" w:lineRule="auto"/>
              <w:ind w:firstLine="480" w:firstLineChars="200"/>
              <w:rPr>
                <w:rFonts w:hint="eastAsia" w:ascii="宋体" w:hAnsi="宋体"/>
                <w:sz w:val="24"/>
              </w:rPr>
            </w:pPr>
            <w:r>
              <w:rPr>
                <w:rFonts w:ascii="宋体" w:hAnsi="宋体"/>
                <w:sz w:val="24"/>
              </w:rPr>
              <w:fldChar w:fldCharType="begin"/>
            </w:r>
            <w:r>
              <w:rPr>
                <w:rFonts w:ascii="宋体" w:hAnsi="宋体"/>
                <w:sz w:val="24"/>
              </w:rPr>
              <w:instrText xml:space="preserve"> = 2 \* GB3 </w:instrText>
            </w:r>
            <w:r>
              <w:rPr>
                <w:rFonts w:ascii="宋体" w:hAnsi="宋体"/>
                <w:sz w:val="24"/>
              </w:rPr>
              <w:fldChar w:fldCharType="separate"/>
            </w:r>
            <w:r>
              <w:rPr>
                <w:rFonts w:ascii="宋体" w:hAnsi="宋体"/>
                <w:sz w:val="24"/>
              </w:rPr>
              <w:t>②</w:t>
            </w:r>
            <w:r>
              <w:rPr>
                <w:rFonts w:ascii="宋体" w:hAnsi="宋体"/>
                <w:sz w:val="24"/>
              </w:rPr>
              <w:fldChar w:fldCharType="end"/>
            </w:r>
            <w:r>
              <w:rPr>
                <w:rFonts w:ascii="宋体" w:hAnsi="宋体"/>
                <w:sz w:val="24"/>
              </w:rPr>
              <w:t>要求业主加强</w:t>
            </w:r>
            <w:r>
              <w:rPr>
                <w:rFonts w:hint="eastAsia" w:ascii="宋体" w:hAnsi="宋体"/>
                <w:sz w:val="24"/>
              </w:rPr>
              <w:t>渣场</w:t>
            </w:r>
            <w:r>
              <w:rPr>
                <w:rFonts w:ascii="宋体" w:hAnsi="宋体"/>
                <w:sz w:val="24"/>
              </w:rPr>
              <w:t>管理，在</w:t>
            </w:r>
            <w:r>
              <w:rPr>
                <w:rFonts w:hint="eastAsia" w:ascii="宋体" w:hAnsi="宋体"/>
                <w:sz w:val="24"/>
              </w:rPr>
              <w:t>渣场</w:t>
            </w:r>
            <w:r>
              <w:rPr>
                <w:rFonts w:ascii="宋体" w:hAnsi="宋体"/>
                <w:sz w:val="24"/>
              </w:rPr>
              <w:t>四周易发生水土流失以及</w:t>
            </w:r>
            <w:r>
              <w:rPr>
                <w:rFonts w:hint="eastAsia" w:ascii="宋体" w:hAnsi="宋体"/>
                <w:sz w:val="24"/>
              </w:rPr>
              <w:t>边坡</w:t>
            </w:r>
            <w:r>
              <w:rPr>
                <w:rFonts w:ascii="宋体" w:hAnsi="宋体"/>
                <w:sz w:val="24"/>
              </w:rPr>
              <w:t>处修建保坎</w:t>
            </w:r>
            <w:r>
              <w:rPr>
                <w:rFonts w:hint="eastAsia" w:ascii="宋体" w:hAnsi="宋体"/>
                <w:sz w:val="24"/>
              </w:rPr>
              <w:t>及挡土墙</w:t>
            </w:r>
            <w:r>
              <w:rPr>
                <w:rFonts w:ascii="宋体" w:hAnsi="宋体"/>
                <w:sz w:val="24"/>
              </w:rPr>
              <w:t>，以保护</w:t>
            </w:r>
            <w:r>
              <w:rPr>
                <w:rFonts w:hint="eastAsia" w:ascii="宋体" w:hAnsi="宋体"/>
                <w:sz w:val="24"/>
              </w:rPr>
              <w:t>堆场</w:t>
            </w:r>
            <w:r>
              <w:rPr>
                <w:rFonts w:ascii="宋体" w:hAnsi="宋体"/>
                <w:sz w:val="24"/>
              </w:rPr>
              <w:t>的安全</w:t>
            </w:r>
            <w:r>
              <w:rPr>
                <w:rFonts w:hint="eastAsia" w:ascii="宋体" w:hAnsi="宋体"/>
                <w:sz w:val="24"/>
              </w:rPr>
              <w:t>。</w:t>
            </w:r>
          </w:p>
          <w:p>
            <w:pPr>
              <w:pStyle w:val="13"/>
              <w:spacing w:before="0" w:after="0" w:line="360" w:lineRule="auto"/>
              <w:ind w:right="0" w:firstLine="480" w:firstLineChars="200"/>
              <w:rPr>
                <w:rFonts w:hint="eastAsia"/>
                <w:sz w:val="24"/>
              </w:rPr>
            </w:pPr>
            <w:r>
              <w:rPr>
                <w:rFonts w:hint="eastAsia" w:ascii="宋体" w:hAnsi="宋体"/>
                <w:sz w:val="24"/>
              </w:rPr>
              <w:t>③施工结束后对渣场采取植物恢复措施，对渣场进行植被恢复。</w:t>
            </w:r>
          </w:p>
          <w:p>
            <w:pPr>
              <w:snapToGrid w:val="0"/>
              <w:spacing w:line="360" w:lineRule="auto"/>
              <w:ind w:firstLine="480"/>
              <w:rPr>
                <w:sz w:val="24"/>
              </w:rPr>
            </w:pPr>
            <w:r>
              <w:rPr>
                <w:rFonts w:hint="eastAsia"/>
                <w:sz w:val="24"/>
              </w:rPr>
              <w:t>（</w:t>
            </w:r>
            <w:r>
              <w:rPr>
                <w:sz w:val="24"/>
              </w:rPr>
              <w:t>3</w:t>
            </w:r>
            <w:r>
              <w:rPr>
                <w:rFonts w:hint="eastAsia"/>
                <w:sz w:val="24"/>
              </w:rPr>
              <w:t>）施工人员的生活垃圾</w:t>
            </w:r>
          </w:p>
          <w:p>
            <w:pPr>
              <w:snapToGrid w:val="0"/>
              <w:spacing w:line="360" w:lineRule="auto"/>
              <w:ind w:firstLine="480"/>
              <w:rPr>
                <w:kern w:val="0"/>
                <w:sz w:val="24"/>
              </w:rPr>
            </w:pPr>
            <w:r>
              <w:rPr>
                <w:rFonts w:hint="eastAsia"/>
                <w:sz w:val="24"/>
              </w:rPr>
              <w:t>由工程分析可知，施工期生活垃圾产生量为</w:t>
            </w:r>
            <w:r>
              <w:rPr>
                <w:sz w:val="24"/>
              </w:rPr>
              <w:t>25kg/d</w:t>
            </w:r>
            <w:r>
              <w:rPr>
                <w:rFonts w:hint="eastAsia"/>
                <w:sz w:val="24"/>
              </w:rPr>
              <w:t>，拟采取定点堆放，由市政环卫部门统一收集后及时清运，不会对周围环境造成明显的不利影响。</w:t>
            </w:r>
          </w:p>
          <w:p>
            <w:pPr>
              <w:snapToGrid w:val="0"/>
              <w:spacing w:line="360" w:lineRule="auto"/>
              <w:ind w:firstLine="480"/>
              <w:rPr>
                <w:rFonts w:hint="eastAsia" w:cs="宋体"/>
                <w:kern w:val="0"/>
                <w:sz w:val="24"/>
              </w:rPr>
            </w:pPr>
            <w:r>
              <w:rPr>
                <w:rFonts w:hint="eastAsia" w:cs="宋体"/>
                <w:kern w:val="0"/>
                <w:sz w:val="24"/>
              </w:rPr>
              <w:t>采取以上措施后，施工期固体废物对周围环境影响较小。</w:t>
            </w:r>
          </w:p>
          <w:p>
            <w:pPr>
              <w:snapToGrid w:val="0"/>
              <w:spacing w:line="360" w:lineRule="auto"/>
              <w:ind w:firstLine="480"/>
              <w:rPr>
                <w:rFonts w:hint="eastAsia" w:cs="宋体"/>
                <w:kern w:val="0"/>
                <w:sz w:val="24"/>
              </w:rPr>
            </w:pPr>
            <w:r>
              <w:rPr>
                <w:rFonts w:hint="eastAsia" w:cs="宋体"/>
                <w:kern w:val="0"/>
                <w:sz w:val="24"/>
              </w:rPr>
              <w:t>（4）管道施工废料</w:t>
            </w:r>
          </w:p>
          <w:p>
            <w:pPr>
              <w:pStyle w:val="183"/>
              <w:wordWrap/>
              <w:ind w:firstLine="482" w:firstLineChars="0"/>
              <w:rPr>
                <w:rFonts w:cs="宋体"/>
                <w:kern w:val="0"/>
              </w:rPr>
            </w:pPr>
            <w:r>
              <w:rPr>
                <w:rFonts w:hint="eastAsia" w:cs="宋体"/>
                <w:kern w:val="0"/>
              </w:rPr>
              <w:t>管道施工废料主要包括焊接作业中产生的废焊条、防腐作业中产生的废防腐材料、防腐保温布及施工过程中产生的废混凝土等。根据类比调查，管网施工废料的产生量约为 0.1t/km。根据项目管网建设内容可知，项目管网总施工长度约为</w:t>
            </w:r>
            <w:r>
              <w:rPr>
                <w:rFonts w:cs="宋体"/>
                <w:kern w:val="0"/>
              </w:rPr>
              <w:t>6.09</w:t>
            </w:r>
            <w:r>
              <w:rPr>
                <w:rFonts w:hint="eastAsia" w:cs="宋体"/>
                <w:kern w:val="0"/>
              </w:rPr>
              <w:t>km。因此，本项目施工过程产生的管道施工废料量为</w:t>
            </w:r>
            <w:r>
              <w:rPr>
                <w:rFonts w:cs="宋体"/>
                <w:kern w:val="0"/>
              </w:rPr>
              <w:t>0.61</w:t>
            </w:r>
            <w:r>
              <w:rPr>
                <w:rFonts w:hint="eastAsia" w:cs="宋体"/>
                <w:kern w:val="0"/>
              </w:rPr>
              <w:t>t。这一部分废料为一般固废，剩余管材等可卖给废铁收购公司，剩余不可回收部分统一收集定期运至垃圾场处理。</w:t>
            </w:r>
          </w:p>
          <w:p>
            <w:pPr>
              <w:snapToGrid w:val="0"/>
              <w:spacing w:line="360" w:lineRule="auto"/>
              <w:ind w:firstLine="482"/>
              <w:rPr>
                <w:rStyle w:val="42"/>
                <w:rFonts w:hint="eastAsia"/>
                <w:b/>
              </w:rPr>
            </w:pPr>
            <w:r>
              <w:rPr>
                <w:rStyle w:val="42"/>
                <w:rFonts w:hint="eastAsia"/>
                <w:b/>
              </w:rPr>
              <w:t>5、施工对生态环境的影响</w:t>
            </w:r>
          </w:p>
          <w:p>
            <w:pPr>
              <w:snapToGrid w:val="0"/>
              <w:spacing w:line="360" w:lineRule="auto"/>
              <w:ind w:firstLine="480"/>
              <w:rPr>
                <w:sz w:val="24"/>
              </w:rPr>
            </w:pPr>
            <w:r>
              <w:rPr>
                <w:rFonts w:hint="eastAsia"/>
                <w:sz w:val="24"/>
              </w:rPr>
              <w:t>本项目为新建项目，施工期开挖管线、安装及建筑材料的运输会对生态环境造成一定的影响。</w:t>
            </w:r>
          </w:p>
          <w:p>
            <w:pPr>
              <w:snapToGrid w:val="0"/>
              <w:spacing w:line="360" w:lineRule="auto"/>
              <w:ind w:firstLine="480"/>
              <w:rPr>
                <w:sz w:val="24"/>
              </w:rPr>
            </w:pPr>
            <w:r>
              <w:rPr>
                <w:rFonts w:hint="eastAsia" w:ascii="宋体" w:hAnsi="宋体" w:cs="宋体"/>
                <w:sz w:val="24"/>
              </w:rPr>
              <w:t>①</w:t>
            </w:r>
            <w:r>
              <w:rPr>
                <w:rFonts w:hint="eastAsia"/>
                <w:sz w:val="24"/>
              </w:rPr>
              <w:t>对土地利用状况的影响</w:t>
            </w:r>
          </w:p>
          <w:p>
            <w:pPr>
              <w:snapToGrid w:val="0"/>
              <w:spacing w:line="360" w:lineRule="auto"/>
              <w:ind w:firstLine="480"/>
              <w:rPr>
                <w:sz w:val="24"/>
              </w:rPr>
            </w:pPr>
            <w:r>
              <w:rPr>
                <w:rFonts w:hint="eastAsia"/>
                <w:sz w:val="24"/>
              </w:rPr>
              <w:t>本工程占地为永久占地以及临时性工程占地，占用和扰动类型以林地、交通运输用地、耕地为主，项目采用河床地埋的方式穿越王沟、徐沟。对于临时占地，竣工后要进行土地复垦和植被重建工作。在开挖地表土壤时，尽可能将表土堆在一旁，施工完毕，应尽快整理施工现场，将表土覆盖在原地表，以恢复植被。施工过程中破坏的植被，要制定补偿措施，进行补偿。复植的绿色植物应优先选择当地有的物种，避免引进外来物种，以免影响当地物种的种群结构，并加强养护提高成活率。管道沿线恢复植被时限制深根植物以防止植物根茎穿破管线防护层。通过加大对作业带有机肥料的投入，增加土壤有机质含量，恢复土壤团粒结构，减轻对土壤的压实效应。</w:t>
            </w:r>
          </w:p>
          <w:p>
            <w:pPr>
              <w:snapToGrid w:val="0"/>
              <w:spacing w:line="360" w:lineRule="auto"/>
              <w:ind w:firstLine="480"/>
              <w:rPr>
                <w:sz w:val="24"/>
              </w:rPr>
            </w:pPr>
            <w:r>
              <w:rPr>
                <w:rFonts w:hint="eastAsia"/>
                <w:sz w:val="24"/>
              </w:rPr>
              <w:t>施工结束后，经土方回填，采取生态恢复措施，对施工作业带所造成的生态破坏加以恢复，因而施工活动对占地范围内土地利用结构主要表现为短期可逆影响。</w:t>
            </w:r>
          </w:p>
          <w:p>
            <w:pPr>
              <w:snapToGrid w:val="0"/>
              <w:spacing w:line="360" w:lineRule="auto"/>
              <w:ind w:firstLine="480"/>
              <w:rPr>
                <w:sz w:val="24"/>
              </w:rPr>
            </w:pPr>
            <w:r>
              <w:rPr>
                <w:rFonts w:hint="eastAsia" w:ascii="宋体" w:hAnsi="宋体" w:cs="宋体"/>
                <w:sz w:val="24"/>
              </w:rPr>
              <w:t>②</w:t>
            </w:r>
            <w:r>
              <w:rPr>
                <w:rFonts w:hint="eastAsia"/>
                <w:sz w:val="24"/>
              </w:rPr>
              <w:t>对土壤的影响</w:t>
            </w:r>
          </w:p>
          <w:p>
            <w:pPr>
              <w:snapToGrid w:val="0"/>
              <w:spacing w:line="360" w:lineRule="auto"/>
              <w:ind w:firstLine="480"/>
              <w:rPr>
                <w:sz w:val="24"/>
              </w:rPr>
            </w:pPr>
            <w:r>
              <w:rPr>
                <w:rFonts w:hint="eastAsia"/>
                <w:sz w:val="24"/>
              </w:rPr>
              <w:t>本项目由于工程开挖和开挖土的堆放，将对土壤环境造成很大影响，破坏土壤结构，破坏土壤层次，改变土壤质地，影响土壤的紧密度，从而造成土壤养分的大量流失，影响植被生长环境。因此，评价要求在施工过程中做到</w:t>
            </w:r>
            <w:r>
              <w:rPr>
                <w:sz w:val="24"/>
              </w:rPr>
              <w:t>“</w:t>
            </w:r>
            <w:r>
              <w:rPr>
                <w:rFonts w:hint="eastAsia"/>
                <w:sz w:val="24"/>
              </w:rPr>
              <w:t>分层开挖、分层堆放、分层回填</w:t>
            </w:r>
            <w:r>
              <w:rPr>
                <w:sz w:val="24"/>
              </w:rPr>
              <w:t>”</w:t>
            </w:r>
            <w:r>
              <w:rPr>
                <w:rFonts w:hint="eastAsia"/>
                <w:sz w:val="24"/>
              </w:rPr>
              <w:t>，把原有表土回填到开挖区表层，以利于恢复植被的生长。回填时还应留足适宜的堆积层，防止因降水、径流造成地表下陷和水土流失。管沟在农田开挖时，耕作土和非耕作土分别堆放在作业带的两侧，对开挖的耕作土采用土工袋装填进行拦挡。</w:t>
            </w:r>
          </w:p>
          <w:p>
            <w:pPr>
              <w:snapToGrid w:val="0"/>
              <w:spacing w:line="360" w:lineRule="auto"/>
              <w:ind w:firstLine="480"/>
              <w:rPr>
                <w:sz w:val="24"/>
              </w:rPr>
            </w:pPr>
            <w:r>
              <w:rPr>
                <w:rFonts w:hint="eastAsia" w:ascii="宋体" w:hAnsi="宋体" w:cs="宋体"/>
                <w:sz w:val="24"/>
              </w:rPr>
              <w:t>③</w:t>
            </w:r>
            <w:r>
              <w:rPr>
                <w:rFonts w:hint="eastAsia"/>
                <w:sz w:val="24"/>
              </w:rPr>
              <w:t>对地表植被的影响</w:t>
            </w:r>
          </w:p>
          <w:p>
            <w:pPr>
              <w:snapToGrid w:val="0"/>
              <w:spacing w:line="360" w:lineRule="auto"/>
              <w:ind w:firstLine="480"/>
              <w:rPr>
                <w:bCs/>
                <w:sz w:val="24"/>
              </w:rPr>
            </w:pPr>
            <w:r>
              <w:rPr>
                <w:rFonts w:hint="eastAsia"/>
                <w:bCs/>
                <w:sz w:val="24"/>
              </w:rPr>
              <w:t>在建设项目施工初期，清除管道沿线地表覆盖物以及土石方开挖时会破坏地表植被。工程建成后对管道沿线恢复地表植被，可在一定程度上减缓工程建设对局部生态环境造成的影响。</w:t>
            </w:r>
          </w:p>
          <w:p>
            <w:pPr>
              <w:snapToGrid w:val="0"/>
              <w:spacing w:line="360" w:lineRule="auto"/>
              <w:ind w:firstLine="480"/>
              <w:rPr>
                <w:bCs/>
                <w:sz w:val="24"/>
              </w:rPr>
            </w:pPr>
            <w:r>
              <w:rPr>
                <w:rFonts w:hint="eastAsia"/>
                <w:bCs/>
                <w:sz w:val="24"/>
              </w:rPr>
              <w:t>在管线建设中，管沟范围内植物的地上部分与根系均被开挖铲除，同时还会伤及附近植物的根系。施工带两侧的植被由于挖掘出的土石方堆放、施工车辆和机具的碾压，会造成植物地上部分破坏甚至死亡。管道施工结束，采取植物恢复措施后，</w:t>
            </w:r>
            <w:r>
              <w:rPr>
                <w:bCs/>
                <w:sz w:val="24"/>
              </w:rPr>
              <w:t>1</w:t>
            </w:r>
            <w:r>
              <w:rPr>
                <w:rFonts w:hint="eastAsia"/>
                <w:bCs/>
                <w:sz w:val="24"/>
              </w:rPr>
              <w:t>～</w:t>
            </w:r>
            <w:r>
              <w:rPr>
                <w:bCs/>
                <w:sz w:val="24"/>
              </w:rPr>
              <w:t>2</w:t>
            </w:r>
            <w:r>
              <w:rPr>
                <w:rFonts w:hint="eastAsia"/>
                <w:bCs/>
                <w:sz w:val="24"/>
              </w:rPr>
              <w:t>年可基本恢复到原有植被覆盖水平。</w:t>
            </w:r>
          </w:p>
          <w:p>
            <w:pPr>
              <w:snapToGrid w:val="0"/>
              <w:spacing w:line="360" w:lineRule="auto"/>
              <w:ind w:firstLine="480"/>
              <w:rPr>
                <w:rFonts w:hint="eastAsia"/>
                <w:bCs/>
                <w:sz w:val="24"/>
              </w:rPr>
            </w:pPr>
            <w:r>
              <w:rPr>
                <w:rFonts w:hint="eastAsia"/>
                <w:bCs/>
                <w:sz w:val="24"/>
              </w:rPr>
              <w:t>净水厂施工过程中，对植被产生破坏，但是施工结束后，厂内采用植物等措施进行厂区内植被恢复，同时施工结束后，对弃渣场采取植物恢复措施。</w:t>
            </w:r>
          </w:p>
          <w:p>
            <w:pPr>
              <w:snapToGrid w:val="0"/>
              <w:spacing w:line="360" w:lineRule="auto"/>
              <w:ind w:firstLine="480"/>
              <w:rPr>
                <w:sz w:val="24"/>
              </w:rPr>
            </w:pPr>
            <w:r>
              <w:rPr>
                <w:rFonts w:hint="eastAsia"/>
                <w:sz w:val="24"/>
              </w:rPr>
              <w:t>生态保护措施：</w:t>
            </w:r>
          </w:p>
          <w:p>
            <w:pPr>
              <w:snapToGrid w:val="0"/>
              <w:spacing w:line="360" w:lineRule="auto"/>
              <w:ind w:firstLine="480"/>
              <w:rPr>
                <w:bCs/>
                <w:sz w:val="24"/>
              </w:rPr>
            </w:pPr>
            <w:r>
              <w:rPr>
                <w:rFonts w:hint="eastAsia"/>
                <w:bCs/>
                <w:sz w:val="24"/>
              </w:rPr>
              <w:t>针对本项目对生态的影响，提出以下生态防护措施：</w:t>
            </w:r>
          </w:p>
          <w:p>
            <w:pPr>
              <w:snapToGrid w:val="0"/>
              <w:spacing w:line="360" w:lineRule="auto"/>
              <w:ind w:firstLine="480"/>
              <w:rPr>
                <w:sz w:val="24"/>
              </w:rPr>
            </w:pPr>
            <w:r>
              <w:rPr>
                <w:rFonts w:hint="eastAsia" w:ascii="宋体" w:hAnsi="宋体" w:cs="宋体"/>
                <w:sz w:val="24"/>
              </w:rPr>
              <w:t>①</w:t>
            </w:r>
            <w:r>
              <w:rPr>
                <w:rFonts w:hint="eastAsia"/>
                <w:sz w:val="24"/>
              </w:rPr>
              <w:t>管道施工尽量避免对原有植被进行开挖，不可避免时，采取分层开挖、分层堆放、分层回填的方式，尽量把原有表土回填到开挖区表层，以利于恢复植被生长；</w:t>
            </w:r>
          </w:p>
          <w:p>
            <w:pPr>
              <w:snapToGrid w:val="0"/>
              <w:spacing w:line="360" w:lineRule="auto"/>
              <w:ind w:firstLine="480"/>
              <w:rPr>
                <w:sz w:val="24"/>
              </w:rPr>
            </w:pPr>
            <w:r>
              <w:rPr>
                <w:rFonts w:hint="eastAsia" w:ascii="宋体" w:hAnsi="宋体" w:cs="宋体"/>
                <w:sz w:val="24"/>
              </w:rPr>
              <w:t>②</w:t>
            </w:r>
            <w:r>
              <w:rPr>
                <w:rFonts w:hint="eastAsia"/>
                <w:sz w:val="24"/>
              </w:rPr>
              <w:t>施工时所有车辆、机械设备、施工人员的活动严格限制在施工带内，对于临时占地要严格控制面积，减少对土壤与植被的不必要破坏；</w:t>
            </w:r>
          </w:p>
          <w:p>
            <w:pPr>
              <w:snapToGrid w:val="0"/>
              <w:spacing w:line="360" w:lineRule="auto"/>
              <w:ind w:firstLine="480"/>
              <w:rPr>
                <w:sz w:val="24"/>
              </w:rPr>
            </w:pPr>
            <w:r>
              <w:rPr>
                <w:rFonts w:hint="eastAsia" w:ascii="宋体" w:hAnsi="宋体" w:cs="宋体"/>
                <w:sz w:val="24"/>
              </w:rPr>
              <w:t>③</w:t>
            </w:r>
            <w:r>
              <w:rPr>
                <w:rFonts w:hint="eastAsia"/>
                <w:sz w:val="24"/>
              </w:rPr>
              <w:t>施工结束后要尽快清理施工现场，恢复原有的地形地貌，运走施工垃圾，严禁将其覆土埋入地下；</w:t>
            </w:r>
          </w:p>
          <w:p>
            <w:pPr>
              <w:snapToGrid w:val="0"/>
              <w:spacing w:line="360" w:lineRule="auto"/>
              <w:ind w:firstLine="480"/>
              <w:rPr>
                <w:sz w:val="24"/>
              </w:rPr>
            </w:pPr>
            <w:r>
              <w:rPr>
                <w:rFonts w:hint="eastAsia" w:ascii="宋体" w:hAnsi="宋体" w:cs="宋体"/>
                <w:sz w:val="24"/>
              </w:rPr>
              <w:t>④</w:t>
            </w:r>
            <w:r>
              <w:rPr>
                <w:rFonts w:hint="eastAsia"/>
                <w:sz w:val="24"/>
              </w:rPr>
              <w:t>合理安排施工进度，减少水土流失；施工要避开雨季和大风天气，施工要分段进行，建筑垃圾运至环卫部门指定地方倾倒；</w:t>
            </w:r>
          </w:p>
          <w:p>
            <w:pPr>
              <w:snapToGrid w:val="0"/>
              <w:spacing w:line="360" w:lineRule="auto"/>
              <w:ind w:firstLine="480"/>
              <w:rPr>
                <w:sz w:val="24"/>
              </w:rPr>
            </w:pPr>
            <w:r>
              <w:rPr>
                <w:rFonts w:hint="eastAsia" w:ascii="宋体" w:hAnsi="宋体" w:cs="宋体"/>
                <w:sz w:val="24"/>
              </w:rPr>
              <w:t>⑤工区等</w:t>
            </w:r>
            <w:r>
              <w:rPr>
                <w:rFonts w:hint="eastAsia"/>
                <w:sz w:val="24"/>
              </w:rPr>
              <w:t>临时占地要进行恢复，两侧范围内不能进行深根性植物，复植的绿色植物应优先选择当地有的物种，避免引进外来物种，以免影响当地物种的种群结构，并加强养护提高成活率；</w:t>
            </w:r>
          </w:p>
          <w:p>
            <w:pPr>
              <w:snapToGrid w:val="0"/>
              <w:spacing w:line="360" w:lineRule="auto"/>
              <w:ind w:firstLine="480"/>
              <w:rPr>
                <w:rFonts w:hint="eastAsia"/>
                <w:sz w:val="24"/>
              </w:rPr>
            </w:pPr>
            <w:r>
              <w:rPr>
                <w:rFonts w:hint="eastAsia" w:ascii="宋体" w:hAnsi="宋体"/>
                <w:sz w:val="24"/>
              </w:rPr>
              <w:t>⑥</w:t>
            </w:r>
            <w:r>
              <w:rPr>
                <w:rFonts w:hint="eastAsia"/>
                <w:sz w:val="24"/>
              </w:rPr>
              <w:t>施工结束后，对弃渣场等临时占地进行植被恢复。</w:t>
            </w:r>
          </w:p>
          <w:p>
            <w:pPr>
              <w:snapToGrid w:val="0"/>
              <w:spacing w:line="360" w:lineRule="auto"/>
              <w:ind w:firstLine="480"/>
              <w:rPr>
                <w:rFonts w:hint="eastAsia"/>
                <w:sz w:val="24"/>
              </w:rPr>
            </w:pPr>
            <w:r>
              <w:rPr>
                <w:rFonts w:hint="eastAsia"/>
                <w:sz w:val="24"/>
              </w:rPr>
              <w:t>通过采取以上措施，项目对生态的影响能降到最低。</w:t>
            </w:r>
          </w:p>
          <w:p>
            <w:pPr>
              <w:snapToGrid w:val="0"/>
              <w:spacing w:line="360" w:lineRule="auto"/>
              <w:ind w:firstLine="482"/>
              <w:rPr>
                <w:b/>
                <w:bCs/>
                <w:sz w:val="24"/>
              </w:rPr>
            </w:pPr>
            <w:r>
              <w:rPr>
                <w:rFonts w:hint="eastAsia"/>
                <w:b/>
                <w:bCs/>
                <w:sz w:val="24"/>
              </w:rPr>
              <w:t>6、水土流失影响分析</w:t>
            </w:r>
          </w:p>
          <w:p>
            <w:pPr>
              <w:snapToGrid w:val="0"/>
              <w:spacing w:line="360" w:lineRule="auto"/>
              <w:ind w:firstLine="480"/>
              <w:rPr>
                <w:sz w:val="24"/>
              </w:rPr>
            </w:pPr>
            <w:r>
              <w:rPr>
                <w:rFonts w:hint="eastAsia"/>
                <w:sz w:val="24"/>
              </w:rPr>
              <w:t>本项目在土石方施工阶段造成地表裸露，在大雨或暴雨天气下受地表径流的冲刷作用而发生水土流失。</w:t>
            </w:r>
          </w:p>
          <w:p>
            <w:pPr>
              <w:snapToGrid w:val="0"/>
              <w:spacing w:line="360" w:lineRule="auto"/>
              <w:ind w:firstLine="480"/>
              <w:rPr>
                <w:sz w:val="24"/>
              </w:rPr>
            </w:pPr>
            <w:r>
              <w:rPr>
                <w:rFonts w:hint="eastAsia"/>
                <w:sz w:val="24"/>
              </w:rPr>
              <w:t>总体来说本工程只要及时采取一定的防治措施，如做好堆场防护和路基边坡绿化工作，就可大大减轻水土流失影响。为减少水土流失，保护生态环境，施工中应采取如下措施</w:t>
            </w:r>
          </w:p>
          <w:p>
            <w:pPr>
              <w:snapToGrid w:val="0"/>
              <w:spacing w:line="360" w:lineRule="auto"/>
              <w:ind w:firstLine="480"/>
              <w:rPr>
                <w:rFonts w:hint="eastAsia"/>
                <w:sz w:val="24"/>
              </w:rPr>
            </w:pPr>
            <w:r>
              <w:rPr>
                <w:rFonts w:hint="eastAsia"/>
                <w:sz w:val="24"/>
              </w:rPr>
              <w:t>①根据所在区域降雨的时间、特点和天气预报等，合理制定施工计划，在暴雨前及时对施工场地进行清理，减缓暴雨对开挖路面的剧烈冲刷，减少水土流失。</w:t>
            </w:r>
          </w:p>
          <w:p>
            <w:pPr>
              <w:snapToGrid w:val="0"/>
              <w:spacing w:line="360" w:lineRule="auto"/>
              <w:ind w:firstLine="480"/>
              <w:rPr>
                <w:rFonts w:hint="eastAsia"/>
                <w:sz w:val="24"/>
              </w:rPr>
            </w:pPr>
            <w:r>
              <w:rPr>
                <w:rFonts w:hint="eastAsia"/>
                <w:sz w:val="24"/>
              </w:rPr>
              <w:t>②根据项目施工总布置、施工特点和工程完工后的土地利用意向，采取水土保持综合防治措施，结合主体工程设计中具有水土保持功能的工程及工程实施进度安排，按照永久措施与临时措施相结合、工程措施与植物措施相结合，布设水土流失防治措施。</w:t>
            </w:r>
          </w:p>
          <w:p>
            <w:pPr>
              <w:snapToGrid w:val="0"/>
              <w:spacing w:line="360" w:lineRule="auto"/>
              <w:ind w:firstLine="480"/>
              <w:rPr>
                <w:rFonts w:hint="eastAsia"/>
                <w:sz w:val="24"/>
              </w:rPr>
            </w:pPr>
            <w:r>
              <w:rPr>
                <w:rFonts w:hint="eastAsia"/>
                <w:sz w:val="24"/>
              </w:rPr>
              <w:t>③项目建设单位应尽量缩短地面裸露时间，并在此段时间做好雨水收集工作，设立雨水沟及沉淀池。</w:t>
            </w:r>
          </w:p>
          <w:p>
            <w:pPr>
              <w:snapToGrid w:val="0"/>
              <w:spacing w:line="360" w:lineRule="auto"/>
              <w:ind w:firstLine="480"/>
              <w:rPr>
                <w:rFonts w:hint="eastAsia"/>
                <w:sz w:val="24"/>
              </w:rPr>
            </w:pPr>
            <w:r>
              <w:rPr>
                <w:rFonts w:hint="eastAsia"/>
                <w:sz w:val="24"/>
              </w:rPr>
              <w:t>④在水土流失防治措施布局上，应以工程措施为先导，工程措施、临时措施一起上，形成布局合理、功能完善的水土流失综合防治措施体系；在临时堆土区域建设拦蓄工程，使本工程临时堆土流失在点上集中拦蓄；在施工工作面及道路两侧结合工程建设修建排水沟和沉沙池等措施，减少地表径流冲刷，使泥、土、石“难下沟、不下河”；使水土流失在“点、线”上有效控制。通过点、线、面防治措施的有机结合，形成立体的综合防治体系。</w:t>
            </w:r>
          </w:p>
          <w:p>
            <w:pPr>
              <w:snapToGrid w:val="0"/>
              <w:spacing w:line="360" w:lineRule="auto"/>
              <w:ind w:firstLine="480"/>
              <w:rPr>
                <w:rFonts w:hint="eastAsia"/>
                <w:sz w:val="24"/>
              </w:rPr>
            </w:pPr>
            <w:r>
              <w:rPr>
                <w:rFonts w:hint="eastAsia"/>
                <w:sz w:val="24"/>
              </w:rPr>
              <w:t>⑤施工过程中须做好预防保护及土石方平衡和合理调运利用，优化施工工艺，尽量减少剩余土石方量，补充施工期的排水措施、拦挡措施及松散土石方的临时覆盖措施，避免场地积水。</w:t>
            </w:r>
          </w:p>
          <w:p>
            <w:pPr>
              <w:snapToGrid w:val="0"/>
              <w:spacing w:line="360" w:lineRule="auto"/>
              <w:ind w:firstLine="480"/>
              <w:rPr>
                <w:rFonts w:hint="eastAsia"/>
                <w:sz w:val="24"/>
              </w:rPr>
            </w:pPr>
            <w:r>
              <w:rPr>
                <w:rFonts w:hint="eastAsia"/>
                <w:sz w:val="24"/>
              </w:rPr>
              <w:t>⑥为防止松散土石方四处散落，并及时排除场地内的积水，景观绿化区需补充建设期的排水措施、拦挡措施，对临时堆土区采取临时排水、拦挡措施和覆盖措施。</w:t>
            </w:r>
          </w:p>
          <w:p>
            <w:pPr>
              <w:snapToGrid w:val="0"/>
              <w:spacing w:line="360" w:lineRule="auto"/>
              <w:ind w:firstLine="480"/>
              <w:rPr>
                <w:rFonts w:hint="eastAsia"/>
                <w:sz w:val="24"/>
              </w:rPr>
            </w:pPr>
            <w:r>
              <w:rPr>
                <w:rFonts w:hint="eastAsia"/>
                <w:sz w:val="24"/>
              </w:rPr>
              <w:t>⑦对工程区主要是做好施工过程中的临时拦挡、排水及路基边坡防护等，渣场采用挡土墙、边坡防护等措施。</w:t>
            </w:r>
          </w:p>
          <w:p>
            <w:pPr>
              <w:snapToGrid w:val="0"/>
              <w:spacing w:line="360" w:lineRule="auto"/>
              <w:ind w:firstLine="480"/>
              <w:rPr>
                <w:rFonts w:hint="eastAsia"/>
                <w:sz w:val="24"/>
              </w:rPr>
            </w:pPr>
            <w:r>
              <w:rPr>
                <w:rFonts w:hint="eastAsia"/>
                <w:sz w:val="24"/>
              </w:rPr>
              <w:t>⑧种植当地植物物种为景观绿化，及时恢复植被。</w:t>
            </w:r>
          </w:p>
          <w:p>
            <w:pPr>
              <w:snapToGrid w:val="0"/>
              <w:spacing w:line="360" w:lineRule="auto"/>
              <w:ind w:firstLine="480"/>
              <w:rPr>
                <w:sz w:val="24"/>
              </w:rPr>
            </w:pPr>
            <w:r>
              <w:rPr>
                <w:rFonts w:hint="eastAsia"/>
                <w:sz w:val="24"/>
              </w:rPr>
              <w:t>⑨项目施工完成后，道路边坡需进行整修，结合当地的自然环境条件，进行人工植草、灌木或植树，以绿化环境，保持水土，并在弃土堆外围设置排水沟，以防洪水沖蚀。</w:t>
            </w:r>
          </w:p>
          <w:p>
            <w:pPr>
              <w:pStyle w:val="183"/>
              <w:wordWrap/>
              <w:ind w:firstLine="482" w:firstLineChars="0"/>
              <w:rPr>
                <w:rFonts w:cs="宋体"/>
                <w:spacing w:val="-10"/>
                <w:szCs w:val="21"/>
              </w:rPr>
            </w:pPr>
            <w:r>
              <w:rPr>
                <w:rFonts w:hint="eastAsia" w:ascii="宋体" w:hAnsi="宋体"/>
                <w:bCs/>
              </w:rPr>
              <w:t>工程施工期的施工活动对当地自然生态环境有一定影响，由于项目主要进行</w:t>
            </w:r>
            <w:r>
              <w:rPr>
                <w:rFonts w:hint="eastAsia" w:ascii="宋体" w:hAnsi="宋体"/>
              </w:rPr>
              <w:t>工业广场、配套环保设施的建设和设备安装</w:t>
            </w:r>
            <w:r>
              <w:rPr>
                <w:rFonts w:hint="eastAsia" w:ascii="宋体" w:hAnsi="宋体"/>
                <w:bCs/>
              </w:rPr>
              <w:t>，故本次</w:t>
            </w:r>
            <w:r>
              <w:rPr>
                <w:rFonts w:hint="eastAsia"/>
                <w:szCs w:val="28"/>
              </w:rPr>
              <w:t>建设</w:t>
            </w:r>
            <w:r>
              <w:rPr>
                <w:rFonts w:hint="eastAsia" w:ascii="宋体" w:hAnsi="宋体"/>
                <w:bCs/>
              </w:rPr>
              <w:t>项目施工期对区域生态环境影响较小。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noWrap w:val="0"/>
            <w:tcMar>
              <w:left w:w="28" w:type="dxa"/>
              <w:right w:w="28" w:type="dxa"/>
            </w:tcMar>
            <w:vAlign w:val="center"/>
          </w:tcPr>
          <w:p>
            <w:pPr>
              <w:adjustRightInd w:val="0"/>
              <w:snapToGrid w:val="0"/>
              <w:jc w:val="center"/>
              <w:rPr>
                <w:rFonts w:hint="eastAsia" w:ascii="宋体" w:hAnsi="宋体" w:cs="宋体"/>
                <w:bCs/>
                <w:szCs w:val="21"/>
              </w:rPr>
            </w:pPr>
            <w:r>
              <w:rPr>
                <w:rFonts w:hint="eastAsia" w:ascii="宋体" w:hAnsi="宋体" w:cs="宋体"/>
                <w:bCs/>
                <w:szCs w:val="21"/>
              </w:rPr>
              <w:t>运营</w:t>
            </w:r>
          </w:p>
          <w:p>
            <w:pPr>
              <w:adjustRightInd w:val="0"/>
              <w:snapToGrid w:val="0"/>
              <w:jc w:val="center"/>
              <w:rPr>
                <w:rFonts w:hint="eastAsia" w:ascii="宋体" w:hAnsi="宋体" w:cs="宋体"/>
                <w:bCs/>
                <w:szCs w:val="21"/>
              </w:rPr>
            </w:pPr>
            <w:r>
              <w:rPr>
                <w:rFonts w:hint="eastAsia" w:ascii="宋体" w:hAnsi="宋体" w:cs="宋体"/>
                <w:bCs/>
                <w:szCs w:val="21"/>
              </w:rPr>
              <w:t>期环</w:t>
            </w:r>
          </w:p>
          <w:p>
            <w:pPr>
              <w:adjustRightInd w:val="0"/>
              <w:snapToGrid w:val="0"/>
              <w:jc w:val="center"/>
              <w:rPr>
                <w:rFonts w:hint="eastAsia" w:ascii="宋体" w:hAnsi="宋体" w:cs="宋体"/>
                <w:bCs/>
                <w:szCs w:val="21"/>
              </w:rPr>
            </w:pPr>
            <w:r>
              <w:rPr>
                <w:rFonts w:hint="eastAsia" w:ascii="宋体" w:hAnsi="宋体" w:cs="宋体"/>
                <w:bCs/>
                <w:szCs w:val="21"/>
              </w:rPr>
              <w:t>境影</w:t>
            </w:r>
          </w:p>
          <w:p>
            <w:pPr>
              <w:adjustRightInd w:val="0"/>
              <w:snapToGrid w:val="0"/>
              <w:jc w:val="center"/>
              <w:rPr>
                <w:rFonts w:hint="eastAsia" w:ascii="宋体" w:hAnsi="宋体" w:cs="宋体"/>
                <w:bCs/>
                <w:szCs w:val="21"/>
              </w:rPr>
            </w:pPr>
            <w:r>
              <w:rPr>
                <w:rFonts w:hint="eastAsia" w:ascii="宋体" w:hAnsi="宋体" w:cs="宋体"/>
                <w:bCs/>
                <w:szCs w:val="21"/>
              </w:rPr>
              <w:t>响和</w:t>
            </w:r>
          </w:p>
          <w:p>
            <w:pPr>
              <w:adjustRightInd w:val="0"/>
              <w:snapToGrid w:val="0"/>
              <w:jc w:val="center"/>
              <w:rPr>
                <w:rFonts w:hint="eastAsia" w:ascii="宋体" w:hAnsi="宋体" w:cs="宋体"/>
                <w:bCs/>
                <w:szCs w:val="21"/>
              </w:rPr>
            </w:pPr>
            <w:r>
              <w:rPr>
                <w:rFonts w:hint="eastAsia" w:ascii="宋体" w:hAnsi="宋体" w:cs="宋体"/>
                <w:bCs/>
                <w:szCs w:val="21"/>
              </w:rPr>
              <w:t>保护</w:t>
            </w:r>
          </w:p>
          <w:p>
            <w:pPr>
              <w:adjustRightInd w:val="0"/>
              <w:snapToGrid w:val="0"/>
              <w:jc w:val="center"/>
              <w:rPr>
                <w:rFonts w:ascii="宋体" w:hAnsi="宋体" w:cs="宋体"/>
                <w:bCs/>
                <w:szCs w:val="21"/>
              </w:rPr>
            </w:pPr>
            <w:r>
              <w:rPr>
                <w:rFonts w:hint="eastAsia" w:ascii="宋体" w:hAnsi="宋体" w:cs="宋体"/>
                <w:bCs/>
                <w:szCs w:val="21"/>
              </w:rPr>
              <w:t>措施</w:t>
            </w:r>
          </w:p>
        </w:tc>
        <w:tc>
          <w:tcPr>
            <w:tcW w:w="8162" w:type="dxa"/>
            <w:noWrap w:val="0"/>
            <w:vAlign w:val="center"/>
          </w:tcPr>
          <w:p>
            <w:pPr>
              <w:spacing w:line="360" w:lineRule="auto"/>
              <w:ind w:firstLine="482" w:firstLineChars="200"/>
              <w:rPr>
                <w:rFonts w:hint="eastAsia" w:hAnsi="宋体" w:cs="宋体"/>
                <w:b/>
                <w:sz w:val="24"/>
              </w:rPr>
            </w:pPr>
            <w:r>
              <w:rPr>
                <w:rFonts w:hint="eastAsia"/>
                <w:b/>
              </w:rPr>
              <w:t>1、</w:t>
            </w:r>
            <w:r>
              <w:rPr>
                <w:rFonts w:hint="eastAsia" w:hAnsi="宋体" w:cs="宋体"/>
                <w:b/>
                <w:sz w:val="24"/>
              </w:rPr>
              <w:t>废水产生情况及其处理措施及其可行性分析</w:t>
            </w:r>
          </w:p>
          <w:p>
            <w:pPr>
              <w:pStyle w:val="183"/>
              <w:rPr>
                <w:color w:val="000000"/>
              </w:rPr>
            </w:pPr>
            <w:r>
              <w:rPr>
                <w:rFonts w:hint="eastAsia"/>
              </w:rPr>
              <w:t>本项目运营期产生废水包括生产废水以及生活污水，其中生产废水主要包括净水厂</w:t>
            </w:r>
            <w:r>
              <w:rPr>
                <w:color w:val="000000"/>
              </w:rPr>
              <w:t>沉淀池</w:t>
            </w:r>
            <w:r>
              <w:rPr>
                <w:rFonts w:hint="eastAsia"/>
                <w:color w:val="000000"/>
              </w:rPr>
              <w:t>、反冲洗回收水池、清水池</w:t>
            </w:r>
            <w:r>
              <w:rPr>
                <w:color w:val="000000"/>
              </w:rPr>
              <w:t>排泥水</w:t>
            </w:r>
            <w:r>
              <w:rPr>
                <w:rFonts w:hint="eastAsia"/>
                <w:color w:val="000000"/>
              </w:rPr>
              <w:t>以及</w:t>
            </w:r>
            <w:r>
              <w:rPr>
                <w:color w:val="000000"/>
              </w:rPr>
              <w:t>滤池反冲洗废水。</w:t>
            </w:r>
          </w:p>
          <w:p>
            <w:pPr>
              <w:pStyle w:val="183"/>
              <w:rPr>
                <w:rFonts w:hint="eastAsia"/>
                <w:color w:val="000000"/>
              </w:rPr>
            </w:pPr>
            <w:r>
              <w:rPr>
                <w:rFonts w:hint="eastAsia"/>
                <w:color w:val="000000"/>
              </w:rPr>
              <w:t>其中滤池反冲洗废水经反冲洗回收水池回收后上清液进入厂内配水井内回用，其余沉淀池、反冲洗回收水池以及清水池内的排泥水进入排泥池，采用浓缩后上清液接入土主镇污水处理厂处理，污泥脱水产生废水进入排泥池内进一步处理。员工生活污水经化粪池预处理后用于周边农田农肥。</w:t>
            </w:r>
          </w:p>
          <w:p>
            <w:pPr>
              <w:pStyle w:val="183"/>
              <w:ind w:firstLine="482"/>
              <w:rPr>
                <w:rFonts w:hint="eastAsia"/>
                <w:b/>
                <w:bCs/>
              </w:rPr>
            </w:pPr>
            <w:r>
              <w:rPr>
                <w:rFonts w:hint="eastAsia"/>
                <w:b/>
                <w:bCs/>
              </w:rPr>
              <w:t>综上，</w:t>
            </w:r>
            <w:r>
              <w:rPr>
                <w:b/>
                <w:bCs/>
              </w:rPr>
              <w:t>本项目废水排放方式为间接排放，不设置地表水专项评价。</w:t>
            </w:r>
          </w:p>
          <w:p>
            <w:pPr>
              <w:wordWrap w:val="0"/>
              <w:adjustRightInd w:val="0"/>
              <w:snapToGrid w:val="0"/>
              <w:spacing w:line="360" w:lineRule="auto"/>
              <w:ind w:firstLine="482" w:firstLineChars="200"/>
              <w:jc w:val="left"/>
              <w:rPr>
                <w:rFonts w:hint="eastAsia"/>
                <w:b/>
                <w:sz w:val="24"/>
              </w:rPr>
            </w:pPr>
            <w:r>
              <w:rPr>
                <w:rFonts w:hint="eastAsia"/>
                <w:b/>
                <w:sz w:val="24"/>
              </w:rPr>
              <w:t>1、废水源强核算及治理措施</w:t>
            </w:r>
          </w:p>
          <w:p>
            <w:pPr>
              <w:wordWrap w:val="0"/>
              <w:adjustRightInd w:val="0"/>
              <w:snapToGrid w:val="0"/>
              <w:spacing w:line="360" w:lineRule="auto"/>
              <w:ind w:firstLine="482" w:firstLineChars="200"/>
              <w:jc w:val="left"/>
              <w:rPr>
                <w:b/>
                <w:sz w:val="24"/>
              </w:rPr>
            </w:pPr>
            <w:r>
              <w:rPr>
                <w:rFonts w:hint="eastAsia"/>
                <w:b/>
                <w:sz w:val="24"/>
              </w:rPr>
              <w:t>1）滤池反冲洗废水</w:t>
            </w:r>
          </w:p>
          <w:p>
            <w:pPr>
              <w:wordWrap w:val="0"/>
              <w:adjustRightInd w:val="0"/>
              <w:snapToGrid w:val="0"/>
              <w:spacing w:line="360" w:lineRule="auto"/>
              <w:ind w:firstLine="482" w:firstLineChars="200"/>
              <w:jc w:val="left"/>
              <w:rPr>
                <w:rFonts w:hint="eastAsia"/>
                <w:bCs/>
                <w:sz w:val="24"/>
              </w:rPr>
            </w:pPr>
            <w:r>
              <w:rPr>
                <w:rFonts w:hint="eastAsia"/>
                <w:b/>
                <w:sz w:val="24"/>
              </w:rPr>
              <w:t>源强核算：</w:t>
            </w:r>
            <w:r>
              <w:rPr>
                <w:rFonts w:hint="eastAsia"/>
                <w:bCs/>
                <w:sz w:val="24"/>
              </w:rPr>
              <w:t xml:space="preserve">在滤池的过滤过程中，滤料层截留的杂质数量不断增加，因而滤料层阻力不断增加，滤池水头损失增大，水位也会随之升高；因而在过滤过程中，须定时对滤池进行反冲洗。 </w:t>
            </w:r>
          </w:p>
          <w:p>
            <w:pPr>
              <w:wordWrap w:val="0"/>
              <w:adjustRightInd w:val="0"/>
              <w:snapToGrid w:val="0"/>
              <w:spacing w:line="360" w:lineRule="auto"/>
              <w:ind w:firstLine="480" w:firstLineChars="200"/>
              <w:jc w:val="left"/>
              <w:rPr>
                <w:rFonts w:ascii="宋体" w:hAnsi="宋体" w:cs="宋体"/>
                <w:sz w:val="24"/>
              </w:rPr>
            </w:pPr>
            <w:r>
              <w:rPr>
                <w:rFonts w:hint="eastAsia"/>
                <w:bCs/>
                <w:sz w:val="24"/>
              </w:rPr>
              <w:t>根据对同类自来水厂的类比分析以及设计资料，滤池一般每天反冲洗一次，</w:t>
            </w:r>
            <w:r>
              <w:rPr>
                <w:rFonts w:hint="eastAsia" w:ascii="宋体" w:hAnsi="宋体" w:cs="宋体"/>
                <w:sz w:val="24"/>
              </w:rPr>
              <w:t>每个滤池每次排出冲洗水量约70m³，每日总排出量约560m³。滤池反冲洗出水含泥浓度不高，且具有活性，易沉淀。</w:t>
            </w:r>
          </w:p>
          <w:p>
            <w:pPr>
              <w:wordWrap w:val="0"/>
              <w:adjustRightInd w:val="0"/>
              <w:snapToGrid w:val="0"/>
              <w:spacing w:line="360" w:lineRule="auto"/>
              <w:ind w:firstLine="482" w:firstLineChars="200"/>
              <w:jc w:val="left"/>
              <w:rPr>
                <w:rFonts w:hint="eastAsia"/>
                <w:bCs/>
                <w:sz w:val="24"/>
              </w:rPr>
            </w:pPr>
            <w:r>
              <w:rPr>
                <w:rFonts w:hint="eastAsia" w:ascii="宋体" w:hAnsi="宋体" w:cs="宋体"/>
                <w:b/>
                <w:bCs/>
                <w:sz w:val="24"/>
              </w:rPr>
              <w:t>治理措施：</w:t>
            </w:r>
            <w:r>
              <w:rPr>
                <w:rFonts w:hint="eastAsia" w:ascii="宋体" w:hAnsi="宋体" w:cs="宋体"/>
                <w:sz w:val="24"/>
              </w:rPr>
              <w:t>反冲洗废水经管道输送至反冲洗水回收池内，经沉淀后上层上清液泵入厂内配水井内作为生产用水回用，不外排。</w:t>
            </w:r>
          </w:p>
          <w:p>
            <w:pPr>
              <w:wordWrap w:val="0"/>
              <w:adjustRightInd w:val="0"/>
              <w:snapToGrid w:val="0"/>
              <w:spacing w:line="360" w:lineRule="auto"/>
              <w:ind w:firstLine="482" w:firstLineChars="200"/>
              <w:jc w:val="left"/>
              <w:rPr>
                <w:b/>
                <w:sz w:val="24"/>
              </w:rPr>
            </w:pPr>
            <w:r>
              <w:rPr>
                <w:b/>
                <w:sz w:val="24"/>
              </w:rPr>
              <w:t>2</w:t>
            </w:r>
            <w:r>
              <w:rPr>
                <w:rFonts w:hint="eastAsia"/>
                <w:b/>
                <w:sz w:val="24"/>
              </w:rPr>
              <w:t>）排泥水</w:t>
            </w:r>
          </w:p>
          <w:p>
            <w:pPr>
              <w:wordWrap w:val="0"/>
              <w:adjustRightInd w:val="0"/>
              <w:snapToGrid w:val="0"/>
              <w:spacing w:line="360" w:lineRule="auto"/>
              <w:ind w:firstLine="480" w:firstLineChars="200"/>
              <w:jc w:val="left"/>
              <w:rPr>
                <w:rFonts w:hint="eastAsia"/>
                <w:b/>
                <w:sz w:val="24"/>
              </w:rPr>
            </w:pPr>
            <w:r>
              <w:rPr>
                <w:rFonts w:hint="eastAsia"/>
                <w:bCs/>
                <w:sz w:val="24"/>
              </w:rPr>
              <w:t>本项目排泥水主要包括</w:t>
            </w:r>
            <w:r>
              <w:rPr>
                <w:color w:val="000000"/>
                <w:sz w:val="24"/>
              </w:rPr>
              <w:t>沉淀池</w:t>
            </w:r>
            <w:r>
              <w:rPr>
                <w:rFonts w:hint="eastAsia"/>
                <w:color w:val="000000"/>
                <w:sz w:val="24"/>
              </w:rPr>
              <w:t>、反冲洗回收水池、清水池排泥水以及污泥脱水废水。</w:t>
            </w:r>
          </w:p>
          <w:p>
            <w:pPr>
              <w:spacing w:line="360" w:lineRule="auto"/>
              <w:ind w:firstLine="480" w:firstLineChars="200"/>
              <w:rPr>
                <w:color w:val="000000"/>
                <w:sz w:val="24"/>
              </w:rPr>
            </w:pPr>
            <w:r>
              <w:rPr>
                <w:color w:val="000000"/>
                <w:sz w:val="24"/>
              </w:rPr>
              <w:t>自来水水源水中含有各种悬浮物质、胶体和溶解物质等物质，使水呈现浑浊度、色度、嗅和味等。在自来水生产过程中首先必须采用投加药剂的方法，去除水源水中的各类杂质。本项目采用混凝沉淀的反法去除杂质，混凝剂采用聚合氯化铝，混凝剂投入反应池，与水源水中的胶体相互凝聚，并且吸附水中的悬浮物质、部分溶解物质。水浑浊度高时，沉淀池一般每2～3小时排放污水一次，水清时，一个班排放一次，每次排放时间2～4分钟。</w:t>
            </w:r>
          </w:p>
          <w:p>
            <w:pPr>
              <w:wordWrap w:val="0"/>
              <w:adjustRightInd w:val="0"/>
              <w:snapToGrid w:val="0"/>
              <w:spacing w:line="360" w:lineRule="auto"/>
              <w:ind w:firstLine="482" w:firstLineChars="200"/>
              <w:jc w:val="left"/>
              <w:rPr>
                <w:sz w:val="24"/>
              </w:rPr>
            </w:pPr>
            <w:r>
              <w:rPr>
                <w:rFonts w:hint="eastAsia"/>
                <w:b/>
                <w:sz w:val="24"/>
              </w:rPr>
              <w:t>源强核算：</w:t>
            </w:r>
            <w:r>
              <w:rPr>
                <w:rFonts w:hint="eastAsia"/>
                <w:bCs/>
                <w:sz w:val="24"/>
              </w:rPr>
              <w:t>根据类比同类水厂，</w:t>
            </w:r>
            <w:r>
              <w:rPr>
                <w:color w:val="000000"/>
                <w:sz w:val="24"/>
              </w:rPr>
              <w:t>平均每生产1万t净水需排放12.5吨污水，本项目供水量3万t/d，则项目污水排放量为37.5t/d</w:t>
            </w:r>
            <w:r>
              <w:rPr>
                <w:rFonts w:hint="eastAsia"/>
                <w:color w:val="000000"/>
                <w:sz w:val="24"/>
              </w:rPr>
              <w:t>，1</w:t>
            </w:r>
            <w:r>
              <w:rPr>
                <w:color w:val="000000"/>
                <w:sz w:val="24"/>
              </w:rPr>
              <w:t>3687.5t/a</w:t>
            </w:r>
            <w:r>
              <w:rPr>
                <w:rFonts w:hint="eastAsia"/>
                <w:color w:val="000000"/>
                <w:sz w:val="24"/>
              </w:rPr>
              <w:t>。</w:t>
            </w:r>
          </w:p>
          <w:p>
            <w:pPr>
              <w:wordWrap w:val="0"/>
              <w:adjustRightInd w:val="0"/>
              <w:snapToGrid w:val="0"/>
              <w:spacing w:line="360" w:lineRule="auto"/>
              <w:ind w:firstLine="480" w:firstLineChars="200"/>
              <w:jc w:val="left"/>
              <w:rPr>
                <w:rFonts w:hint="eastAsia"/>
                <w:color w:val="000000"/>
                <w:sz w:val="24"/>
              </w:rPr>
            </w:pPr>
            <w:r>
              <w:rPr>
                <w:rFonts w:hint="eastAsia"/>
                <w:color w:val="000000"/>
                <w:sz w:val="24"/>
              </w:rPr>
              <w:t xml:space="preserve">本项目排泥水总产生量为 </w:t>
            </w:r>
            <w:r>
              <w:rPr>
                <w:color w:val="000000"/>
                <w:sz w:val="24"/>
              </w:rPr>
              <w:t>13687.5</w:t>
            </w:r>
            <w:r>
              <w:rPr>
                <w:rFonts w:hint="eastAsia"/>
                <w:color w:val="000000"/>
                <w:sz w:val="24"/>
              </w:rPr>
              <w:t>t/a，排泥水一同排入排泥池后进入污泥浓缩池。根据类比同类型水厂项目，排泥水中含固量约 0.3%(约</w:t>
            </w:r>
            <w:r>
              <w:rPr>
                <w:color w:val="000000"/>
                <w:sz w:val="24"/>
              </w:rPr>
              <w:t>41.06</w:t>
            </w:r>
            <w:r>
              <w:rPr>
                <w:rFonts w:hint="eastAsia"/>
                <w:color w:val="000000"/>
                <w:sz w:val="24"/>
              </w:rPr>
              <w:t>t/a 绝干污泥)。污泥浓缩后含水率约为95%，即排泥量为</w:t>
            </w:r>
            <w:r>
              <w:rPr>
                <w:color w:val="000000"/>
                <w:sz w:val="24"/>
              </w:rPr>
              <w:t>684.4</w:t>
            </w:r>
            <w:r>
              <w:rPr>
                <w:rFonts w:hint="eastAsia"/>
                <w:color w:val="000000"/>
                <w:sz w:val="24"/>
              </w:rPr>
              <w:t>t/a，则上清液量为</w:t>
            </w:r>
            <w:r>
              <w:rPr>
                <w:color w:val="000000"/>
                <w:sz w:val="24"/>
              </w:rPr>
              <w:t>13003.1</w:t>
            </w:r>
            <w:r>
              <w:rPr>
                <w:rFonts w:hint="eastAsia"/>
                <w:color w:val="000000"/>
                <w:sz w:val="24"/>
              </w:rPr>
              <w:t>t/a。污泥浓缩池出泥量为</w:t>
            </w:r>
            <w:r>
              <w:rPr>
                <w:color w:val="000000"/>
                <w:sz w:val="24"/>
              </w:rPr>
              <w:t>684.4</w:t>
            </w:r>
            <w:r>
              <w:rPr>
                <w:rFonts w:hint="eastAsia"/>
                <w:color w:val="000000"/>
                <w:sz w:val="24"/>
              </w:rPr>
              <w:t>t/a，经离心式污泥脱水机处理，污泥含水率约为80%，即排泥量为</w:t>
            </w:r>
            <w:r>
              <w:rPr>
                <w:color w:val="000000"/>
                <w:sz w:val="24"/>
              </w:rPr>
              <w:t>136.9</w:t>
            </w:r>
            <w:r>
              <w:rPr>
                <w:rFonts w:hint="eastAsia"/>
                <w:color w:val="000000"/>
                <w:sz w:val="24"/>
              </w:rPr>
              <w:t>t/a，则脱水废水量为</w:t>
            </w:r>
            <w:r>
              <w:rPr>
                <w:color w:val="000000"/>
                <w:sz w:val="24"/>
              </w:rPr>
              <w:t>547.5</w:t>
            </w:r>
            <w:r>
              <w:rPr>
                <w:rFonts w:hint="eastAsia"/>
                <w:color w:val="000000"/>
                <w:sz w:val="24"/>
              </w:rPr>
              <w:t>t/a，接管排泥池循环处理，污泥浓缩池上清液通过管道输送至配水井回用。</w:t>
            </w:r>
          </w:p>
          <w:p>
            <w:pPr>
              <w:wordWrap w:val="0"/>
              <w:adjustRightInd w:val="0"/>
              <w:snapToGrid w:val="0"/>
              <w:spacing w:line="360" w:lineRule="auto"/>
              <w:ind w:firstLine="482" w:firstLineChars="200"/>
              <w:jc w:val="left"/>
              <w:rPr>
                <w:color w:val="000000"/>
                <w:sz w:val="24"/>
              </w:rPr>
            </w:pPr>
            <w:r>
              <w:rPr>
                <w:rFonts w:hint="eastAsia"/>
                <w:b/>
                <w:bCs/>
                <w:color w:val="000000"/>
                <w:sz w:val="24"/>
              </w:rPr>
              <w:t>治理措施：</w:t>
            </w:r>
            <w:r>
              <w:rPr>
                <w:rFonts w:hint="eastAsia"/>
                <w:color w:val="000000"/>
                <w:sz w:val="24"/>
              </w:rPr>
              <w:t>本项目产生排泥水进入排泥池，经浓缩池浓缩后上清液接入土主镇污水处理厂处理</w:t>
            </w:r>
            <w:r>
              <w:rPr>
                <w:color w:val="000000"/>
                <w:sz w:val="24"/>
              </w:rPr>
              <w:t>。</w:t>
            </w:r>
          </w:p>
          <w:p>
            <w:pPr>
              <w:wordWrap w:val="0"/>
              <w:adjustRightInd w:val="0"/>
              <w:snapToGrid w:val="0"/>
              <w:spacing w:line="360" w:lineRule="auto"/>
              <w:ind w:firstLine="480" w:firstLineChars="200"/>
              <w:jc w:val="left"/>
              <w:rPr>
                <w:color w:val="000000"/>
                <w:sz w:val="24"/>
              </w:rPr>
            </w:pPr>
            <w:r>
              <w:rPr>
                <w:rFonts w:hint="eastAsia"/>
                <w:color w:val="000000"/>
                <w:sz w:val="24"/>
              </w:rPr>
              <w:t>3）污泥脱水废水</w:t>
            </w:r>
          </w:p>
          <w:p>
            <w:pPr>
              <w:spacing w:line="360" w:lineRule="auto"/>
              <w:ind w:firstLine="482" w:firstLineChars="200"/>
              <w:rPr>
                <w:color w:val="000000"/>
                <w:sz w:val="24"/>
              </w:rPr>
            </w:pPr>
            <w:r>
              <w:rPr>
                <w:rFonts w:hint="eastAsia"/>
                <w:b/>
                <w:bCs/>
                <w:color w:val="000000"/>
                <w:sz w:val="24"/>
              </w:rPr>
              <w:t>源强核算</w:t>
            </w:r>
            <w:r>
              <w:rPr>
                <w:rFonts w:hint="eastAsia"/>
                <w:color w:val="000000"/>
                <w:sz w:val="24"/>
              </w:rPr>
              <w:t>：根据污水处理工艺水平衡可知，项目污泥脱水废水量为</w:t>
            </w:r>
            <w:r>
              <w:rPr>
                <w:color w:val="000000"/>
                <w:sz w:val="24"/>
              </w:rPr>
              <w:t>547.5</w:t>
            </w:r>
            <w:r>
              <w:rPr>
                <w:rFonts w:hint="eastAsia"/>
                <w:color w:val="000000"/>
                <w:sz w:val="24"/>
              </w:rPr>
              <w:t>t/a。</w:t>
            </w:r>
          </w:p>
          <w:p>
            <w:pPr>
              <w:spacing w:line="360" w:lineRule="auto"/>
              <w:ind w:firstLine="482" w:firstLineChars="200"/>
              <w:rPr>
                <w:rFonts w:hint="eastAsia"/>
                <w:color w:val="000000"/>
                <w:sz w:val="24"/>
              </w:rPr>
            </w:pPr>
            <w:r>
              <w:rPr>
                <w:rFonts w:hint="eastAsia"/>
                <w:b/>
                <w:bCs/>
                <w:color w:val="000000"/>
                <w:sz w:val="24"/>
              </w:rPr>
              <w:t>治理措施：</w:t>
            </w:r>
            <w:r>
              <w:rPr>
                <w:rFonts w:hint="eastAsia"/>
                <w:color w:val="000000"/>
                <w:sz w:val="24"/>
              </w:rPr>
              <w:t>项目污泥脱水废水接管至排泥池进行循环处理。</w:t>
            </w:r>
          </w:p>
          <w:p>
            <w:pPr>
              <w:wordWrap w:val="0"/>
              <w:adjustRightInd w:val="0"/>
              <w:snapToGrid w:val="0"/>
              <w:spacing w:line="360" w:lineRule="auto"/>
              <w:ind w:firstLine="480" w:firstLineChars="200"/>
              <w:jc w:val="left"/>
              <w:rPr>
                <w:rFonts w:hint="eastAsia"/>
                <w:b/>
                <w:sz w:val="24"/>
              </w:rPr>
            </w:pPr>
            <w:r>
              <w:rPr>
                <w:color w:val="000000"/>
                <w:sz w:val="24"/>
              </w:rPr>
              <mc:AlternateContent>
                <mc:Choice Requires="wpc">
                  <w:drawing>
                    <wp:inline distT="0" distB="0" distL="114300" distR="114300">
                      <wp:extent cx="5045710" cy="2237105"/>
                      <wp:effectExtent l="4445" t="0" r="0" b="10795"/>
                      <wp:docPr id="133" name="画布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6" name="矩形 116"/>
                              <wps:cNvSpPr/>
                              <wps:spPr>
                                <a:xfrm>
                                  <a:off x="3351530" y="76200"/>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废水</w:t>
                                    </w:r>
                                  </w:p>
                                </w:txbxContent>
                              </wps:txbx>
                              <wps:bodyPr upright="1"/>
                            </wps:wsp>
                            <wps:wsp>
                              <wps:cNvPr id="117" name="矩形 117"/>
                              <wps:cNvSpPr/>
                              <wps:spPr>
                                <a:xfrm>
                                  <a:off x="1360170" y="904875"/>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上清液</w:t>
                                    </w:r>
                                  </w:p>
                                </w:txbxContent>
                              </wps:txbx>
                              <wps:bodyPr upright="1"/>
                            </wps:wsp>
                            <wps:wsp>
                              <wps:cNvPr id="118" name="矩形 118"/>
                              <wps:cNvSpPr/>
                              <wps:spPr>
                                <a:xfrm>
                                  <a:off x="0" y="419100"/>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排泥水</w:t>
                                    </w:r>
                                  </w:p>
                                </w:txbxContent>
                              </wps:txbx>
                              <wps:bodyPr upright="1"/>
                            </wps:wsp>
                            <wps:wsp>
                              <wps:cNvPr id="119" name="矩形 119"/>
                              <wps:cNvSpPr/>
                              <wps:spPr>
                                <a:xfrm>
                                  <a:off x="560705" y="561975"/>
                                  <a:ext cx="6096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排泥池</w:t>
                                    </w:r>
                                  </w:p>
                                </w:txbxContent>
                              </wps:txbx>
                              <wps:bodyPr upright="1"/>
                            </wps:wsp>
                            <wps:wsp>
                              <wps:cNvPr id="120" name="矩形 120"/>
                              <wps:cNvSpPr/>
                              <wps:spPr>
                                <a:xfrm>
                                  <a:off x="1560830" y="561975"/>
                                  <a:ext cx="6096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浓缩池</w:t>
                                    </w:r>
                                  </w:p>
                                </w:txbxContent>
                              </wps:txbx>
                              <wps:bodyPr upright="1"/>
                            </wps:wsp>
                            <wps:wsp>
                              <wps:cNvPr id="121" name="矩形 121"/>
                              <wps:cNvSpPr/>
                              <wps:spPr>
                                <a:xfrm>
                                  <a:off x="2570480" y="476250"/>
                                  <a:ext cx="609600" cy="4476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污泥平衡池</w:t>
                                    </w:r>
                                  </w:p>
                                </w:txbxContent>
                              </wps:txbx>
                              <wps:bodyPr upright="1"/>
                            </wps:wsp>
                            <wps:wsp>
                              <wps:cNvPr id="122" name="矩形 122"/>
                              <wps:cNvSpPr/>
                              <wps:spPr>
                                <a:xfrm>
                                  <a:off x="3646805" y="552450"/>
                                  <a:ext cx="8286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脱水车间</w:t>
                                    </w:r>
                                  </w:p>
                                </w:txbxContent>
                              </wps:txbx>
                              <wps:bodyPr upright="1"/>
                            </wps:wsp>
                            <wps:wsp>
                              <wps:cNvPr id="123" name="直接箭头连接符 123"/>
                              <wps:cNvCnPr/>
                              <wps:spPr>
                                <a:xfrm>
                                  <a:off x="1170305" y="704850"/>
                                  <a:ext cx="390525" cy="635"/>
                                </a:xfrm>
                                <a:prstGeom prst="straightConnector1">
                                  <a:avLst/>
                                </a:prstGeom>
                                <a:ln w="9525" cap="flat" cmpd="sng">
                                  <a:solidFill>
                                    <a:srgbClr val="000000"/>
                                  </a:solidFill>
                                  <a:prstDash val="solid"/>
                                  <a:headEnd type="none" w="med" len="med"/>
                                  <a:tailEnd type="triangle" w="med" len="med"/>
                                </a:ln>
                              </wps:spPr>
                              <wps:bodyPr/>
                            </wps:wsp>
                            <wps:wsp>
                              <wps:cNvPr id="124" name="直接箭头连接符 124"/>
                              <wps:cNvCnPr/>
                              <wps:spPr>
                                <a:xfrm flipV="1">
                                  <a:off x="2170430" y="700405"/>
                                  <a:ext cx="400050" cy="4445"/>
                                </a:xfrm>
                                <a:prstGeom prst="straightConnector1">
                                  <a:avLst/>
                                </a:prstGeom>
                                <a:ln w="9525" cap="flat" cmpd="sng">
                                  <a:solidFill>
                                    <a:srgbClr val="000000"/>
                                  </a:solidFill>
                                  <a:prstDash val="solid"/>
                                  <a:headEnd type="none" w="med" len="med"/>
                                  <a:tailEnd type="triangle" w="med" len="med"/>
                                </a:ln>
                              </wps:spPr>
                              <wps:bodyPr/>
                            </wps:wsp>
                            <wps:wsp>
                              <wps:cNvPr id="125" name="直接箭头连接符 125"/>
                              <wps:cNvCnPr/>
                              <wps:spPr>
                                <a:xfrm flipV="1">
                                  <a:off x="3180080" y="695325"/>
                                  <a:ext cx="466725" cy="5080"/>
                                </a:xfrm>
                                <a:prstGeom prst="straightConnector1">
                                  <a:avLst/>
                                </a:prstGeom>
                                <a:ln w="9525" cap="flat" cmpd="sng">
                                  <a:solidFill>
                                    <a:srgbClr val="000000"/>
                                  </a:solidFill>
                                  <a:prstDash val="solid"/>
                                  <a:headEnd type="none" w="med" len="med"/>
                                  <a:tailEnd type="triangle" w="med" len="med"/>
                                </a:ln>
                              </wps:spPr>
                              <wps:bodyPr/>
                            </wps:wsp>
                            <wps:wsp>
                              <wps:cNvPr id="126" name="直接箭头连接符 126"/>
                              <wps:cNvCnPr/>
                              <wps:spPr>
                                <a:xfrm>
                                  <a:off x="198755" y="705485"/>
                                  <a:ext cx="390525" cy="635"/>
                                </a:xfrm>
                                <a:prstGeom prst="straightConnector1">
                                  <a:avLst/>
                                </a:prstGeom>
                                <a:ln w="9525" cap="flat" cmpd="sng">
                                  <a:solidFill>
                                    <a:srgbClr val="000000"/>
                                  </a:solidFill>
                                  <a:prstDash val="solid"/>
                                  <a:headEnd type="none" w="med" len="med"/>
                                  <a:tailEnd type="triangle" w="med" len="med"/>
                                </a:ln>
                              </wps:spPr>
                              <wps:bodyPr/>
                            </wps:wsp>
                            <wps:wsp>
                              <wps:cNvPr id="127" name="矩形 127"/>
                              <wps:cNvSpPr/>
                              <wps:spPr>
                                <a:xfrm>
                                  <a:off x="1494155" y="1314450"/>
                                  <a:ext cx="741680" cy="4953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土主镇污水处理厂</w:t>
                                    </w:r>
                                  </w:p>
                                </w:txbxContent>
                              </wps:txbx>
                              <wps:bodyPr upright="1"/>
                            </wps:wsp>
                            <wps:wsp>
                              <wps:cNvPr id="128" name="肘形连接符 128"/>
                              <wps:cNvCnPr/>
                              <wps:spPr>
                                <a:xfrm rot="5400000">
                                  <a:off x="1631315" y="1080135"/>
                                  <a:ext cx="466725" cy="635"/>
                                </a:xfrm>
                                <a:prstGeom prst="bentConnector3">
                                  <a:avLst>
                                    <a:gd name="adj1" fmla="val 49931"/>
                                  </a:avLst>
                                </a:prstGeom>
                                <a:ln w="9525" cap="flat" cmpd="sng">
                                  <a:solidFill>
                                    <a:srgbClr val="000000"/>
                                  </a:solidFill>
                                  <a:prstDash val="solid"/>
                                  <a:miter/>
                                  <a:headEnd type="none" w="med" len="med"/>
                                  <a:tailEnd type="triangle" w="med" len="med"/>
                                </a:ln>
                              </wps:spPr>
                              <wps:bodyPr/>
                            </wps:wsp>
                            <wps:wsp>
                              <wps:cNvPr id="129" name="矩形 129"/>
                              <wps:cNvSpPr/>
                              <wps:spPr>
                                <a:xfrm>
                                  <a:off x="3694430" y="1323975"/>
                                  <a:ext cx="742315"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泥饼外运</w:t>
                                    </w:r>
                                  </w:p>
                                </w:txbxContent>
                              </wps:txbx>
                              <wps:bodyPr upright="1"/>
                            </wps:wsp>
                            <wps:wsp>
                              <wps:cNvPr id="130" name="直接箭头连接符 130"/>
                              <wps:cNvCnPr/>
                              <wps:spPr>
                                <a:xfrm>
                                  <a:off x="4061460" y="838200"/>
                                  <a:ext cx="4445" cy="485775"/>
                                </a:xfrm>
                                <a:prstGeom prst="straightConnector1">
                                  <a:avLst/>
                                </a:prstGeom>
                                <a:ln w="9525" cap="flat" cmpd="sng">
                                  <a:solidFill>
                                    <a:srgbClr val="000000"/>
                                  </a:solidFill>
                                  <a:prstDash val="solid"/>
                                  <a:headEnd type="none" w="med" len="med"/>
                                  <a:tailEnd type="triangle" w="med" len="med"/>
                                </a:ln>
                              </wps:spPr>
                              <wps:bodyPr/>
                            </wps:wsp>
                            <wps:wsp>
                              <wps:cNvPr id="131" name="肘形连接符 131"/>
                              <wps:cNvCnPr/>
                              <wps:spPr>
                                <a:xfrm rot="16200000" flipH="1" flipV="1">
                                  <a:off x="2458085" y="-1041400"/>
                                  <a:ext cx="9525" cy="3195955"/>
                                </a:xfrm>
                                <a:prstGeom prst="bentConnector3">
                                  <a:avLst>
                                    <a:gd name="adj1" fmla="val -2400000"/>
                                  </a:avLst>
                                </a:prstGeom>
                                <a:ln w="9525" cap="flat" cmpd="sng">
                                  <a:solidFill>
                                    <a:srgbClr val="000000"/>
                                  </a:solidFill>
                                  <a:prstDash val="solid"/>
                                  <a:miter/>
                                  <a:headEnd type="none" w="med" len="med"/>
                                  <a:tailEnd type="triangle" w="med" len="med"/>
                                </a:ln>
                              </wps:spPr>
                              <wps:bodyPr/>
                            </wps:wsp>
                            <wps:wsp>
                              <wps:cNvPr id="132" name="矩形 132"/>
                              <wps:cNvSpPr/>
                              <wps:spPr>
                                <a:xfrm>
                                  <a:off x="835660" y="1921510"/>
                                  <a:ext cx="2676525"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b/>
                                        <w:bCs/>
                                        <w:sz w:val="24"/>
                                      </w:rPr>
                                    </w:pPr>
                                    <w:r>
                                      <w:rPr>
                                        <w:rFonts w:hint="eastAsia"/>
                                        <w:b/>
                                        <w:bCs/>
                                        <w:sz w:val="24"/>
                                      </w:rPr>
                                      <w:t>图4</w:t>
                                    </w:r>
                                    <w:r>
                                      <w:rPr>
                                        <w:b/>
                                        <w:bCs/>
                                        <w:sz w:val="24"/>
                                      </w:rPr>
                                      <w:t xml:space="preserve">-1 </w:t>
                                    </w:r>
                                    <w:r>
                                      <w:rPr>
                                        <w:rFonts w:hint="eastAsia"/>
                                        <w:b/>
                                        <w:bCs/>
                                        <w:sz w:val="24"/>
                                      </w:rPr>
                                      <w:t xml:space="preserve"> 项目排泥水处理工艺流程图</w:t>
                                    </w:r>
                                  </w:p>
                                </w:txbxContent>
                              </wps:txbx>
                              <wps:bodyPr upright="1"/>
                            </wps:wsp>
                          </wpc:wpc>
                        </a:graphicData>
                      </a:graphic>
                    </wp:inline>
                  </w:drawing>
                </mc:Choice>
                <mc:Fallback>
                  <w:pict>
                    <v:group id="_x0000_s1026" o:spid="_x0000_s1026" o:spt="203" style="height:176.15pt;width:397.3pt;" coordsize="5045710,2237105" editas="canvas" o:gfxdata="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">
                      <o:lock v:ext="edit" aspectratio="f"/>
                      <v:rect id="_x0000_s1026" o:spid="_x0000_s1026" o:spt="1" style="position:absolute;left:0;top:0;height:2237105;width:5045710;" filled="f" stroked="f" coordsize="21600,21600" o:gfxdata="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AYy+9z1gAAAAUBAAAPAAAAAAAAAAEAIAAA&#10;ACIAAABkcnMvZG93bnJldi54bWxQSwECFAAUAAAACACHTuJA6lHwq2UFAACYKQAADgAAAAAAAAAB&#10;ACAAAAAlAQAAZHJzL2Uyb0RvYy54bWxQSwUGAAAAAAYABgBZAQAA/AgAAAAA&#10;">
                        <v:path/>
                        <v:fill on="f" focussize="0,0"/>
                        <v:stroke on="f"/>
                        <v:imagedata o:title=""/>
                        <o:lock v:ext="edit" rotation="t" text="t" aspectratio="t"/>
                      </v:rect>
                      <v:rect id="_x0000_s1026" o:spid="_x0000_s1026" o:spt="1" style="position:absolute;left:3351530;top:76200;height:285750;width:609600;" fillcolor="#FFFFFF" filled="t" stroked="t" coordsize="21600,21600" o:gfxdata="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HCsHNUAAAAFAQAADwAAAAAAAAABACAAAAAiAAAA&#10;ZHJzL2Rvd25yZXYueG1sUEsBAhQAFAAAAAgAh07iQLJ5gB0KAgAANgQAAA4AAAAAAAAAAQAgAAAA&#10;JAEAAGRycy9lMm9Eb2MueG1sUEsFBgAAAAAGAAYAWQEAAKAFAAAAAA==&#10;">
                        <v:fill on="t" focussize="0,0"/>
                        <v:stroke color="#FFFFFF" joinstyle="miter"/>
                        <v:imagedata o:title=""/>
                        <o:lock v:ext="edit" aspectratio="f"/>
                        <v:textbox>
                          <w:txbxContent>
                            <w:p>
                              <w:r>
                                <w:rPr>
                                  <w:rFonts w:hint="eastAsia"/>
                                </w:rPr>
                                <w:t>废水</w:t>
                              </w:r>
                            </w:p>
                          </w:txbxContent>
                        </v:textbox>
                      </v:rect>
                      <v:rect id="_x0000_s1026" o:spid="_x0000_s1026" o:spt="1" style="position:absolute;left:1360170;top:904875;height:285750;width:609600;" fillcolor="#FFFFFF" filled="t" stroked="t" coordsize="21600,21600" o:gfxdata="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HCsHNUAAAAFAQAADwAAAAAAAAABACAAAAAiAAAA&#10;ZHJzL2Rvd25yZXYueG1sUEsBAhQAFAAAAAgAh07iQJGMh48KAgAANwQAAA4AAAAAAAAAAQAgAAAA&#10;JAEAAGRycy9lMm9Eb2MueG1sUEsFBgAAAAAGAAYAWQEAAKAFAAAAAA==&#10;">
                        <v:fill on="t" focussize="0,0"/>
                        <v:stroke color="#FFFFFF" joinstyle="miter"/>
                        <v:imagedata o:title=""/>
                        <o:lock v:ext="edit" aspectratio="f"/>
                        <v:textbox>
                          <w:txbxContent>
                            <w:p>
                              <w:r>
                                <w:rPr>
                                  <w:rFonts w:hint="eastAsia"/>
                                </w:rPr>
                                <w:t>上清液</w:t>
                              </w:r>
                            </w:p>
                          </w:txbxContent>
                        </v:textbox>
                      </v:rect>
                      <v:rect id="_x0000_s1026" o:spid="_x0000_s1026" o:spt="1" style="position:absolute;left:0;top:419100;height:285750;width:609600;" fillcolor="#FFFFFF" filled="t" stroked="t" coordsize="21600,21600" o:gfxdata="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5HCsHNUAAAAFAQAADwAAAAAAAAABACAAAAAiAAAAZHJzL2Rv&#10;d25yZXYueG1sUEsBAhQAFAAAAAgAh07iQKWzlk8EAgAAMQQAAA4AAAAAAAAAAQAgAAAAJAEAAGRy&#10;cy9lMm9Eb2MueG1sUEsFBgAAAAAGAAYAWQEAAJoFAAAAAA==&#10;">
                        <v:fill on="t" focussize="0,0"/>
                        <v:stroke color="#FFFFFF" joinstyle="miter"/>
                        <v:imagedata o:title=""/>
                        <o:lock v:ext="edit" aspectratio="f"/>
                        <v:textbox>
                          <w:txbxContent>
                            <w:p>
                              <w:r>
                                <w:rPr>
                                  <w:rFonts w:hint="eastAsia"/>
                                </w:rPr>
                                <w:t>排泥水</w:t>
                              </w:r>
                            </w:p>
                          </w:txbxContent>
                        </v:textbox>
                      </v:rect>
                      <v:rect id="_x0000_s1026" o:spid="_x0000_s1026" o:spt="1" style="position:absolute;left:560705;top:561975;height:285750;width:609600;" fillcolor="#FFFFFF" filled="t" stroked="t" coordsize="21600,21600" o:gfxdata="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Wt5b9UAAAAFAQAADwAAAAAAAAABACAAAAAi&#10;AAAAZHJzL2Rvd25yZXYueG1sUEsBAhQAFAAAAAgAh07iQALqj/4NAgAANgQAAA4AAAAAAAAAAQAg&#10;AAAAJAEAAGRycy9lMm9Eb2MueG1sUEsFBgAAAAAGAAYAWQEAAKMFAAAAAA==&#10;">
                        <v:fill on="t" focussize="0,0"/>
                        <v:stroke color="#000000" joinstyle="miter"/>
                        <v:imagedata o:title=""/>
                        <o:lock v:ext="edit" aspectratio="f"/>
                        <v:textbox>
                          <w:txbxContent>
                            <w:p>
                              <w:r>
                                <w:rPr>
                                  <w:rFonts w:hint="eastAsia"/>
                                </w:rPr>
                                <w:t>排泥池</w:t>
                              </w:r>
                            </w:p>
                          </w:txbxContent>
                        </v:textbox>
                      </v:rect>
                      <v:rect id="_x0000_s1026" o:spid="_x0000_s1026" o:spt="1" style="position:absolute;left:1560830;top:561975;height:285750;width:609600;" fillcolor="#FFFFFF" filled="t" stroked="t" coordsize="21600,21600" o:gfxdata="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5a3lv1QAAAAUBAAAPAAAAAAAAAAEAIAAA&#10;ACIAAABkcnMvZG93bnJldi54bWxQSwECFAAUAAAACACHTuJAcEAfJw8CAAA3BAAADgAAAAAAAAAB&#10;ACAAAAAkAQAAZHJzL2Uyb0RvYy54bWxQSwUGAAAAAAYABgBZAQAApQUAAAAA&#10;">
                        <v:fill on="t" focussize="0,0"/>
                        <v:stroke color="#000000" joinstyle="miter"/>
                        <v:imagedata o:title=""/>
                        <o:lock v:ext="edit" aspectratio="f"/>
                        <v:textbox>
                          <w:txbxContent>
                            <w:p>
                              <w:r>
                                <w:rPr>
                                  <w:rFonts w:hint="eastAsia"/>
                                </w:rPr>
                                <w:t>浓缩池</w:t>
                              </w:r>
                            </w:p>
                          </w:txbxContent>
                        </v:textbox>
                      </v:rect>
                      <v:rect id="_x0000_s1026" o:spid="_x0000_s1026" o:spt="1" style="position:absolute;left:2570480;top:476250;height:447675;width:609600;" fillcolor="#FFFFFF" filled="t" stroked="t" coordsize="21600,21600" o:gfxdata="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Wt5b9UAAAAFAQAADwAAAAAAAAABACAAAAAiAAAA&#10;ZHJzL2Rvd25yZXYueG1sUEsBAhQAFAAAAAgAh07iQDhVADEKAgAANwQAAA4AAAAAAAAAAQAgAAAA&#10;JAEAAGRycy9lMm9Eb2MueG1sUEsFBgAAAAAGAAYAWQEAAKAFAAAAAA==&#10;">
                        <v:fill on="t" focussize="0,0"/>
                        <v:stroke color="#000000" joinstyle="miter"/>
                        <v:imagedata o:title=""/>
                        <o:lock v:ext="edit" aspectratio="f"/>
                        <v:textbox>
                          <w:txbxContent>
                            <w:p>
                              <w:r>
                                <w:rPr>
                                  <w:rFonts w:hint="eastAsia"/>
                                </w:rPr>
                                <w:t>污泥平衡池</w:t>
                              </w:r>
                            </w:p>
                          </w:txbxContent>
                        </v:textbox>
                      </v:rect>
                      <v:rect id="_x0000_s1026" o:spid="_x0000_s1026" o:spt="1" style="position:absolute;left:3646804;top:552450;height:285750;width:828676;" fillcolor="#FFFFFF" filled="t" stroked="t" coordsize="21600,21600" o:gfxdata="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5a3lv1QAAAAUBAAAPAAAAAAAAAAEAIAAA&#10;ACIAAABkcnMvZG93bnJldi54bWxQSwECFAAUAAAACACHTuJAgtzYHg8CAAA3BAAADgAAAAAAAAAB&#10;ACAAAAAkAQAAZHJzL2Uyb0RvYy54bWxQSwUGAAAAAAYABgBZAQAApQUAAAAA&#10;">
                        <v:fill on="t" focussize="0,0"/>
                        <v:stroke color="#000000" joinstyle="miter"/>
                        <v:imagedata o:title=""/>
                        <o:lock v:ext="edit" aspectratio="f"/>
                        <v:textbox>
                          <w:txbxContent>
                            <w:p>
                              <w:pPr>
                                <w:jc w:val="center"/>
                                <w:rPr>
                                  <w:rFonts w:hint="eastAsia"/>
                                </w:rPr>
                              </w:pPr>
                              <w:r>
                                <w:rPr>
                                  <w:rFonts w:hint="eastAsia"/>
                                </w:rPr>
                                <w:t>脱水车间</w:t>
                              </w:r>
                            </w:p>
                          </w:txbxContent>
                        </v:textbox>
                      </v:rect>
                      <v:shape id="_x0000_s1026" o:spid="_x0000_s1026" o:spt="32" type="#_x0000_t32" style="position:absolute;left:1170305;top:704849;height:635;width:390525;" filled="f" stroked="t" coordsize="21600,21600" o:gfxdata="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xeE39gAAAAFAQAADwAAAAAAAAAB&#10;ACAAAAAiAAAAZHJzL2Rvd25yZXYueG1sUEsBAhQAFAAAAAgAh07iQFC82wwQAgAAAAQAAA4AAAAA&#10;AAAAAQAgAAAAJwEAAGRycy9lMm9Eb2MueG1sUEsFBgAAAAAGAAYAWQEAAKkFAAAAAA==&#10;">
                        <v:fill on="f" focussize="0,0"/>
                        <v:stroke color="#000000" joinstyle="round" endarrow="block"/>
                        <v:imagedata o:title=""/>
                        <o:lock v:ext="edit" aspectratio="f"/>
                      </v:shape>
                      <v:shape id="_x0000_s1026" o:spid="_x0000_s1026" o:spt="32" type="#_x0000_t32" style="position:absolute;left:2170430;top:700405;flip:y;height:4445;width:400050;" filled="f" stroked="t" coordsize="21600,21600" o:gfxdata="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7i6yh1wAAAAUB&#10;AAAPAAAAAAAAAAEAIAAAACIAAABkcnMvZG93bnJldi54bWxQSwECFAAUAAAACACHTuJAbajOeBwC&#10;AAALBAAADgAAAAAAAAABACAAAAAmAQAAZHJzL2Uyb0RvYy54bWxQSwUGAAAAAAYABgBZAQAAtAUA&#10;AAAA&#10;">
                        <v:fill on="f" focussize="0,0"/>
                        <v:stroke color="#000000" joinstyle="round" endarrow="block"/>
                        <v:imagedata o:title=""/>
                        <o:lock v:ext="edit" aspectratio="f"/>
                      </v:shape>
                      <v:shape id="_x0000_s1026" o:spid="_x0000_s1026" o:spt="32" type="#_x0000_t32" style="position:absolute;left:3180080;top:695325;flip:y;height:5080;width:466725;" filled="f" stroked="t" coordsize="21600,21600" o:gfxdata="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uLrKHXAAAABQEAAA8A&#10;AAAAAAAAAQAgAAAAIgAAAGRycy9kb3ducmV2LnhtbFBLAQIUABQAAAAIAIdO4kC3lS3FGAIAAAsE&#10;AAAOAAAAAAAAAAEAIAAAACYBAABkcnMvZTJvRG9jLnhtbFBLBQYAAAAABgAGAFkBAACwBQAAAAA=&#10;">
                        <v:fill on="f" focussize="0,0"/>
                        <v:stroke color="#000000" joinstyle="round" endarrow="block"/>
                        <v:imagedata o:title=""/>
                        <o:lock v:ext="edit" aspectratio="f"/>
                      </v:shape>
                      <v:shape id="_x0000_s1026" o:spid="_x0000_s1026" o:spt="32" type="#_x0000_t32" style="position:absolute;left:198755;top:705484;height:635;width:390525;" filled="f" stroked="t" coordsize="21600,21600" o:gfxdata="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xeE39gAAAAFAQAADwAAAAAA&#10;AAABACAAAAAiAAAAZHJzL2Rvd25yZXYueG1sUEsBAhQAFAAAAAgAh07iQPlaF2gTAgAA/wMAAA4A&#10;AAAAAAAAAQAgAAAAJwEAAGRycy9lMm9Eb2MueG1sUEsFBgAAAAAGAAYAWQEAAKwFAAAAAA==&#10;">
                        <v:fill on="f" focussize="0,0"/>
                        <v:stroke color="#000000" joinstyle="round" endarrow="block"/>
                        <v:imagedata o:title=""/>
                        <o:lock v:ext="edit" aspectratio="f"/>
                      </v:shape>
                      <v:rect id="_x0000_s1026" o:spid="_x0000_s1026" o:spt="1" style="position:absolute;left:1494155;top:1314450;height:495300;width:741680;" fillcolor="#FFFFFF" filled="t" stroked="t" coordsize="21600,21600" o:gfxdata="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lreW/VAAAABQEAAA8AAAAAAAAAAQAg&#10;AAAAIgAAAGRycy9kb3ducmV2LnhtbFBLAQIUABQAAAAIAIdO4kAA8q2MEQIAADgEAAAOAAAAAAAA&#10;AAEAIAAAACQBAABkcnMvZTJvRG9jLnhtbFBLBQYAAAAABgAGAFkBAACnBQAAAAA=&#10;">
                        <v:fill on="t" focussize="0,0"/>
                        <v:stroke color="#000000" joinstyle="miter"/>
                        <v:imagedata o:title=""/>
                        <o:lock v:ext="edit" aspectratio="f"/>
                        <v:textbox>
                          <w:txbxContent>
                            <w:p>
                              <w:r>
                                <w:rPr>
                                  <w:rFonts w:hint="eastAsia"/>
                                </w:rPr>
                                <w:t>土主镇污水处理厂</w:t>
                              </w:r>
                            </w:p>
                          </w:txbxContent>
                        </v:textbox>
                      </v:rect>
                      <v:shape id="_x0000_s1026" o:spid="_x0000_s1026" o:spt="34" type="#_x0000_t34" style="position:absolute;left:1631315;top:1080135;height:635;width:466725;rotation:5898240f;" filled="f" stroked="t" coordsize="21600,21600" o:gfxdata="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GqN5dcAAAAFAQAADwAAAAAAAAABACAAAAAiAAAAZHJzL2Rvd25yZXYueG1s&#10;UEsBAhQAFAAAAAgAh07iQKn6fwYyAgAAPAQAAA4AAAAAAAAAAQAgAAAAJgEAAGRycy9lMm9Eb2Mu&#10;eG1sUEsFBgAAAAAGAAYAWQEAAMoFAAAAAA==&#10;" adj="10785">
                        <v:fill on="f" focussize="0,0"/>
                        <v:stroke color="#000000" joinstyle="miter" endarrow="block"/>
                        <v:imagedata o:title=""/>
                        <o:lock v:ext="edit" aspectratio="f"/>
                      </v:shape>
                      <v:rect id="_x0000_s1026" o:spid="_x0000_s1026" o:spt="1" style="position:absolute;left:3694430;top:1323975;height:285750;width:742315;" fillcolor="#FFFFFF" filled="t" stroked="t" coordsize="21600,21600" o:gfxdata="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5HCsHNUAAAAFAQAADwAAAAAAAAABACAAAAAi&#10;AAAAZHJzL2Rvd25yZXYueG1sUEsBAhQAFAAAAAgAh07iQKbmfwcNAgAAOAQAAA4AAAAAAAAAAQAg&#10;AAAAJAEAAGRycy9lMm9Eb2MueG1sUEsFBgAAAAAGAAYAWQEAAKMFAAAAAA==&#10;">
                        <v:fill on="t" focussize="0,0"/>
                        <v:stroke color="#FFFFFF" joinstyle="miter"/>
                        <v:imagedata o:title=""/>
                        <o:lock v:ext="edit" aspectratio="f"/>
                        <v:textbox>
                          <w:txbxContent>
                            <w:p>
                              <w:r>
                                <w:rPr>
                                  <w:rFonts w:hint="eastAsia"/>
                                </w:rPr>
                                <w:t>泥饼外运</w:t>
                              </w:r>
                            </w:p>
                          </w:txbxContent>
                        </v:textbox>
                      </v:rect>
                      <v:shape id="_x0000_s1026" o:spid="_x0000_s1026" o:spt="32" type="#_x0000_t32" style="position:absolute;left:4061460;top:838200;height:485775;width:4445;" filled="f" stroked="t" coordsize="21600,21600" o:gfxdata="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xeE39gAAAAFAQAADwAAAAAA&#10;AAABACAAAAAiAAAAZHJzL2Rvd25yZXYueG1sUEsBAhQAFAAAAAgAh07iQOv0/pQTAgAAAQQAAA4A&#10;AAAAAAAAAQAgAAAAJwEAAGRycy9lMm9Eb2MueG1sUEsFBgAAAAAGAAYAWQEAAKwFAAAAAA==&#10;">
                        <v:fill on="f" focussize="0,0"/>
                        <v:stroke color="#000000" joinstyle="round" endarrow="block"/>
                        <v:imagedata o:title=""/>
                        <o:lock v:ext="edit" aspectratio="f"/>
                      </v:shape>
                      <v:shape id="_x0000_s1026" o:spid="_x0000_s1026" o:spt="34" type="#_x0000_t34" style="position:absolute;left:2458085;top:-1041400;flip:x y;height:3195955;width:9525;rotation:-5898240f;" filled="f" stroked="t" coordsize="21600,21600" o:gfxdata="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&#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5PoBM2AAAAAUBAAAPAAAAAAAAAAEAIAAAACIAAABk&#10;cnMvZG93bnJldi54bWxQSwECFAAUAAAACACHTuJANyBOpT8CAABXBAAADgAAAAAAAAABACAAAAAn&#10;AQAAZHJzL2Uyb0RvYy54bWxQSwUGAAAAAAYABgBZAQAA2AUAAAAA&#10;" adj="-518400">
                        <v:fill on="f" focussize="0,0"/>
                        <v:stroke color="#000000" joinstyle="miter" endarrow="block"/>
                        <v:imagedata o:title=""/>
                        <o:lock v:ext="edit" aspectratio="f"/>
                      </v:shape>
                      <v:rect id="_x0000_s1026" o:spid="_x0000_s1026" o:spt="1" style="position:absolute;left:835660;top:1921510;height:285750;width:2676525;" fillcolor="#FFFFFF" filled="t" stroked="t" coordsize="21600,21600" o:gfxdata="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RwrBzVAAAABQEAAA8AAAAAAAAAAQAgAAAAIgAA&#10;AGRycy9kb3ducmV2LnhtbFBLAQIUABQAAAAIAIdO4kBCGWTWCwIAADgEAAAOAAAAAAAAAAEAIAAA&#10;ACQBAABkcnMvZTJvRG9jLnhtbFBLBQYAAAAABgAGAFkBAAChBQAAAAA=&#10;">
                        <v:fill on="t" focussize="0,0"/>
                        <v:stroke color="#FFFFFF" joinstyle="miter"/>
                        <v:imagedata o:title=""/>
                        <o:lock v:ext="edit" aspectratio="f"/>
                        <v:textbox>
                          <w:txbxContent>
                            <w:p>
                              <w:pPr>
                                <w:rPr>
                                  <w:rFonts w:hint="eastAsia"/>
                                  <w:b/>
                                  <w:bCs/>
                                  <w:sz w:val="24"/>
                                </w:rPr>
                              </w:pPr>
                              <w:r>
                                <w:rPr>
                                  <w:rFonts w:hint="eastAsia"/>
                                  <w:b/>
                                  <w:bCs/>
                                  <w:sz w:val="24"/>
                                </w:rPr>
                                <w:t>图4</w:t>
                              </w:r>
                              <w:r>
                                <w:rPr>
                                  <w:b/>
                                  <w:bCs/>
                                  <w:sz w:val="24"/>
                                </w:rPr>
                                <w:t xml:space="preserve">-1 </w:t>
                              </w:r>
                              <w:r>
                                <w:rPr>
                                  <w:rFonts w:hint="eastAsia"/>
                                  <w:b/>
                                  <w:bCs/>
                                  <w:sz w:val="24"/>
                                </w:rPr>
                                <w:t xml:space="preserve"> 项目排泥水处理工艺流程图</w:t>
                              </w:r>
                            </w:p>
                          </w:txbxContent>
                        </v:textbox>
                      </v:rect>
                      <w10:wrap type="none"/>
                      <w10:anchorlock/>
                    </v:group>
                  </w:pict>
                </mc:Fallback>
              </mc:AlternateContent>
            </w:r>
          </w:p>
          <w:p>
            <w:pPr>
              <w:wordWrap w:val="0"/>
              <w:adjustRightInd w:val="0"/>
              <w:snapToGrid w:val="0"/>
              <w:spacing w:line="360" w:lineRule="auto"/>
              <w:ind w:firstLine="482" w:firstLineChars="200"/>
              <w:jc w:val="left"/>
              <w:rPr>
                <w:b/>
                <w:sz w:val="24"/>
              </w:rPr>
            </w:pPr>
            <w:r>
              <w:rPr>
                <w:b/>
                <w:sz w:val="24"/>
              </w:rPr>
              <w:t>3</w:t>
            </w:r>
            <w:r>
              <w:rPr>
                <w:rFonts w:hint="eastAsia"/>
                <w:b/>
                <w:sz w:val="24"/>
              </w:rPr>
              <w:t>）员工生活污水</w:t>
            </w:r>
          </w:p>
          <w:p>
            <w:pPr>
              <w:wordWrap w:val="0"/>
              <w:adjustRightInd w:val="0"/>
              <w:snapToGrid w:val="0"/>
              <w:spacing w:line="360" w:lineRule="auto"/>
              <w:ind w:firstLine="480" w:firstLineChars="200"/>
              <w:jc w:val="left"/>
              <w:rPr>
                <w:sz w:val="24"/>
              </w:rPr>
            </w:pPr>
            <w:r>
              <w:rPr>
                <w:rFonts w:hint="eastAsia"/>
                <w:bCs/>
                <w:sz w:val="24"/>
              </w:rPr>
              <w:t>本项目劳动定员3</w:t>
            </w:r>
            <w:r>
              <w:rPr>
                <w:bCs/>
                <w:sz w:val="24"/>
              </w:rPr>
              <w:t>4</w:t>
            </w:r>
            <w:r>
              <w:rPr>
                <w:rFonts w:hint="eastAsia"/>
                <w:bCs/>
                <w:sz w:val="24"/>
              </w:rPr>
              <w:t>人，根据水平衡分析可知，本项目</w:t>
            </w:r>
            <w:r>
              <w:rPr>
                <w:rFonts w:hint="eastAsia"/>
                <w:sz w:val="24"/>
              </w:rPr>
              <w:t>生活污水产生量约为</w:t>
            </w:r>
            <w:r>
              <w:rPr>
                <w:sz w:val="24"/>
              </w:rPr>
              <w:t>3.54</w:t>
            </w:r>
            <w:r>
              <w:rPr>
                <w:rFonts w:hint="eastAsia"/>
                <w:sz w:val="24"/>
              </w:rPr>
              <w:t>m</w:t>
            </w:r>
            <w:r>
              <w:rPr>
                <w:rFonts w:hint="eastAsia"/>
                <w:sz w:val="24"/>
                <w:vertAlign w:val="superscript"/>
              </w:rPr>
              <w:t>3</w:t>
            </w:r>
            <w:r>
              <w:rPr>
                <w:rFonts w:hint="eastAsia"/>
                <w:sz w:val="24"/>
              </w:rPr>
              <w:t>/d（包括食堂废水0</w:t>
            </w:r>
            <w:r>
              <w:rPr>
                <w:sz w:val="24"/>
              </w:rPr>
              <w:t>.82</w:t>
            </w:r>
            <w:r>
              <w:rPr>
                <w:rFonts w:hint="eastAsia"/>
                <w:sz w:val="24"/>
              </w:rPr>
              <w:t xml:space="preserve"> m</w:t>
            </w:r>
            <w:r>
              <w:rPr>
                <w:rFonts w:hint="eastAsia"/>
                <w:sz w:val="24"/>
                <w:vertAlign w:val="superscript"/>
              </w:rPr>
              <w:t>3</w:t>
            </w:r>
            <w:r>
              <w:rPr>
                <w:rFonts w:hint="eastAsia"/>
                <w:sz w:val="24"/>
              </w:rPr>
              <w:t>/d），1</w:t>
            </w:r>
            <w:r>
              <w:rPr>
                <w:sz w:val="24"/>
              </w:rPr>
              <w:t>290.6</w:t>
            </w:r>
            <w:r>
              <w:rPr>
                <w:rFonts w:hint="eastAsia"/>
                <w:sz w:val="24"/>
              </w:rPr>
              <w:t>m</w:t>
            </w:r>
            <w:r>
              <w:rPr>
                <w:rFonts w:hint="eastAsia"/>
                <w:sz w:val="24"/>
                <w:vertAlign w:val="superscript"/>
              </w:rPr>
              <w:t>3</w:t>
            </w:r>
            <w:r>
              <w:rPr>
                <w:rFonts w:hint="eastAsia"/>
                <w:sz w:val="24"/>
              </w:rPr>
              <w:t>/a（包括食堂废水</w:t>
            </w:r>
            <w:r>
              <w:rPr>
                <w:sz w:val="24"/>
              </w:rPr>
              <w:t>297.8</w:t>
            </w:r>
            <w:r>
              <w:rPr>
                <w:rFonts w:hint="eastAsia"/>
                <w:sz w:val="24"/>
              </w:rPr>
              <w:t xml:space="preserve"> m</w:t>
            </w:r>
            <w:r>
              <w:rPr>
                <w:rFonts w:hint="eastAsia"/>
                <w:sz w:val="24"/>
                <w:vertAlign w:val="superscript"/>
              </w:rPr>
              <w:t>3</w:t>
            </w:r>
            <w:r>
              <w:rPr>
                <w:rFonts w:hint="eastAsia"/>
                <w:sz w:val="24"/>
              </w:rPr>
              <w:t>/a）。</w:t>
            </w:r>
          </w:p>
          <w:p>
            <w:pPr>
              <w:wordWrap w:val="0"/>
              <w:adjustRightInd w:val="0"/>
              <w:snapToGrid w:val="0"/>
              <w:spacing w:line="360" w:lineRule="auto"/>
              <w:ind w:firstLine="480" w:firstLineChars="200"/>
              <w:jc w:val="left"/>
              <w:rPr>
                <w:sz w:val="24"/>
              </w:rPr>
            </w:pPr>
            <w:r>
              <w:rPr>
                <w:rFonts w:hint="eastAsia"/>
                <w:sz w:val="24"/>
              </w:rPr>
              <w:t>治理措施：采用隔油池+化粪池预处理后用作周边农肥，不外排。</w:t>
            </w:r>
          </w:p>
          <w:p>
            <w:pPr>
              <w:wordWrap w:val="0"/>
              <w:adjustRightInd w:val="0"/>
              <w:snapToGrid w:val="0"/>
              <w:spacing w:line="360" w:lineRule="auto"/>
              <w:ind w:firstLine="480" w:firstLineChars="200"/>
              <w:jc w:val="left"/>
              <w:rPr>
                <w:rFonts w:hint="eastAsia"/>
                <w:sz w:val="24"/>
              </w:rPr>
            </w:pPr>
            <w:r>
              <w:rPr>
                <w:sz w:val="24"/>
              </w:rPr>
              <mc:AlternateContent>
                <mc:Choice Requires="wpc">
                  <w:drawing>
                    <wp:inline distT="0" distB="0" distL="114300" distR="114300">
                      <wp:extent cx="5045710" cy="5086350"/>
                      <wp:effectExtent l="0" t="0" r="2540" b="0"/>
                      <wp:docPr id="185" name="画布 1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4" name="矩形 134"/>
                              <wps:cNvSpPr/>
                              <wps:spPr>
                                <a:xfrm>
                                  <a:off x="3790950" y="1728470"/>
                                  <a:ext cx="692785" cy="22860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2</w:t>
                                    </w:r>
                                    <w:r>
                                      <w:t>9995.58</w:t>
                                    </w:r>
                                  </w:p>
                                </w:txbxContent>
                              </wps:txbx>
                              <wps:bodyPr upright="1"/>
                            </wps:wsp>
                            <wps:wsp>
                              <wps:cNvPr id="135" name="矩形 135"/>
                              <wps:cNvSpPr/>
                              <wps:spPr>
                                <a:xfrm>
                                  <a:off x="4527550" y="2047875"/>
                                  <a:ext cx="465455"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4.42</w:t>
                                    </w:r>
                                  </w:p>
                                </w:txbxContent>
                              </wps:txbx>
                              <wps:bodyPr upright="1"/>
                            </wps:wsp>
                            <wps:wsp>
                              <wps:cNvPr id="136" name="矩形 136"/>
                              <wps:cNvSpPr/>
                              <wps:spPr>
                                <a:xfrm>
                                  <a:off x="2769235" y="387985"/>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30036</w:t>
                                    </w:r>
                                  </w:p>
                                </w:txbxContent>
                              </wps:txbx>
                              <wps:bodyPr upright="1"/>
                            </wps:wsp>
                            <wps:wsp>
                              <wps:cNvPr id="137" name="矩形 137"/>
                              <wps:cNvSpPr/>
                              <wps:spPr>
                                <a:xfrm>
                                  <a:off x="1148080" y="59690"/>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559</w:t>
                                    </w:r>
                                  </w:p>
                                </w:txbxContent>
                              </wps:txbx>
                              <wps:bodyPr upright="1"/>
                            </wps:wsp>
                            <wps:wsp>
                              <wps:cNvPr id="138" name="矩形 138"/>
                              <wps:cNvSpPr/>
                              <wps:spPr>
                                <a:xfrm>
                                  <a:off x="1511935" y="399415"/>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30595</w:t>
                                    </w:r>
                                  </w:p>
                                </w:txbxContent>
                              </wps:txbx>
                              <wps:bodyPr upright="1"/>
                            </wps:wsp>
                            <wps:wsp>
                              <wps:cNvPr id="139" name="矩形 139"/>
                              <wps:cNvSpPr/>
                              <wps:spPr>
                                <a:xfrm>
                                  <a:off x="1446530" y="833120"/>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30560</w:t>
                                    </w:r>
                                  </w:p>
                                </w:txbxContent>
                              </wps:txbx>
                              <wps:bodyPr upright="1"/>
                            </wps:wsp>
                            <wps:wsp>
                              <wps:cNvPr id="140" name="矩形 140"/>
                              <wps:cNvSpPr/>
                              <wps:spPr>
                                <a:xfrm>
                                  <a:off x="2626360" y="1166495"/>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30000</w:t>
                                    </w:r>
                                  </w:p>
                                </w:txbxContent>
                              </wps:txbx>
                              <wps:bodyPr upright="1"/>
                            </wps:wsp>
                            <wps:wsp>
                              <wps:cNvPr id="141" name="矩形 141"/>
                              <wps:cNvSpPr/>
                              <wps:spPr>
                                <a:xfrm>
                                  <a:off x="3731260" y="1189990"/>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30000</w:t>
                                    </w:r>
                                  </w:p>
                                </w:txbxContent>
                              </wps:txbx>
                              <wps:bodyPr upright="1"/>
                            </wps:wsp>
                            <wps:wsp>
                              <wps:cNvPr id="142" name="矩形 142"/>
                              <wps:cNvSpPr/>
                              <wps:spPr>
                                <a:xfrm>
                                  <a:off x="488315" y="2044065"/>
                                  <a:ext cx="37719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1</w:t>
                                    </w:r>
                                  </w:p>
                                </w:txbxContent>
                              </wps:txbx>
                              <wps:bodyPr upright="1"/>
                            </wps:wsp>
                            <wps:wsp>
                              <wps:cNvPr id="143" name="矩形 143"/>
                              <wps:cNvSpPr/>
                              <wps:spPr>
                                <a:xfrm>
                                  <a:off x="1793240" y="1395095"/>
                                  <a:ext cx="4318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t>560</w:t>
                                    </w:r>
                                  </w:p>
                                </w:txbxContent>
                              </wps:txbx>
                              <wps:bodyPr upright="1"/>
                            </wps:wsp>
                            <wps:wsp>
                              <wps:cNvPr id="144" name="矩形 144"/>
                              <wps:cNvSpPr/>
                              <wps:spPr>
                                <a:xfrm>
                                  <a:off x="1598930" y="1130935"/>
                                  <a:ext cx="74295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反冲洗水</w:t>
                                    </w:r>
                                  </w:p>
                                </w:txbxContent>
                              </wps:txbx>
                              <wps:bodyPr upright="1"/>
                            </wps:wsp>
                            <wps:wsp>
                              <wps:cNvPr id="145" name="矩形 145"/>
                              <wps:cNvSpPr/>
                              <wps:spPr>
                                <a:xfrm>
                                  <a:off x="3056255" y="2849245"/>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1.9</w:t>
                                    </w:r>
                                  </w:p>
                                </w:txbxContent>
                              </wps:txbx>
                              <wps:bodyPr upright="1"/>
                            </wps:wsp>
                            <wps:wsp>
                              <wps:cNvPr id="146" name="矩形 146"/>
                              <wps:cNvSpPr/>
                              <wps:spPr>
                                <a:xfrm>
                                  <a:off x="2091690" y="2887345"/>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1.9</w:t>
                                    </w:r>
                                  </w:p>
                                </w:txbxContent>
                              </wps:txbx>
                              <wps:bodyPr upright="1"/>
                            </wps:wsp>
                            <wps:wsp>
                              <wps:cNvPr id="147" name="矩形 147"/>
                              <wps:cNvSpPr/>
                              <wps:spPr>
                                <a:xfrm>
                                  <a:off x="1160145" y="2877820"/>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37.5</w:t>
                                    </w:r>
                                  </w:p>
                                </w:txbxContent>
                              </wps:txbx>
                              <wps:bodyPr upright="1"/>
                            </wps:wsp>
                            <wps:wsp>
                              <wps:cNvPr id="148" name="矩形 148"/>
                              <wps:cNvSpPr/>
                              <wps:spPr>
                                <a:xfrm>
                                  <a:off x="2437130" y="2401570"/>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1.5</w:t>
                                    </w:r>
                                  </w:p>
                                </w:txbxContent>
                              </wps:txbx>
                              <wps:bodyPr upright="1"/>
                            </wps:wsp>
                            <wps:wsp>
                              <wps:cNvPr id="149" name="矩形 149"/>
                              <wps:cNvSpPr/>
                              <wps:spPr>
                                <a:xfrm>
                                  <a:off x="3520440" y="3397885"/>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0.4</w:t>
                                    </w:r>
                                  </w:p>
                                </w:txbxContent>
                              </wps:txbx>
                              <wps:bodyPr upright="1"/>
                            </wps:wsp>
                            <wps:wsp>
                              <wps:cNvPr id="150" name="矩形 150"/>
                              <wps:cNvSpPr/>
                              <wps:spPr>
                                <a:xfrm>
                                  <a:off x="1407795" y="3315970"/>
                                  <a:ext cx="60960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t>35.6</w:t>
                                    </w:r>
                                  </w:p>
                                </w:txbxContent>
                              </wps:txbx>
                              <wps:bodyPr upright="1"/>
                            </wps:wsp>
                            <wps:wsp>
                              <wps:cNvPr id="151" name="矩形 151"/>
                              <wps:cNvSpPr/>
                              <wps:spPr>
                                <a:xfrm>
                                  <a:off x="76200" y="1614170"/>
                                  <a:ext cx="37719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3</w:t>
                                    </w:r>
                                    <w:r>
                                      <w:t>5</w:t>
                                    </w:r>
                                  </w:p>
                                </w:txbxContent>
                              </wps:txbx>
                              <wps:bodyPr upright="1"/>
                            </wps:wsp>
                            <wps:wsp>
                              <wps:cNvPr id="152" name="矩形 152"/>
                              <wps:cNvSpPr/>
                              <wps:spPr>
                                <a:xfrm>
                                  <a:off x="560705" y="2934970"/>
                                  <a:ext cx="6096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排泥池</w:t>
                                    </w:r>
                                  </w:p>
                                </w:txbxContent>
                              </wps:txbx>
                              <wps:bodyPr upright="1"/>
                            </wps:wsp>
                            <wps:wsp>
                              <wps:cNvPr id="153" name="矩形 153"/>
                              <wps:cNvSpPr/>
                              <wps:spPr>
                                <a:xfrm>
                                  <a:off x="1560830" y="2934970"/>
                                  <a:ext cx="6096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浓缩池</w:t>
                                    </w:r>
                                  </w:p>
                                </w:txbxContent>
                              </wps:txbx>
                              <wps:bodyPr upright="1"/>
                            </wps:wsp>
                            <wps:wsp>
                              <wps:cNvPr id="154" name="矩形 154"/>
                              <wps:cNvSpPr/>
                              <wps:spPr>
                                <a:xfrm>
                                  <a:off x="2465705" y="2849245"/>
                                  <a:ext cx="609600" cy="4476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污泥平衡池</w:t>
                                    </w:r>
                                  </w:p>
                                </w:txbxContent>
                              </wps:txbx>
                              <wps:bodyPr upright="1"/>
                            </wps:wsp>
                            <wps:wsp>
                              <wps:cNvPr id="155" name="矩形 155"/>
                              <wps:cNvSpPr/>
                              <wps:spPr>
                                <a:xfrm>
                                  <a:off x="3389630" y="2830195"/>
                                  <a:ext cx="502285" cy="472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脱水车间</w:t>
                                    </w:r>
                                  </w:p>
                                </w:txbxContent>
                              </wps:txbx>
                              <wps:bodyPr upright="1"/>
                            </wps:wsp>
                            <wps:wsp>
                              <wps:cNvPr id="156" name="直接箭头连接符 156"/>
                              <wps:cNvCnPr/>
                              <wps:spPr>
                                <a:xfrm>
                                  <a:off x="1170305" y="3077845"/>
                                  <a:ext cx="390525" cy="635"/>
                                </a:xfrm>
                                <a:prstGeom prst="straightConnector1">
                                  <a:avLst/>
                                </a:prstGeom>
                                <a:ln w="9525" cap="flat" cmpd="sng">
                                  <a:solidFill>
                                    <a:srgbClr val="000000"/>
                                  </a:solidFill>
                                  <a:prstDash val="solid"/>
                                  <a:headEnd type="none" w="med" len="med"/>
                                  <a:tailEnd type="triangle" w="med" len="med"/>
                                </a:ln>
                              </wps:spPr>
                              <wps:bodyPr/>
                            </wps:wsp>
                            <wps:wsp>
                              <wps:cNvPr id="157" name="直接箭头连接符 157"/>
                              <wps:cNvCnPr/>
                              <wps:spPr>
                                <a:xfrm flipV="1">
                                  <a:off x="2170430" y="3073400"/>
                                  <a:ext cx="295275" cy="4445"/>
                                </a:xfrm>
                                <a:prstGeom prst="straightConnector1">
                                  <a:avLst/>
                                </a:prstGeom>
                                <a:ln w="9525" cap="flat" cmpd="sng">
                                  <a:solidFill>
                                    <a:srgbClr val="000000"/>
                                  </a:solidFill>
                                  <a:prstDash val="solid"/>
                                  <a:headEnd type="none" w="med" len="med"/>
                                  <a:tailEnd type="triangle" w="med" len="med"/>
                                </a:ln>
                              </wps:spPr>
                              <wps:bodyPr/>
                            </wps:wsp>
                            <wps:wsp>
                              <wps:cNvPr id="158" name="直接箭头连接符 158"/>
                              <wps:cNvCnPr/>
                              <wps:spPr>
                                <a:xfrm flipV="1">
                                  <a:off x="3075305" y="3066415"/>
                                  <a:ext cx="314325" cy="6985"/>
                                </a:xfrm>
                                <a:prstGeom prst="straightConnector1">
                                  <a:avLst/>
                                </a:prstGeom>
                                <a:ln w="9525" cap="flat" cmpd="sng">
                                  <a:solidFill>
                                    <a:srgbClr val="000000"/>
                                  </a:solidFill>
                                  <a:prstDash val="solid"/>
                                  <a:headEnd type="none" w="med" len="med"/>
                                  <a:tailEnd type="triangle" w="med" len="med"/>
                                </a:ln>
                              </wps:spPr>
                              <wps:bodyPr/>
                            </wps:wsp>
                            <wps:wsp>
                              <wps:cNvPr id="159" name="矩形 159"/>
                              <wps:cNvSpPr/>
                              <wps:spPr>
                                <a:xfrm>
                                  <a:off x="1503680" y="3857625"/>
                                  <a:ext cx="741680" cy="4953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土主镇污水处理厂</w:t>
                                    </w:r>
                                  </w:p>
                                </w:txbxContent>
                              </wps:txbx>
                              <wps:bodyPr upright="1"/>
                            </wps:wsp>
                            <wps:wsp>
                              <wps:cNvPr id="160" name="矩形 160"/>
                              <wps:cNvSpPr/>
                              <wps:spPr>
                                <a:xfrm>
                                  <a:off x="3265805" y="3696970"/>
                                  <a:ext cx="742315"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泥饼外运</w:t>
                                    </w:r>
                                  </w:p>
                                </w:txbxContent>
                              </wps:txbx>
                              <wps:bodyPr upright="1"/>
                            </wps:wsp>
                            <wps:wsp>
                              <wps:cNvPr id="161" name="直接箭头连接符 161"/>
                              <wps:cNvCnPr/>
                              <wps:spPr>
                                <a:xfrm flipH="1">
                                  <a:off x="3637280" y="3302635"/>
                                  <a:ext cx="3810" cy="394335"/>
                                </a:xfrm>
                                <a:prstGeom prst="straightConnector1">
                                  <a:avLst/>
                                </a:prstGeom>
                                <a:ln w="9525" cap="flat" cmpd="sng">
                                  <a:solidFill>
                                    <a:srgbClr val="000000"/>
                                  </a:solidFill>
                                  <a:prstDash val="solid"/>
                                  <a:headEnd type="none" w="med" len="med"/>
                                  <a:tailEnd type="triangle" w="med" len="med"/>
                                </a:ln>
                              </wps:spPr>
                              <wps:bodyPr/>
                            </wps:wsp>
                            <wps:wsp>
                              <wps:cNvPr id="162" name="肘形连接符 162"/>
                              <wps:cNvCnPr/>
                              <wps:spPr>
                                <a:xfrm rot="16200000" flipH="1" flipV="1">
                                  <a:off x="2200275" y="1494155"/>
                                  <a:ext cx="104775" cy="2775585"/>
                                </a:xfrm>
                                <a:prstGeom prst="bentConnector3">
                                  <a:avLst>
                                    <a:gd name="adj1" fmla="val -218181"/>
                                  </a:avLst>
                                </a:prstGeom>
                                <a:ln w="9525" cap="flat" cmpd="sng">
                                  <a:solidFill>
                                    <a:srgbClr val="000000"/>
                                  </a:solidFill>
                                  <a:prstDash val="solid"/>
                                  <a:miter/>
                                  <a:headEnd type="none" w="med" len="med"/>
                                  <a:tailEnd type="triangle" w="med" len="med"/>
                                </a:ln>
                              </wps:spPr>
                              <wps:bodyPr/>
                            </wps:wsp>
                            <wps:wsp>
                              <wps:cNvPr id="163" name="矩形 163"/>
                              <wps:cNvSpPr/>
                              <wps:spPr>
                                <a:xfrm>
                                  <a:off x="921385" y="4754245"/>
                                  <a:ext cx="2676525"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b/>
                                        <w:bCs/>
                                        <w:sz w:val="24"/>
                                      </w:rPr>
                                    </w:pPr>
                                    <w:r>
                                      <w:rPr>
                                        <w:rFonts w:hint="eastAsia"/>
                                        <w:b/>
                                        <w:bCs/>
                                        <w:sz w:val="24"/>
                                      </w:rPr>
                                      <w:t>图4</w:t>
                                    </w:r>
                                    <w:r>
                                      <w:rPr>
                                        <w:b/>
                                        <w:bCs/>
                                        <w:sz w:val="24"/>
                                      </w:rPr>
                                      <w:t xml:space="preserve">-2 </w:t>
                                    </w:r>
                                    <w:r>
                                      <w:rPr>
                                        <w:rFonts w:hint="eastAsia"/>
                                        <w:b/>
                                        <w:bCs/>
                                        <w:sz w:val="24"/>
                                      </w:rPr>
                                      <w:t xml:space="preserve"> 项目排泥水处理工艺水平衡</w:t>
                                    </w:r>
                                  </w:p>
                                </w:txbxContent>
                              </wps:txbx>
                              <wps:bodyPr upright="1"/>
                            </wps:wsp>
                            <wps:wsp>
                              <wps:cNvPr id="164" name="矩形 164"/>
                              <wps:cNvSpPr/>
                              <wps:spPr>
                                <a:xfrm>
                                  <a:off x="503555" y="1268095"/>
                                  <a:ext cx="120713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反冲洗水回收池</w:t>
                                    </w:r>
                                  </w:p>
                                </w:txbxContent>
                              </wps:txbx>
                              <wps:bodyPr upright="1"/>
                            </wps:wsp>
                            <wps:wsp>
                              <wps:cNvPr id="165" name="矩形 165"/>
                              <wps:cNvSpPr/>
                              <wps:spPr>
                                <a:xfrm>
                                  <a:off x="2179955" y="1268095"/>
                                  <a:ext cx="5238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滤池</w:t>
                                    </w:r>
                                  </w:p>
                                </w:txbxContent>
                              </wps:txbx>
                              <wps:bodyPr upright="1"/>
                            </wps:wsp>
                            <wps:wsp>
                              <wps:cNvPr id="166" name="矩形 166"/>
                              <wps:cNvSpPr/>
                              <wps:spPr>
                                <a:xfrm>
                                  <a:off x="2063115" y="492760"/>
                                  <a:ext cx="66929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配水井</w:t>
                                    </w:r>
                                  </w:p>
                                </w:txbxContent>
                              </wps:txbx>
                              <wps:bodyPr upright="1"/>
                            </wps:wsp>
                            <wps:wsp>
                              <wps:cNvPr id="167" name="矩形 167"/>
                              <wps:cNvSpPr/>
                              <wps:spPr>
                                <a:xfrm>
                                  <a:off x="3094355" y="1271270"/>
                                  <a:ext cx="62738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清水池</w:t>
                                    </w:r>
                                  </w:p>
                                </w:txbxContent>
                              </wps:txbx>
                              <wps:bodyPr upright="1"/>
                            </wps:wsp>
                            <wps:wsp>
                              <wps:cNvPr id="168" name="矩形 168"/>
                              <wps:cNvSpPr/>
                              <wps:spPr>
                                <a:xfrm>
                                  <a:off x="4227830" y="1268095"/>
                                  <a:ext cx="74041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送水泵房</w:t>
                                    </w:r>
                                  </w:p>
                                </w:txbxContent>
                              </wps:txbx>
                              <wps:bodyPr upright="1"/>
                            </wps:wsp>
                            <wps:wsp>
                              <wps:cNvPr id="169" name="肘形连接符 169"/>
                              <wps:cNvCnPr/>
                              <wps:spPr>
                                <a:xfrm rot="5400000">
                                  <a:off x="71120" y="2041525"/>
                                  <a:ext cx="1524000" cy="546735"/>
                                </a:xfrm>
                                <a:prstGeom prst="bentConnector4">
                                  <a:avLst>
                                    <a:gd name="adj1" fmla="val 45292"/>
                                    <a:gd name="adj2" fmla="val 141810"/>
                                  </a:avLst>
                                </a:prstGeom>
                                <a:ln w="9525" cap="flat" cmpd="sng">
                                  <a:solidFill>
                                    <a:srgbClr val="000000"/>
                                  </a:solidFill>
                                  <a:prstDash val="solid"/>
                                  <a:miter/>
                                  <a:headEnd type="none" w="med" len="med"/>
                                  <a:tailEnd type="triangle" w="med" len="med"/>
                                </a:ln>
                              </wps:spPr>
                              <wps:bodyPr/>
                            </wps:wsp>
                            <wps:wsp>
                              <wps:cNvPr id="170" name="直接箭头连接符 170"/>
                              <wps:cNvCnPr/>
                              <wps:spPr>
                                <a:xfrm>
                                  <a:off x="1710690" y="1410970"/>
                                  <a:ext cx="469265" cy="635"/>
                                </a:xfrm>
                                <a:prstGeom prst="straightConnector1">
                                  <a:avLst/>
                                </a:prstGeom>
                                <a:ln w="9525" cap="flat" cmpd="sng">
                                  <a:solidFill>
                                    <a:srgbClr val="000000"/>
                                  </a:solidFill>
                                  <a:prstDash val="solid"/>
                                  <a:headEnd type="triangle" w="med" len="med"/>
                                  <a:tailEnd type="none" w="med" len="med"/>
                                </a:ln>
                              </wps:spPr>
                              <wps:bodyPr/>
                            </wps:wsp>
                            <wps:wsp>
                              <wps:cNvPr id="171" name="直接箭头连接符 171"/>
                              <wps:cNvCnPr/>
                              <wps:spPr>
                                <a:xfrm>
                                  <a:off x="2703830" y="1410970"/>
                                  <a:ext cx="390525" cy="3175"/>
                                </a:xfrm>
                                <a:prstGeom prst="straightConnector1">
                                  <a:avLst/>
                                </a:prstGeom>
                                <a:ln w="9525" cap="flat" cmpd="sng">
                                  <a:solidFill>
                                    <a:srgbClr val="000000"/>
                                  </a:solidFill>
                                  <a:prstDash val="solid"/>
                                  <a:headEnd type="none" w="med" len="med"/>
                                  <a:tailEnd type="triangle" w="med" len="med"/>
                                </a:ln>
                              </wps:spPr>
                              <wps:bodyPr/>
                            </wps:wsp>
                            <wps:wsp>
                              <wps:cNvPr id="172" name="直接箭头连接符 172"/>
                              <wps:cNvCnPr/>
                              <wps:spPr>
                                <a:xfrm flipV="1">
                                  <a:off x="3721735" y="1410970"/>
                                  <a:ext cx="506095" cy="3175"/>
                                </a:xfrm>
                                <a:prstGeom prst="straightConnector1">
                                  <a:avLst/>
                                </a:prstGeom>
                                <a:ln w="9525" cap="flat" cmpd="sng">
                                  <a:solidFill>
                                    <a:srgbClr val="000000"/>
                                  </a:solidFill>
                                  <a:prstDash val="solid"/>
                                  <a:headEnd type="none" w="med" len="med"/>
                                  <a:tailEnd type="triangle" w="med" len="med"/>
                                </a:ln>
                              </wps:spPr>
                              <wps:bodyPr/>
                            </wps:wsp>
                            <wps:wsp>
                              <wps:cNvPr id="173" name="矩形 173"/>
                              <wps:cNvSpPr/>
                              <wps:spPr>
                                <a:xfrm>
                                  <a:off x="608330" y="494030"/>
                                  <a:ext cx="9525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絮凝沉淀池</w:t>
                                    </w:r>
                                  </w:p>
                                </w:txbxContent>
                              </wps:txbx>
                              <wps:bodyPr upright="1"/>
                            </wps:wsp>
                            <wps:wsp>
                              <wps:cNvPr id="174" name="直接箭头连接符 174"/>
                              <wps:cNvCnPr/>
                              <wps:spPr>
                                <a:xfrm flipH="1">
                                  <a:off x="1560830" y="635635"/>
                                  <a:ext cx="502285" cy="1270"/>
                                </a:xfrm>
                                <a:prstGeom prst="straightConnector1">
                                  <a:avLst/>
                                </a:prstGeom>
                                <a:ln w="9525" cap="flat" cmpd="sng">
                                  <a:solidFill>
                                    <a:srgbClr val="000000"/>
                                  </a:solidFill>
                                  <a:prstDash val="solid"/>
                                  <a:headEnd type="none" w="med" len="med"/>
                                  <a:tailEnd type="triangle" w="med" len="med"/>
                                </a:ln>
                              </wps:spPr>
                              <wps:bodyPr/>
                            </wps:wsp>
                            <wps:wsp>
                              <wps:cNvPr id="175" name="肘形连接符 175"/>
                              <wps:cNvCnPr/>
                              <wps:spPr>
                                <a:xfrm rot="-5400000" flipH="1">
                                  <a:off x="1518285" y="344170"/>
                                  <a:ext cx="488315" cy="1357630"/>
                                </a:xfrm>
                                <a:prstGeom prst="bentConnector3">
                                  <a:avLst>
                                    <a:gd name="adj1" fmla="val 49935"/>
                                  </a:avLst>
                                </a:prstGeom>
                                <a:ln w="9525" cap="flat" cmpd="sng">
                                  <a:solidFill>
                                    <a:srgbClr val="000000"/>
                                  </a:solidFill>
                                  <a:prstDash val="solid"/>
                                  <a:miter/>
                                  <a:headEnd type="none" w="med" len="med"/>
                                  <a:tailEnd type="triangle" w="med" len="med"/>
                                </a:ln>
                              </wps:spPr>
                              <wps:bodyPr/>
                            </wps:wsp>
                            <wps:wsp>
                              <wps:cNvPr id="176" name="肘形连接符 176"/>
                              <wps:cNvCnPr/>
                              <wps:spPr>
                                <a:xfrm rot="-10800000" flipV="1">
                                  <a:off x="560705" y="636905"/>
                                  <a:ext cx="47625" cy="2440940"/>
                                </a:xfrm>
                                <a:prstGeom prst="bentConnector3">
                                  <a:avLst>
                                    <a:gd name="adj1" fmla="val 580000"/>
                                  </a:avLst>
                                </a:prstGeom>
                                <a:ln w="9525" cap="flat" cmpd="sng">
                                  <a:solidFill>
                                    <a:srgbClr val="000000"/>
                                  </a:solidFill>
                                  <a:prstDash val="solid"/>
                                  <a:miter/>
                                  <a:headEnd type="none" w="med" len="med"/>
                                  <a:tailEnd type="triangle" w="med" len="med"/>
                                </a:ln>
                              </wps:spPr>
                              <wps:bodyPr/>
                            </wps:wsp>
                            <wps:wsp>
                              <wps:cNvPr id="177" name="肘形连接符 177"/>
                              <wps:cNvCnPr/>
                              <wps:spPr>
                                <a:xfrm rot="-10800000" flipH="1">
                                  <a:off x="503555" y="492760"/>
                                  <a:ext cx="1894205" cy="918210"/>
                                </a:xfrm>
                                <a:prstGeom prst="bentConnector4">
                                  <a:avLst>
                                    <a:gd name="adj1" fmla="val -12069"/>
                                    <a:gd name="adj2" fmla="val 124898"/>
                                  </a:avLst>
                                </a:prstGeom>
                                <a:ln w="9525" cap="flat" cmpd="sng">
                                  <a:solidFill>
                                    <a:srgbClr val="FF0000"/>
                                  </a:solidFill>
                                  <a:prstDash val="solid"/>
                                  <a:miter/>
                                  <a:headEnd type="none" w="med" len="med"/>
                                  <a:tailEnd type="triangle" w="med" len="med"/>
                                </a:ln>
                              </wps:spPr>
                              <wps:bodyPr/>
                            </wps:wsp>
                            <wps:wsp>
                              <wps:cNvPr id="178" name="直接箭头连接符 178"/>
                              <wps:cNvCnPr/>
                              <wps:spPr>
                                <a:xfrm flipH="1">
                                  <a:off x="2725420" y="636905"/>
                                  <a:ext cx="502285" cy="1270"/>
                                </a:xfrm>
                                <a:prstGeom prst="straightConnector1">
                                  <a:avLst/>
                                </a:prstGeom>
                                <a:ln w="9525" cap="flat" cmpd="sng">
                                  <a:solidFill>
                                    <a:srgbClr val="000000"/>
                                  </a:solidFill>
                                  <a:prstDash val="solid"/>
                                  <a:headEnd type="none" w="med" len="med"/>
                                  <a:tailEnd type="triangle" w="med" len="med"/>
                                </a:ln>
                              </wps:spPr>
                              <wps:bodyPr/>
                            </wps:wsp>
                            <wps:wsp>
                              <wps:cNvPr id="179" name="矩形 179"/>
                              <wps:cNvSpPr/>
                              <wps:spPr>
                                <a:xfrm>
                                  <a:off x="3274060" y="492760"/>
                                  <a:ext cx="645160" cy="2857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原水</w:t>
                                    </w:r>
                                  </w:p>
                                </w:txbxContent>
                              </wps:txbx>
                              <wps:bodyPr upright="1"/>
                            </wps:wsp>
                            <wps:wsp>
                              <wps:cNvPr id="180" name="矩形 180"/>
                              <wps:cNvSpPr/>
                              <wps:spPr>
                                <a:xfrm>
                                  <a:off x="4290695" y="2309495"/>
                                  <a:ext cx="645160" cy="47307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厂内生活用水</w:t>
                                    </w:r>
                                  </w:p>
                                </w:txbxContent>
                              </wps:txbx>
                              <wps:bodyPr upright="1"/>
                            </wps:wsp>
                            <wps:wsp>
                              <wps:cNvPr id="181" name="直接箭头连接符 181"/>
                              <wps:cNvCnPr/>
                              <wps:spPr>
                                <a:xfrm>
                                  <a:off x="4598035" y="1553845"/>
                                  <a:ext cx="15240" cy="755650"/>
                                </a:xfrm>
                                <a:prstGeom prst="straightConnector1">
                                  <a:avLst/>
                                </a:prstGeom>
                                <a:ln w="9525" cap="flat" cmpd="sng">
                                  <a:solidFill>
                                    <a:srgbClr val="000000"/>
                                  </a:solidFill>
                                  <a:prstDash val="solid"/>
                                  <a:headEnd type="none" w="med" len="med"/>
                                  <a:tailEnd type="triangle" w="med" len="med"/>
                                </a:ln>
                              </wps:spPr>
                              <wps:bodyPr/>
                            </wps:wsp>
                            <wps:wsp>
                              <wps:cNvPr id="182" name="矩形 182"/>
                              <wps:cNvSpPr/>
                              <wps:spPr>
                                <a:xfrm>
                                  <a:off x="3389630" y="1704340"/>
                                  <a:ext cx="483235" cy="47307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配水管网</w:t>
                                    </w:r>
                                  </w:p>
                                </w:txbxContent>
                              </wps:txbx>
                              <wps:bodyPr upright="1"/>
                            </wps:wsp>
                            <wps:wsp>
                              <wps:cNvPr id="183" name="肘形连接符 183"/>
                              <wps:cNvCnPr/>
                              <wps:spPr>
                                <a:xfrm rot="5400000">
                                  <a:off x="4041775" y="1384935"/>
                                  <a:ext cx="387350" cy="725170"/>
                                </a:xfrm>
                                <a:prstGeom prst="bentConnector2">
                                  <a:avLst/>
                                </a:prstGeom>
                                <a:ln w="9525" cap="flat" cmpd="sng">
                                  <a:solidFill>
                                    <a:srgbClr val="000000"/>
                                  </a:solidFill>
                                  <a:prstDash val="solid"/>
                                  <a:miter/>
                                  <a:headEnd type="none" w="med" len="med"/>
                                  <a:tailEnd type="triangle" w="med" len="med"/>
                                </a:ln>
                              </wps:spPr>
                              <wps:bodyPr/>
                            </wps:wsp>
                            <wps:wsp>
                              <wps:cNvPr id="184" name="直接箭头连接符 184"/>
                              <wps:cNvCnPr/>
                              <wps:spPr>
                                <a:xfrm>
                                  <a:off x="1865630" y="3220720"/>
                                  <a:ext cx="8890" cy="636905"/>
                                </a:xfrm>
                                <a:prstGeom prst="straightConnector1">
                                  <a:avLst/>
                                </a:prstGeom>
                                <a:ln w="9525" cap="flat" cmpd="sng">
                                  <a:solidFill>
                                    <a:srgbClr val="000000"/>
                                  </a:solidFill>
                                  <a:prstDash val="solid"/>
                                  <a:headEnd type="none" w="med" len="med"/>
                                  <a:tailEnd type="triangle" w="med" len="med"/>
                                </a:ln>
                              </wps:spPr>
                              <wps:bodyPr/>
                            </wps:wsp>
                          </wpc:wpc>
                        </a:graphicData>
                      </a:graphic>
                    </wp:inline>
                  </w:drawing>
                </mc:Choice>
                <mc:Fallback>
                  <w:pict>
                    <v:group id="_x0000_s1026" o:spid="_x0000_s1026" o:spt="203" style="height:400.5pt;width:397.3pt;" coordsize="5045710,5086350" editas="canvas" o:gfxdata="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">
                      <o:lock v:ext="edit" aspectratio="f"/>
                      <v:rect id="_x0000_s1026" o:spid="_x0000_s1026" o:spt="1" style="position:absolute;left:0;top:0;height:5086350;width:5045710;" filled="f" stroked="f" coordsize="21600,21600" o:gfxdata="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">
                        <v:path/>
                        <v:fill on="f" focussize="0,0"/>
                        <v:stroke on="f"/>
                        <v:imagedata o:title=""/>
                        <o:lock v:ext="edit" rotation="t" text="t" aspectratio="t"/>
                      </v:rect>
                      <v:rect id="_x0000_s1026" o:spid="_x0000_s1026" o:spt="1" style="position:absolute;left:3790950;top:1728470;height:228600;width:692785;"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K3Sx3UAAAABQEAAA8AAAAAAAAAAQAgAAAAIgAA&#10;AGRycy9kb3ducmV2LnhtbFBLAQIUABQAAAAIAIdO4kCdOjodDAIAADgEAAAOAAAAAAAAAAEAIAAA&#10;ACMBAABkcnMvZTJvRG9jLnhtbFBLBQYAAAAABgAGAFkBAAChBQAAAAA=&#10;">
                        <v:fill on="t" focussize="0,0"/>
                        <v:stroke color="#FFFFFF" joinstyle="miter"/>
                        <v:imagedata o:title=""/>
                        <o:lock v:ext="edit" aspectratio="f"/>
                        <v:textbox>
                          <w:txbxContent>
                            <w:p>
                              <w:pPr>
                                <w:rPr>
                                  <w:rFonts w:hint="eastAsia"/>
                                </w:rPr>
                              </w:pPr>
                              <w:r>
                                <w:rPr>
                                  <w:rFonts w:hint="eastAsia"/>
                                </w:rPr>
                                <w:t>2</w:t>
                              </w:r>
                              <w:r>
                                <w:t>9995.58</w:t>
                              </w:r>
                            </w:p>
                          </w:txbxContent>
                        </v:textbox>
                      </v:rect>
                      <v:rect id="_x0000_s1026" o:spid="_x0000_s1026" o:spt="1" style="position:absolute;left:4527550;top:2047875;height:285750;width:465455;"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&#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it0sd1AAAAAUBAAAPAAAAAAAAAAEAIAAAACIAAABk&#10;cnMvZG93bnJldi54bWxQSwECFAAUAAAACACHTuJAho77/AoCAAA4BAAADgAAAAAAAAABACAAAAAj&#10;AQAAZHJzL2Uyb0RvYy54bWxQSwUGAAAAAAYABgBZAQAAnwUAAAAA&#10;">
                        <v:fill on="t" focussize="0,0"/>
                        <v:stroke color="#FFFFFF" joinstyle="miter"/>
                        <v:imagedata o:title=""/>
                        <o:lock v:ext="edit" aspectratio="f"/>
                        <v:textbox>
                          <w:txbxContent>
                            <w:p>
                              <w:r>
                                <w:t>4.42</w:t>
                              </w:r>
                            </w:p>
                          </w:txbxContent>
                        </v:textbox>
                      </v:rect>
                      <v:rect id="_x0000_s1026" o:spid="_x0000_s1026" o:spt="1" style="position:absolute;left:2769235;top:387985;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it0sd1AAAAAUBAAAPAAAAAAAAAAEAIAAAACIA&#10;AABkcnMvZG93bnJldi54bWxQSwECFAAUAAAACACHTuJAsvRluw0CAAA3BAAADgAAAAAAAAABACAA&#10;AAAjAQAAZHJzL2Uyb0RvYy54bWxQSwUGAAAAAAYABgBZAQAAogUAAAAA&#10;">
                        <v:fill on="t" focussize="0,0"/>
                        <v:stroke color="#FFFFFF" joinstyle="miter"/>
                        <v:imagedata o:title=""/>
                        <o:lock v:ext="edit" aspectratio="f"/>
                        <v:textbox>
                          <w:txbxContent>
                            <w:p>
                              <w:r>
                                <w:t>30036</w:t>
                              </w:r>
                            </w:p>
                          </w:txbxContent>
                        </v:textbox>
                      </v:rect>
                      <v:rect id="_x0000_s1026" o:spid="_x0000_s1026" o:spt="1" style="position:absolute;left:1148080;top:59690;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IQCrb0LAgAANgQAAA4AAAAAAAAAAQAgAAAA&#10;IwEAAGRycy9lMm9Eb2MueG1sUEsFBgAAAAAGAAYAWQEAAKAFAAAAAA==&#10;">
                        <v:fill on="t" focussize="0,0"/>
                        <v:stroke color="#FFFFFF" joinstyle="miter"/>
                        <v:imagedata o:title=""/>
                        <o:lock v:ext="edit" aspectratio="f"/>
                        <v:textbox>
                          <w:txbxContent>
                            <w:p>
                              <w:r>
                                <w:t>559</w:t>
                              </w:r>
                            </w:p>
                          </w:txbxContent>
                        </v:textbox>
                      </v:rect>
                      <v:rect id="_x0000_s1026" o:spid="_x0000_s1026" o:spt="1" style="position:absolute;left:1511935;top:399415;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K3Sx3UAAAABQEAAA8AAAAAAAAAAQAgAAAAIgAA&#10;AGRycy9kb3ducmV2LnhtbFBLAQIUABQAAAAIAIdO4kA8vFK8DAIAADcEAAAOAAAAAAAAAAEAIAAA&#10;ACMBAABkcnMvZTJvRG9jLnhtbFBLBQYAAAAABgAGAFkBAAChBQAAAAA=&#10;">
                        <v:fill on="t" focussize="0,0"/>
                        <v:stroke color="#FFFFFF" joinstyle="miter"/>
                        <v:imagedata o:title=""/>
                        <o:lock v:ext="edit" aspectratio="f"/>
                        <v:textbox>
                          <w:txbxContent>
                            <w:p>
                              <w:r>
                                <w:t>30595</w:t>
                              </w:r>
                            </w:p>
                          </w:txbxContent>
                        </v:textbox>
                      </v:rect>
                      <v:rect id="_x0000_s1026" o:spid="_x0000_s1026" o:spt="1" style="position:absolute;left:1446530;top:833120;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HcMS0oLAgAANwQAAA4AAAAAAAAAAQAgAAAA&#10;IwEAAGRycy9lMm9Eb2MueG1sUEsFBgAAAAAGAAYAWQEAAKAFAAAAAA==&#10;">
                        <v:fill on="t" focussize="0,0"/>
                        <v:stroke color="#FFFFFF" joinstyle="miter"/>
                        <v:imagedata o:title=""/>
                        <o:lock v:ext="edit" aspectratio="f"/>
                        <v:textbox>
                          <w:txbxContent>
                            <w:p>
                              <w:r>
                                <w:t>30560</w:t>
                              </w:r>
                            </w:p>
                          </w:txbxContent>
                        </v:textbox>
                      </v:rect>
                      <v:rect id="_x0000_s1026" o:spid="_x0000_s1026" o:spt="1" style="position:absolute;left:2626360;top:1166495;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EpyvUELAgAAOAQAAA4AAAAAAAAAAQAgAAAA&#10;IwEAAGRycy9lMm9Eb2MueG1sUEsFBgAAAAAGAAYAWQEAAKAFAAAAAA==&#10;">
                        <v:fill on="t" focussize="0,0"/>
                        <v:stroke color="#FFFFFF" joinstyle="miter"/>
                        <v:imagedata o:title=""/>
                        <o:lock v:ext="edit" aspectratio="f"/>
                        <v:textbox>
                          <w:txbxContent>
                            <w:p>
                              <w:r>
                                <w:t>30000</w:t>
                              </w:r>
                            </w:p>
                          </w:txbxContent>
                        </v:textbox>
                      </v:rect>
                      <v:rect id="_x0000_s1026" o:spid="_x0000_s1026" o:spt="1" style="position:absolute;left:3731260;top:1189990;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L+27HoLAgAAOAQAAA4AAAAAAAAAAQAgAAAA&#10;IwEAAGRycy9lMm9Eb2MueG1sUEsFBgAAAAAGAAYAWQEAAKAFAAAAAA==&#10;">
                        <v:fill on="t" focussize="0,0"/>
                        <v:stroke color="#FFFFFF" joinstyle="miter"/>
                        <v:imagedata o:title=""/>
                        <o:lock v:ext="edit" aspectratio="f"/>
                        <v:textbox>
                          <w:txbxContent>
                            <w:p>
                              <w:r>
                                <w:t>30000</w:t>
                              </w:r>
                            </w:p>
                          </w:txbxContent>
                        </v:textbox>
                      </v:rect>
                      <v:rect id="_x0000_s1026" o:spid="_x0000_s1026" o:spt="1" style="position:absolute;left:488315;top:2044065;height:285750;width:37719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it0sd1AAAAAUBAAAPAAAAAAAAAAEAIAAAACIA&#10;AABkcnMvZG93bnJldi54bWxQSwECFAAUAAAACACHTuJAC7Qgjg0CAAA3BAAADgAAAAAAAAABACAA&#10;AAAjAQAAZHJzL2Uyb0RvYy54bWxQSwUGAAAAAAYABgBZAQAAogUAAAAA&#10;">
                        <v:fill on="t" focussize="0,0"/>
                        <v:stroke color="#FFFFFF" joinstyle="miter"/>
                        <v:imagedata o:title=""/>
                        <o:lock v:ext="edit" aspectratio="f"/>
                        <v:textbox>
                          <w:txbxContent>
                            <w:p>
                              <w:r>
                                <w:t>1</w:t>
                              </w:r>
                            </w:p>
                          </w:txbxContent>
                        </v:textbox>
                      </v:rect>
                      <v:rect id="_x0000_s1026" o:spid="_x0000_s1026" o:spt="1" style="position:absolute;left:1793240;top:1395095;height:285750;width:4318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K3Sx3UAAAABQEAAA8AAAAAAAAAAQAgAAAAIgAA&#10;AGRycy9kb3ducmV2LnhtbFBLAQIUABQAAAAIAIdO4kAfvpmbDAIAADgEAAAOAAAAAAAAAAEAIAAA&#10;ACMBAABkcnMvZTJvRG9jLnhtbFBLBQYAAAAABgAGAFkBAAChBQAAAAA=&#10;">
                        <v:fill on="t" focussize="0,0"/>
                        <v:stroke color="#FFFFFF" joinstyle="miter"/>
                        <v:imagedata o:title=""/>
                        <o:lock v:ext="edit" aspectratio="f"/>
                        <v:textbox>
                          <w:txbxContent>
                            <w:p>
                              <w:r>
                                <w:t>560</w:t>
                              </w:r>
                            </w:p>
                          </w:txbxContent>
                        </v:textbox>
                      </v:rect>
                      <v:rect id="_x0000_s1026" o:spid="_x0000_s1026" o:spt="1" style="position:absolute;left:1598930;top:1130935;height:285750;width:74295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&#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K3Sx3UAAAABQEAAA8AAAAAAAAAAQAgAAAAIgAAAGRy&#10;cy9kb3ducmV2LnhtbFBLAQIUABQAAAAIAIdO4kAnn7x9CQIAADgEAAAOAAAAAAAAAAEAIAAAACMB&#10;AABkcnMvZTJvRG9jLnhtbFBLBQYAAAAABgAGAFkBAACeBQAAAAA=&#10;">
                        <v:fill on="t" focussize="0,0"/>
                        <v:stroke color="#FFFFFF" joinstyle="miter"/>
                        <v:imagedata o:title=""/>
                        <o:lock v:ext="edit" aspectratio="f"/>
                        <v:textbox>
                          <w:txbxContent>
                            <w:p>
                              <w:pPr>
                                <w:rPr>
                                  <w:rFonts w:hint="eastAsia"/>
                                </w:rPr>
                              </w:pPr>
                              <w:r>
                                <w:rPr>
                                  <w:rFonts w:hint="eastAsia"/>
                                </w:rPr>
                                <w:t>反冲洗水</w:t>
                              </w:r>
                            </w:p>
                          </w:txbxContent>
                        </v:textbox>
                      </v:rect>
                      <v:rect id="_x0000_s1026" o:spid="_x0000_s1026" o:spt="1" style="position:absolute;left:3056255;top:2849244;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GjbKyMLAgAAOAQAAA4AAAAAAAAAAQAgAAAA&#10;IwEAAGRycy9lMm9Eb2MueG1sUEsFBgAAAAAGAAYAWQEAAKAFAAAAAA==&#10;">
                        <v:fill on="t" focussize="0,0"/>
                        <v:stroke color="#FFFFFF" joinstyle="miter"/>
                        <v:imagedata o:title=""/>
                        <o:lock v:ext="edit" aspectratio="f"/>
                        <v:textbox>
                          <w:txbxContent>
                            <w:p>
                              <w:pPr>
                                <w:rPr>
                                  <w:rFonts w:hint="eastAsia"/>
                                </w:rPr>
                              </w:pPr>
                              <w:r>
                                <w:t>1.9</w:t>
                              </w:r>
                            </w:p>
                          </w:txbxContent>
                        </v:textbox>
                      </v:rect>
                      <v:rect id="_x0000_s1026" o:spid="_x0000_s1026" o:spt="1" style="position:absolute;left:2091690;top:2887345;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EYItL8LAgAAOAQAAA4AAAAAAAAAAQAgAAAA&#10;IwEAAGRycy9lMm9Eb2MueG1sUEsFBgAAAAAGAAYAWQEAAKAFAAAAAA==&#10;">
                        <v:fill on="t" focussize="0,0"/>
                        <v:stroke color="#FFFFFF" joinstyle="miter"/>
                        <v:imagedata o:title=""/>
                        <o:lock v:ext="edit" aspectratio="f"/>
                        <v:textbox>
                          <w:txbxContent>
                            <w:p>
                              <w:pPr>
                                <w:rPr>
                                  <w:rFonts w:hint="eastAsia"/>
                                </w:rPr>
                              </w:pPr>
                              <w:r>
                                <w:t>1.9</w:t>
                              </w:r>
                            </w:p>
                          </w:txbxContent>
                        </v:textbox>
                      </v:rect>
                      <v:rect id="_x0000_s1026" o:spid="_x0000_s1026" o:spt="1" style="position:absolute;left:1160145;top:2877820;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it0sd1AAAAAUBAAAPAAAAAAAAAAEAIAAAACIAAABk&#10;cnMvZG93bnJldi54bWxQSwECFAAUAAAACACHTuJADPxiawoCAAA4BAAADgAAAAAAAAABACAAAAAj&#10;AQAAZHJzL2Uyb0RvYy54bWxQSwUGAAAAAAYABgBZAQAAnwUAAAAA&#10;">
                        <v:fill on="t" focussize="0,0"/>
                        <v:stroke color="#FFFFFF" joinstyle="miter"/>
                        <v:imagedata o:title=""/>
                        <o:lock v:ext="edit" aspectratio="f"/>
                        <v:textbox>
                          <w:txbxContent>
                            <w:p>
                              <w:pPr>
                                <w:rPr>
                                  <w:rFonts w:hint="eastAsia"/>
                                </w:rPr>
                              </w:pPr>
                              <w:r>
                                <w:t>37.5</w:t>
                              </w:r>
                            </w:p>
                          </w:txbxContent>
                        </v:textbox>
                      </v:rect>
                      <v:rect id="_x0000_s1026" o:spid="_x0000_s1026" o:spt="1" style="position:absolute;left:2437130;top:2401570;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it0sd1AAAAAUBAAAPAAAAAAAAAAEAIAAAACIAAABk&#10;cnMvZG93bnJldi54bWxQSwECFAAUAAAACACHTuJAQO69owoCAAA4BAAADgAAAAAAAAABACAAAAAj&#10;AQAAZHJzL2Uyb0RvYy54bWxQSwUGAAAAAAYABgBZAQAAnwUAAAAA&#10;">
                        <v:fill on="t" focussize="0,0"/>
                        <v:stroke color="#FFFFFF" joinstyle="miter"/>
                        <v:imagedata o:title=""/>
                        <o:lock v:ext="edit" aspectratio="f"/>
                        <v:textbox>
                          <w:txbxContent>
                            <w:p>
                              <w:pPr>
                                <w:rPr>
                                  <w:rFonts w:hint="eastAsia"/>
                                </w:rPr>
                              </w:pPr>
                              <w:r>
                                <w:t>1.5</w:t>
                              </w:r>
                            </w:p>
                          </w:txbxContent>
                        </v:textbox>
                      </v:rect>
                      <v:rect id="_x0000_s1026" o:spid="_x0000_s1026" o:spt="1" style="position:absolute;left:3520440;top:3397885;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it0sd1AAAAAUBAAAPAAAAAAAAAAEAIAAAACIA&#10;AABkcnMvZG93bnJldi54bWxQSwECFAAUAAAACACHTuJAyhHoig0CAAA4BAAADgAAAAAAAAABACAA&#10;AAAjAQAAZHJzL2Uyb0RvYy54bWxQSwUGAAAAAAYABgBZAQAAogUAAAAA&#10;">
                        <v:fill on="t" focussize="0,0"/>
                        <v:stroke color="#FFFFFF" joinstyle="miter"/>
                        <v:imagedata o:title=""/>
                        <o:lock v:ext="edit" aspectratio="f"/>
                        <v:textbox>
                          <w:txbxContent>
                            <w:p>
                              <w:pPr>
                                <w:rPr>
                                  <w:rFonts w:hint="eastAsia"/>
                                </w:rPr>
                              </w:pPr>
                              <w:r>
                                <w:t>0.4</w:t>
                              </w:r>
                            </w:p>
                          </w:txbxContent>
                        </v:textbox>
                      </v:rect>
                      <v:rect id="_x0000_s1026" o:spid="_x0000_s1026" o:spt="1" style="position:absolute;left:1407795;top:3315969;height:285750;width:60960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K3Sx3UAAAABQEAAA8AAAAAAAAAAQAgAAAAIgAA&#10;AGRycy9kb3ducmV2LnhtbFBLAQIUABQAAAAIAIdO4kAAiaRzDAIAADgEAAAOAAAAAAAAAAEAIAAA&#10;ACMBAABkcnMvZTJvRG9jLnhtbFBLBQYAAAAABgAGAFkBAAChBQAAAAA=&#10;">
                        <v:fill on="t" focussize="0,0"/>
                        <v:stroke color="#FFFFFF" joinstyle="miter"/>
                        <v:imagedata o:title=""/>
                        <o:lock v:ext="edit" aspectratio="f"/>
                        <v:textbox>
                          <w:txbxContent>
                            <w:p>
                              <w:pPr>
                                <w:rPr>
                                  <w:rFonts w:hint="eastAsia"/>
                                </w:rPr>
                              </w:pPr>
                              <w:r>
                                <w:t>35.6</w:t>
                              </w:r>
                            </w:p>
                          </w:txbxContent>
                        </v:textbox>
                      </v:rect>
                      <v:rect id="_x0000_s1026" o:spid="_x0000_s1026" o:spt="1" style="position:absolute;left:76200;top:1614170;height:285750;width:37719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&#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K3Sx3UAAAABQEAAA8AAAAAAAAAAQAgAAAAIgAAAGRy&#10;cy9kb3ducmV2LnhtbFBLAQIUABQAAAAIAIdO4kB9k9aFCQIAADYEAAAOAAAAAAAAAAEAIAAAACMB&#10;AABkcnMvZTJvRG9jLnhtbFBLBQYAAAAABgAGAFkBAACeBQAAAAA=&#10;">
                        <v:fill on="t" focussize="0,0"/>
                        <v:stroke color="#FFFFFF" joinstyle="miter"/>
                        <v:imagedata o:title=""/>
                        <o:lock v:ext="edit" aspectratio="f"/>
                        <v:textbox>
                          <w:txbxContent>
                            <w:p>
                              <w:r>
                                <w:rPr>
                                  <w:rFonts w:hint="eastAsia"/>
                                </w:rPr>
                                <w:t>3</w:t>
                              </w:r>
                              <w:r>
                                <w:t>5</w:t>
                              </w:r>
                            </w:p>
                          </w:txbxContent>
                        </v:textbox>
                      </v:rect>
                      <v:rect id="_x0000_s1026" o:spid="_x0000_s1026" o:spt="1" style="position:absolute;left:560705;top:2934970;height:285750;width:60960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CKe2gsQAgAANwQAAA4AAAAAAAAA&#10;AQAgAAAAJAEAAGRycy9lMm9Eb2MueG1sUEsFBgAAAAAGAAYAWQEAAKYFAAAAAA==&#10;">
                        <v:fill on="t" focussize="0,0"/>
                        <v:stroke color="#000000" joinstyle="miter"/>
                        <v:imagedata o:title=""/>
                        <o:lock v:ext="edit" aspectratio="f"/>
                        <v:textbox>
                          <w:txbxContent>
                            <w:p>
                              <w:r>
                                <w:rPr>
                                  <w:rFonts w:hint="eastAsia"/>
                                </w:rPr>
                                <w:t>排泥池</w:t>
                              </w:r>
                            </w:p>
                          </w:txbxContent>
                        </v:textbox>
                      </v:rect>
                      <v:rect id="_x0000_s1026" o:spid="_x0000_s1026" o:spt="1" style="position:absolute;left:1560830;top:2934970;height:285750;width:60960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K4nymcQAgAAOAQAAA4AAAAAAAAA&#10;AQAgAAAAJAEAAGRycy9lMm9Eb2MueG1sUEsFBgAAAAAGAAYAWQEAAKYFAAAAAA==&#10;">
                        <v:fill on="t" focussize="0,0"/>
                        <v:stroke color="#000000" joinstyle="miter"/>
                        <v:imagedata o:title=""/>
                        <o:lock v:ext="edit" aspectratio="f"/>
                        <v:textbox>
                          <w:txbxContent>
                            <w:p>
                              <w:r>
                                <w:rPr>
                                  <w:rFonts w:hint="eastAsia"/>
                                </w:rPr>
                                <w:t>浓缩池</w:t>
                              </w:r>
                            </w:p>
                          </w:txbxContent>
                        </v:textbox>
                      </v:rect>
                      <v:rect id="_x0000_s1026" o:spid="_x0000_s1026" o:spt="1" style="position:absolute;left:2465705;top:2849244;height:447675;width:60960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snm7VAAAABQEAAA8AAAAAAAAAAQAg&#10;AAAAIgAAAGRycy9kb3ducmV2LnhtbFBLAQIUABQAAAAIAIdO4kCUhgWJEQIAADgEAAAOAAAAAAAA&#10;AAEAIAAAACQBAABkcnMvZTJvRG9jLnhtbFBLBQYAAAAABgAGAFkBAACnBQAAAAA=&#10;">
                        <v:fill on="t" focussize="0,0"/>
                        <v:stroke color="#000000" joinstyle="miter"/>
                        <v:imagedata o:title=""/>
                        <o:lock v:ext="edit" aspectratio="f"/>
                        <v:textbox>
                          <w:txbxContent>
                            <w:p>
                              <w:r>
                                <w:rPr>
                                  <w:rFonts w:hint="eastAsia"/>
                                </w:rPr>
                                <w:t>污泥平衡池</w:t>
                              </w:r>
                            </w:p>
                          </w:txbxContent>
                        </v:textbox>
                      </v:rect>
                      <v:rect id="_x0000_s1026" o:spid="_x0000_s1026" o:spt="1" style="position:absolute;left:3389630;top:2830195;height:472440;width:502285;"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rJ5u1QAAAAUBAAAPAAAAAAAAAAEA&#10;IAAAACIAAABkcnMvZG93bnJldi54bWxQSwECFAAUAAAACACHTuJArPgxnhICAAA4BAAADgAAAAAA&#10;AAABACAAAAAkAQAAZHJzL2Uyb0RvYy54bWxQSwUGAAAAAAYABgBZAQAAqAUAAAAA&#10;">
                        <v:fill on="t" focussize="0,0"/>
                        <v:stroke color="#000000" joinstyle="miter"/>
                        <v:imagedata o:title=""/>
                        <o:lock v:ext="edit" aspectratio="f"/>
                        <v:textbox>
                          <w:txbxContent>
                            <w:p>
                              <w:pPr>
                                <w:jc w:val="center"/>
                                <w:rPr>
                                  <w:rFonts w:hint="eastAsia"/>
                                </w:rPr>
                              </w:pPr>
                              <w:r>
                                <w:rPr>
                                  <w:rFonts w:hint="eastAsia"/>
                                </w:rPr>
                                <w:t>脱水车间</w:t>
                              </w:r>
                            </w:p>
                          </w:txbxContent>
                        </v:textbox>
                      </v:rect>
                      <v:shape id="_x0000_s1026" o:spid="_x0000_s1026" o:spt="32" type="#_x0000_t32" style="position:absolute;left:1170305;top:3077844;height:635;width:390525;" filled="f" stroked="t" coordsize="21600,21600" o:gfxdata="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dBj3tcAAAAFAQAADwAAAAAA&#10;AAABACAAAAAiAAAAZHJzL2Rvd25yZXYueG1sUEsBAhQAFAAAAAgAh07iQIyz1rAUAgAAAQQAAA4A&#10;AAAAAAAAAQAgAAAAJgEAAGRycy9lMm9Eb2MueG1sUEsFBgAAAAAGAAYAWQEAAKwFAAAAAA==&#10;">
                        <v:fill on="f" focussize="0,0"/>
                        <v:stroke color="#000000" joinstyle="round" endarrow="block"/>
                        <v:imagedata o:title=""/>
                        <o:lock v:ext="edit" aspectratio="f"/>
                      </v:shape>
                      <v:shape id="_x0000_s1026" o:spid="_x0000_s1026" o:spt="32" type="#_x0000_t32" style="position:absolute;left:2170430;top:3073400;flip:y;height:4445;width:295275;"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9TEug1gAAAAUBAAAP&#10;AAAAAAAAAAEAIAAAACIAAABkcnMvZG93bnJldi54bWxQSwECFAAUAAAACACHTuJAcKcu6RoCAAAM&#10;BAAADgAAAAAAAAABACAAAAAlAQAAZHJzL2Uyb0RvYy54bWxQSwUGAAAAAAYABgBZAQAAsQUAAAAA&#10;">
                        <v:fill on="f" focussize="0,0"/>
                        <v:stroke color="#000000" joinstyle="round" endarrow="block"/>
                        <v:imagedata o:title=""/>
                        <o:lock v:ext="edit" aspectratio="f"/>
                      </v:shape>
                      <v:shape id="_x0000_s1026" o:spid="_x0000_s1026" o:spt="32" type="#_x0000_t32" style="position:absolute;left:3075305;top:3066415;flip:y;height:6985;width:314325;"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UxLoNYAAAAFAQAA&#10;DwAAAAAAAAABACAAAAAiAAAAZHJzL2Rvd25yZXYueG1sUEsBAhQAFAAAAAgAh07iQGJhWyobAgAA&#10;DAQAAA4AAAAAAAAAAQAgAAAAJQEAAGRycy9lMm9Eb2MueG1sUEsFBgAAAAAGAAYAWQEAALIFAAAA&#10;AA==&#10;">
                        <v:fill on="f" focussize="0,0"/>
                        <v:stroke color="#000000" joinstyle="round" endarrow="block"/>
                        <v:imagedata o:title=""/>
                        <o:lock v:ext="edit" aspectratio="f"/>
                      </v:shape>
                      <v:rect id="_x0000_s1026" o:spid="_x0000_s1026" o:spt="1" style="position:absolute;left:1503680;top:3857625;height:495300;width:74168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rJ5u1QAAAAUBAAAPAAAAAAAAAAEAIAAA&#10;ACIAAABkcnMvZG93bnJldi54bWxQSwECFAAUAAAACACHTuJAtT1a5Q8CAAA4BAAADgAAAAAAAAAB&#10;ACAAAAAkAQAAZHJzL2Uyb0RvYy54bWxQSwUGAAAAAAYABgBZAQAApQUAAAAA&#10;">
                        <v:fill on="t" focussize="0,0"/>
                        <v:stroke color="#000000" joinstyle="miter"/>
                        <v:imagedata o:title=""/>
                        <o:lock v:ext="edit" aspectratio="f"/>
                        <v:textbox>
                          <w:txbxContent>
                            <w:p>
                              <w:r>
                                <w:rPr>
                                  <w:rFonts w:hint="eastAsia"/>
                                </w:rPr>
                                <w:t>土主镇污水处理厂</w:t>
                              </w:r>
                            </w:p>
                          </w:txbxContent>
                        </v:textbox>
                      </v:rect>
                      <v:rect id="_x0000_s1026" o:spid="_x0000_s1026" o:spt="1" style="position:absolute;left:3265805;top:3696970;height:285750;width:742315;"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LS8ip8LAgAAOAQAAA4AAAAAAAAAAQAgAAAA&#10;IwEAAGRycy9lMm9Eb2MueG1sUEsFBgAAAAAGAAYAWQEAAKAFAAAAAA==&#10;">
                        <v:fill on="t" focussize="0,0"/>
                        <v:stroke color="#FFFFFF" joinstyle="miter"/>
                        <v:imagedata o:title=""/>
                        <o:lock v:ext="edit" aspectratio="f"/>
                        <v:textbox>
                          <w:txbxContent>
                            <w:p>
                              <w:r>
                                <w:rPr>
                                  <w:rFonts w:hint="eastAsia"/>
                                </w:rPr>
                                <w:t>泥饼外运</w:t>
                              </w:r>
                            </w:p>
                          </w:txbxContent>
                        </v:textbox>
                      </v:rect>
                      <v:shape id="_x0000_s1026" o:spid="_x0000_s1026" o:spt="32" type="#_x0000_t32" style="position:absolute;left:3637280;top:3302635;flip:x;height:394335;width:3810;"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1MS6DWAAAABQEA&#10;AA8AAAAAAAAAAQAgAAAAIgAAAGRycy9kb3ducmV2LnhtbFBLAQIUABQAAAAIAIdO4kDDg/yVHAIA&#10;AAwEAAAOAAAAAAAAAAEAIAAAACUBAABkcnMvZTJvRG9jLnhtbFBLBQYAAAAABgAGAFkBAACzBQAA&#10;AAA=&#10;">
                        <v:fill on="f" focussize="0,0"/>
                        <v:stroke color="#000000" joinstyle="round" endarrow="block"/>
                        <v:imagedata o:title=""/>
                        <o:lock v:ext="edit" aspectratio="f"/>
                      </v:shape>
                      <v:shape id="_x0000_s1026" o:spid="_x0000_s1026" o:spt="34" type="#_x0000_t34" style="position:absolute;left:2200275;top:1494154;flip:x y;height:2775586;width:104775;rotation:-5898240f;" filled="f" stroked="t" coordsize="21600,21600" o:gfxdata="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cVTKzSAAAABQEAAA8AAAAAAAAAAQAgAAAAIgAAAGRycy9k&#10;b3ducmV2LnhtbFBLAQIUABQAAAAIAIdO4kC8NWKBQQIAAFcEAAAOAAAAAAAAAAEAIAAAACEBAABk&#10;cnMvZTJvRG9jLnhtbFBLBQYAAAAABgAGAFkBAADUBQAAAAA=&#10;" adj="-47127">
                        <v:fill on="f" focussize="0,0"/>
                        <v:stroke color="#000000" joinstyle="miter" endarrow="block"/>
                        <v:imagedata o:title=""/>
                        <o:lock v:ext="edit" aspectratio="f"/>
                      </v:shape>
                      <v:rect id="_x0000_s1026" o:spid="_x0000_s1026" o:spt="1" style="position:absolute;left:921385;top:4754245;height:285750;width:2676525;"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LXIKicLAgAAOAQAAA4AAAAAAAAAAQAgAAAA&#10;IwEAAGRycy9lMm9Eb2MueG1sUEsFBgAAAAAGAAYAWQEAAKAFAAAAAA==&#10;">
                        <v:fill on="t" focussize="0,0"/>
                        <v:stroke color="#FFFFFF" joinstyle="miter"/>
                        <v:imagedata o:title=""/>
                        <o:lock v:ext="edit" aspectratio="f"/>
                        <v:textbox>
                          <w:txbxContent>
                            <w:p>
                              <w:pPr>
                                <w:rPr>
                                  <w:rFonts w:hint="eastAsia"/>
                                  <w:b/>
                                  <w:bCs/>
                                  <w:sz w:val="24"/>
                                </w:rPr>
                              </w:pPr>
                              <w:r>
                                <w:rPr>
                                  <w:rFonts w:hint="eastAsia"/>
                                  <w:b/>
                                  <w:bCs/>
                                  <w:sz w:val="24"/>
                                </w:rPr>
                                <w:t>图4</w:t>
                              </w:r>
                              <w:r>
                                <w:rPr>
                                  <w:b/>
                                  <w:bCs/>
                                  <w:sz w:val="24"/>
                                </w:rPr>
                                <w:t xml:space="preserve">-2 </w:t>
                              </w:r>
                              <w:r>
                                <w:rPr>
                                  <w:rFonts w:hint="eastAsia"/>
                                  <w:b/>
                                  <w:bCs/>
                                  <w:sz w:val="24"/>
                                </w:rPr>
                                <w:t xml:space="preserve"> 项目排泥水处理工艺水平衡</w:t>
                              </w:r>
                            </w:p>
                          </w:txbxContent>
                        </v:textbox>
                      </v:rect>
                      <v:rect id="_x0000_s1026" o:spid="_x0000_s1026" o:spt="1" style="position:absolute;left:503555;top:1268095;height:285750;width:1207135;"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KPSfNUQAgAAOAQAAA4AAAAAAAAA&#10;AQAgAAAAJAEAAGRycy9lMm9Eb2MueG1sUEsFBgAAAAAGAAYAWQEAAKYFAAAAAA==&#10;">
                        <v:fill on="t" focussize="0,0"/>
                        <v:stroke color="#000000" joinstyle="miter"/>
                        <v:imagedata o:title=""/>
                        <o:lock v:ext="edit" aspectratio="f"/>
                        <v:textbox>
                          <w:txbxContent>
                            <w:p>
                              <w:r>
                                <w:rPr>
                                  <w:rFonts w:hint="eastAsia"/>
                                </w:rPr>
                                <w:t>反冲洗水回收池</w:t>
                              </w:r>
                            </w:p>
                          </w:txbxContent>
                        </v:textbox>
                      </v:rect>
                      <v:rect id="_x0000_s1026" o:spid="_x0000_s1026" o:spt="1" style="position:absolute;left:2179955;top:1268095;height:285750;width:523875;"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Hse9XEQAgAAOAQAAA4AAAAAAAAA&#10;AQAgAAAAJAEAAGRycy9lMm9Eb2MueG1sUEsFBgAAAAAGAAYAWQEAAKYFAAAAAA==&#10;">
                        <v:fill on="t" focussize="0,0"/>
                        <v:stroke color="#000000" joinstyle="miter"/>
                        <v:imagedata o:title=""/>
                        <o:lock v:ext="edit" aspectratio="f"/>
                        <v:textbox>
                          <w:txbxContent>
                            <w:p>
                              <w:pPr>
                                <w:rPr>
                                  <w:rFonts w:hint="eastAsia"/>
                                </w:rPr>
                              </w:pPr>
                              <w:r>
                                <w:rPr>
                                  <w:rFonts w:hint="eastAsia"/>
                                </w:rPr>
                                <w:t>滤池</w:t>
                              </w:r>
                            </w:p>
                          </w:txbxContent>
                        </v:textbox>
                      </v:rect>
                      <v:rect id="_x0000_s1026" o:spid="_x0000_s1026" o:spt="1" style="position:absolute;left:2063115;top:492760;height:285750;width:66929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OUMUD0QAgAANwQAAA4AAAAAAAAA&#10;AQAgAAAAJAEAAGRycy9lMm9Eb2MueG1sUEsFBgAAAAAGAAYAWQEAAKYFAAAAAA==&#10;">
                        <v:fill on="t" focussize="0,0"/>
                        <v:stroke color="#000000" joinstyle="miter"/>
                        <v:imagedata o:title=""/>
                        <o:lock v:ext="edit" aspectratio="f"/>
                        <v:textbox>
                          <w:txbxContent>
                            <w:p>
                              <w:pPr>
                                <w:rPr>
                                  <w:rFonts w:hint="eastAsia"/>
                                </w:rPr>
                              </w:pPr>
                              <w:r>
                                <w:rPr>
                                  <w:rFonts w:hint="eastAsia"/>
                                </w:rPr>
                                <w:t>配水井</w:t>
                              </w:r>
                            </w:p>
                          </w:txbxContent>
                        </v:textbox>
                      </v:rect>
                      <v:rect id="_x0000_s1026" o:spid="_x0000_s1026" o:spt="1" style="position:absolute;left:3094355;top:1271270;height:285750;width:62738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snm7VAAAABQEAAA8AAAAAAAAAAQAg&#10;AAAAIgAAAGRycy9kb3ducmV2LnhtbFBLAQIUABQAAAAIAIdO4kBuN3WWEQIAADgEAAAOAAAAAAAA&#10;AAEAIAAAACQBAABkcnMvZTJvRG9jLnhtbFBLBQYAAAAABgAGAFkBAACnBQAAAAA=&#10;">
                        <v:fill on="t" focussize="0,0"/>
                        <v:stroke color="#000000" joinstyle="miter"/>
                        <v:imagedata o:title=""/>
                        <o:lock v:ext="edit" aspectratio="f"/>
                        <v:textbox>
                          <w:txbxContent>
                            <w:p>
                              <w:pPr>
                                <w:rPr>
                                  <w:rFonts w:hint="eastAsia"/>
                                </w:rPr>
                              </w:pPr>
                              <w:r>
                                <w:rPr>
                                  <w:rFonts w:hint="eastAsia"/>
                                </w:rPr>
                                <w:t>清水池</w:t>
                              </w:r>
                            </w:p>
                          </w:txbxContent>
                        </v:textbox>
                      </v:rect>
                      <v:rect id="_x0000_s1026" o:spid="_x0000_s1026" o:spt="1" style="position:absolute;left:4227830;top:1268095;height:285750;width:74041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yebtUAAAAFAQAADwAAAAAAAAABACAA&#10;AAAiAAAAZHJzL2Rvd25yZXYueG1sUEsBAhQAFAAAAAgAh07iQBk1Od8QAgAAOAQAAA4AAAAAAAAA&#10;AQAgAAAAJAEAAGRycy9lMm9Eb2MueG1sUEsFBgAAAAAGAAYAWQEAAKYFAAAAAA==&#10;">
                        <v:fill on="t" focussize="0,0"/>
                        <v:stroke color="#000000" joinstyle="miter"/>
                        <v:imagedata o:title=""/>
                        <o:lock v:ext="edit" aspectratio="f"/>
                        <v:textbox>
                          <w:txbxContent>
                            <w:p>
                              <w:pPr>
                                <w:rPr>
                                  <w:rFonts w:hint="eastAsia"/>
                                </w:rPr>
                              </w:pPr>
                              <w:r>
                                <w:rPr>
                                  <w:rFonts w:hint="eastAsia"/>
                                </w:rPr>
                                <w:t>送水泵房</w:t>
                              </w:r>
                            </w:p>
                          </w:txbxContent>
                        </v:textbox>
                      </v:rect>
                      <v:shape id="_x0000_s1026" o:spid="_x0000_s1026" o:spt="35" type="#_x0000_t35" style="position:absolute;left:71120;top:2041525;height:546735;width:1524000;rotation:5898240f;" filled="f" stroked="t" coordsize="21600,21600" o:gfxdata="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1Ux7dEAAAAFAQAADwAAAAAAAAABACAAAAAiAAAAZHJzL2Rv&#10;d25yZXYueG1sUEsBAhQAFAAAAAgAh07iQGxxuvRBAgAAYwQAAA4AAAAAAAAAAQAgAAAAIAEAAGRy&#10;cy9lMm9Eb2MueG1sUEsFBgAAAAAGAAYAWQEAANMFAAAAAA==&#10;" adj="9783,30631">
                        <v:fill on="f" focussize="0,0"/>
                        <v:stroke color="#000000" joinstyle="miter" endarrow="block"/>
                        <v:imagedata o:title=""/>
                        <o:lock v:ext="edit" aspectratio="f"/>
                      </v:shape>
                      <v:shape id="_x0000_s1026" o:spid="_x0000_s1026" o:spt="32" type="#_x0000_t32" style="position:absolute;left:1710689;top:1410970;height:635;width:469266;" filled="f" stroked="t" coordsize="21600,21600" o:gfxdata="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dA+k7TAAAABQEAAA8AAAAAAAAAAQAgAAAA&#10;IgAAAGRycy9kb3ducmV2LnhtbFBLAQIUABQAAAAIAIdO4kDDDghvEAIAAAEEAAAOAAAAAAAAAAEA&#10;IAAAACIBAABkcnMvZTJvRG9jLnhtbFBLBQYAAAAABgAGAFkBAACkBQAAAAA=&#10;">
                        <v:fill on="f" focussize="0,0"/>
                        <v:stroke color="#000000" joinstyle="round" startarrow="block"/>
                        <v:imagedata o:title=""/>
                        <o:lock v:ext="edit" aspectratio="f"/>
                      </v:shape>
                      <v:shape id="_x0000_s1026" o:spid="_x0000_s1026" o:spt="32" type="#_x0000_t32" style="position:absolute;left:2703830;top:1410970;height:3175;width:390525;" filled="f" stroked="t" coordsize="21600,21600" o:gfxdata="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N0GPe1wAAAAUBAAAPAAAAAAAA&#10;AAEAIAAAACIAAABkcnMvZG93bnJldi54bWxQSwECFAAUAAAACACHTuJACEDbxxMCAAACBAAADgAA&#10;AAAAAAABACAAAAAmAQAAZHJzL2Uyb0RvYy54bWxQSwUGAAAAAAYABgBZAQAAqwUAAAAA&#10;">
                        <v:fill on="f" focussize="0,0"/>
                        <v:stroke color="#000000" joinstyle="round" endarrow="block"/>
                        <v:imagedata o:title=""/>
                        <o:lock v:ext="edit" aspectratio="f"/>
                      </v:shape>
                      <v:shape id="_x0000_s1026" o:spid="_x0000_s1026" o:spt="32" type="#_x0000_t32" style="position:absolute;left:3721735;top:1410970;flip:y;height:3175;width:506095;"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UxLoNYAAAAFAQAA&#10;DwAAAAAAAAABACAAAAAiAAAAZHJzL2Rvd25yZXYueG1sUEsBAhQAFAAAAAgAh07iQHy7/t0bAgAA&#10;DAQAAA4AAAAAAAAAAQAgAAAAJQEAAGRycy9lMm9Eb2MueG1sUEsFBgAAAAAGAAYAWQEAALIFAAAA&#10;AA==&#10;">
                        <v:fill on="f" focussize="0,0"/>
                        <v:stroke color="#000000" joinstyle="round" endarrow="block"/>
                        <v:imagedata o:title=""/>
                        <o:lock v:ext="edit" aspectratio="f"/>
                      </v:shape>
                      <v:rect id="_x0000_s1026" o:spid="_x0000_s1026" o:spt="1" style="position:absolute;left:608330;top:494030;height:285750;width:952500;" fillcolor="#FFFFFF" filled="t" stroked="t" coordsize="21600,21600" o:gfxdata="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rJ5u1QAAAAUBAAAPAAAAAAAAAAEAIAAAACIA&#10;AABkcnMvZG93bnJldi54bWxQSwECFAAUAAAACACHTuJA3C3+5AwCAAA2BAAADgAAAAAAAAABACAA&#10;AAAkAQAAZHJzL2Uyb0RvYy54bWxQSwUGAAAAAAYABgBZAQAAogUAAAAA&#10;">
                        <v:fill on="t" focussize="0,0"/>
                        <v:stroke color="#000000" joinstyle="miter"/>
                        <v:imagedata o:title=""/>
                        <o:lock v:ext="edit" aspectratio="f"/>
                        <v:textbox>
                          <w:txbxContent>
                            <w:p>
                              <w:pPr>
                                <w:rPr>
                                  <w:rFonts w:hint="eastAsia"/>
                                </w:rPr>
                              </w:pPr>
                              <w:r>
                                <w:rPr>
                                  <w:rFonts w:hint="eastAsia"/>
                                </w:rPr>
                                <w:t>絮凝沉淀池</w:t>
                              </w:r>
                            </w:p>
                          </w:txbxContent>
                        </v:textbox>
                      </v:rect>
                      <v:shape id="_x0000_s1026" o:spid="_x0000_s1026" o:spt="32" type="#_x0000_t32" style="position:absolute;left:1560830;top:635635;flip:x;height:1270;width:502285;"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1MS6DWAAAABQEA&#10;AA8AAAAAAAAAAQAgAAAAIgAAAGRycy9kb3ducmV2LnhtbFBLAQIUABQAAAAIAIdO4kA1QjMiHAIA&#10;AAsEAAAOAAAAAAAAAAEAIAAAACUBAABkcnMvZTJvRG9jLnhtbFBLBQYAAAAABgAGAFkBAACzBQAA&#10;AAA=&#10;">
                        <v:fill on="f" focussize="0,0"/>
                        <v:stroke color="#000000" joinstyle="round" endarrow="block"/>
                        <v:imagedata o:title=""/>
                        <o:lock v:ext="edit" aspectratio="f"/>
                      </v:shape>
                      <v:shape id="_x0000_s1026" o:spid="_x0000_s1026" o:spt="34" type="#_x0000_t34" style="position:absolute;left:1518285;top:344169;flip:x;height:1357631;width:488315;rotation:5898240f;" filled="f" stroked="t" coordsize="21600,21600" o:gfxdata="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w6k0dcAAAAFAQAADwAAAAAAAAABACAAAAAiAAAA&#10;ZHJzL2Rvd25yZXYueG1sUEsBAhQAFAAAAAgAh07iQM3qOSlBAgAASgQAAA4AAAAAAAAAAQAgAAAA&#10;JgEAAGRycy9lMm9Eb2MueG1sUEsFBgAAAAAGAAYAWQEAANkFAAAAAA==&#10;" adj="10786">
                        <v:fill on="f" focussize="0,0"/>
                        <v:stroke color="#000000" joinstyle="miter" endarrow="block"/>
                        <v:imagedata o:title=""/>
                        <o:lock v:ext="edit" aspectratio="f"/>
                      </v:shape>
                      <v:shape id="_x0000_s1026" o:spid="_x0000_s1026" o:spt="34" type="#_x0000_t34" style="position:absolute;left:560705;top:636905;flip:y;height:2440940;width:47625;rotation:11796480f;" filled="f" stroked="t" coordsize="21600,21600" o:gfxdata="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&#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L70B22AAAAAUBAAAPAAAAAAAAAAEAIAAAACIAAABk&#10;cnMvZG93bnJldi54bWxQSwECFAAUAAAACACHTuJA5+BCyT8CAABKBAAADgAAAAAAAAABACAAAAAn&#10;AQAAZHJzL2Uyb0RvYy54bWxQSwUGAAAAAAYABgBZAQAA2AUAAAAA&#10;" adj="125280">
                        <v:fill on="f" focussize="0,0"/>
                        <v:stroke color="#000000" joinstyle="miter" endarrow="block"/>
                        <v:imagedata o:title=""/>
                        <o:lock v:ext="edit" aspectratio="f"/>
                      </v:shape>
                      <v:shape id="_x0000_s1026" o:spid="_x0000_s1026" o:spt="35" type="#_x0000_t35" style="position:absolute;left:503555;top:492760;flip:x;height:918210;width:1894205;rotation:11796480f;" filled="f" stroked="t" coordsize="21600,21600" o:gfxdata="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VKzItYAAAAFAQAADwAAAAAA&#10;AAABACAAAAAiAAAAZHJzL2Rvd25yZXYueG1sUEsBAhQAFAAAAAgAh07iQJYXmRxOAgAAcAQAAA4A&#10;AAAAAAAAAQAgAAAAJQEAAGRycy9lMm9Eb2MueG1sUEsFBgAAAAAGAAYAWQEAAOUFAAAAAA==&#10;" adj="-2607,26978">
                        <v:fill on="f" focussize="0,0"/>
                        <v:stroke color="#FF0000" joinstyle="miter" endarrow="block"/>
                        <v:imagedata o:title=""/>
                        <o:lock v:ext="edit" aspectratio="f"/>
                      </v:shape>
                      <v:shape id="_x0000_s1026" o:spid="_x0000_s1026" o:spt="32" type="#_x0000_t32" style="position:absolute;left:2725420;top:636905;flip:x;height:1270;width:502285;" filled="f" stroked="t" coordsize="21600,21600" o:gfxdata="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UxLoNYAAAAF&#10;AQAADwAAAAAAAAABACAAAAAiAAAAZHJzL2Rvd25yZXYueG1sUEsBAhQAFAAAAAgAh07iQMcUvi4e&#10;AgAACwQAAA4AAAAAAAAAAQAgAAAAJQEAAGRycy9lMm9Eb2MueG1sUEsFBgAAAAAGAAYAWQEAALUF&#10;AAAAAA==&#10;">
                        <v:fill on="f" focussize="0,0"/>
                        <v:stroke color="#000000" joinstyle="round" endarrow="block"/>
                        <v:imagedata o:title=""/>
                        <o:lock v:ext="edit" aspectratio="f"/>
                      </v:shape>
                      <v:rect id="_x0000_s1026" o:spid="_x0000_s1026" o:spt="1" style="position:absolute;left:3274060;top:492760;height:285750;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I4mD8gLAgAANwQAAA4AAAAAAAAAAQAgAAAA&#10;IwEAAGRycy9lMm9Eb2MueG1sUEsFBgAAAAAGAAYAWQEAAKAFAAAAAA==&#10;">
                        <v:fill on="t" focussize="0,0"/>
                        <v:stroke color="#FFFFFF" joinstyle="miter"/>
                        <v:imagedata o:title=""/>
                        <o:lock v:ext="edit" aspectratio="f"/>
                        <v:textbox>
                          <w:txbxContent>
                            <w:p>
                              <w:pPr>
                                <w:rPr>
                                  <w:rFonts w:hint="eastAsia"/>
                                </w:rPr>
                              </w:pPr>
                              <w:r>
                                <w:rPr>
                                  <w:rFonts w:hint="eastAsia"/>
                                </w:rPr>
                                <w:t>原水</w:t>
                              </w:r>
                            </w:p>
                          </w:txbxContent>
                        </v:textbox>
                      </v:rect>
                      <v:rect id="_x0000_s1026" o:spid="_x0000_s1026" o:spt="1" style="position:absolute;left:4290695;top:2309495;height:473075;width:645160;"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it0sd1AAAAAUBAAAPAAAAAAAAAAEAIAAAACIA&#10;AABkcnMvZG93bnJldi54bWxQSwECFAAUAAAACACHTuJAUfLVtw0CAAA4BAAADgAAAAAAAAABACAA&#10;AAAjAQAAZHJzL2Uyb0RvYy54bWxQSwUGAAAAAAYABgBZAQAAogUAAAAA&#10;">
                        <v:fill on="t" focussize="0,0"/>
                        <v:stroke color="#FFFFFF" joinstyle="miter"/>
                        <v:imagedata o:title=""/>
                        <o:lock v:ext="edit" aspectratio="f"/>
                        <v:textbox>
                          <w:txbxContent>
                            <w:p>
                              <w:pPr>
                                <w:rPr>
                                  <w:rFonts w:hint="eastAsia"/>
                                </w:rPr>
                              </w:pPr>
                              <w:r>
                                <w:rPr>
                                  <w:rFonts w:hint="eastAsia"/>
                                </w:rPr>
                                <w:t>厂内生活用水</w:t>
                              </w:r>
                            </w:p>
                          </w:txbxContent>
                        </v:textbox>
                      </v:rect>
                      <v:shape id="_x0000_s1026" o:spid="_x0000_s1026" o:spt="32" type="#_x0000_t32" style="position:absolute;left:4598035;top:1553845;height:755650;width:15240;" filled="f" stroked="t" coordsize="21600,21600" o:gfxdata="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N0GPe1wAAAAUBAAAP&#10;AAAAAAAAAAEAIAAAACIAAABkcnMvZG93bnJldi54bWxQSwECFAAUAAAACACHTuJAEkdsjBkCAAAD&#10;BAAADgAAAAAAAAABACAAAAAmAQAAZHJzL2Uyb0RvYy54bWxQSwUGAAAAAAYABgBZAQAAsQUAAAAA&#10;">
                        <v:fill on="f" focussize="0,0"/>
                        <v:stroke color="#000000" joinstyle="round" endarrow="block"/>
                        <v:imagedata o:title=""/>
                        <o:lock v:ext="edit" aspectratio="f"/>
                      </v:shape>
                      <v:rect id="_x0000_s1026" o:spid="_x0000_s1026" o:spt="1" style="position:absolute;left:3389630;top:1704339;height:473076;width:483235;" fillcolor="#FFFFFF" filled="t" stroked="t" coordsize="21600,21600" o:gfxdata="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rdLHdQAAAAFAQAADwAAAAAAAAABACAAAAAiAAAA&#10;ZHJzL2Rvd25yZXYueG1sUEsBAhQAFAAAAAgAh07iQKZy8IwLAgAAOAQAAA4AAAAAAAAAAQAgAAAA&#10;IwEAAGRycy9lMm9Eb2MueG1sUEsFBgAAAAAGAAYAWQEAAKAFAAAAAA==&#10;">
                        <v:fill on="t" focussize="0,0"/>
                        <v:stroke color="#FFFFFF" joinstyle="miter"/>
                        <v:imagedata o:title=""/>
                        <o:lock v:ext="edit" aspectratio="f"/>
                        <v:textbox>
                          <w:txbxContent>
                            <w:p>
                              <w:pPr>
                                <w:rPr>
                                  <w:rFonts w:hint="eastAsia"/>
                                </w:rPr>
                              </w:pPr>
                              <w:r>
                                <w:rPr>
                                  <w:rFonts w:hint="eastAsia"/>
                                </w:rPr>
                                <w:t>配水管网</w:t>
                              </w:r>
                            </w:p>
                          </w:txbxContent>
                        </v:textbox>
                      </v:rect>
                      <v:shape id="_x0000_s1026" o:spid="_x0000_s1026" o:spt="33" type="#_x0000_t33" style="position:absolute;left:4041775;top:1384935;height:725170;width:387350;rotation:5898240f;" filled="f" stroked="t" coordsize="21600,21600" o:gfxdata="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b3Y6PW&#10;AAAABQEAAA8AAAAAAAAAAQAgAAAAIgAAAGRycy9kb3ducmV2LnhtbFBLAQIUABQAAAAIAIdO4kDc&#10;ho3EIgIAABIEAAAOAAAAAAAAAAEAIAAAACUBAABkcnMvZTJvRG9jLnhtbFBLBQYAAAAABgAGAFkB&#10;AAC5BQAAAAA=&#10;">
                        <v:fill on="f" focussize="0,0"/>
                        <v:stroke color="#000000" joinstyle="miter" endarrow="block"/>
                        <v:imagedata o:title=""/>
                        <o:lock v:ext="edit" aspectratio="f"/>
                      </v:shape>
                      <v:shape id="_x0000_s1026" o:spid="_x0000_s1026" o:spt="32" type="#_x0000_t32" style="position:absolute;left:1865630;top:3220720;height:636905;width:8890;" filled="f" stroked="t" coordsize="21600,21600" o:gfxdata="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dBj3tcAAAAFAQAADwAAAAAA&#10;AAABACAAAAAiAAAAZHJzL2Rvd25yZXYueG1sUEsBAhQAFAAAAAgAh07iQMxffrMUAgAAAgQAAA4A&#10;AAAAAAAAAQAgAAAAJgEAAGRycy9lMm9Eb2MueG1sUEsFBgAAAAAGAAYAWQEAAKwFAAAAAA==&#10;">
                        <v:fill on="f" focussize="0,0"/>
                        <v:stroke color="#000000" joinstyle="round" endarrow="block"/>
                        <v:imagedata o:title=""/>
                        <o:lock v:ext="edit" aspectratio="f"/>
                      </v:shape>
                      <w10:wrap type="none"/>
                      <w10:anchorlock/>
                    </v:group>
                  </w:pict>
                </mc:Fallback>
              </mc:AlternateContent>
            </w:r>
          </w:p>
          <w:p>
            <w:pPr>
              <w:spacing w:line="360" w:lineRule="auto"/>
              <w:ind w:firstLine="482" w:firstLineChars="200"/>
              <w:jc w:val="center"/>
              <w:rPr>
                <w:b/>
                <w:bCs/>
                <w:szCs w:val="21"/>
              </w:rPr>
            </w:pPr>
            <w:r>
              <w:rPr>
                <w:b/>
                <w:bCs/>
                <w:szCs w:val="21"/>
              </w:rPr>
              <w:t>表</w:t>
            </w:r>
            <w:r>
              <w:rPr>
                <w:rFonts w:hint="eastAsia"/>
                <w:b/>
                <w:bCs/>
                <w:szCs w:val="21"/>
              </w:rPr>
              <w:t>4</w:t>
            </w:r>
            <w:r>
              <w:rPr>
                <w:b/>
                <w:bCs/>
                <w:szCs w:val="21"/>
              </w:rPr>
              <w:t>-2 废水产生排放情况一览表</w:t>
            </w:r>
          </w:p>
          <w:tbl>
            <w:tblPr>
              <w:tblStyle w:val="39"/>
              <w:tblW w:w="787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2454"/>
              <w:gridCol w:w="13"/>
              <w:gridCol w:w="1057"/>
              <w:gridCol w:w="13"/>
              <w:gridCol w:w="1268"/>
              <w:gridCol w:w="13"/>
              <w:gridCol w:w="12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97" w:type="pct"/>
                  <w:gridSpan w:val="3"/>
                  <w:tcBorders>
                    <w:top w:val="single" w:color="auto" w:sz="12" w:space="0"/>
                    <w:left w:val="nil"/>
                    <w:bottom w:val="single" w:color="auto" w:sz="8" w:space="0"/>
                    <w:right w:val="single" w:color="auto" w:sz="4" w:space="0"/>
                  </w:tcBorders>
                  <w:noWrap w:val="0"/>
                  <w:vAlign w:val="center"/>
                </w:tcPr>
                <w:p>
                  <w:pPr>
                    <w:widowControl/>
                    <w:jc w:val="center"/>
                    <w:textAlignment w:val="center"/>
                    <w:rPr>
                      <w:b/>
                      <w:color w:val="000000"/>
                      <w:kern w:val="0"/>
                      <w:szCs w:val="21"/>
                      <w:lang w:bidi="ar"/>
                    </w:rPr>
                  </w:pPr>
                  <w:r>
                    <w:rPr>
                      <w:b/>
                      <w:color w:val="000000"/>
                      <w:kern w:val="0"/>
                      <w:szCs w:val="21"/>
                      <w:lang w:bidi="ar"/>
                    </w:rPr>
                    <w:t>阶段</w:t>
                  </w:r>
                </w:p>
              </w:tc>
              <w:tc>
                <w:tcPr>
                  <w:tcW w:w="679" w:type="pct"/>
                  <w:gridSpan w:val="2"/>
                  <w:tcBorders>
                    <w:top w:val="single" w:color="auto" w:sz="12"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rPr>
                  </w:pPr>
                  <w:r>
                    <w:rPr>
                      <w:b/>
                      <w:color w:val="000000"/>
                      <w:kern w:val="0"/>
                      <w:szCs w:val="21"/>
                      <w:lang w:bidi="ar"/>
                    </w:rPr>
                    <w:t>单位</w:t>
                  </w:r>
                </w:p>
              </w:tc>
              <w:tc>
                <w:tcPr>
                  <w:tcW w:w="813" w:type="pct"/>
                  <w:gridSpan w:val="2"/>
                  <w:tcBorders>
                    <w:top w:val="single" w:color="auto" w:sz="12"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rPr>
                  </w:pPr>
                  <w:r>
                    <w:rPr>
                      <w:b/>
                      <w:color w:val="000000"/>
                      <w:kern w:val="0"/>
                      <w:szCs w:val="21"/>
                      <w:lang w:bidi="ar"/>
                    </w:rPr>
                    <w:t>COD</w:t>
                  </w:r>
                  <w:r>
                    <w:rPr>
                      <w:b/>
                      <w:color w:val="000000"/>
                      <w:szCs w:val="21"/>
                      <w:vertAlign w:val="subscript"/>
                      <w:lang w:bidi="ar"/>
                    </w:rPr>
                    <w:t>Cr</w:t>
                  </w:r>
                </w:p>
              </w:tc>
              <w:tc>
                <w:tcPr>
                  <w:tcW w:w="810" w:type="pct"/>
                  <w:tcBorders>
                    <w:top w:val="single" w:color="auto" w:sz="12"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rPr>
                  </w:pPr>
                  <w:r>
                    <w:rPr>
                      <w:b/>
                      <w:color w:val="000000"/>
                      <w:kern w:val="0"/>
                      <w:szCs w:val="21"/>
                      <w:lang w:bidi="ar"/>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97" w:type="pct"/>
                  <w:gridSpan w:val="3"/>
                  <w:vMerge w:val="restart"/>
                  <w:tcBorders>
                    <w:left w:val="nil"/>
                    <w:right w:val="single" w:color="auto" w:sz="4" w:space="0"/>
                  </w:tcBorders>
                  <w:noWrap w:val="0"/>
                  <w:vAlign w:val="center"/>
                </w:tcPr>
                <w:p>
                  <w:pPr>
                    <w:widowControl/>
                    <w:jc w:val="center"/>
                    <w:textAlignment w:val="center"/>
                    <w:rPr>
                      <w:b/>
                      <w:color w:val="000000"/>
                      <w:kern w:val="0"/>
                      <w:szCs w:val="21"/>
                      <w:lang w:bidi="ar"/>
                    </w:rPr>
                  </w:pPr>
                  <w:r>
                    <w:rPr>
                      <w:color w:val="000000"/>
                      <w:kern w:val="0"/>
                      <w:szCs w:val="21"/>
                      <w:lang w:bidi="ar"/>
                    </w:rPr>
                    <w:t>生产废水</w:t>
                  </w:r>
                  <w:r>
                    <w:rPr>
                      <w:color w:val="000000"/>
                      <w:szCs w:val="21"/>
                    </w:rPr>
                    <w:t>13003.1m³/a</w:t>
                  </w:r>
                </w:p>
              </w:tc>
              <w:tc>
                <w:tcPr>
                  <w:tcW w:w="67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kern w:val="0"/>
                      <w:szCs w:val="21"/>
                      <w:lang w:bidi="ar"/>
                    </w:rPr>
                    <w:t>mg/L</w:t>
                  </w:r>
                </w:p>
              </w:tc>
              <w:tc>
                <w:tcPr>
                  <w:tcW w:w="813"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250</w:t>
                  </w:r>
                </w:p>
              </w:tc>
              <w:tc>
                <w:tcPr>
                  <w:tcW w:w="810" w:type="pct"/>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7" w:type="pct"/>
                  <w:gridSpan w:val="3"/>
                  <w:vMerge w:val="continue"/>
                  <w:tcBorders>
                    <w:left w:val="nil"/>
                    <w:bottom w:val="single" w:color="auto" w:sz="8" w:space="0"/>
                    <w:right w:val="single" w:color="auto" w:sz="4" w:space="0"/>
                  </w:tcBorders>
                  <w:noWrap w:val="0"/>
                  <w:vAlign w:val="center"/>
                </w:tcPr>
                <w:p>
                  <w:pPr>
                    <w:widowControl/>
                    <w:jc w:val="center"/>
                    <w:textAlignment w:val="center"/>
                    <w:rPr>
                      <w:b/>
                      <w:color w:val="000000"/>
                      <w:kern w:val="0"/>
                      <w:szCs w:val="21"/>
                      <w:lang w:bidi="ar"/>
                    </w:rPr>
                  </w:pPr>
                </w:p>
              </w:tc>
              <w:tc>
                <w:tcPr>
                  <w:tcW w:w="67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kern w:val="0"/>
                      <w:szCs w:val="21"/>
                      <w:lang w:bidi="ar"/>
                    </w:rPr>
                    <w:t>t/a</w:t>
                  </w:r>
                </w:p>
              </w:tc>
              <w:tc>
                <w:tcPr>
                  <w:tcW w:w="813"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3.25</w:t>
                  </w:r>
                </w:p>
              </w:tc>
              <w:tc>
                <w:tcPr>
                  <w:tcW w:w="810" w:type="pct"/>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3.25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130" w:type="pct"/>
                  <w:vMerge w:val="restart"/>
                  <w:tcBorders>
                    <w:top w:val="single" w:color="auto" w:sz="8" w:space="0"/>
                    <w:left w:val="nil"/>
                    <w:right w:val="single" w:color="auto" w:sz="4" w:space="0"/>
                  </w:tcBorders>
                  <w:noWrap w:val="0"/>
                  <w:vAlign w:val="center"/>
                </w:tcPr>
                <w:p>
                  <w:pPr>
                    <w:widowControl/>
                    <w:jc w:val="center"/>
                    <w:textAlignment w:val="center"/>
                    <w:rPr>
                      <w:color w:val="000000"/>
                      <w:kern w:val="0"/>
                      <w:szCs w:val="21"/>
                    </w:rPr>
                  </w:pPr>
                  <w:r>
                    <w:rPr>
                      <w:color w:val="000000"/>
                      <w:kern w:val="0"/>
                      <w:szCs w:val="21"/>
                    </w:rPr>
                    <w:t>项目废水纳入污水处理厂处理前</w:t>
                  </w:r>
                </w:p>
              </w:tc>
              <w:tc>
                <w:tcPr>
                  <w:tcW w:w="1559" w:type="pct"/>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b/>
                      <w:color w:val="000000"/>
                      <w:kern w:val="0"/>
                      <w:szCs w:val="21"/>
                      <w:lang w:bidi="ar"/>
                    </w:rPr>
                  </w:pPr>
                  <w:r>
                    <w:rPr>
                      <w:color w:val="000000"/>
                      <w:kern w:val="0"/>
                      <w:szCs w:val="21"/>
                      <w:lang w:bidi="ar"/>
                    </w:rPr>
                    <w:t>排放标准</w:t>
                  </w:r>
                </w:p>
              </w:tc>
              <w:tc>
                <w:tcPr>
                  <w:tcW w:w="67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b/>
                      <w:color w:val="000000"/>
                      <w:kern w:val="0"/>
                      <w:szCs w:val="21"/>
                      <w:lang w:bidi="ar"/>
                    </w:rPr>
                  </w:pPr>
                  <w:r>
                    <w:rPr>
                      <w:color w:val="000000"/>
                      <w:kern w:val="0"/>
                      <w:szCs w:val="21"/>
                      <w:lang w:bidi="ar"/>
                    </w:rPr>
                    <w:t>mg/L</w:t>
                  </w:r>
                </w:p>
              </w:tc>
              <w:tc>
                <w:tcPr>
                  <w:tcW w:w="813"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100</w:t>
                  </w:r>
                </w:p>
              </w:tc>
              <w:tc>
                <w:tcPr>
                  <w:tcW w:w="81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0" w:type="pct"/>
                  <w:vMerge w:val="continue"/>
                  <w:tcBorders>
                    <w:left w:val="nil"/>
                    <w:right w:val="single" w:color="auto" w:sz="4" w:space="0"/>
                  </w:tcBorders>
                  <w:noWrap w:val="0"/>
                  <w:vAlign w:val="center"/>
                </w:tcPr>
                <w:p>
                  <w:pPr>
                    <w:widowControl/>
                    <w:jc w:val="center"/>
                    <w:textAlignment w:val="center"/>
                    <w:rPr>
                      <w:color w:val="000000"/>
                      <w:kern w:val="0"/>
                      <w:szCs w:val="21"/>
                    </w:rPr>
                  </w:pPr>
                </w:p>
              </w:tc>
              <w:tc>
                <w:tcPr>
                  <w:tcW w:w="1559" w:type="pct"/>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b/>
                      <w:color w:val="000000"/>
                      <w:kern w:val="0"/>
                      <w:szCs w:val="21"/>
                      <w:lang w:bidi="ar"/>
                    </w:rPr>
                  </w:pPr>
                  <w:r>
                    <w:rPr>
                      <w:color w:val="000000"/>
                      <w:kern w:val="0"/>
                      <w:szCs w:val="21"/>
                      <w:lang w:bidi="ar"/>
                    </w:rPr>
                    <w:t>污染物排放量</w:t>
                  </w:r>
                </w:p>
              </w:tc>
              <w:tc>
                <w:tcPr>
                  <w:tcW w:w="67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b/>
                      <w:color w:val="000000"/>
                      <w:kern w:val="0"/>
                      <w:szCs w:val="21"/>
                      <w:lang w:bidi="ar"/>
                    </w:rPr>
                  </w:pPr>
                  <w:r>
                    <w:rPr>
                      <w:color w:val="000000"/>
                      <w:kern w:val="0"/>
                      <w:szCs w:val="21"/>
                      <w:lang w:bidi="ar"/>
                    </w:rPr>
                    <w:t>t/a</w:t>
                  </w:r>
                </w:p>
              </w:tc>
              <w:tc>
                <w:tcPr>
                  <w:tcW w:w="813"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1.3</w:t>
                  </w:r>
                </w:p>
              </w:tc>
              <w:tc>
                <w:tcPr>
                  <w:tcW w:w="819" w:type="pct"/>
                  <w:gridSpan w:val="2"/>
                  <w:tcBorders>
                    <w:top w:val="single" w:color="auto" w:sz="8" w:space="0"/>
                    <w:left w:val="single" w:color="auto" w:sz="4" w:space="0"/>
                    <w:bottom w:val="single" w:color="auto" w:sz="8"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0" w:type="pct"/>
                  <w:vMerge w:val="restart"/>
                  <w:tcBorders>
                    <w:left w:val="nil"/>
                    <w:right w:val="single" w:color="auto" w:sz="4" w:space="0"/>
                  </w:tcBorders>
                  <w:noWrap w:val="0"/>
                  <w:vAlign w:val="center"/>
                </w:tcPr>
                <w:p>
                  <w:pPr>
                    <w:widowControl/>
                    <w:jc w:val="center"/>
                    <w:textAlignment w:val="center"/>
                    <w:rPr>
                      <w:color w:val="000000"/>
                      <w:kern w:val="0"/>
                      <w:szCs w:val="21"/>
                    </w:rPr>
                  </w:pPr>
                  <w:r>
                    <w:rPr>
                      <w:color w:val="000000"/>
                      <w:kern w:val="0"/>
                      <w:szCs w:val="21"/>
                    </w:rPr>
                    <w:t>项目废水纳入污水处理厂处理后</w:t>
                  </w:r>
                </w:p>
              </w:tc>
              <w:tc>
                <w:tcPr>
                  <w:tcW w:w="155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lang w:bidi="ar"/>
                    </w:rPr>
                  </w:pPr>
                  <w:r>
                    <w:rPr>
                      <w:color w:val="000000"/>
                      <w:kern w:val="0"/>
                      <w:szCs w:val="21"/>
                      <w:lang w:bidi="ar"/>
                    </w:rPr>
                    <w:t>排放标准</w:t>
                  </w:r>
                </w:p>
              </w:tc>
              <w:tc>
                <w:tcPr>
                  <w:tcW w:w="679"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lang w:bidi="ar"/>
                    </w:rPr>
                  </w:pPr>
                  <w:r>
                    <w:rPr>
                      <w:color w:val="000000"/>
                      <w:kern w:val="0"/>
                      <w:szCs w:val="21"/>
                      <w:lang w:bidi="ar"/>
                    </w:rPr>
                    <w:t>mg/L</w:t>
                  </w:r>
                </w:p>
              </w:tc>
              <w:tc>
                <w:tcPr>
                  <w:tcW w:w="813"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50</w:t>
                  </w:r>
                </w:p>
              </w:tc>
              <w:tc>
                <w:tcPr>
                  <w:tcW w:w="819"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lang w:bidi="ar"/>
                    </w:rPr>
                  </w:pPr>
                  <w:r>
                    <w:rPr>
                      <w:color w:val="00000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130" w:type="pct"/>
                  <w:vMerge w:val="continue"/>
                  <w:tcBorders>
                    <w:left w:val="nil"/>
                    <w:right w:val="single" w:color="auto" w:sz="4" w:space="0"/>
                  </w:tcBorders>
                  <w:noWrap w:val="0"/>
                  <w:vAlign w:val="center"/>
                </w:tcPr>
                <w:p>
                  <w:pPr>
                    <w:widowControl/>
                    <w:jc w:val="center"/>
                    <w:textAlignment w:val="center"/>
                    <w:rPr>
                      <w:color w:val="000000"/>
                      <w:kern w:val="0"/>
                      <w:szCs w:val="21"/>
                      <w:lang w:bidi="ar"/>
                    </w:rPr>
                  </w:pPr>
                </w:p>
              </w:tc>
              <w:tc>
                <w:tcPr>
                  <w:tcW w:w="155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lang w:bidi="ar"/>
                    </w:rPr>
                  </w:pPr>
                  <w:r>
                    <w:rPr>
                      <w:color w:val="000000"/>
                      <w:kern w:val="0"/>
                      <w:szCs w:val="21"/>
                      <w:lang w:bidi="ar"/>
                    </w:rPr>
                    <w:t>污染物排放量</w:t>
                  </w:r>
                </w:p>
              </w:tc>
              <w:tc>
                <w:tcPr>
                  <w:tcW w:w="679"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rPr>
                  </w:pPr>
                  <w:r>
                    <w:rPr>
                      <w:color w:val="000000"/>
                      <w:kern w:val="0"/>
                      <w:szCs w:val="21"/>
                      <w:lang w:bidi="ar"/>
                    </w:rPr>
                    <w:t>t/a</w:t>
                  </w:r>
                </w:p>
              </w:tc>
              <w:tc>
                <w:tcPr>
                  <w:tcW w:w="813"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rPr>
                  </w:pPr>
                  <w:r>
                    <w:rPr>
                      <w:color w:val="000000"/>
                      <w:szCs w:val="21"/>
                    </w:rPr>
                    <w:t>0.65</w:t>
                  </w:r>
                </w:p>
              </w:tc>
              <w:tc>
                <w:tcPr>
                  <w:tcW w:w="819" w:type="pct"/>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color w:val="000000"/>
                      <w:kern w:val="0"/>
                      <w:szCs w:val="21"/>
                    </w:rPr>
                  </w:pPr>
                  <w:r>
                    <w:rPr>
                      <w:color w:val="000000"/>
                      <w:szCs w:val="21"/>
                    </w:rPr>
                    <w:t>0.13</w:t>
                  </w:r>
                </w:p>
              </w:tc>
            </w:tr>
          </w:tbl>
          <w:p>
            <w:pPr>
              <w:wordWrap w:val="0"/>
              <w:adjustRightInd w:val="0"/>
              <w:snapToGrid w:val="0"/>
              <w:spacing w:line="360" w:lineRule="auto"/>
              <w:ind w:firstLine="480" w:firstLineChars="200"/>
              <w:jc w:val="left"/>
              <w:rPr>
                <w:rFonts w:hint="eastAsia"/>
                <w:sz w:val="24"/>
              </w:rPr>
            </w:pPr>
            <w:r>
              <w:rPr>
                <w:rFonts w:hint="eastAsia"/>
                <w:sz w:val="24"/>
              </w:rPr>
              <w:t>本项目生产废水经厂内污水处理设施处理达《污水综合排放标准》（G</w:t>
            </w:r>
            <w:r>
              <w:rPr>
                <w:sz w:val="24"/>
              </w:rPr>
              <w:t>B8978-1996</w:t>
            </w:r>
            <w:r>
              <w:rPr>
                <w:rFonts w:hint="eastAsia"/>
                <w:sz w:val="24"/>
              </w:rPr>
              <w:t>）中三级标准后排污土主镇污水处理厂，经土主镇污水处理厂处理达《城镇污水处理厂污染物排放标准》（G</w:t>
            </w:r>
            <w:r>
              <w:rPr>
                <w:sz w:val="24"/>
              </w:rPr>
              <w:t>B18919-2002</w:t>
            </w:r>
            <w:r>
              <w:rPr>
                <w:rFonts w:hint="eastAsia"/>
                <w:sz w:val="24"/>
              </w:rPr>
              <w:t>）中一级A标后排入剑锋河。土主镇污水处理厂设计处理能力3</w:t>
            </w:r>
            <w:r>
              <w:rPr>
                <w:sz w:val="24"/>
              </w:rPr>
              <w:t>00m</w:t>
            </w:r>
            <w:r>
              <w:rPr>
                <w:sz w:val="24"/>
                <w:vertAlign w:val="superscript"/>
              </w:rPr>
              <w:t>3</w:t>
            </w:r>
            <w:r>
              <w:rPr>
                <w:sz w:val="24"/>
              </w:rPr>
              <w:t>/d</w:t>
            </w:r>
            <w:r>
              <w:rPr>
                <w:rFonts w:hint="eastAsia"/>
                <w:sz w:val="24"/>
              </w:rPr>
              <w:t>，实际处理能力2</w:t>
            </w:r>
            <w:r>
              <w:rPr>
                <w:sz w:val="24"/>
              </w:rPr>
              <w:t>00m3/d</w:t>
            </w:r>
            <w:r>
              <w:rPr>
                <w:rFonts w:hint="eastAsia"/>
                <w:sz w:val="24"/>
              </w:rPr>
              <w:t>，富裕1</w:t>
            </w:r>
            <w:r>
              <w:rPr>
                <w:sz w:val="24"/>
              </w:rPr>
              <w:t>00m</w:t>
            </w:r>
            <w:r>
              <w:rPr>
                <w:sz w:val="24"/>
                <w:vertAlign w:val="superscript"/>
              </w:rPr>
              <w:t>3</w:t>
            </w:r>
            <w:r>
              <w:rPr>
                <w:sz w:val="24"/>
              </w:rPr>
              <w:t>/d</w:t>
            </w:r>
            <w:r>
              <w:rPr>
                <w:rFonts w:hint="eastAsia"/>
                <w:sz w:val="24"/>
              </w:rPr>
              <w:t>，本项目废水产生量3</w:t>
            </w:r>
            <w:r>
              <w:rPr>
                <w:sz w:val="24"/>
              </w:rPr>
              <w:t>5.6 m</w:t>
            </w:r>
            <w:r>
              <w:rPr>
                <w:sz w:val="24"/>
                <w:vertAlign w:val="superscript"/>
              </w:rPr>
              <w:t>3</w:t>
            </w:r>
            <w:r>
              <w:rPr>
                <w:sz w:val="24"/>
              </w:rPr>
              <w:t>/d</w:t>
            </w:r>
            <w:r>
              <w:rPr>
                <w:rFonts w:hint="eastAsia"/>
                <w:sz w:val="24"/>
              </w:rPr>
              <w:t>，因此本项目依托土主镇污水处理厂处理可行。</w:t>
            </w:r>
          </w:p>
          <w:p>
            <w:pPr>
              <w:pStyle w:val="183"/>
              <w:wordWrap/>
              <w:autoSpaceDE w:val="0"/>
              <w:autoSpaceDN w:val="0"/>
              <w:ind w:firstLine="482"/>
              <w:rPr>
                <w:rFonts w:hint="eastAsia"/>
              </w:rPr>
            </w:pPr>
            <w:r>
              <w:rPr>
                <w:rFonts w:hint="eastAsia"/>
                <w:b/>
              </w:rPr>
              <w:t>（2）</w:t>
            </w:r>
            <w:r>
              <w:rPr>
                <w:b/>
              </w:rPr>
              <w:t>废水处理</w:t>
            </w:r>
            <w:r>
              <w:rPr>
                <w:rFonts w:hint="eastAsia"/>
                <w:b/>
              </w:rPr>
              <w:t>影响</w:t>
            </w:r>
            <w:r>
              <w:rPr>
                <w:b/>
              </w:rPr>
              <w:t>分析</w:t>
            </w:r>
          </w:p>
          <w:p>
            <w:pPr>
              <w:pStyle w:val="183"/>
              <w:wordWrap/>
              <w:autoSpaceDE w:val="0"/>
              <w:autoSpaceDN w:val="0"/>
              <w:ind w:firstLine="482"/>
              <w:rPr>
                <w:b/>
              </w:rPr>
            </w:pPr>
            <w:r>
              <w:rPr>
                <w:b/>
              </w:rPr>
              <w:t>1</w:t>
            </w:r>
            <w:r>
              <w:rPr>
                <w:rFonts w:hint="eastAsia"/>
                <w:b/>
              </w:rPr>
              <w:t>）滤池反冲洗废水</w:t>
            </w:r>
          </w:p>
          <w:p>
            <w:pPr>
              <w:pStyle w:val="183"/>
              <w:wordWrap/>
              <w:autoSpaceDE w:val="0"/>
              <w:autoSpaceDN w:val="0"/>
            </w:pPr>
            <w:r>
              <w:rPr>
                <w:rFonts w:hint="eastAsia"/>
              </w:rPr>
              <w:t>本项目</w:t>
            </w:r>
            <w:r>
              <w:rPr>
                <w:rFonts w:hint="eastAsia" w:ascii="宋体" w:hAnsi="宋体" w:cs="宋体"/>
              </w:rPr>
              <w:t>滤池反冲洗出水含泥浓度不高，且具有活性，易沉淀，因此项目反冲洗废水经反冲洗水回收池沉淀处理后返回配水井做生产用水可行。</w:t>
            </w:r>
          </w:p>
          <w:p>
            <w:pPr>
              <w:pStyle w:val="183"/>
              <w:ind w:firstLine="482"/>
              <w:rPr>
                <w:rFonts w:hint="eastAsia"/>
                <w:b/>
              </w:rPr>
            </w:pPr>
            <w:r>
              <w:rPr>
                <w:b/>
              </w:rPr>
              <w:t>2</w:t>
            </w:r>
            <w:r>
              <w:rPr>
                <w:rFonts w:hint="eastAsia"/>
                <w:b/>
              </w:rPr>
              <w:t>）排泥水可行性分析</w:t>
            </w:r>
          </w:p>
          <w:p>
            <w:pPr>
              <w:pStyle w:val="183"/>
              <w:rPr>
                <w:rFonts w:hint="eastAsia"/>
              </w:rPr>
            </w:pPr>
            <w:r>
              <w:rPr>
                <w:rFonts w:hint="eastAsia"/>
              </w:rPr>
              <w:t>厂内污水处理设置可行性分析：本项目排泥水中污染物主要为悬浮物质，项目采用浓缩+离心脱水处理达《污水综合排放标准》（G</w:t>
            </w:r>
            <w:r>
              <w:t>B8978-1996</w:t>
            </w:r>
            <w:r>
              <w:rPr>
                <w:rFonts w:hint="eastAsia"/>
              </w:rPr>
              <w:t>）中三级标准后排污土主镇污水处理厂，根据表4</w:t>
            </w:r>
            <w:r>
              <w:t>-1</w:t>
            </w:r>
            <w:r>
              <w:rPr>
                <w:rFonts w:hint="eastAsia"/>
              </w:rPr>
              <w:t>中水质分析，本项目外排生产废水污染物浓度满足《污水综合排放标准》（G</w:t>
            </w:r>
            <w:r>
              <w:t>B8978-1996</w:t>
            </w:r>
            <w:r>
              <w:rPr>
                <w:rFonts w:hint="eastAsia"/>
              </w:rPr>
              <w:t>）中三级标准。</w:t>
            </w:r>
          </w:p>
          <w:p>
            <w:pPr>
              <w:pStyle w:val="183"/>
            </w:pPr>
            <w:r>
              <w:rPr>
                <w:rFonts w:hint="eastAsia"/>
              </w:rPr>
              <w:t>土主镇污水处理厂依托可行性分析：土主镇污水处理厂设计处理能力3</w:t>
            </w:r>
            <w:r>
              <w:t>00m</w:t>
            </w:r>
            <w:r>
              <w:rPr>
                <w:vertAlign w:val="superscript"/>
              </w:rPr>
              <w:t>3</w:t>
            </w:r>
            <w:r>
              <w:t>/d</w:t>
            </w:r>
            <w:r>
              <w:rPr>
                <w:rFonts w:hint="eastAsia"/>
              </w:rPr>
              <w:t>，实际处理能力2</w:t>
            </w:r>
            <w:r>
              <w:t>00m3/d</w:t>
            </w:r>
            <w:r>
              <w:rPr>
                <w:rFonts w:hint="eastAsia"/>
              </w:rPr>
              <w:t>，富裕1</w:t>
            </w:r>
            <w:r>
              <w:t>00m</w:t>
            </w:r>
            <w:r>
              <w:rPr>
                <w:vertAlign w:val="superscript"/>
              </w:rPr>
              <w:t>3</w:t>
            </w:r>
            <w:r>
              <w:t>/d</w:t>
            </w:r>
            <w:r>
              <w:rPr>
                <w:rFonts w:hint="eastAsia"/>
              </w:rPr>
              <w:t>，本项目废水产生量3</w:t>
            </w:r>
            <w:r>
              <w:t>5.6 m</w:t>
            </w:r>
            <w:r>
              <w:rPr>
                <w:vertAlign w:val="superscript"/>
              </w:rPr>
              <w:t>3</w:t>
            </w:r>
            <w:r>
              <w:t>/d</w:t>
            </w:r>
            <w:r>
              <w:rPr>
                <w:rFonts w:hint="eastAsia"/>
              </w:rPr>
              <w:t>，因此本项目依托土主镇污水处理厂处理可行。</w:t>
            </w:r>
          </w:p>
          <w:p>
            <w:pPr>
              <w:pStyle w:val="183"/>
              <w:ind w:firstLine="482"/>
              <w:rPr>
                <w:rFonts w:hint="eastAsia"/>
                <w:b/>
              </w:rPr>
            </w:pPr>
            <w:r>
              <w:rPr>
                <w:b/>
              </w:rPr>
              <w:t>3</w:t>
            </w:r>
            <w:r>
              <w:rPr>
                <w:rFonts w:hint="eastAsia"/>
                <w:b/>
              </w:rPr>
              <w:t>）生活污水用作农肥的可行性分析</w:t>
            </w:r>
          </w:p>
          <w:p>
            <w:pPr>
              <w:pStyle w:val="183"/>
            </w:pPr>
            <w:bookmarkStart w:id="9" w:name="_Ref456520849"/>
            <w:r>
              <w:rPr>
                <w:rFonts w:hint="eastAsia"/>
              </w:rPr>
              <w:t>项目运营期生活污水产生量为</w:t>
            </w:r>
            <w:r>
              <w:t>3.54</w:t>
            </w:r>
            <w:r>
              <w:rPr>
                <w:rFonts w:hint="eastAsia"/>
              </w:rPr>
              <w:t>m</w:t>
            </w:r>
            <w:r>
              <w:rPr>
                <w:rFonts w:hint="eastAsia"/>
                <w:vertAlign w:val="superscript"/>
              </w:rPr>
              <w:t>3</w:t>
            </w:r>
            <w:r>
              <w:rPr>
                <w:rFonts w:hint="eastAsia"/>
              </w:rPr>
              <w:t>/d（</w:t>
            </w:r>
            <w:r>
              <w:t>1290.6</w:t>
            </w:r>
            <w:r>
              <w:rPr>
                <w:rFonts w:hint="eastAsia"/>
              </w:rPr>
              <w:t>m</w:t>
            </w:r>
            <w:r>
              <w:rPr>
                <w:rFonts w:hint="eastAsia"/>
                <w:vertAlign w:val="superscript"/>
              </w:rPr>
              <w:t>3</w:t>
            </w:r>
            <w:r>
              <w:rPr>
                <w:rFonts w:hint="eastAsia"/>
              </w:rPr>
              <w:t>/a），根据经验，每亩农田年消纳N总量以不超过16公斤计算。本项目按一般的施肥量（10千克氮/亩•年），生活污水中氨氮出水浓度为45mg/l，则项目废水排放氨氮的总量为</w:t>
            </w:r>
            <w:r>
              <w:t>58.08</w:t>
            </w:r>
            <w:r>
              <w:rPr>
                <w:rFonts w:hint="eastAsia"/>
              </w:rPr>
              <w:t>kg/a，则氮的总量为</w:t>
            </w:r>
            <w:r>
              <w:t>52.46</w:t>
            </w:r>
            <w:r>
              <w:rPr>
                <w:rFonts w:hint="eastAsia"/>
              </w:rPr>
              <w:t>kg/a，则本项目生活污水施肥量为</w:t>
            </w:r>
            <w:r>
              <w:t>5.3</w:t>
            </w:r>
            <w:r>
              <w:rPr>
                <w:rFonts w:hint="eastAsia"/>
              </w:rPr>
              <w:t>亩。根据现场调查，项目周边有大量的农田，因此生活污水用作农肥是可行的。</w:t>
            </w:r>
          </w:p>
          <w:p>
            <w:pPr>
              <w:pStyle w:val="183"/>
              <w:wordWrap/>
            </w:pPr>
            <w:r>
              <w:rPr>
                <w:rFonts w:hint="eastAsia"/>
              </w:rPr>
              <w:t>4）取水影响分析</w:t>
            </w:r>
          </w:p>
          <w:p>
            <w:pPr>
              <w:snapToGrid w:val="0"/>
              <w:spacing w:line="360" w:lineRule="auto"/>
              <w:ind w:firstLine="480" w:firstLineChars="200"/>
              <w:rPr>
                <w:rFonts w:ascii="宋体" w:hAnsi="宋体" w:cs="宋体"/>
                <w:sz w:val="24"/>
              </w:rPr>
            </w:pPr>
            <w:r>
              <w:rPr>
                <w:rFonts w:hint="eastAsia"/>
                <w:sz w:val="24"/>
              </w:rPr>
              <w:t>本项目含取水项目，项目取水口位于关子门堰王沟两河口电站前池处，</w:t>
            </w:r>
            <w:r>
              <w:rPr>
                <w:rFonts w:hint="eastAsia" w:ascii="宋体" w:hAnsi="宋体" w:cs="宋体"/>
                <w:sz w:val="24"/>
              </w:rPr>
              <w:t>受两河口电站坝址影响，该处常年水生较高，取水可靠性好，同时根据该项目水资源论证报告及相关设计资料，关子门堰引水流量为8</w:t>
            </w:r>
            <w:r>
              <w:rPr>
                <w:rFonts w:ascii="宋体" w:hAnsi="宋体" w:cs="宋体"/>
                <w:sz w:val="24"/>
              </w:rPr>
              <w:t>.35m</w:t>
            </w:r>
            <w:r>
              <w:rPr>
                <w:rFonts w:ascii="宋体" w:hAnsi="宋体" w:cs="宋体"/>
                <w:sz w:val="24"/>
                <w:vertAlign w:val="superscript"/>
              </w:rPr>
              <w:t>3</w:t>
            </w:r>
            <w:r>
              <w:rPr>
                <w:rFonts w:ascii="宋体" w:hAnsi="宋体" w:cs="宋体"/>
                <w:sz w:val="24"/>
              </w:rPr>
              <w:t>/s</w:t>
            </w:r>
            <w:r>
              <w:rPr>
                <w:rFonts w:hint="eastAsia" w:ascii="宋体" w:hAnsi="宋体" w:cs="宋体"/>
                <w:sz w:val="24"/>
              </w:rPr>
              <w:t>，两河口电站引水流量1</w:t>
            </w:r>
            <w:r>
              <w:rPr>
                <w:rFonts w:ascii="宋体" w:hAnsi="宋体" w:cs="宋体"/>
                <w:sz w:val="24"/>
              </w:rPr>
              <w:t>.25 m</w:t>
            </w:r>
            <w:r>
              <w:rPr>
                <w:rFonts w:ascii="宋体" w:hAnsi="宋体" w:cs="宋体"/>
                <w:sz w:val="24"/>
                <w:vertAlign w:val="superscript"/>
              </w:rPr>
              <w:t>3</w:t>
            </w:r>
            <w:r>
              <w:rPr>
                <w:rFonts w:ascii="宋体" w:hAnsi="宋体" w:cs="宋体"/>
                <w:sz w:val="24"/>
              </w:rPr>
              <w:t>/s</w:t>
            </w:r>
            <w:r>
              <w:rPr>
                <w:rFonts w:hint="eastAsia" w:ascii="宋体" w:hAnsi="宋体" w:cs="宋体"/>
                <w:sz w:val="24"/>
              </w:rPr>
              <w:t>，原大于本项目的设计引水流量1</w:t>
            </w:r>
            <w:r>
              <w:rPr>
                <w:rFonts w:ascii="宋体" w:hAnsi="宋体" w:cs="宋体"/>
                <w:sz w:val="24"/>
              </w:rPr>
              <w:t>.5 m</w:t>
            </w:r>
            <w:r>
              <w:rPr>
                <w:rFonts w:ascii="宋体" w:hAnsi="宋体" w:cs="宋体"/>
                <w:sz w:val="24"/>
                <w:vertAlign w:val="superscript"/>
              </w:rPr>
              <w:t>3</w:t>
            </w:r>
            <w:r>
              <w:rPr>
                <w:rFonts w:ascii="宋体" w:hAnsi="宋体" w:cs="宋体"/>
                <w:sz w:val="24"/>
              </w:rPr>
              <w:t>/s</w:t>
            </w:r>
            <w:r>
              <w:rPr>
                <w:rFonts w:hint="eastAsia" w:ascii="宋体" w:hAnsi="宋体" w:cs="宋体"/>
                <w:sz w:val="24"/>
              </w:rPr>
              <w:t>，因此本项目在该处饮水影响较小。</w:t>
            </w:r>
          </w:p>
          <w:p>
            <w:pPr>
              <w:snapToGrid w:val="0"/>
              <w:spacing w:line="360" w:lineRule="auto"/>
              <w:ind w:firstLine="480"/>
              <w:rPr>
                <w:rFonts w:ascii="宋体" w:hAnsi="宋体"/>
                <w:sz w:val="24"/>
              </w:rPr>
            </w:pPr>
            <w:r>
              <w:rPr>
                <w:rFonts w:hint="eastAsia" w:ascii="宋体" w:hAnsi="宋体" w:cs="宋体"/>
                <w:sz w:val="24"/>
              </w:rPr>
              <w:t>5）</w:t>
            </w:r>
            <w:r>
              <w:rPr>
                <w:rFonts w:hint="eastAsia" w:ascii="宋体" w:hAnsi="宋体"/>
                <w:sz w:val="24"/>
              </w:rPr>
              <w:t>饮用水源保护</w:t>
            </w:r>
          </w:p>
          <w:p>
            <w:pPr>
              <w:autoSpaceDE w:val="0"/>
              <w:autoSpaceDN w:val="0"/>
              <w:adjustRightInd w:val="0"/>
              <w:snapToGrid w:val="0"/>
              <w:spacing w:line="360" w:lineRule="auto"/>
              <w:ind w:firstLine="480" w:firstLineChars="200"/>
              <w:rPr>
                <w:rFonts w:ascii="宋体" w:hAnsi="宋体"/>
                <w:sz w:val="24"/>
              </w:rPr>
            </w:pPr>
            <w:r>
              <w:rPr>
                <w:rFonts w:hint="eastAsia" w:ascii="宋体" w:hAnsi="宋体"/>
                <w:sz w:val="24"/>
              </w:rPr>
              <w:t>根据《乐山市市中区关子门堰王沟集中式饮用水水源保护区划分技术报告》（送审稿），</w:t>
            </w:r>
            <w:bookmarkStart w:id="10" w:name="_Toc17449"/>
            <w:bookmarkStart w:id="11" w:name="_Toc31815"/>
            <w:bookmarkStart w:id="12" w:name="_Toc20759"/>
            <w:r>
              <w:rPr>
                <w:rFonts w:hint="eastAsia" w:ascii="宋体" w:hAnsi="宋体"/>
                <w:sz w:val="24"/>
              </w:rPr>
              <w:t>取水口位置：乐山市市中区牟子镇三峡村关子门堰王沟（东经103°48′36.43″北纬29°42′31.17″)</w:t>
            </w:r>
            <w:bookmarkEnd w:id="10"/>
            <w:bookmarkEnd w:id="11"/>
            <w:bookmarkEnd w:id="12"/>
            <w:r>
              <w:rPr>
                <w:rFonts w:hint="eastAsia" w:ascii="宋体" w:hAnsi="宋体"/>
                <w:sz w:val="24"/>
              </w:rPr>
              <w:t>，一级保护区为取水口下游100米至取水口上游1000米的水域范围。一级保护区水域边界沿两岸纵深50米但不超过流域分水岭的陆域范围。二级保护区为取水口下游300米至取水口上游3000米除一级保护区外的水域范围。一、二级保护区水域边界沿两岸纵深至行政区界或流域分水岭的除一级保护区外的陆域范围。</w:t>
            </w:r>
          </w:p>
          <w:p>
            <w:pPr>
              <w:snapToGrid w:val="0"/>
              <w:spacing w:line="360" w:lineRule="auto"/>
              <w:ind w:firstLine="480"/>
              <w:rPr>
                <w:rFonts w:ascii="宋体" w:hAnsi="宋体"/>
                <w:sz w:val="24"/>
              </w:rPr>
            </w:pPr>
            <w:r>
              <w:rPr>
                <w:rFonts w:hint="eastAsia" w:ascii="宋体" w:hAnsi="宋体"/>
                <w:sz w:val="24"/>
              </w:rPr>
              <w:t>针对饮用水水源保护去本次评价提出要求如下。</w:t>
            </w:r>
          </w:p>
          <w:p>
            <w:pPr>
              <w:snapToGrid w:val="0"/>
              <w:spacing w:line="360" w:lineRule="auto"/>
              <w:ind w:firstLine="480"/>
              <w:rPr>
                <w:rFonts w:ascii="宋体" w:hAnsi="宋体"/>
                <w:sz w:val="24"/>
              </w:rPr>
            </w:pPr>
            <w:r>
              <w:rPr>
                <w:rFonts w:hint="eastAsia" w:ascii="宋体" w:hAnsi="宋体"/>
                <w:sz w:val="24"/>
              </w:rPr>
              <w:t>以江、河为水源的取水口上游不低于1000m，下游不低于100m 的水域为一级保护区；以水库为水源的一级保护区范围为水库全部水域。水源保护区水质按照《地表水环境质量标准》（GB3838-2002）Ⅱ类水域标准控制，水资源陆域保护区内按照国家有关规定严格格管理。</w:t>
            </w:r>
          </w:p>
          <w:p>
            <w:pPr>
              <w:snapToGrid w:val="0"/>
              <w:spacing w:line="360" w:lineRule="auto"/>
              <w:ind w:firstLine="480"/>
              <w:rPr>
                <w:rFonts w:hint="eastAsia" w:ascii="宋体" w:hAnsi="宋体"/>
                <w:sz w:val="24"/>
              </w:rPr>
            </w:pPr>
            <w:r>
              <w:rPr>
                <w:rFonts w:hint="eastAsia" w:ascii="宋体" w:hAnsi="宋体"/>
                <w:sz w:val="24"/>
              </w:rPr>
              <w:t>（1）一级环境保护区内，不得排入工业废水和生活污水；其沿岸防护范围内不得堆放废渣、不得设立有害化学物品的仓库、堆栈或装卸垃圾、粪便和有毒物品的码头；不得使用工业废水或生活污水灌溉及施用有持久性毒性或剧毒的农药，并不得从事放牧等有可能污染该段水域水质的活动。</w:t>
            </w:r>
          </w:p>
          <w:p>
            <w:pPr>
              <w:snapToGrid w:val="0"/>
              <w:spacing w:line="360" w:lineRule="auto"/>
              <w:ind w:firstLine="480"/>
              <w:rPr>
                <w:rFonts w:ascii="宋体" w:hAnsi="宋体"/>
                <w:sz w:val="24"/>
              </w:rPr>
            </w:pPr>
            <w:r>
              <w:rPr>
                <w:rFonts w:hint="eastAsia" w:ascii="宋体" w:hAnsi="宋体"/>
                <w:sz w:val="24"/>
              </w:rPr>
              <w:t>（2）水厂生产区范围应明确划定并设立明显标志，在生产区外围不小于10m的范围内，不得设置生活居住区和修建禽畜饲养场、渗水厕所、渗水坑；不得堆放垃圾、粪便、废渣或铺设污水渠道；应保持良好的卫生状况和绿化。单独设立的泵站、沉淀池和清水池的外围不小于10m 的区域内，其卫生要求与水厂生产区相同。</w:t>
            </w:r>
          </w:p>
          <w:p>
            <w:pPr>
              <w:snapToGrid w:val="0"/>
              <w:spacing w:line="360" w:lineRule="auto"/>
              <w:ind w:firstLine="480"/>
              <w:rPr>
                <w:rFonts w:hint="eastAsia" w:ascii="宋体" w:hAnsi="宋体"/>
                <w:sz w:val="24"/>
              </w:rPr>
            </w:pPr>
            <w:r>
              <w:rPr>
                <w:rFonts w:hint="eastAsia" w:ascii="宋体" w:hAnsi="宋体"/>
                <w:sz w:val="24"/>
              </w:rPr>
              <w:t>2、二级保护区</w:t>
            </w:r>
          </w:p>
          <w:p>
            <w:pPr>
              <w:snapToGrid w:val="0"/>
              <w:spacing w:line="360" w:lineRule="auto"/>
              <w:ind w:firstLine="480"/>
              <w:rPr>
                <w:rFonts w:ascii="宋体" w:hAnsi="宋体"/>
                <w:sz w:val="24"/>
              </w:rPr>
            </w:pPr>
            <w:r>
              <w:rPr>
                <w:rFonts w:hint="eastAsia" w:ascii="宋体" w:hAnsi="宋体"/>
                <w:sz w:val="24"/>
              </w:rPr>
              <w:t>根据《饮用水水源保护区污染防治管理规定（</w:t>
            </w:r>
            <w:r>
              <w:rPr>
                <w:rFonts w:ascii="宋体" w:hAnsi="宋体"/>
                <w:sz w:val="24"/>
              </w:rPr>
              <w:t xml:space="preserve">2010 </w:t>
            </w:r>
            <w:r>
              <w:rPr>
                <w:rFonts w:hint="eastAsia" w:ascii="宋体" w:hAnsi="宋体"/>
                <w:sz w:val="24"/>
              </w:rPr>
              <w:t>年修订）》，饮用水地表水水源各级保护区及准保护区内均必须遵守下列规定：</w:t>
            </w:r>
          </w:p>
          <w:p>
            <w:pPr>
              <w:snapToGrid w:val="0"/>
              <w:spacing w:line="360" w:lineRule="auto"/>
              <w:ind w:firstLine="480"/>
              <w:rPr>
                <w:rFonts w:ascii="宋体" w:hAnsi="宋体"/>
                <w:sz w:val="24"/>
              </w:rPr>
            </w:pPr>
            <w:r>
              <w:rPr>
                <w:rFonts w:hint="eastAsia" w:ascii="宋体" w:hAnsi="宋体"/>
                <w:sz w:val="24"/>
              </w:rPr>
              <w:t>（</w:t>
            </w:r>
            <w:r>
              <w:rPr>
                <w:rFonts w:ascii="宋体" w:hAnsi="宋体"/>
                <w:sz w:val="24"/>
              </w:rPr>
              <w:t>1</w:t>
            </w:r>
            <w:r>
              <w:rPr>
                <w:rFonts w:hint="eastAsia" w:ascii="宋体" w:hAnsi="宋体"/>
                <w:sz w:val="24"/>
              </w:rPr>
              <w:t>）禁止一切破坏水环境生态平衡的活动以及破坏水源林、护岸林、与水源保护相关植被的活动。</w:t>
            </w:r>
          </w:p>
          <w:p>
            <w:pPr>
              <w:snapToGrid w:val="0"/>
              <w:spacing w:line="360" w:lineRule="auto"/>
              <w:ind w:firstLine="480"/>
              <w:rPr>
                <w:rFonts w:ascii="宋体" w:hAnsi="宋体"/>
                <w:sz w:val="24"/>
              </w:rPr>
            </w:pPr>
            <w:r>
              <w:rPr>
                <w:rFonts w:hint="eastAsia" w:ascii="宋体" w:hAnsi="宋体"/>
                <w:sz w:val="24"/>
              </w:rPr>
              <w:t>（</w:t>
            </w:r>
            <w:r>
              <w:rPr>
                <w:rFonts w:ascii="宋体" w:hAnsi="宋体"/>
                <w:sz w:val="24"/>
              </w:rPr>
              <w:t>2</w:t>
            </w:r>
            <w:r>
              <w:rPr>
                <w:rFonts w:hint="eastAsia" w:ascii="宋体" w:hAnsi="宋体"/>
                <w:sz w:val="24"/>
              </w:rPr>
              <w:t>）禁止向水域倾倒工业废渣、城市垃圾、粪便及其它废弃物。</w:t>
            </w:r>
          </w:p>
          <w:p>
            <w:pPr>
              <w:snapToGrid w:val="0"/>
              <w:spacing w:line="360" w:lineRule="auto"/>
              <w:ind w:firstLine="480"/>
              <w:rPr>
                <w:rFonts w:ascii="宋体" w:hAnsi="宋体"/>
                <w:sz w:val="24"/>
              </w:rPr>
            </w:pPr>
            <w:r>
              <w:rPr>
                <w:rFonts w:hint="eastAsia" w:ascii="宋体" w:hAnsi="宋体"/>
                <w:sz w:val="24"/>
              </w:rPr>
              <w:t>（</w:t>
            </w:r>
            <w:r>
              <w:rPr>
                <w:rFonts w:ascii="宋体" w:hAnsi="宋体"/>
                <w:sz w:val="24"/>
              </w:rPr>
              <w:t>3</w:t>
            </w:r>
            <w:r>
              <w:rPr>
                <w:rFonts w:hint="eastAsia" w:ascii="宋体" w:hAnsi="宋体"/>
                <w:sz w:val="24"/>
              </w:rPr>
              <w:t>）运输有毒有害物质、油类、粪便的船舶和车辆一般不准进入保护区，必须进入者应事先申请并经有关部门批准、登记并设置防渗、防溢、防漏设施。</w:t>
            </w:r>
          </w:p>
          <w:p>
            <w:pPr>
              <w:snapToGrid w:val="0"/>
              <w:spacing w:line="360" w:lineRule="auto"/>
              <w:ind w:firstLine="480"/>
              <w:rPr>
                <w:rFonts w:ascii="宋体" w:hAnsi="宋体"/>
                <w:sz w:val="24"/>
              </w:rPr>
            </w:pPr>
            <w:r>
              <w:rPr>
                <w:rFonts w:hint="eastAsia" w:ascii="宋体" w:hAnsi="宋体"/>
                <w:sz w:val="24"/>
              </w:rPr>
              <w:t>（</w:t>
            </w:r>
            <w:r>
              <w:rPr>
                <w:rFonts w:ascii="宋体" w:hAnsi="宋体"/>
                <w:sz w:val="24"/>
              </w:rPr>
              <w:t>4</w:t>
            </w:r>
            <w:r>
              <w:rPr>
                <w:rFonts w:hint="eastAsia" w:ascii="宋体" w:hAnsi="宋体"/>
                <w:sz w:val="24"/>
              </w:rPr>
              <w:t>）禁止使用剧毒和高残留农药，不得滥用化肥，不得使用炸药、毒品捕杀鱼类。</w:t>
            </w:r>
          </w:p>
          <w:p>
            <w:pPr>
              <w:snapToGrid w:val="0"/>
              <w:spacing w:line="360" w:lineRule="auto"/>
              <w:ind w:firstLine="480"/>
              <w:rPr>
                <w:rFonts w:hint="eastAsia" w:ascii="宋体" w:hAnsi="宋体"/>
                <w:sz w:val="24"/>
              </w:rPr>
            </w:pPr>
            <w:r>
              <w:rPr>
                <w:rFonts w:hint="eastAsia" w:ascii="宋体" w:hAnsi="宋体"/>
                <w:sz w:val="24"/>
              </w:rPr>
              <w:t>饮用水地表水源各级保护区及准保护区内必须分别遵守下列规定：</w:t>
            </w:r>
          </w:p>
          <w:p>
            <w:pPr>
              <w:snapToGrid w:val="0"/>
              <w:spacing w:line="360" w:lineRule="auto"/>
              <w:ind w:firstLine="480"/>
              <w:rPr>
                <w:rFonts w:hint="eastAsia" w:ascii="宋体" w:hAnsi="宋体"/>
                <w:sz w:val="24"/>
              </w:rPr>
            </w:pPr>
            <w:r>
              <w:rPr>
                <w:rFonts w:hint="eastAsia" w:ascii="宋体" w:hAnsi="宋体"/>
                <w:sz w:val="24"/>
              </w:rPr>
              <w:t>（1）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禽畜和网箱养殖活动；禁止可能污染水源的旅游活动和其他活动。</w:t>
            </w:r>
          </w:p>
          <w:p>
            <w:pPr>
              <w:snapToGrid w:val="0"/>
              <w:spacing w:line="360" w:lineRule="auto"/>
              <w:ind w:firstLine="480"/>
              <w:rPr>
                <w:rFonts w:hint="eastAsia" w:ascii="宋体" w:hAnsi="宋体"/>
                <w:sz w:val="24"/>
              </w:rPr>
            </w:pPr>
            <w:r>
              <w:rPr>
                <w:rFonts w:hint="eastAsia" w:ascii="宋体" w:hAnsi="宋体"/>
                <w:sz w:val="24"/>
              </w:rPr>
              <w:t>（2）二级保护区内禁止新建、改建、扩建排放污染物的建设项目；原有排污口依法拆除或者关闭；禁止设立装卸垃圾、粪便、油类和有毒物品的码头。</w:t>
            </w:r>
          </w:p>
          <w:p>
            <w:pPr>
              <w:snapToGrid w:val="0"/>
              <w:spacing w:line="360" w:lineRule="auto"/>
              <w:ind w:firstLine="480"/>
              <w:rPr>
                <w:rFonts w:hint="eastAsia" w:ascii="宋体" w:hAnsi="宋体"/>
                <w:sz w:val="24"/>
              </w:rPr>
            </w:pPr>
            <w:r>
              <w:rPr>
                <w:rFonts w:hint="eastAsia" w:ascii="宋体" w:hAnsi="宋体"/>
                <w:sz w:val="24"/>
              </w:rPr>
              <w:t>（3）准保护区内禁止新建、扩建对水体污染严重的建设项目；改建建设项目，不得增加排污量。</w:t>
            </w:r>
          </w:p>
          <w:p>
            <w:pPr>
              <w:spacing w:line="360" w:lineRule="auto"/>
              <w:ind w:firstLine="480" w:firstLineChars="200"/>
              <w:rPr>
                <w:sz w:val="24"/>
              </w:rPr>
            </w:pPr>
            <w:r>
              <w:rPr>
                <w:rFonts w:hint="eastAsia"/>
                <w:sz w:val="24"/>
              </w:rPr>
              <w:t>同时</w:t>
            </w:r>
            <w:r>
              <w:rPr>
                <w:sz w:val="24"/>
              </w:rPr>
              <w:t>水厂建成后，</w:t>
            </w:r>
            <w:r>
              <w:rPr>
                <w:rFonts w:hint="eastAsia"/>
                <w:sz w:val="24"/>
              </w:rPr>
              <w:t>为保障集中式饮用水源安全管理和风险防控，需要根据情况开展水源保护区防护措施建设，并按照规范设置饮用水水源地保护区标志牌。</w:t>
            </w:r>
          </w:p>
          <w:p>
            <w:pPr>
              <w:spacing w:line="360" w:lineRule="auto"/>
              <w:ind w:firstLine="480" w:firstLineChars="200"/>
              <w:rPr>
                <w:sz w:val="24"/>
              </w:rPr>
            </w:pPr>
            <w:r>
              <w:rPr>
                <w:rFonts w:hint="eastAsia"/>
                <w:sz w:val="24"/>
              </w:rPr>
              <w:t>（1）在一级保护区周边人类活动频繁的区域设置隔离防护设施。</w:t>
            </w:r>
          </w:p>
          <w:p>
            <w:pPr>
              <w:spacing w:line="360" w:lineRule="auto"/>
              <w:ind w:firstLine="480" w:firstLineChars="200"/>
              <w:rPr>
                <w:sz w:val="24"/>
              </w:rPr>
            </w:pPr>
            <w:r>
              <w:rPr>
                <w:rFonts w:hint="eastAsia"/>
                <w:sz w:val="24"/>
              </w:rPr>
              <w:t>（2）设置饮用水源保护区标志牌。</w:t>
            </w:r>
          </w:p>
          <w:p>
            <w:pPr>
              <w:spacing w:line="360" w:lineRule="auto"/>
              <w:ind w:firstLine="480" w:firstLineChars="200"/>
              <w:jc w:val="left"/>
              <w:rPr>
                <w:sz w:val="24"/>
              </w:rPr>
            </w:pPr>
            <w:r>
              <w:rPr>
                <w:rFonts w:hint="eastAsia"/>
                <w:sz w:val="24"/>
              </w:rPr>
              <w:t>（3）按照《饮用水源保护区标志技术要求》（HJ/T433-2008）的要求，需要对道路穿越做隔离，并在水源地保护范围设置界碑、交通警示和宣传牌等标识。按照GB 5768和GB 5863要求在保护区内设置道路警示标志。</w:t>
            </w:r>
          </w:p>
          <w:p>
            <w:pPr>
              <w:snapToGrid w:val="0"/>
              <w:spacing w:line="360" w:lineRule="auto"/>
              <w:ind w:firstLine="480"/>
              <w:rPr>
                <w:rFonts w:hint="eastAsia" w:ascii="宋体" w:hAnsi="宋体"/>
                <w:sz w:val="24"/>
              </w:rPr>
            </w:pPr>
            <w:r>
              <w:rPr>
                <w:rFonts w:hint="eastAsia" w:ascii="宋体" w:hAnsi="宋体"/>
                <w:sz w:val="24"/>
              </w:rPr>
              <w:t>对照以上规定，本项目为供水设施建设项目，不属于与供水设施和保护水源无关的建设项目。本项目施工过程中产生的施工废水经隔油沉淀池处理后回用于施工场地洒水降尘和车辆冲洗，不外排。施工废水对饮用水源保护区的影响较小。本管线工程均为陆域施工，不涉及水域施工，管线施工废水主要来自管道安装完毕清管试压时排放的废水，处置方式为沉淀池沉淀处理后就近用于厂区绿化用水，不外排。施工期生活污水利用旱厕收集，回用于附近农田、林业灌溉，不外排。本项目施工期严禁任何污水排入饮用水源保护区。因此，项目施工期废水不会对饮用水水源保护区水环境质量造成影响。施工期产生的建筑垃圾经收集后转运至建筑垃圾填埋场，生活垃圾交环卫部门统一清运。严禁向饮用水水源保护区倾倒建筑垃圾、生活垃圾。同时禁止在保护区内设置取弃土场、施工营地和临时加工场所。同时，禁止在饮用水水源保护区水域附近设立临时堆场，堆积建筑材料、土石方施工废料等，避免雨水冲刷产生的废水流入河道，造成水源污染。</w:t>
            </w:r>
          </w:p>
          <w:p>
            <w:pPr>
              <w:snapToGrid w:val="0"/>
              <w:spacing w:line="360" w:lineRule="auto"/>
              <w:ind w:firstLine="480"/>
              <w:rPr>
                <w:rFonts w:hint="eastAsia" w:ascii="宋体" w:hAnsi="宋体"/>
                <w:sz w:val="24"/>
              </w:rPr>
            </w:pPr>
            <w:r>
              <w:rPr>
                <w:rFonts w:hint="eastAsia" w:ascii="宋体" w:hAnsi="宋体"/>
                <w:sz w:val="24"/>
              </w:rPr>
              <w:t>因此，项目施工期固体废物不会对饮用水源保护区水环境质量造成影响。项目的建设符合《饮用水水源保护区污染防治管理规定（2010 年修订）》的相关规定。</w:t>
            </w:r>
          </w:p>
          <w:p>
            <w:pPr>
              <w:pStyle w:val="184"/>
              <w:rPr>
                <w:rFonts w:hint="eastAsia"/>
                <w:color w:val="auto"/>
              </w:rPr>
            </w:pPr>
            <w:r>
              <w:rPr>
                <w:rFonts w:hint="eastAsia"/>
                <w:color w:val="auto"/>
              </w:rPr>
              <w:t>表4-</w:t>
            </w:r>
            <w:r>
              <w:rPr>
                <w:color w:val="auto"/>
              </w:rPr>
              <w:t>3</w:t>
            </w:r>
            <w:r>
              <w:rPr>
                <w:rFonts w:hint="eastAsia"/>
                <w:color w:val="auto"/>
              </w:rPr>
              <w:t xml:space="preserve">  </w:t>
            </w:r>
            <w:bookmarkEnd w:id="9"/>
            <w:r>
              <w:rPr>
                <w:rFonts w:hint="eastAsia"/>
                <w:color w:val="auto"/>
              </w:rPr>
              <w:t>本项目废水产生及排放情况汇总</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144"/>
              <w:gridCol w:w="708"/>
              <w:gridCol w:w="1134"/>
              <w:gridCol w:w="709"/>
              <w:gridCol w:w="851"/>
              <w:gridCol w:w="850"/>
              <w:gridCol w:w="992"/>
              <w:gridCol w:w="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blHeader/>
                <w:jc w:val="center"/>
              </w:trPr>
              <w:tc>
                <w:tcPr>
                  <w:tcW w:w="667" w:type="dxa"/>
                  <w:noWrap w:val="0"/>
                  <w:vAlign w:val="center"/>
                </w:tcPr>
                <w:p>
                  <w:pPr>
                    <w:adjustRightInd w:val="0"/>
                    <w:jc w:val="center"/>
                    <w:rPr>
                      <w:rFonts w:hint="eastAsia"/>
                      <w:b/>
                      <w:szCs w:val="21"/>
                    </w:rPr>
                  </w:pPr>
                  <w:r>
                    <w:rPr>
                      <w:rFonts w:hint="eastAsia"/>
                      <w:b/>
                      <w:szCs w:val="21"/>
                    </w:rPr>
                    <w:t>废水种类</w:t>
                  </w:r>
                </w:p>
              </w:tc>
              <w:tc>
                <w:tcPr>
                  <w:tcW w:w="1144" w:type="dxa"/>
                  <w:noWrap w:val="0"/>
                  <w:vAlign w:val="center"/>
                </w:tcPr>
                <w:p>
                  <w:pPr>
                    <w:adjustRightInd w:val="0"/>
                    <w:jc w:val="center"/>
                    <w:rPr>
                      <w:rFonts w:hint="eastAsia"/>
                      <w:b/>
                      <w:szCs w:val="21"/>
                    </w:rPr>
                  </w:pPr>
                  <w:r>
                    <w:rPr>
                      <w:rFonts w:hint="eastAsia"/>
                      <w:b/>
                      <w:szCs w:val="21"/>
                    </w:rPr>
                    <w:t>排放情况及排放量</w:t>
                  </w:r>
                </w:p>
              </w:tc>
              <w:tc>
                <w:tcPr>
                  <w:tcW w:w="708" w:type="dxa"/>
                  <w:noWrap w:val="0"/>
                  <w:vAlign w:val="center"/>
                </w:tcPr>
                <w:p>
                  <w:pPr>
                    <w:adjustRightInd w:val="0"/>
                    <w:jc w:val="center"/>
                    <w:rPr>
                      <w:rFonts w:hint="eastAsia"/>
                      <w:b/>
                      <w:szCs w:val="21"/>
                    </w:rPr>
                  </w:pPr>
                  <w:r>
                    <w:rPr>
                      <w:rFonts w:hint="eastAsia"/>
                      <w:b/>
                      <w:szCs w:val="21"/>
                    </w:rPr>
                    <w:t>排放方式</w:t>
                  </w:r>
                </w:p>
              </w:tc>
              <w:tc>
                <w:tcPr>
                  <w:tcW w:w="1134" w:type="dxa"/>
                  <w:noWrap w:val="0"/>
                  <w:vAlign w:val="center"/>
                </w:tcPr>
                <w:p>
                  <w:pPr>
                    <w:adjustRightInd w:val="0"/>
                    <w:jc w:val="center"/>
                    <w:rPr>
                      <w:rFonts w:hint="eastAsia"/>
                      <w:b/>
                      <w:szCs w:val="21"/>
                    </w:rPr>
                  </w:pPr>
                  <w:r>
                    <w:rPr>
                      <w:rFonts w:hint="eastAsia"/>
                      <w:b/>
                      <w:szCs w:val="21"/>
                    </w:rPr>
                    <w:t>排放去向</w:t>
                  </w:r>
                </w:p>
              </w:tc>
              <w:tc>
                <w:tcPr>
                  <w:tcW w:w="709" w:type="dxa"/>
                  <w:noWrap w:val="0"/>
                  <w:vAlign w:val="center"/>
                </w:tcPr>
                <w:p>
                  <w:pPr>
                    <w:adjustRightInd w:val="0"/>
                    <w:jc w:val="center"/>
                    <w:rPr>
                      <w:rFonts w:hint="eastAsia"/>
                      <w:b/>
                      <w:szCs w:val="21"/>
                    </w:rPr>
                  </w:pPr>
                  <w:r>
                    <w:rPr>
                      <w:rFonts w:hint="eastAsia"/>
                      <w:b/>
                      <w:szCs w:val="21"/>
                    </w:rPr>
                    <w:t>排放规律</w:t>
                  </w:r>
                </w:p>
              </w:tc>
              <w:tc>
                <w:tcPr>
                  <w:tcW w:w="851" w:type="dxa"/>
                  <w:noWrap w:val="0"/>
                  <w:vAlign w:val="center"/>
                </w:tcPr>
                <w:p>
                  <w:pPr>
                    <w:adjustRightInd w:val="0"/>
                    <w:jc w:val="center"/>
                    <w:rPr>
                      <w:b/>
                      <w:szCs w:val="21"/>
                    </w:rPr>
                  </w:pPr>
                  <w:r>
                    <w:rPr>
                      <w:rFonts w:hint="eastAsia"/>
                      <w:b/>
                      <w:szCs w:val="21"/>
                    </w:rPr>
                    <w:t>排放口名称</w:t>
                  </w:r>
                </w:p>
              </w:tc>
              <w:tc>
                <w:tcPr>
                  <w:tcW w:w="850" w:type="dxa"/>
                  <w:noWrap w:val="0"/>
                  <w:vAlign w:val="center"/>
                </w:tcPr>
                <w:p>
                  <w:pPr>
                    <w:adjustRightInd w:val="0"/>
                    <w:jc w:val="center"/>
                    <w:rPr>
                      <w:rFonts w:hint="eastAsia"/>
                      <w:b/>
                      <w:szCs w:val="21"/>
                    </w:rPr>
                  </w:pPr>
                  <w:r>
                    <w:rPr>
                      <w:rFonts w:hint="eastAsia"/>
                      <w:b/>
                      <w:szCs w:val="21"/>
                    </w:rPr>
                    <w:t>排放口类型</w:t>
                  </w:r>
                </w:p>
              </w:tc>
              <w:tc>
                <w:tcPr>
                  <w:tcW w:w="992" w:type="dxa"/>
                  <w:noWrap w:val="0"/>
                  <w:vAlign w:val="center"/>
                </w:tcPr>
                <w:p>
                  <w:pPr>
                    <w:adjustRightInd w:val="0"/>
                    <w:jc w:val="center"/>
                    <w:rPr>
                      <w:b/>
                      <w:szCs w:val="21"/>
                    </w:rPr>
                  </w:pPr>
                  <w:r>
                    <w:rPr>
                      <w:rFonts w:hint="eastAsia"/>
                      <w:b/>
                      <w:szCs w:val="21"/>
                    </w:rPr>
                    <w:t>排放口坐标</w:t>
                  </w:r>
                </w:p>
              </w:tc>
              <w:tc>
                <w:tcPr>
                  <w:tcW w:w="760" w:type="dxa"/>
                  <w:noWrap w:val="0"/>
                  <w:vAlign w:val="center"/>
                </w:tcPr>
                <w:p>
                  <w:pPr>
                    <w:adjustRightInd w:val="0"/>
                    <w:jc w:val="center"/>
                    <w:rPr>
                      <w:b/>
                      <w:szCs w:val="21"/>
                    </w:rPr>
                  </w:pPr>
                  <w:r>
                    <w:rPr>
                      <w:rFonts w:hint="eastAsia"/>
                      <w:b/>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blHeader/>
                <w:jc w:val="center"/>
              </w:trPr>
              <w:tc>
                <w:tcPr>
                  <w:tcW w:w="667" w:type="dxa"/>
                  <w:noWrap w:val="0"/>
                  <w:vAlign w:val="center"/>
                </w:tcPr>
                <w:p>
                  <w:pPr>
                    <w:adjustRightInd w:val="0"/>
                    <w:jc w:val="center"/>
                    <w:rPr>
                      <w:rFonts w:hint="eastAsia"/>
                      <w:bCs/>
                      <w:szCs w:val="21"/>
                    </w:rPr>
                  </w:pPr>
                  <w:r>
                    <w:rPr>
                      <w:rFonts w:hint="eastAsia"/>
                      <w:bCs/>
                      <w:szCs w:val="21"/>
                    </w:rPr>
                    <w:t>排泥水、污泥脱水废水</w:t>
                  </w:r>
                </w:p>
              </w:tc>
              <w:tc>
                <w:tcPr>
                  <w:tcW w:w="1144" w:type="dxa"/>
                  <w:noWrap w:val="0"/>
                  <w:vAlign w:val="center"/>
                </w:tcPr>
                <w:p>
                  <w:pPr>
                    <w:adjustRightInd w:val="0"/>
                    <w:jc w:val="center"/>
                    <w:rPr>
                      <w:rFonts w:hint="eastAsia"/>
                      <w:bCs/>
                      <w:szCs w:val="21"/>
                    </w:rPr>
                  </w:pPr>
                  <w:r>
                    <w:rPr>
                      <w:rFonts w:hint="eastAsia"/>
                      <w:bCs/>
                      <w:szCs w:val="21"/>
                    </w:rPr>
                    <w:t>1</w:t>
                  </w:r>
                  <w:r>
                    <w:rPr>
                      <w:bCs/>
                      <w:szCs w:val="21"/>
                    </w:rPr>
                    <w:t>3003.1t/a</w:t>
                  </w:r>
                </w:p>
              </w:tc>
              <w:tc>
                <w:tcPr>
                  <w:tcW w:w="708" w:type="dxa"/>
                  <w:noWrap w:val="0"/>
                  <w:vAlign w:val="center"/>
                </w:tcPr>
                <w:p>
                  <w:pPr>
                    <w:adjustRightInd w:val="0"/>
                    <w:jc w:val="center"/>
                    <w:rPr>
                      <w:rFonts w:hint="eastAsia"/>
                      <w:bCs/>
                      <w:szCs w:val="21"/>
                    </w:rPr>
                  </w:pPr>
                  <w:r>
                    <w:rPr>
                      <w:rFonts w:hint="eastAsia"/>
                      <w:bCs/>
                      <w:szCs w:val="21"/>
                    </w:rPr>
                    <w:t>间接排放</w:t>
                  </w:r>
                </w:p>
              </w:tc>
              <w:tc>
                <w:tcPr>
                  <w:tcW w:w="1134" w:type="dxa"/>
                  <w:noWrap w:val="0"/>
                  <w:vAlign w:val="center"/>
                </w:tcPr>
                <w:p>
                  <w:pPr>
                    <w:adjustRightInd w:val="0"/>
                    <w:jc w:val="center"/>
                    <w:rPr>
                      <w:rFonts w:hint="eastAsia"/>
                      <w:bCs/>
                      <w:szCs w:val="21"/>
                    </w:rPr>
                  </w:pPr>
                  <w:r>
                    <w:rPr>
                      <w:rFonts w:hint="eastAsia"/>
                      <w:bCs/>
                      <w:szCs w:val="21"/>
                    </w:rPr>
                    <w:t>土主镇污水处理厂</w:t>
                  </w:r>
                </w:p>
              </w:tc>
              <w:tc>
                <w:tcPr>
                  <w:tcW w:w="709" w:type="dxa"/>
                  <w:noWrap w:val="0"/>
                  <w:vAlign w:val="center"/>
                </w:tcPr>
                <w:p>
                  <w:pPr>
                    <w:adjustRightInd w:val="0"/>
                    <w:jc w:val="center"/>
                    <w:rPr>
                      <w:rFonts w:hint="eastAsia"/>
                      <w:bCs/>
                      <w:szCs w:val="21"/>
                    </w:rPr>
                  </w:pPr>
                  <w:r>
                    <w:rPr>
                      <w:rFonts w:hint="eastAsia"/>
                      <w:bCs/>
                      <w:szCs w:val="21"/>
                    </w:rPr>
                    <w:t>连续</w:t>
                  </w:r>
                </w:p>
              </w:tc>
              <w:tc>
                <w:tcPr>
                  <w:tcW w:w="851" w:type="dxa"/>
                  <w:noWrap w:val="0"/>
                  <w:vAlign w:val="center"/>
                </w:tcPr>
                <w:p>
                  <w:pPr>
                    <w:adjustRightInd w:val="0"/>
                    <w:jc w:val="center"/>
                    <w:rPr>
                      <w:rFonts w:hint="eastAsia"/>
                      <w:bCs/>
                      <w:szCs w:val="21"/>
                    </w:rPr>
                  </w:pPr>
                  <w:r>
                    <w:rPr>
                      <w:rFonts w:hint="eastAsia"/>
                      <w:bCs/>
                      <w:szCs w:val="21"/>
                    </w:rPr>
                    <w:t>污水总排口</w:t>
                  </w:r>
                </w:p>
              </w:tc>
              <w:tc>
                <w:tcPr>
                  <w:tcW w:w="850" w:type="dxa"/>
                  <w:noWrap w:val="0"/>
                  <w:vAlign w:val="center"/>
                </w:tcPr>
                <w:p>
                  <w:pPr>
                    <w:adjustRightInd w:val="0"/>
                    <w:jc w:val="center"/>
                    <w:rPr>
                      <w:rFonts w:hint="eastAsia"/>
                      <w:bCs/>
                      <w:szCs w:val="21"/>
                    </w:rPr>
                  </w:pPr>
                  <w:r>
                    <w:rPr>
                      <w:rFonts w:hint="eastAsia"/>
                      <w:bCs/>
                      <w:szCs w:val="21"/>
                    </w:rPr>
                    <w:t>一般排放口</w:t>
                  </w:r>
                </w:p>
              </w:tc>
              <w:tc>
                <w:tcPr>
                  <w:tcW w:w="992" w:type="dxa"/>
                  <w:noWrap w:val="0"/>
                  <w:vAlign w:val="center"/>
                </w:tcPr>
                <w:p>
                  <w:pPr>
                    <w:adjustRightInd w:val="0"/>
                    <w:jc w:val="center"/>
                    <w:rPr>
                      <w:rFonts w:hint="eastAsia"/>
                      <w:bCs/>
                      <w:szCs w:val="21"/>
                    </w:rPr>
                  </w:pPr>
                  <w:r>
                    <w:rPr>
                      <w:rFonts w:hint="eastAsia"/>
                      <w:bCs/>
                      <w:szCs w:val="21"/>
                    </w:rPr>
                    <w:t>1</w:t>
                  </w:r>
                  <w:r>
                    <w:rPr>
                      <w:bCs/>
                      <w:szCs w:val="21"/>
                    </w:rPr>
                    <w:t>03.8609°</w:t>
                  </w:r>
                  <w:r>
                    <w:rPr>
                      <w:rFonts w:hint="eastAsia"/>
                      <w:bCs/>
                      <w:szCs w:val="21"/>
                    </w:rPr>
                    <w:t>，</w:t>
                  </w:r>
                  <w:r>
                    <w:rPr>
                      <w:bCs/>
                      <w:szCs w:val="21"/>
                    </w:rPr>
                    <w:t>29.6845°</w:t>
                  </w:r>
                </w:p>
              </w:tc>
              <w:tc>
                <w:tcPr>
                  <w:tcW w:w="760" w:type="dxa"/>
                  <w:noWrap w:val="0"/>
                  <w:vAlign w:val="center"/>
                </w:tcPr>
                <w:p>
                  <w:pPr>
                    <w:adjustRightInd w:val="0"/>
                    <w:jc w:val="center"/>
                    <w:rPr>
                      <w:rFonts w:hint="eastAsia"/>
                      <w:bCs/>
                      <w:szCs w:val="21"/>
                    </w:rPr>
                  </w:pPr>
                  <w:r>
                    <w:rPr>
                      <w:rFonts w:hint="eastAsia"/>
                      <w:bCs/>
                      <w:szCs w:val="21"/>
                    </w:rPr>
                    <w:t>G</w:t>
                  </w:r>
                  <w:r>
                    <w:rPr>
                      <w:bCs/>
                      <w:szCs w:val="21"/>
                    </w:rPr>
                    <w:t>B8978-1996</w:t>
                  </w:r>
                  <w:r>
                    <w:rPr>
                      <w:rFonts w:hint="eastAsia"/>
                      <w:bCs/>
                      <w:szCs w:val="21"/>
                    </w:rPr>
                    <w:t>中三级标准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667" w:type="dxa"/>
                  <w:noWrap w:val="0"/>
                  <w:vAlign w:val="center"/>
                </w:tcPr>
                <w:p>
                  <w:pPr>
                    <w:adjustRightInd w:val="0"/>
                    <w:jc w:val="center"/>
                    <w:rPr>
                      <w:rFonts w:hint="eastAsia"/>
                      <w:szCs w:val="21"/>
                    </w:rPr>
                  </w:pPr>
                  <w:r>
                    <w:rPr>
                      <w:rFonts w:hint="eastAsia"/>
                      <w:szCs w:val="21"/>
                    </w:rPr>
                    <w:t>生活污水</w:t>
                  </w:r>
                </w:p>
              </w:tc>
              <w:tc>
                <w:tcPr>
                  <w:tcW w:w="1144" w:type="dxa"/>
                  <w:noWrap w:val="0"/>
                  <w:vAlign w:val="center"/>
                </w:tcPr>
                <w:p>
                  <w:pPr>
                    <w:adjustRightInd w:val="0"/>
                    <w:jc w:val="center"/>
                    <w:rPr>
                      <w:szCs w:val="21"/>
                    </w:rPr>
                  </w:pPr>
                  <w:r>
                    <w:rPr>
                      <w:rFonts w:hint="eastAsia"/>
                      <w:szCs w:val="21"/>
                    </w:rPr>
                    <w:t>不排放</w:t>
                  </w:r>
                </w:p>
              </w:tc>
              <w:tc>
                <w:tcPr>
                  <w:tcW w:w="708" w:type="dxa"/>
                  <w:noWrap w:val="0"/>
                  <w:vAlign w:val="center"/>
                </w:tcPr>
                <w:p>
                  <w:pPr>
                    <w:adjustRightInd w:val="0"/>
                    <w:jc w:val="center"/>
                    <w:rPr>
                      <w:szCs w:val="21"/>
                    </w:rPr>
                  </w:pPr>
                  <w:r>
                    <w:rPr>
                      <w:szCs w:val="21"/>
                    </w:rPr>
                    <w:t>/</w:t>
                  </w:r>
                </w:p>
              </w:tc>
              <w:tc>
                <w:tcPr>
                  <w:tcW w:w="1134" w:type="dxa"/>
                  <w:noWrap w:val="0"/>
                  <w:vAlign w:val="center"/>
                </w:tcPr>
                <w:p>
                  <w:pPr>
                    <w:jc w:val="center"/>
                  </w:pPr>
                  <w:r>
                    <w:rPr>
                      <w:rFonts w:hint="eastAsia"/>
                      <w:szCs w:val="21"/>
                    </w:rPr>
                    <w:t>/</w:t>
                  </w:r>
                </w:p>
              </w:tc>
              <w:tc>
                <w:tcPr>
                  <w:tcW w:w="709" w:type="dxa"/>
                  <w:noWrap w:val="0"/>
                  <w:vAlign w:val="center"/>
                </w:tcPr>
                <w:p>
                  <w:pPr>
                    <w:jc w:val="center"/>
                  </w:pPr>
                  <w:r>
                    <w:rPr>
                      <w:rFonts w:hint="eastAsia"/>
                      <w:szCs w:val="21"/>
                    </w:rPr>
                    <w:t>/</w:t>
                  </w:r>
                </w:p>
              </w:tc>
              <w:tc>
                <w:tcPr>
                  <w:tcW w:w="851" w:type="dxa"/>
                  <w:noWrap w:val="0"/>
                  <w:vAlign w:val="center"/>
                </w:tcPr>
                <w:p>
                  <w:pPr>
                    <w:jc w:val="center"/>
                  </w:pPr>
                  <w:r>
                    <w:rPr>
                      <w:rFonts w:hint="eastAsia"/>
                      <w:szCs w:val="21"/>
                    </w:rPr>
                    <w:t>/</w:t>
                  </w:r>
                </w:p>
              </w:tc>
              <w:tc>
                <w:tcPr>
                  <w:tcW w:w="850" w:type="dxa"/>
                  <w:noWrap w:val="0"/>
                  <w:vAlign w:val="center"/>
                </w:tcPr>
                <w:p>
                  <w:pPr>
                    <w:jc w:val="center"/>
                  </w:pPr>
                  <w:r>
                    <w:rPr>
                      <w:rFonts w:hint="eastAsia"/>
                      <w:szCs w:val="21"/>
                    </w:rPr>
                    <w:t>/</w:t>
                  </w:r>
                </w:p>
              </w:tc>
              <w:tc>
                <w:tcPr>
                  <w:tcW w:w="992" w:type="dxa"/>
                  <w:noWrap w:val="0"/>
                  <w:vAlign w:val="center"/>
                </w:tcPr>
                <w:p>
                  <w:pPr>
                    <w:jc w:val="center"/>
                  </w:pPr>
                  <w:r>
                    <w:rPr>
                      <w:rFonts w:hint="eastAsia"/>
                      <w:szCs w:val="21"/>
                    </w:rPr>
                    <w:t>/</w:t>
                  </w:r>
                </w:p>
              </w:tc>
              <w:tc>
                <w:tcPr>
                  <w:tcW w:w="760" w:type="dxa"/>
                  <w:noWrap w:val="0"/>
                  <w:vAlign w:val="center"/>
                </w:tcPr>
                <w:p>
                  <w:pPr>
                    <w:jc w:val="center"/>
                  </w:pPr>
                  <w:r>
                    <w:rPr>
                      <w:rFonts w:hint="eastAsia"/>
                      <w:szCs w:val="21"/>
                    </w:rPr>
                    <w:t>/</w:t>
                  </w:r>
                </w:p>
              </w:tc>
            </w:tr>
          </w:tbl>
          <w:p>
            <w:pPr>
              <w:spacing w:line="360" w:lineRule="auto"/>
              <w:ind w:firstLine="482" w:firstLineChars="200"/>
              <w:rPr>
                <w:rFonts w:hint="eastAsia"/>
                <w:b/>
                <w:sz w:val="24"/>
              </w:rPr>
            </w:pPr>
            <w:r>
              <w:rPr>
                <w:rFonts w:hint="eastAsia"/>
                <w:b/>
                <w:sz w:val="24"/>
              </w:rPr>
              <w:t>3</w:t>
            </w:r>
            <w:r>
              <w:rPr>
                <w:b/>
                <w:sz w:val="24"/>
              </w:rPr>
              <w:t>）</w:t>
            </w:r>
            <w:r>
              <w:rPr>
                <w:rFonts w:hint="eastAsia"/>
                <w:b/>
                <w:sz w:val="24"/>
              </w:rPr>
              <w:t>监测计划</w:t>
            </w:r>
          </w:p>
          <w:p>
            <w:pPr>
              <w:pStyle w:val="183"/>
              <w:rPr>
                <w:rFonts w:hint="eastAsia"/>
              </w:rPr>
            </w:pPr>
            <w:r>
              <w:rPr>
                <w:rFonts w:hint="eastAsia"/>
              </w:rPr>
              <w:t>本项目为自来水生产与供应，根据《固定污染源排污许可分类管理名录》（2019版），本项目为登记管理。</w:t>
            </w:r>
            <w:r>
              <w:rPr>
                <w:rFonts w:hint="eastAsia"/>
                <w:kern w:val="0"/>
              </w:rPr>
              <w:t>根据《排污单位自行监测技术指南 总则》（HJ819-2017），本项目监测计划如下</w:t>
            </w:r>
          </w:p>
          <w:p>
            <w:pPr>
              <w:spacing w:line="360" w:lineRule="auto"/>
              <w:ind w:firstLine="420"/>
              <w:jc w:val="center"/>
              <w:rPr>
                <w:b/>
                <w:szCs w:val="21"/>
              </w:rPr>
            </w:pPr>
            <w:r>
              <w:rPr>
                <w:b/>
                <w:szCs w:val="21"/>
              </w:rPr>
              <w:t>表4-4 水环境监测计划</w:t>
            </w:r>
          </w:p>
          <w:tbl>
            <w:tblPr>
              <w:tblStyle w:val="39"/>
              <w:tblW w:w="779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9"/>
              <w:gridCol w:w="1275"/>
              <w:gridCol w:w="2837"/>
              <w:gridCol w:w="1311"/>
              <w:gridCol w:w="14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69" w:type="dxa"/>
                  <w:noWrap w:val="0"/>
                  <w:vAlign w:val="center"/>
                </w:tcPr>
                <w:p>
                  <w:pPr>
                    <w:pStyle w:val="262"/>
                    <w:rPr>
                      <w:b/>
                      <w:szCs w:val="21"/>
                    </w:rPr>
                  </w:pPr>
                  <w:r>
                    <w:rPr>
                      <w:b/>
                      <w:szCs w:val="21"/>
                    </w:rPr>
                    <w:t>阶段</w:t>
                  </w:r>
                </w:p>
              </w:tc>
              <w:tc>
                <w:tcPr>
                  <w:tcW w:w="1275" w:type="dxa"/>
                  <w:noWrap w:val="0"/>
                  <w:vAlign w:val="center"/>
                </w:tcPr>
                <w:p>
                  <w:pPr>
                    <w:pStyle w:val="262"/>
                    <w:rPr>
                      <w:b/>
                      <w:szCs w:val="21"/>
                    </w:rPr>
                  </w:pPr>
                  <w:r>
                    <w:rPr>
                      <w:b/>
                      <w:szCs w:val="21"/>
                    </w:rPr>
                    <w:t>监测地点</w:t>
                  </w:r>
                </w:p>
              </w:tc>
              <w:tc>
                <w:tcPr>
                  <w:tcW w:w="2837" w:type="dxa"/>
                  <w:noWrap w:val="0"/>
                  <w:vAlign w:val="center"/>
                </w:tcPr>
                <w:p>
                  <w:pPr>
                    <w:pStyle w:val="262"/>
                    <w:rPr>
                      <w:b/>
                      <w:szCs w:val="21"/>
                    </w:rPr>
                  </w:pPr>
                  <w:r>
                    <w:rPr>
                      <w:b/>
                      <w:szCs w:val="21"/>
                    </w:rPr>
                    <w:t>监测项目</w:t>
                  </w:r>
                </w:p>
              </w:tc>
              <w:tc>
                <w:tcPr>
                  <w:tcW w:w="1311" w:type="dxa"/>
                  <w:noWrap w:val="0"/>
                  <w:vAlign w:val="center"/>
                </w:tcPr>
                <w:p>
                  <w:pPr>
                    <w:pStyle w:val="262"/>
                    <w:rPr>
                      <w:b/>
                      <w:szCs w:val="21"/>
                    </w:rPr>
                  </w:pPr>
                  <w:r>
                    <w:rPr>
                      <w:b/>
                      <w:szCs w:val="21"/>
                    </w:rPr>
                    <w:t>监测频率</w:t>
                  </w:r>
                </w:p>
              </w:tc>
              <w:tc>
                <w:tcPr>
                  <w:tcW w:w="1498" w:type="dxa"/>
                  <w:noWrap w:val="0"/>
                  <w:vAlign w:val="center"/>
                </w:tcPr>
                <w:p>
                  <w:pPr>
                    <w:pStyle w:val="262"/>
                    <w:rPr>
                      <w:b/>
                      <w:szCs w:val="21"/>
                    </w:rPr>
                  </w:pPr>
                  <w:r>
                    <w:rPr>
                      <w:b/>
                      <w:szCs w:val="21"/>
                    </w:rPr>
                    <w:t>实施机构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69" w:type="dxa"/>
                  <w:noWrap w:val="0"/>
                  <w:vAlign w:val="center"/>
                </w:tcPr>
                <w:p>
                  <w:pPr>
                    <w:pStyle w:val="262"/>
                    <w:rPr>
                      <w:szCs w:val="21"/>
                    </w:rPr>
                  </w:pPr>
                  <w:r>
                    <w:rPr>
                      <w:szCs w:val="21"/>
                    </w:rPr>
                    <w:t>营运期</w:t>
                  </w:r>
                </w:p>
              </w:tc>
              <w:tc>
                <w:tcPr>
                  <w:tcW w:w="1275" w:type="dxa"/>
                  <w:noWrap w:val="0"/>
                  <w:vAlign w:val="center"/>
                </w:tcPr>
                <w:p>
                  <w:pPr>
                    <w:pStyle w:val="262"/>
                    <w:rPr>
                      <w:szCs w:val="21"/>
                    </w:rPr>
                  </w:pPr>
                  <w:r>
                    <w:rPr>
                      <w:szCs w:val="21"/>
                    </w:rPr>
                    <w:t>企业总排口</w:t>
                  </w:r>
                </w:p>
              </w:tc>
              <w:tc>
                <w:tcPr>
                  <w:tcW w:w="2837" w:type="dxa"/>
                  <w:noWrap w:val="0"/>
                  <w:vAlign w:val="center"/>
                </w:tcPr>
                <w:p>
                  <w:pPr>
                    <w:pStyle w:val="262"/>
                    <w:rPr>
                      <w:szCs w:val="21"/>
                    </w:rPr>
                  </w:pPr>
                  <w:r>
                    <w:rPr>
                      <w:szCs w:val="21"/>
                    </w:rPr>
                    <w:t>流量、pH值、SS、BOD、COD</w:t>
                  </w:r>
                  <w:r>
                    <w:rPr>
                      <w:szCs w:val="21"/>
                      <w:vertAlign w:val="subscript"/>
                    </w:rPr>
                    <w:t>Cr</w:t>
                  </w:r>
                  <w:r>
                    <w:rPr>
                      <w:szCs w:val="21"/>
                    </w:rPr>
                    <w:t>、氨氮</w:t>
                  </w:r>
                </w:p>
              </w:tc>
              <w:tc>
                <w:tcPr>
                  <w:tcW w:w="1311" w:type="dxa"/>
                  <w:noWrap w:val="0"/>
                  <w:vAlign w:val="center"/>
                </w:tcPr>
                <w:p>
                  <w:pPr>
                    <w:pStyle w:val="262"/>
                    <w:rPr>
                      <w:szCs w:val="21"/>
                    </w:rPr>
                  </w:pPr>
                  <w:r>
                    <w:rPr>
                      <w:szCs w:val="21"/>
                    </w:rPr>
                    <w:t>每年一次</w:t>
                  </w:r>
                </w:p>
              </w:tc>
              <w:tc>
                <w:tcPr>
                  <w:tcW w:w="1498" w:type="dxa"/>
                  <w:noWrap w:val="0"/>
                  <w:vAlign w:val="center"/>
                </w:tcPr>
                <w:p>
                  <w:pPr>
                    <w:pStyle w:val="262"/>
                    <w:rPr>
                      <w:szCs w:val="21"/>
                    </w:rPr>
                  </w:pPr>
                  <w:r>
                    <w:rPr>
                      <w:szCs w:val="21"/>
                    </w:rPr>
                    <w:t>有资质的监测单位</w:t>
                  </w:r>
                </w:p>
              </w:tc>
            </w:tr>
          </w:tbl>
          <w:p>
            <w:pPr>
              <w:pStyle w:val="183"/>
              <w:rPr>
                <w:rFonts w:hint="eastAsia"/>
              </w:rPr>
            </w:pPr>
          </w:p>
          <w:p>
            <w:pPr>
              <w:pStyle w:val="183"/>
              <w:ind w:firstLine="482"/>
              <w:rPr>
                <w:rFonts w:hint="eastAsia"/>
                <w:b/>
              </w:rPr>
            </w:pPr>
            <w:r>
              <w:rPr>
                <w:rFonts w:hint="eastAsia"/>
                <w:b/>
              </w:rPr>
              <w:t>2、废气的产生和治理措施及其可行性</w:t>
            </w:r>
          </w:p>
          <w:p>
            <w:pPr>
              <w:spacing w:line="360" w:lineRule="auto"/>
              <w:ind w:firstLine="480" w:firstLineChars="200"/>
              <w:rPr>
                <w:sz w:val="24"/>
              </w:rPr>
            </w:pPr>
            <w:r>
              <w:rPr>
                <w:rFonts w:hint="eastAsia"/>
                <w:sz w:val="24"/>
              </w:rPr>
              <w:t>项目消毒采用全封闭的加氯设备，本项目在正常生产过程中不会排放生产废气，因此本项目产生的废气主要为污泥处理过程产生恶臭、盐酸储罐废气以及食堂油烟。</w:t>
            </w:r>
          </w:p>
          <w:p>
            <w:pPr>
              <w:pStyle w:val="183"/>
              <w:ind w:firstLine="482"/>
              <w:rPr>
                <w:b/>
                <w:bCs/>
              </w:rPr>
            </w:pPr>
            <w:r>
              <w:rPr>
                <w:b/>
                <w:bCs/>
              </w:rPr>
              <w:t>本项目不涉及《有毒有害大气污染物名录》的污染物（不包括无排放标准的污染物）、二噁英、苯并[ɑ]芘、氰化物、氯气等大气污染物。因此，本项目不设置大气环境专项评价。</w:t>
            </w:r>
          </w:p>
          <w:p>
            <w:pPr>
              <w:pStyle w:val="183"/>
              <w:ind w:firstLine="482"/>
              <w:rPr>
                <w:rFonts w:hint="eastAsia"/>
                <w:b/>
              </w:rPr>
            </w:pPr>
            <w:r>
              <w:rPr>
                <w:rFonts w:hint="eastAsia"/>
                <w:b/>
              </w:rPr>
              <w:t>（1）废气源强核算及其处理措施</w:t>
            </w:r>
          </w:p>
          <w:p>
            <w:pPr>
              <w:spacing w:line="360" w:lineRule="auto"/>
              <w:ind w:firstLine="480" w:firstLineChars="200"/>
              <w:rPr>
                <w:sz w:val="24"/>
              </w:rPr>
            </w:pPr>
            <w:r>
              <w:rPr>
                <w:rFonts w:hint="eastAsia"/>
                <w:sz w:val="24"/>
              </w:rPr>
              <w:t>项目消毒采用全封闭的加氯设备，本项目在正常生产过程中不会排放生产废气，因此本项目产生的废气主要为污泥处理过程产生恶臭、盐酸储罐废气以及食堂油烟。</w:t>
            </w:r>
          </w:p>
          <w:p>
            <w:pPr>
              <w:spacing w:line="360" w:lineRule="auto"/>
              <w:ind w:firstLine="480" w:firstLineChars="200"/>
              <w:rPr>
                <w:sz w:val="24"/>
              </w:rPr>
            </w:pPr>
            <w:r>
              <w:rPr>
                <w:rFonts w:hint="eastAsia" w:ascii="宋体" w:hAnsi="宋体"/>
                <w:sz w:val="24"/>
              </w:rPr>
              <w:t>①</w:t>
            </w:r>
            <w:r>
              <w:rPr>
                <w:rFonts w:hint="eastAsia"/>
                <w:sz w:val="24"/>
              </w:rPr>
              <w:t>污泥处理过程产生恶臭</w:t>
            </w:r>
          </w:p>
          <w:p>
            <w:pPr>
              <w:spacing w:line="360" w:lineRule="auto"/>
              <w:ind w:firstLine="480" w:firstLineChars="200"/>
              <w:rPr>
                <w:rFonts w:hint="eastAsia"/>
                <w:sz w:val="24"/>
              </w:rPr>
            </w:pPr>
            <w:r>
              <w:rPr>
                <w:rFonts w:hint="eastAsia"/>
                <w:sz w:val="24"/>
              </w:rPr>
              <w:t>根据工程分析，水厂运营期主要污染源为污泥处理过程中的臭气排放，由于污泥有机物少，因此排放恶臭物质量很少。厂区内及厂界四周都设有绿化带，通过绿化带的吸附隔离，臭气不会对周围环境造成明显不利危害，对周边环境影响较小。</w:t>
            </w:r>
          </w:p>
          <w:p>
            <w:pPr>
              <w:spacing w:line="360" w:lineRule="auto"/>
              <w:ind w:firstLine="480" w:firstLineChars="200"/>
              <w:rPr>
                <w:rFonts w:ascii="宋体" w:hAnsi="宋体"/>
                <w:sz w:val="24"/>
              </w:rPr>
            </w:pPr>
            <w:r>
              <w:rPr>
                <w:rFonts w:hint="eastAsia" w:ascii="宋体" w:hAnsi="宋体"/>
                <w:sz w:val="24"/>
              </w:rPr>
              <w:t>②盐酸储罐废气</w:t>
            </w:r>
          </w:p>
          <w:p>
            <w:pPr>
              <w:spacing w:line="360" w:lineRule="auto"/>
              <w:ind w:firstLine="480" w:firstLineChars="200"/>
              <w:rPr>
                <w:rFonts w:hint="eastAsia"/>
                <w:sz w:val="24"/>
              </w:rPr>
            </w:pPr>
            <w:r>
              <w:rPr>
                <w:rFonts w:hint="eastAsia"/>
                <w:sz w:val="24"/>
              </w:rPr>
              <w:t>本项目设置1</w:t>
            </w:r>
            <w:r>
              <w:rPr>
                <w:sz w:val="24"/>
              </w:rPr>
              <w:t>.0m</w:t>
            </w:r>
            <w:r>
              <w:rPr>
                <w:sz w:val="24"/>
                <w:vertAlign w:val="superscript"/>
              </w:rPr>
              <w:t>3</w:t>
            </w:r>
            <w:r>
              <w:rPr>
                <w:rFonts w:hint="eastAsia"/>
                <w:sz w:val="24"/>
              </w:rPr>
              <w:t>盐酸储罐一座用于制备二氧化氯，由于盐酸易挥发，会有少量呼吸废气氯化氢产生，其产生量约为0</w:t>
            </w:r>
            <w:r>
              <w:rPr>
                <w:sz w:val="24"/>
              </w:rPr>
              <w:t>.001t/a</w:t>
            </w:r>
            <w:r>
              <w:rPr>
                <w:rFonts w:hint="eastAsia"/>
                <w:sz w:val="24"/>
              </w:rPr>
              <w:t>，</w:t>
            </w:r>
            <w:r>
              <w:rPr>
                <w:sz w:val="24"/>
              </w:rPr>
              <w:t>0.0001kg/h</w:t>
            </w:r>
            <w:r>
              <w:rPr>
                <w:rFonts w:hint="eastAsia"/>
                <w:sz w:val="24"/>
              </w:rPr>
              <w:t>，呈无组织排放。</w:t>
            </w:r>
          </w:p>
          <w:p>
            <w:pPr>
              <w:spacing w:line="360" w:lineRule="auto"/>
              <w:ind w:firstLine="480" w:firstLineChars="200"/>
              <w:rPr>
                <w:sz w:val="24"/>
              </w:rPr>
            </w:pPr>
            <w:r>
              <w:rPr>
                <w:rFonts w:hint="eastAsia" w:ascii="宋体" w:hAnsi="宋体"/>
                <w:sz w:val="24"/>
              </w:rPr>
              <w:t>③</w:t>
            </w:r>
            <w:r>
              <w:rPr>
                <w:rFonts w:hint="eastAsia"/>
                <w:sz w:val="24"/>
              </w:rPr>
              <w:t>食堂油烟</w:t>
            </w:r>
          </w:p>
          <w:p>
            <w:pPr>
              <w:spacing w:line="360" w:lineRule="auto"/>
              <w:ind w:firstLine="480" w:firstLineChars="200"/>
              <w:rPr>
                <w:b/>
              </w:rPr>
            </w:pPr>
            <w:r>
              <w:rPr>
                <w:rFonts w:hint="eastAsia"/>
                <w:sz w:val="24"/>
              </w:rPr>
              <w:t>本项目劳动定员3</w:t>
            </w:r>
            <w:r>
              <w:rPr>
                <w:sz w:val="24"/>
              </w:rPr>
              <w:t>4</w:t>
            </w:r>
            <w:r>
              <w:rPr>
                <w:rFonts w:hint="eastAsia"/>
                <w:sz w:val="24"/>
              </w:rPr>
              <w:t>人，在净水厂设置一座食堂，</w:t>
            </w:r>
            <w:r>
              <w:rPr>
                <w:rStyle w:val="263"/>
                <w:rFonts w:cs="Times New Roman"/>
                <w:sz w:val="24"/>
                <w:szCs w:val="24"/>
              </w:rPr>
              <w:t>食堂采用</w:t>
            </w:r>
            <w:r>
              <w:rPr>
                <w:rStyle w:val="263"/>
                <w:rFonts w:hint="eastAsia" w:cs="Times New Roman"/>
                <w:sz w:val="24"/>
                <w:szCs w:val="24"/>
              </w:rPr>
              <w:t>液化气</w:t>
            </w:r>
            <w:r>
              <w:rPr>
                <w:rStyle w:val="263"/>
                <w:rFonts w:cs="Times New Roman"/>
                <w:sz w:val="24"/>
                <w:szCs w:val="24"/>
              </w:rPr>
              <w:t>作为食品加工的能源，一日供三餐，每个灶头日煎炒时间为4h，年工作时间1460h。根据类比调查，目前居民人均日食用油量约30g/（人∙d），一般油烟挥发量占耗油量的2-4%，本次评价取4%进行核算。经计算，本项目油烟产生量为0.015t/a（0.01kg/h）。</w:t>
            </w:r>
          </w:p>
          <w:p>
            <w:pPr>
              <w:pStyle w:val="51"/>
              <w:snapToGrid w:val="0"/>
              <w:spacing w:line="360" w:lineRule="auto"/>
              <w:ind w:firstLine="482"/>
              <w:rPr>
                <w:b/>
              </w:rPr>
            </w:pPr>
            <w:r>
              <w:rPr>
                <w:b/>
              </w:rPr>
              <w:t>治理措施：</w:t>
            </w:r>
            <w:r>
              <w:t>本项目拟采用1台油烟净化器（净化效率不低于75%）处理食堂产生的油烟后抽至室外排放。</w:t>
            </w:r>
          </w:p>
          <w:p>
            <w:pPr>
              <w:pStyle w:val="51"/>
              <w:snapToGrid w:val="0"/>
              <w:spacing w:line="360" w:lineRule="auto"/>
              <w:ind w:firstLine="482"/>
            </w:pPr>
            <w:r>
              <w:rPr>
                <w:b/>
              </w:rPr>
              <w:t>排放情况：</w:t>
            </w:r>
            <w:r>
              <w:t>食堂油烟经净化后排放量为0.0038t/a，排放速率为0.0026kg/h，风量按1500m³/h计，排放浓度为1.73mg/m</w:t>
            </w:r>
            <w:r>
              <w:rPr>
                <w:vertAlign w:val="superscript"/>
              </w:rPr>
              <w:t>3</w:t>
            </w:r>
            <w:r>
              <w:t>满足《饮食业油烟排放标准（试行）》（GB18483-2001）的要求（≤2.0mg/m</w:t>
            </w:r>
            <w:r>
              <w:rPr>
                <w:vertAlign w:val="superscript"/>
              </w:rPr>
              <w:t>3</w:t>
            </w:r>
            <w:r>
              <w:t>）。</w:t>
            </w:r>
          </w:p>
          <w:p>
            <w:pPr>
              <w:pStyle w:val="51"/>
              <w:snapToGrid w:val="0"/>
              <w:spacing w:line="360" w:lineRule="auto"/>
              <w:ind w:firstLine="480"/>
            </w:pPr>
            <w:r>
              <w:t>综上，本项目废气产排污节点、污染物及污染物治理设施信息见下表。</w:t>
            </w:r>
          </w:p>
          <w:p>
            <w:pPr>
              <w:pStyle w:val="51"/>
              <w:snapToGrid w:val="0"/>
              <w:spacing w:line="360" w:lineRule="auto"/>
              <w:jc w:val="center"/>
              <w:rPr>
                <w:rFonts w:hint="eastAsia"/>
                <w:b/>
                <w:bCs/>
              </w:rPr>
            </w:pPr>
            <w:r>
              <w:rPr>
                <w:rFonts w:hint="eastAsia"/>
                <w:b/>
                <w:bCs/>
              </w:rPr>
              <w:t>表4</w:t>
            </w:r>
            <w:r>
              <w:rPr>
                <w:b/>
                <w:bCs/>
              </w:rPr>
              <w:t xml:space="preserve">-5 </w:t>
            </w:r>
            <w:r>
              <w:rPr>
                <w:rFonts w:hint="eastAsia"/>
                <w:b/>
                <w:bCs/>
              </w:rPr>
              <w:t>项目大气污染物产排情况一览表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708"/>
              <w:gridCol w:w="851"/>
              <w:gridCol w:w="794"/>
              <w:gridCol w:w="851"/>
              <w:gridCol w:w="1954"/>
              <w:gridCol w:w="992"/>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2" w:type="pct"/>
                  <w:vMerge w:val="restart"/>
                  <w:noWrap w:val="0"/>
                  <w:vAlign w:val="center"/>
                </w:tcPr>
                <w:p>
                  <w:pPr>
                    <w:jc w:val="center"/>
                    <w:rPr>
                      <w:b/>
                      <w:color w:val="000000"/>
                      <w:szCs w:val="21"/>
                    </w:rPr>
                  </w:pPr>
                  <w:r>
                    <w:rPr>
                      <w:b/>
                      <w:color w:val="000000"/>
                      <w:szCs w:val="21"/>
                    </w:rPr>
                    <w:t>产污设施</w:t>
                  </w:r>
                </w:p>
              </w:tc>
              <w:tc>
                <w:tcPr>
                  <w:tcW w:w="446" w:type="pct"/>
                  <w:vMerge w:val="restart"/>
                  <w:noWrap w:val="0"/>
                  <w:vAlign w:val="center"/>
                </w:tcPr>
                <w:p>
                  <w:pPr>
                    <w:jc w:val="center"/>
                    <w:rPr>
                      <w:b/>
                      <w:color w:val="000000"/>
                      <w:szCs w:val="21"/>
                    </w:rPr>
                  </w:pPr>
                  <w:r>
                    <w:rPr>
                      <w:b/>
                      <w:color w:val="000000"/>
                      <w:szCs w:val="21"/>
                    </w:rPr>
                    <w:t>产污环节</w:t>
                  </w:r>
                </w:p>
              </w:tc>
              <w:tc>
                <w:tcPr>
                  <w:tcW w:w="536" w:type="pct"/>
                  <w:vMerge w:val="restart"/>
                  <w:noWrap w:val="0"/>
                  <w:vAlign w:val="center"/>
                </w:tcPr>
                <w:p>
                  <w:pPr>
                    <w:jc w:val="center"/>
                    <w:rPr>
                      <w:b/>
                      <w:color w:val="000000"/>
                      <w:szCs w:val="21"/>
                    </w:rPr>
                  </w:pPr>
                  <w:r>
                    <w:rPr>
                      <w:b/>
                      <w:color w:val="000000"/>
                      <w:szCs w:val="21"/>
                    </w:rPr>
                    <w:t>污染物种类</w:t>
                  </w:r>
                </w:p>
              </w:tc>
              <w:tc>
                <w:tcPr>
                  <w:tcW w:w="500" w:type="pct"/>
                  <w:vMerge w:val="restart"/>
                  <w:noWrap w:val="0"/>
                  <w:vAlign w:val="center"/>
                </w:tcPr>
                <w:p>
                  <w:pPr>
                    <w:jc w:val="center"/>
                    <w:rPr>
                      <w:b/>
                      <w:color w:val="000000"/>
                      <w:szCs w:val="21"/>
                    </w:rPr>
                  </w:pPr>
                  <w:r>
                    <w:rPr>
                      <w:b/>
                      <w:color w:val="000000"/>
                      <w:szCs w:val="21"/>
                    </w:rPr>
                    <w:t>产生量t/a</w:t>
                  </w:r>
                </w:p>
              </w:tc>
              <w:tc>
                <w:tcPr>
                  <w:tcW w:w="536" w:type="pct"/>
                  <w:vMerge w:val="restart"/>
                  <w:noWrap w:val="0"/>
                  <w:vAlign w:val="center"/>
                </w:tcPr>
                <w:p>
                  <w:pPr>
                    <w:jc w:val="center"/>
                    <w:rPr>
                      <w:b/>
                      <w:color w:val="000000"/>
                      <w:szCs w:val="21"/>
                    </w:rPr>
                  </w:pPr>
                  <w:r>
                    <w:rPr>
                      <w:b/>
                      <w:color w:val="000000"/>
                      <w:szCs w:val="21"/>
                    </w:rPr>
                    <w:t>排放形式</w:t>
                  </w:r>
                </w:p>
              </w:tc>
              <w:tc>
                <w:tcPr>
                  <w:tcW w:w="1856" w:type="pct"/>
                  <w:gridSpan w:val="2"/>
                  <w:noWrap w:val="0"/>
                  <w:vAlign w:val="center"/>
                </w:tcPr>
                <w:p>
                  <w:pPr>
                    <w:jc w:val="center"/>
                    <w:rPr>
                      <w:b/>
                      <w:color w:val="000000"/>
                      <w:szCs w:val="21"/>
                    </w:rPr>
                  </w:pPr>
                  <w:r>
                    <w:rPr>
                      <w:b/>
                      <w:color w:val="000000"/>
                      <w:szCs w:val="21"/>
                    </w:rPr>
                    <w:t>污染防治措施</w:t>
                  </w:r>
                </w:p>
              </w:tc>
              <w:tc>
                <w:tcPr>
                  <w:tcW w:w="623" w:type="pct"/>
                  <w:vMerge w:val="restart"/>
                  <w:noWrap w:val="0"/>
                  <w:vAlign w:val="center"/>
                </w:tcPr>
                <w:p>
                  <w:pPr>
                    <w:jc w:val="center"/>
                    <w:rPr>
                      <w:b/>
                      <w:color w:val="000000"/>
                      <w:szCs w:val="21"/>
                    </w:rPr>
                  </w:pPr>
                  <w:r>
                    <w:rPr>
                      <w:b/>
                      <w:color w:val="000000"/>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2" w:type="pct"/>
                  <w:vMerge w:val="continue"/>
                  <w:noWrap w:val="0"/>
                  <w:vAlign w:val="center"/>
                </w:tcPr>
                <w:p>
                  <w:pPr>
                    <w:jc w:val="center"/>
                    <w:rPr>
                      <w:color w:val="000000"/>
                      <w:szCs w:val="21"/>
                    </w:rPr>
                  </w:pPr>
                </w:p>
              </w:tc>
              <w:tc>
                <w:tcPr>
                  <w:tcW w:w="446" w:type="pct"/>
                  <w:vMerge w:val="continue"/>
                  <w:noWrap w:val="0"/>
                  <w:vAlign w:val="center"/>
                </w:tcPr>
                <w:p>
                  <w:pPr>
                    <w:jc w:val="center"/>
                    <w:rPr>
                      <w:color w:val="000000"/>
                      <w:szCs w:val="21"/>
                    </w:rPr>
                  </w:pPr>
                </w:p>
              </w:tc>
              <w:tc>
                <w:tcPr>
                  <w:tcW w:w="536" w:type="pct"/>
                  <w:vMerge w:val="continue"/>
                  <w:noWrap w:val="0"/>
                  <w:vAlign w:val="center"/>
                </w:tcPr>
                <w:p>
                  <w:pPr>
                    <w:jc w:val="center"/>
                    <w:rPr>
                      <w:color w:val="000000"/>
                      <w:szCs w:val="21"/>
                    </w:rPr>
                  </w:pPr>
                </w:p>
              </w:tc>
              <w:tc>
                <w:tcPr>
                  <w:tcW w:w="500" w:type="pct"/>
                  <w:vMerge w:val="continue"/>
                  <w:noWrap w:val="0"/>
                  <w:vAlign w:val="center"/>
                </w:tcPr>
                <w:p>
                  <w:pPr>
                    <w:jc w:val="center"/>
                    <w:rPr>
                      <w:color w:val="000000"/>
                      <w:szCs w:val="21"/>
                    </w:rPr>
                  </w:pPr>
                </w:p>
              </w:tc>
              <w:tc>
                <w:tcPr>
                  <w:tcW w:w="536" w:type="pct"/>
                  <w:vMerge w:val="continue"/>
                  <w:noWrap w:val="0"/>
                  <w:vAlign w:val="center"/>
                </w:tcPr>
                <w:p>
                  <w:pPr>
                    <w:jc w:val="center"/>
                    <w:rPr>
                      <w:color w:val="000000"/>
                      <w:szCs w:val="21"/>
                    </w:rPr>
                  </w:pPr>
                </w:p>
              </w:tc>
              <w:tc>
                <w:tcPr>
                  <w:tcW w:w="1231" w:type="pct"/>
                  <w:noWrap w:val="0"/>
                  <w:vAlign w:val="center"/>
                </w:tcPr>
                <w:p>
                  <w:pPr>
                    <w:jc w:val="center"/>
                    <w:rPr>
                      <w:b/>
                      <w:color w:val="000000"/>
                      <w:szCs w:val="21"/>
                    </w:rPr>
                  </w:pPr>
                  <w:r>
                    <w:rPr>
                      <w:b/>
                      <w:color w:val="000000"/>
                      <w:szCs w:val="21"/>
                    </w:rPr>
                    <w:t>污染防治措施工艺</w:t>
                  </w:r>
                </w:p>
              </w:tc>
              <w:tc>
                <w:tcPr>
                  <w:tcW w:w="625" w:type="pct"/>
                  <w:noWrap w:val="0"/>
                  <w:vAlign w:val="center"/>
                </w:tcPr>
                <w:p>
                  <w:pPr>
                    <w:jc w:val="center"/>
                    <w:rPr>
                      <w:b/>
                      <w:color w:val="000000"/>
                      <w:szCs w:val="21"/>
                    </w:rPr>
                  </w:pPr>
                  <w:r>
                    <w:rPr>
                      <w:b/>
                      <w:color w:val="000000"/>
                      <w:szCs w:val="21"/>
                    </w:rPr>
                    <w:t>是否为可行性技术</w:t>
                  </w:r>
                </w:p>
              </w:tc>
              <w:tc>
                <w:tcPr>
                  <w:tcW w:w="623" w:type="pct"/>
                  <w:vMerge w:val="continue"/>
                  <w:noWrap w:val="0"/>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2" w:type="pct"/>
                  <w:noWrap w:val="0"/>
                  <w:vAlign w:val="center"/>
                </w:tcPr>
                <w:p>
                  <w:pPr>
                    <w:jc w:val="center"/>
                    <w:rPr>
                      <w:rFonts w:hint="eastAsia"/>
                      <w:color w:val="000000"/>
                      <w:szCs w:val="21"/>
                    </w:rPr>
                  </w:pPr>
                  <w:r>
                    <w:rPr>
                      <w:rFonts w:hint="eastAsia"/>
                      <w:color w:val="000000"/>
                      <w:szCs w:val="21"/>
                    </w:rPr>
                    <w:t>污水处理</w:t>
                  </w:r>
                </w:p>
              </w:tc>
              <w:tc>
                <w:tcPr>
                  <w:tcW w:w="446" w:type="pct"/>
                  <w:noWrap w:val="0"/>
                  <w:vAlign w:val="center"/>
                </w:tcPr>
                <w:p>
                  <w:pPr>
                    <w:jc w:val="center"/>
                    <w:rPr>
                      <w:color w:val="000000"/>
                      <w:szCs w:val="21"/>
                    </w:rPr>
                  </w:pPr>
                  <w:r>
                    <w:rPr>
                      <w:rFonts w:hint="eastAsia"/>
                      <w:color w:val="000000"/>
                      <w:szCs w:val="21"/>
                    </w:rPr>
                    <w:t>污水处理</w:t>
                  </w:r>
                </w:p>
              </w:tc>
              <w:tc>
                <w:tcPr>
                  <w:tcW w:w="536" w:type="pct"/>
                  <w:noWrap w:val="0"/>
                  <w:vAlign w:val="center"/>
                </w:tcPr>
                <w:p>
                  <w:pPr>
                    <w:jc w:val="center"/>
                    <w:rPr>
                      <w:color w:val="000000"/>
                      <w:szCs w:val="21"/>
                    </w:rPr>
                  </w:pPr>
                  <w:r>
                    <w:rPr>
                      <w:rFonts w:hint="eastAsia"/>
                      <w:color w:val="000000"/>
                      <w:szCs w:val="21"/>
                    </w:rPr>
                    <w:t>恶臭</w:t>
                  </w:r>
                </w:p>
              </w:tc>
              <w:tc>
                <w:tcPr>
                  <w:tcW w:w="500" w:type="pct"/>
                  <w:noWrap w:val="0"/>
                  <w:vAlign w:val="center"/>
                </w:tcPr>
                <w:p>
                  <w:pPr>
                    <w:jc w:val="center"/>
                    <w:rPr>
                      <w:rFonts w:hint="eastAsia"/>
                      <w:color w:val="000000"/>
                      <w:szCs w:val="21"/>
                    </w:rPr>
                  </w:pPr>
                  <w:r>
                    <w:rPr>
                      <w:rFonts w:hint="eastAsia"/>
                      <w:color w:val="000000"/>
                      <w:szCs w:val="21"/>
                    </w:rPr>
                    <w:t>少量</w:t>
                  </w:r>
                </w:p>
              </w:tc>
              <w:tc>
                <w:tcPr>
                  <w:tcW w:w="536" w:type="pct"/>
                  <w:noWrap w:val="0"/>
                  <w:vAlign w:val="center"/>
                </w:tcPr>
                <w:p>
                  <w:pPr>
                    <w:jc w:val="center"/>
                    <w:rPr>
                      <w:color w:val="000000"/>
                      <w:szCs w:val="21"/>
                    </w:rPr>
                  </w:pPr>
                  <w:r>
                    <w:rPr>
                      <w:color w:val="000000"/>
                      <w:szCs w:val="21"/>
                    </w:rPr>
                    <w:t>无组织</w:t>
                  </w:r>
                </w:p>
              </w:tc>
              <w:tc>
                <w:tcPr>
                  <w:tcW w:w="1231" w:type="pct"/>
                  <w:noWrap w:val="0"/>
                  <w:vAlign w:val="center"/>
                </w:tcPr>
                <w:p>
                  <w:pPr>
                    <w:jc w:val="center"/>
                    <w:rPr>
                      <w:color w:val="000000"/>
                      <w:szCs w:val="21"/>
                    </w:rPr>
                  </w:pPr>
                  <w:r>
                    <w:rPr>
                      <w:rFonts w:hint="eastAsia"/>
                      <w:bCs/>
                      <w:color w:val="000000"/>
                      <w:spacing w:val="-10"/>
                      <w:szCs w:val="21"/>
                    </w:rPr>
                    <w:t>绿化带</w:t>
                  </w:r>
                </w:p>
              </w:tc>
              <w:tc>
                <w:tcPr>
                  <w:tcW w:w="625" w:type="pct"/>
                  <w:noWrap w:val="0"/>
                  <w:vAlign w:val="center"/>
                </w:tcPr>
                <w:p>
                  <w:pPr>
                    <w:jc w:val="center"/>
                    <w:rPr>
                      <w:color w:val="000000"/>
                      <w:szCs w:val="21"/>
                    </w:rPr>
                  </w:pPr>
                  <w:r>
                    <w:rPr>
                      <w:color w:val="000000"/>
                      <w:szCs w:val="21"/>
                    </w:rPr>
                    <w:t>是</w:t>
                  </w:r>
                </w:p>
              </w:tc>
              <w:tc>
                <w:tcPr>
                  <w:tcW w:w="623" w:type="pct"/>
                  <w:noWrap w:val="0"/>
                  <w:vAlign w:val="center"/>
                </w:tcPr>
                <w:p>
                  <w:pPr>
                    <w:jc w:val="center"/>
                    <w:rPr>
                      <w:rFonts w:hint="eastAsia"/>
                      <w:color w:val="000000"/>
                      <w:szCs w:val="21"/>
                    </w:rPr>
                  </w:pPr>
                  <w:r>
                    <w:rPr>
                      <w:rFonts w:hint="eastAsia"/>
                      <w:color w:val="000000"/>
                      <w:szCs w:val="21"/>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2" w:type="pct"/>
                  <w:noWrap w:val="0"/>
                  <w:vAlign w:val="center"/>
                </w:tcPr>
                <w:p>
                  <w:pPr>
                    <w:jc w:val="center"/>
                    <w:rPr>
                      <w:rFonts w:hint="eastAsia"/>
                      <w:color w:val="000000"/>
                      <w:szCs w:val="21"/>
                    </w:rPr>
                  </w:pPr>
                  <w:r>
                    <w:rPr>
                      <w:rFonts w:hint="eastAsia"/>
                      <w:color w:val="000000"/>
                      <w:szCs w:val="21"/>
                    </w:rPr>
                    <w:t>盐酸储罐</w:t>
                  </w:r>
                </w:p>
              </w:tc>
              <w:tc>
                <w:tcPr>
                  <w:tcW w:w="446" w:type="pct"/>
                  <w:noWrap w:val="0"/>
                  <w:vAlign w:val="center"/>
                </w:tcPr>
                <w:p>
                  <w:pPr>
                    <w:jc w:val="center"/>
                    <w:rPr>
                      <w:rFonts w:hint="eastAsia"/>
                      <w:color w:val="000000"/>
                      <w:szCs w:val="21"/>
                    </w:rPr>
                  </w:pPr>
                  <w:r>
                    <w:rPr>
                      <w:rFonts w:hint="eastAsia"/>
                      <w:color w:val="000000"/>
                      <w:szCs w:val="21"/>
                    </w:rPr>
                    <w:t>储存</w:t>
                  </w:r>
                </w:p>
              </w:tc>
              <w:tc>
                <w:tcPr>
                  <w:tcW w:w="536" w:type="pct"/>
                  <w:noWrap w:val="0"/>
                  <w:vAlign w:val="center"/>
                </w:tcPr>
                <w:p>
                  <w:pPr>
                    <w:jc w:val="center"/>
                    <w:rPr>
                      <w:rFonts w:hint="eastAsia"/>
                      <w:color w:val="000000"/>
                      <w:szCs w:val="21"/>
                    </w:rPr>
                  </w:pPr>
                  <w:r>
                    <w:rPr>
                      <w:rFonts w:hint="eastAsia"/>
                      <w:color w:val="000000"/>
                      <w:szCs w:val="21"/>
                    </w:rPr>
                    <w:t>氯化氢</w:t>
                  </w:r>
                </w:p>
              </w:tc>
              <w:tc>
                <w:tcPr>
                  <w:tcW w:w="500" w:type="pct"/>
                  <w:noWrap w:val="0"/>
                  <w:vAlign w:val="center"/>
                </w:tcPr>
                <w:p>
                  <w:pPr>
                    <w:jc w:val="center"/>
                    <w:rPr>
                      <w:rFonts w:hint="eastAsia"/>
                      <w:color w:val="000000"/>
                      <w:szCs w:val="21"/>
                    </w:rPr>
                  </w:pPr>
                  <w:r>
                    <w:rPr>
                      <w:rFonts w:hint="eastAsia"/>
                      <w:color w:val="000000"/>
                      <w:szCs w:val="21"/>
                    </w:rPr>
                    <w:t>0</w:t>
                  </w:r>
                  <w:r>
                    <w:rPr>
                      <w:color w:val="000000"/>
                      <w:szCs w:val="21"/>
                    </w:rPr>
                    <w:t>.001</w:t>
                  </w:r>
                </w:p>
              </w:tc>
              <w:tc>
                <w:tcPr>
                  <w:tcW w:w="536" w:type="pct"/>
                  <w:noWrap w:val="0"/>
                  <w:vAlign w:val="center"/>
                </w:tcPr>
                <w:p>
                  <w:pPr>
                    <w:jc w:val="center"/>
                    <w:rPr>
                      <w:color w:val="000000"/>
                      <w:szCs w:val="21"/>
                    </w:rPr>
                  </w:pPr>
                  <w:r>
                    <w:rPr>
                      <w:rFonts w:hint="eastAsia"/>
                      <w:color w:val="000000"/>
                      <w:szCs w:val="21"/>
                    </w:rPr>
                    <w:t>无组织</w:t>
                  </w:r>
                </w:p>
              </w:tc>
              <w:tc>
                <w:tcPr>
                  <w:tcW w:w="1231" w:type="pct"/>
                  <w:noWrap w:val="0"/>
                  <w:vAlign w:val="center"/>
                </w:tcPr>
                <w:p>
                  <w:pPr>
                    <w:jc w:val="center"/>
                    <w:rPr>
                      <w:rFonts w:hint="eastAsia"/>
                      <w:bCs/>
                      <w:color w:val="000000"/>
                      <w:spacing w:val="-10"/>
                      <w:szCs w:val="21"/>
                    </w:rPr>
                  </w:pPr>
                  <w:r>
                    <w:rPr>
                      <w:rFonts w:hint="eastAsia"/>
                      <w:bCs/>
                      <w:color w:val="000000"/>
                      <w:spacing w:val="-10"/>
                      <w:szCs w:val="21"/>
                    </w:rPr>
                    <w:t>/</w:t>
                  </w:r>
                </w:p>
              </w:tc>
              <w:tc>
                <w:tcPr>
                  <w:tcW w:w="625" w:type="pct"/>
                  <w:noWrap w:val="0"/>
                  <w:vAlign w:val="center"/>
                </w:tcPr>
                <w:p>
                  <w:pPr>
                    <w:jc w:val="center"/>
                    <w:rPr>
                      <w:color w:val="000000"/>
                      <w:szCs w:val="21"/>
                    </w:rPr>
                  </w:pPr>
                  <w:r>
                    <w:rPr>
                      <w:rFonts w:hint="eastAsia"/>
                      <w:color w:val="000000"/>
                      <w:szCs w:val="21"/>
                    </w:rPr>
                    <w:t>是</w:t>
                  </w:r>
                </w:p>
              </w:tc>
              <w:tc>
                <w:tcPr>
                  <w:tcW w:w="623" w:type="pct"/>
                  <w:noWrap w:val="0"/>
                  <w:vAlign w:val="center"/>
                </w:tcPr>
                <w:p>
                  <w:pPr>
                    <w:jc w:val="center"/>
                    <w:rPr>
                      <w:rFonts w:hint="eastAsia"/>
                      <w:color w:val="000000"/>
                      <w:szCs w:val="21"/>
                    </w:rPr>
                  </w:pPr>
                  <w:r>
                    <w:rPr>
                      <w:rFonts w:hint="eastAsia"/>
                      <w:color w:val="000000"/>
                      <w:szCs w:val="21"/>
                    </w:rPr>
                    <w:t>0</w:t>
                  </w:r>
                  <w:r>
                    <w:rPr>
                      <w:color w:val="000000"/>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2" w:type="pct"/>
                  <w:noWrap w:val="0"/>
                  <w:vAlign w:val="center"/>
                </w:tcPr>
                <w:p>
                  <w:pPr>
                    <w:jc w:val="center"/>
                    <w:rPr>
                      <w:color w:val="000000"/>
                      <w:szCs w:val="21"/>
                    </w:rPr>
                  </w:pPr>
                  <w:r>
                    <w:rPr>
                      <w:color w:val="000000"/>
                      <w:szCs w:val="21"/>
                    </w:rPr>
                    <w:t>灶台</w:t>
                  </w:r>
                </w:p>
              </w:tc>
              <w:tc>
                <w:tcPr>
                  <w:tcW w:w="446" w:type="pct"/>
                  <w:noWrap w:val="0"/>
                  <w:vAlign w:val="center"/>
                </w:tcPr>
                <w:p>
                  <w:pPr>
                    <w:jc w:val="center"/>
                    <w:rPr>
                      <w:color w:val="000000"/>
                      <w:szCs w:val="21"/>
                    </w:rPr>
                  </w:pPr>
                  <w:r>
                    <w:rPr>
                      <w:color w:val="000000"/>
                      <w:szCs w:val="21"/>
                    </w:rPr>
                    <w:t>食堂油烟</w:t>
                  </w:r>
                </w:p>
              </w:tc>
              <w:tc>
                <w:tcPr>
                  <w:tcW w:w="536" w:type="pct"/>
                  <w:noWrap w:val="0"/>
                  <w:vAlign w:val="center"/>
                </w:tcPr>
                <w:p>
                  <w:pPr>
                    <w:jc w:val="center"/>
                    <w:rPr>
                      <w:color w:val="000000"/>
                      <w:szCs w:val="21"/>
                    </w:rPr>
                  </w:pPr>
                  <w:r>
                    <w:rPr>
                      <w:color w:val="000000"/>
                      <w:szCs w:val="21"/>
                    </w:rPr>
                    <w:t>油烟</w:t>
                  </w:r>
                </w:p>
              </w:tc>
              <w:tc>
                <w:tcPr>
                  <w:tcW w:w="500" w:type="pct"/>
                  <w:noWrap w:val="0"/>
                  <w:vAlign w:val="center"/>
                </w:tcPr>
                <w:p>
                  <w:pPr>
                    <w:jc w:val="center"/>
                    <w:rPr>
                      <w:color w:val="000000"/>
                      <w:szCs w:val="21"/>
                    </w:rPr>
                  </w:pPr>
                  <w:r>
                    <w:rPr>
                      <w:color w:val="000000"/>
                      <w:szCs w:val="21"/>
                    </w:rPr>
                    <w:t>0.015</w:t>
                  </w:r>
                </w:p>
              </w:tc>
              <w:tc>
                <w:tcPr>
                  <w:tcW w:w="536" w:type="pct"/>
                  <w:noWrap w:val="0"/>
                  <w:vAlign w:val="center"/>
                </w:tcPr>
                <w:p>
                  <w:pPr>
                    <w:jc w:val="center"/>
                    <w:rPr>
                      <w:color w:val="000000"/>
                      <w:szCs w:val="21"/>
                    </w:rPr>
                  </w:pPr>
                  <w:r>
                    <w:rPr>
                      <w:color w:val="000000"/>
                      <w:szCs w:val="21"/>
                    </w:rPr>
                    <w:t>无组织</w:t>
                  </w:r>
                </w:p>
              </w:tc>
              <w:tc>
                <w:tcPr>
                  <w:tcW w:w="1231" w:type="pct"/>
                  <w:noWrap w:val="0"/>
                  <w:vAlign w:val="center"/>
                </w:tcPr>
                <w:p>
                  <w:pPr>
                    <w:jc w:val="center"/>
                    <w:rPr>
                      <w:color w:val="000000"/>
                      <w:szCs w:val="21"/>
                    </w:rPr>
                  </w:pPr>
                  <w:r>
                    <w:rPr>
                      <w:color w:val="000000"/>
                      <w:szCs w:val="21"/>
                    </w:rPr>
                    <w:t>油烟净化器（75%）</w:t>
                  </w:r>
                </w:p>
              </w:tc>
              <w:tc>
                <w:tcPr>
                  <w:tcW w:w="625" w:type="pct"/>
                  <w:noWrap w:val="0"/>
                  <w:vAlign w:val="center"/>
                </w:tcPr>
                <w:p>
                  <w:pPr>
                    <w:jc w:val="center"/>
                    <w:rPr>
                      <w:color w:val="000000"/>
                      <w:szCs w:val="21"/>
                    </w:rPr>
                  </w:pPr>
                  <w:r>
                    <w:rPr>
                      <w:color w:val="000000"/>
                      <w:szCs w:val="21"/>
                    </w:rPr>
                    <w:t>是</w:t>
                  </w:r>
                </w:p>
              </w:tc>
              <w:tc>
                <w:tcPr>
                  <w:tcW w:w="623" w:type="pct"/>
                  <w:noWrap w:val="0"/>
                  <w:vAlign w:val="center"/>
                </w:tcPr>
                <w:p>
                  <w:pPr>
                    <w:jc w:val="center"/>
                    <w:rPr>
                      <w:color w:val="000000"/>
                      <w:szCs w:val="21"/>
                    </w:rPr>
                  </w:pPr>
                  <w:r>
                    <w:rPr>
                      <w:color w:val="000000"/>
                      <w:szCs w:val="21"/>
                    </w:rPr>
                    <w:t>0.0038</w:t>
                  </w:r>
                </w:p>
              </w:tc>
            </w:tr>
          </w:tbl>
          <w:p>
            <w:pPr>
              <w:pStyle w:val="183"/>
              <w:ind w:firstLine="482"/>
              <w:rPr>
                <w:b/>
              </w:rPr>
            </w:pPr>
            <w:r>
              <w:rPr>
                <w:rFonts w:hint="eastAsia"/>
                <w:b/>
              </w:rPr>
              <w:t>（2）大气污染物排放情况</w:t>
            </w:r>
          </w:p>
          <w:p>
            <w:pPr>
              <w:pStyle w:val="183"/>
            </w:pPr>
            <w:r>
              <w:rPr>
                <w:rFonts w:hint="eastAsia"/>
              </w:rPr>
              <w:t>①</w:t>
            </w:r>
            <w:r>
              <w:t>排放口基本情况</w:t>
            </w:r>
          </w:p>
          <w:p>
            <w:pPr>
              <w:pStyle w:val="183"/>
            </w:pPr>
            <w:r>
              <w:t>本项目排放的污染物为油烟，全部无组织排放，不设置大气排放口。</w:t>
            </w:r>
          </w:p>
          <w:p>
            <w:pPr>
              <w:pStyle w:val="183"/>
              <w:ind w:firstLine="482"/>
              <w:rPr>
                <w:b/>
              </w:rPr>
            </w:pPr>
            <w:r>
              <w:rPr>
                <w:rFonts w:hint="eastAsia" w:ascii="宋体" w:hAnsi="宋体"/>
                <w:b/>
              </w:rPr>
              <w:t>②</w:t>
            </w:r>
            <w:r>
              <w:rPr>
                <w:rFonts w:hint="eastAsia"/>
                <w:b/>
              </w:rPr>
              <w:t>大气污染物排放量核算</w:t>
            </w:r>
          </w:p>
          <w:p>
            <w:pPr>
              <w:pStyle w:val="51"/>
              <w:ind w:firstLine="480"/>
            </w:pPr>
            <w:r>
              <w:t>本项目无组织废气排放量见下表。</w:t>
            </w:r>
          </w:p>
          <w:p>
            <w:pPr>
              <w:pStyle w:val="212"/>
            </w:pPr>
            <w:r>
              <w:t>表4-6 废气无组织排放量核算表</w:t>
            </w:r>
          </w:p>
          <w:tbl>
            <w:tblPr>
              <w:tblStyle w:val="39"/>
              <w:tblW w:w="79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
              <w:gridCol w:w="924"/>
              <w:gridCol w:w="709"/>
              <w:gridCol w:w="851"/>
              <w:gridCol w:w="974"/>
              <w:gridCol w:w="1984"/>
              <w:gridCol w:w="931"/>
              <w:gridCol w:w="11"/>
              <w:gridCol w:w="1043"/>
              <w:gridCol w:w="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442" w:type="dxa"/>
                  <w:vMerge w:val="restart"/>
                  <w:noWrap w:val="0"/>
                  <w:vAlign w:val="center"/>
                </w:tcPr>
                <w:p>
                  <w:pPr>
                    <w:pStyle w:val="51"/>
                    <w:jc w:val="center"/>
                    <w:rPr>
                      <w:rFonts w:cs="Times New Roman"/>
                      <w:b/>
                      <w:sz w:val="21"/>
                      <w:szCs w:val="21"/>
                    </w:rPr>
                  </w:pPr>
                  <w:r>
                    <w:rPr>
                      <w:rFonts w:cs="Times New Roman"/>
                      <w:b/>
                      <w:sz w:val="21"/>
                      <w:szCs w:val="21"/>
                    </w:rPr>
                    <w:t>序号</w:t>
                  </w:r>
                </w:p>
              </w:tc>
              <w:tc>
                <w:tcPr>
                  <w:tcW w:w="924" w:type="dxa"/>
                  <w:vMerge w:val="restart"/>
                  <w:noWrap w:val="0"/>
                  <w:vAlign w:val="center"/>
                </w:tcPr>
                <w:p>
                  <w:pPr>
                    <w:pStyle w:val="51"/>
                    <w:jc w:val="center"/>
                    <w:rPr>
                      <w:rFonts w:cs="Times New Roman"/>
                      <w:b/>
                      <w:sz w:val="21"/>
                      <w:szCs w:val="21"/>
                    </w:rPr>
                  </w:pPr>
                  <w:r>
                    <w:rPr>
                      <w:rFonts w:cs="Times New Roman"/>
                      <w:b/>
                      <w:sz w:val="21"/>
                      <w:szCs w:val="21"/>
                    </w:rPr>
                    <w:t>产污设施</w:t>
                  </w:r>
                </w:p>
              </w:tc>
              <w:tc>
                <w:tcPr>
                  <w:tcW w:w="709" w:type="dxa"/>
                  <w:vMerge w:val="restart"/>
                  <w:noWrap w:val="0"/>
                  <w:vAlign w:val="center"/>
                </w:tcPr>
                <w:p>
                  <w:pPr>
                    <w:pStyle w:val="51"/>
                    <w:jc w:val="center"/>
                    <w:rPr>
                      <w:rFonts w:cs="Times New Roman"/>
                      <w:b/>
                      <w:sz w:val="21"/>
                      <w:szCs w:val="21"/>
                    </w:rPr>
                  </w:pPr>
                  <w:r>
                    <w:rPr>
                      <w:rFonts w:cs="Times New Roman"/>
                      <w:b/>
                      <w:sz w:val="21"/>
                      <w:szCs w:val="21"/>
                    </w:rPr>
                    <w:t>产污环节</w:t>
                  </w:r>
                </w:p>
              </w:tc>
              <w:tc>
                <w:tcPr>
                  <w:tcW w:w="851" w:type="dxa"/>
                  <w:vMerge w:val="restart"/>
                  <w:noWrap w:val="0"/>
                  <w:vAlign w:val="center"/>
                </w:tcPr>
                <w:p>
                  <w:pPr>
                    <w:pStyle w:val="51"/>
                    <w:jc w:val="center"/>
                    <w:rPr>
                      <w:rFonts w:cs="Times New Roman"/>
                      <w:b/>
                      <w:sz w:val="21"/>
                      <w:szCs w:val="21"/>
                    </w:rPr>
                  </w:pPr>
                  <w:r>
                    <w:rPr>
                      <w:rFonts w:cs="Times New Roman"/>
                      <w:b/>
                      <w:sz w:val="21"/>
                      <w:szCs w:val="21"/>
                    </w:rPr>
                    <w:t>污染物种类</w:t>
                  </w:r>
                </w:p>
              </w:tc>
              <w:tc>
                <w:tcPr>
                  <w:tcW w:w="974" w:type="dxa"/>
                  <w:vMerge w:val="restart"/>
                  <w:noWrap w:val="0"/>
                  <w:vAlign w:val="center"/>
                </w:tcPr>
                <w:p>
                  <w:pPr>
                    <w:pStyle w:val="51"/>
                    <w:jc w:val="center"/>
                    <w:rPr>
                      <w:rFonts w:cs="Times New Roman"/>
                      <w:b/>
                      <w:sz w:val="21"/>
                      <w:szCs w:val="21"/>
                    </w:rPr>
                  </w:pPr>
                  <w:r>
                    <w:rPr>
                      <w:rFonts w:cs="Times New Roman"/>
                      <w:b/>
                      <w:sz w:val="21"/>
                      <w:szCs w:val="21"/>
                    </w:rPr>
                    <w:t>主要防治措施</w:t>
                  </w:r>
                </w:p>
              </w:tc>
              <w:tc>
                <w:tcPr>
                  <w:tcW w:w="2926" w:type="dxa"/>
                  <w:gridSpan w:val="3"/>
                  <w:noWrap w:val="0"/>
                  <w:vAlign w:val="center"/>
                </w:tcPr>
                <w:p>
                  <w:pPr>
                    <w:pStyle w:val="51"/>
                    <w:jc w:val="center"/>
                    <w:rPr>
                      <w:rFonts w:cs="Times New Roman"/>
                      <w:b/>
                      <w:sz w:val="21"/>
                      <w:szCs w:val="21"/>
                    </w:rPr>
                  </w:pPr>
                  <w:r>
                    <w:rPr>
                      <w:rFonts w:cs="Times New Roman"/>
                      <w:b/>
                      <w:sz w:val="21"/>
                      <w:szCs w:val="21"/>
                    </w:rPr>
                    <w:t>污染物排放标准</w:t>
                  </w:r>
                </w:p>
              </w:tc>
              <w:tc>
                <w:tcPr>
                  <w:tcW w:w="1043" w:type="dxa"/>
                  <w:vMerge w:val="restart"/>
                  <w:noWrap w:val="0"/>
                  <w:vAlign w:val="center"/>
                </w:tcPr>
                <w:p>
                  <w:pPr>
                    <w:pStyle w:val="51"/>
                    <w:jc w:val="center"/>
                    <w:rPr>
                      <w:rFonts w:cs="Times New Roman"/>
                      <w:b/>
                      <w:sz w:val="21"/>
                      <w:szCs w:val="21"/>
                    </w:rPr>
                  </w:pPr>
                  <w:r>
                    <w:rPr>
                      <w:rFonts w:cs="Times New Roman"/>
                      <w:b/>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442" w:type="dxa"/>
                  <w:vMerge w:val="continue"/>
                  <w:noWrap w:val="0"/>
                  <w:vAlign w:val="center"/>
                </w:tcPr>
                <w:p>
                  <w:pPr>
                    <w:pStyle w:val="51"/>
                    <w:jc w:val="center"/>
                    <w:rPr>
                      <w:rFonts w:cs="Times New Roman"/>
                      <w:sz w:val="21"/>
                      <w:szCs w:val="21"/>
                    </w:rPr>
                  </w:pPr>
                </w:p>
              </w:tc>
              <w:tc>
                <w:tcPr>
                  <w:tcW w:w="924" w:type="dxa"/>
                  <w:vMerge w:val="continue"/>
                  <w:noWrap w:val="0"/>
                  <w:vAlign w:val="center"/>
                </w:tcPr>
                <w:p>
                  <w:pPr>
                    <w:pStyle w:val="51"/>
                    <w:jc w:val="center"/>
                    <w:rPr>
                      <w:rFonts w:cs="Times New Roman"/>
                      <w:sz w:val="21"/>
                      <w:szCs w:val="21"/>
                    </w:rPr>
                  </w:pPr>
                </w:p>
              </w:tc>
              <w:tc>
                <w:tcPr>
                  <w:tcW w:w="709" w:type="dxa"/>
                  <w:vMerge w:val="continue"/>
                  <w:noWrap w:val="0"/>
                  <w:vAlign w:val="center"/>
                </w:tcPr>
                <w:p>
                  <w:pPr>
                    <w:pStyle w:val="51"/>
                    <w:jc w:val="center"/>
                    <w:rPr>
                      <w:rFonts w:cs="Times New Roman"/>
                      <w:sz w:val="21"/>
                      <w:szCs w:val="21"/>
                    </w:rPr>
                  </w:pPr>
                </w:p>
              </w:tc>
              <w:tc>
                <w:tcPr>
                  <w:tcW w:w="851" w:type="dxa"/>
                  <w:vMerge w:val="continue"/>
                  <w:noWrap w:val="0"/>
                  <w:vAlign w:val="center"/>
                </w:tcPr>
                <w:p>
                  <w:pPr>
                    <w:pStyle w:val="51"/>
                    <w:jc w:val="center"/>
                    <w:rPr>
                      <w:rFonts w:cs="Times New Roman"/>
                      <w:sz w:val="21"/>
                      <w:szCs w:val="21"/>
                    </w:rPr>
                  </w:pPr>
                </w:p>
              </w:tc>
              <w:tc>
                <w:tcPr>
                  <w:tcW w:w="974" w:type="dxa"/>
                  <w:vMerge w:val="continue"/>
                  <w:noWrap w:val="0"/>
                  <w:vAlign w:val="center"/>
                </w:tcPr>
                <w:p>
                  <w:pPr>
                    <w:pStyle w:val="51"/>
                    <w:jc w:val="center"/>
                    <w:rPr>
                      <w:rFonts w:cs="Times New Roman"/>
                      <w:sz w:val="21"/>
                      <w:szCs w:val="21"/>
                    </w:rPr>
                  </w:pPr>
                </w:p>
              </w:tc>
              <w:tc>
                <w:tcPr>
                  <w:tcW w:w="1984" w:type="dxa"/>
                  <w:noWrap w:val="0"/>
                  <w:vAlign w:val="center"/>
                </w:tcPr>
                <w:p>
                  <w:pPr>
                    <w:pStyle w:val="51"/>
                    <w:jc w:val="center"/>
                    <w:rPr>
                      <w:rFonts w:cs="Times New Roman"/>
                      <w:b/>
                      <w:sz w:val="21"/>
                      <w:szCs w:val="21"/>
                    </w:rPr>
                  </w:pPr>
                  <w:r>
                    <w:rPr>
                      <w:rFonts w:cs="Times New Roman"/>
                      <w:b/>
                      <w:sz w:val="21"/>
                      <w:szCs w:val="21"/>
                    </w:rPr>
                    <w:t>名称</w:t>
                  </w:r>
                </w:p>
              </w:tc>
              <w:tc>
                <w:tcPr>
                  <w:tcW w:w="931" w:type="dxa"/>
                  <w:noWrap w:val="0"/>
                  <w:vAlign w:val="center"/>
                </w:tcPr>
                <w:p>
                  <w:pPr>
                    <w:pStyle w:val="51"/>
                    <w:jc w:val="center"/>
                    <w:rPr>
                      <w:rFonts w:cs="Times New Roman"/>
                      <w:b/>
                      <w:sz w:val="21"/>
                      <w:szCs w:val="21"/>
                    </w:rPr>
                  </w:pPr>
                  <w:r>
                    <w:rPr>
                      <w:rFonts w:cs="Times New Roman"/>
                      <w:b/>
                      <w:sz w:val="21"/>
                      <w:szCs w:val="21"/>
                    </w:rPr>
                    <w:t>浓度限值mg/m³</w:t>
                  </w:r>
                </w:p>
              </w:tc>
              <w:tc>
                <w:tcPr>
                  <w:tcW w:w="1054" w:type="dxa"/>
                  <w:gridSpan w:val="2"/>
                  <w:vMerge w:val="continue"/>
                  <w:noWrap w:val="0"/>
                  <w:vAlign w:val="center"/>
                </w:tcPr>
                <w:p>
                  <w:pPr>
                    <w:pStyle w:val="51"/>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442" w:type="dxa"/>
                  <w:noWrap w:val="0"/>
                  <w:vAlign w:val="center"/>
                </w:tcPr>
                <w:p>
                  <w:pPr>
                    <w:pStyle w:val="51"/>
                    <w:jc w:val="center"/>
                    <w:rPr>
                      <w:rFonts w:cs="Times New Roman"/>
                      <w:sz w:val="21"/>
                      <w:szCs w:val="21"/>
                    </w:rPr>
                  </w:pPr>
                  <w:r>
                    <w:rPr>
                      <w:rFonts w:cs="Times New Roman"/>
                      <w:sz w:val="21"/>
                      <w:szCs w:val="21"/>
                    </w:rPr>
                    <w:t>1</w:t>
                  </w:r>
                </w:p>
              </w:tc>
              <w:tc>
                <w:tcPr>
                  <w:tcW w:w="924" w:type="dxa"/>
                  <w:noWrap w:val="0"/>
                  <w:vAlign w:val="center"/>
                </w:tcPr>
                <w:p>
                  <w:pPr>
                    <w:pStyle w:val="51"/>
                    <w:jc w:val="center"/>
                    <w:rPr>
                      <w:rFonts w:cs="Times New Roman"/>
                      <w:sz w:val="21"/>
                      <w:szCs w:val="21"/>
                    </w:rPr>
                  </w:pPr>
                  <w:r>
                    <w:rPr>
                      <w:rFonts w:hint="eastAsia" w:cs="Times New Roman"/>
                      <w:sz w:val="21"/>
                      <w:szCs w:val="21"/>
                    </w:rPr>
                    <w:t>盐酸储罐</w:t>
                  </w:r>
                </w:p>
              </w:tc>
              <w:tc>
                <w:tcPr>
                  <w:tcW w:w="709" w:type="dxa"/>
                  <w:noWrap w:val="0"/>
                  <w:vAlign w:val="center"/>
                </w:tcPr>
                <w:p>
                  <w:pPr>
                    <w:pStyle w:val="51"/>
                    <w:jc w:val="center"/>
                    <w:rPr>
                      <w:rFonts w:cs="Times New Roman"/>
                      <w:sz w:val="21"/>
                      <w:szCs w:val="21"/>
                    </w:rPr>
                  </w:pPr>
                  <w:r>
                    <w:rPr>
                      <w:rFonts w:hint="eastAsia" w:cs="Times New Roman"/>
                      <w:sz w:val="21"/>
                      <w:szCs w:val="21"/>
                    </w:rPr>
                    <w:t>储存</w:t>
                  </w:r>
                </w:p>
              </w:tc>
              <w:tc>
                <w:tcPr>
                  <w:tcW w:w="851" w:type="dxa"/>
                  <w:noWrap w:val="0"/>
                  <w:vAlign w:val="center"/>
                </w:tcPr>
                <w:p>
                  <w:pPr>
                    <w:pStyle w:val="51"/>
                    <w:jc w:val="center"/>
                    <w:rPr>
                      <w:rFonts w:cs="Times New Roman"/>
                      <w:sz w:val="21"/>
                      <w:szCs w:val="21"/>
                    </w:rPr>
                  </w:pPr>
                  <w:r>
                    <w:rPr>
                      <w:rFonts w:hint="eastAsia" w:cs="Times New Roman"/>
                      <w:sz w:val="21"/>
                      <w:szCs w:val="21"/>
                    </w:rPr>
                    <w:t>氯化氢</w:t>
                  </w:r>
                </w:p>
              </w:tc>
              <w:tc>
                <w:tcPr>
                  <w:tcW w:w="974" w:type="dxa"/>
                  <w:noWrap w:val="0"/>
                  <w:vAlign w:val="center"/>
                </w:tcPr>
                <w:p>
                  <w:pPr>
                    <w:pStyle w:val="51"/>
                    <w:jc w:val="center"/>
                    <w:rPr>
                      <w:rFonts w:cs="Times New Roman"/>
                      <w:sz w:val="21"/>
                      <w:szCs w:val="21"/>
                    </w:rPr>
                  </w:pPr>
                  <w:r>
                    <w:rPr>
                      <w:rFonts w:hint="eastAsia" w:cs="Times New Roman"/>
                      <w:sz w:val="21"/>
                      <w:szCs w:val="21"/>
                    </w:rPr>
                    <w:t>/</w:t>
                  </w:r>
                </w:p>
              </w:tc>
              <w:tc>
                <w:tcPr>
                  <w:tcW w:w="1984" w:type="dxa"/>
                  <w:noWrap w:val="0"/>
                  <w:vAlign w:val="center"/>
                </w:tcPr>
                <w:p>
                  <w:pPr>
                    <w:pStyle w:val="51"/>
                    <w:jc w:val="center"/>
                    <w:rPr>
                      <w:rFonts w:cs="Times New Roman"/>
                      <w:bCs/>
                      <w:sz w:val="21"/>
                      <w:szCs w:val="21"/>
                    </w:rPr>
                  </w:pPr>
                  <w:r>
                    <w:rPr>
                      <w:rFonts w:hint="eastAsia" w:cs="Times New Roman"/>
                      <w:bCs/>
                      <w:sz w:val="21"/>
                      <w:szCs w:val="21"/>
                    </w:rPr>
                    <w:t>《大气污染物综合排放标准》（G</w:t>
                  </w:r>
                  <w:r>
                    <w:rPr>
                      <w:rFonts w:cs="Times New Roman"/>
                      <w:bCs/>
                      <w:sz w:val="21"/>
                      <w:szCs w:val="21"/>
                    </w:rPr>
                    <w:t>B16297-1996</w:t>
                  </w:r>
                  <w:r>
                    <w:rPr>
                      <w:rFonts w:hint="eastAsia" w:cs="Times New Roman"/>
                      <w:bCs/>
                      <w:sz w:val="21"/>
                      <w:szCs w:val="21"/>
                    </w:rPr>
                    <w:t>）</w:t>
                  </w:r>
                </w:p>
              </w:tc>
              <w:tc>
                <w:tcPr>
                  <w:tcW w:w="931" w:type="dxa"/>
                  <w:noWrap w:val="0"/>
                  <w:vAlign w:val="center"/>
                </w:tcPr>
                <w:p>
                  <w:pPr>
                    <w:pStyle w:val="51"/>
                    <w:jc w:val="center"/>
                    <w:rPr>
                      <w:rFonts w:cs="Times New Roman"/>
                      <w:bCs/>
                      <w:sz w:val="21"/>
                      <w:szCs w:val="21"/>
                    </w:rPr>
                  </w:pPr>
                  <w:r>
                    <w:rPr>
                      <w:rFonts w:hint="eastAsia" w:cs="Times New Roman"/>
                      <w:bCs/>
                      <w:sz w:val="21"/>
                      <w:szCs w:val="21"/>
                    </w:rPr>
                    <w:t>1</w:t>
                  </w:r>
                  <w:r>
                    <w:rPr>
                      <w:rFonts w:cs="Times New Roman"/>
                      <w:bCs/>
                      <w:sz w:val="21"/>
                      <w:szCs w:val="21"/>
                    </w:rPr>
                    <w:t>.0</w:t>
                  </w:r>
                </w:p>
              </w:tc>
              <w:tc>
                <w:tcPr>
                  <w:tcW w:w="1054" w:type="dxa"/>
                  <w:gridSpan w:val="2"/>
                  <w:noWrap w:val="0"/>
                  <w:vAlign w:val="center"/>
                </w:tcPr>
                <w:p>
                  <w:pPr>
                    <w:pStyle w:val="51"/>
                    <w:jc w:val="center"/>
                    <w:rPr>
                      <w:rFonts w:cs="Times New Roman"/>
                      <w:bCs/>
                      <w:sz w:val="21"/>
                      <w:szCs w:val="21"/>
                    </w:rPr>
                  </w:pPr>
                  <w:r>
                    <w:rPr>
                      <w:rFonts w:hint="eastAsia" w:cs="Times New Roman"/>
                      <w:bCs/>
                      <w:sz w:val="21"/>
                      <w:szCs w:val="21"/>
                    </w:rPr>
                    <w:t>0</w:t>
                  </w:r>
                  <w:r>
                    <w:rPr>
                      <w:rFonts w:cs="Times New Roman"/>
                      <w:bCs/>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442" w:type="dxa"/>
                  <w:noWrap w:val="0"/>
                  <w:vAlign w:val="center"/>
                </w:tcPr>
                <w:p>
                  <w:pPr>
                    <w:pStyle w:val="51"/>
                    <w:jc w:val="center"/>
                    <w:rPr>
                      <w:rFonts w:cs="Times New Roman"/>
                      <w:sz w:val="21"/>
                      <w:szCs w:val="21"/>
                    </w:rPr>
                  </w:pPr>
                </w:p>
              </w:tc>
              <w:tc>
                <w:tcPr>
                  <w:tcW w:w="924" w:type="dxa"/>
                  <w:noWrap w:val="0"/>
                  <w:vAlign w:val="center"/>
                </w:tcPr>
                <w:p>
                  <w:pPr>
                    <w:jc w:val="center"/>
                    <w:rPr>
                      <w:color w:val="000000"/>
                      <w:szCs w:val="21"/>
                    </w:rPr>
                  </w:pPr>
                  <w:r>
                    <w:rPr>
                      <w:rFonts w:hint="eastAsia"/>
                      <w:color w:val="000000"/>
                      <w:szCs w:val="21"/>
                    </w:rPr>
                    <w:t>灶台</w:t>
                  </w:r>
                </w:p>
              </w:tc>
              <w:tc>
                <w:tcPr>
                  <w:tcW w:w="709" w:type="dxa"/>
                  <w:noWrap w:val="0"/>
                  <w:vAlign w:val="center"/>
                </w:tcPr>
                <w:p>
                  <w:pPr>
                    <w:jc w:val="center"/>
                    <w:rPr>
                      <w:color w:val="000000"/>
                      <w:szCs w:val="21"/>
                    </w:rPr>
                  </w:pPr>
                  <w:r>
                    <w:rPr>
                      <w:rFonts w:hint="eastAsia"/>
                      <w:color w:val="000000"/>
                      <w:szCs w:val="21"/>
                    </w:rPr>
                    <w:t>食堂</w:t>
                  </w:r>
                </w:p>
              </w:tc>
              <w:tc>
                <w:tcPr>
                  <w:tcW w:w="851" w:type="dxa"/>
                  <w:noWrap w:val="0"/>
                  <w:vAlign w:val="center"/>
                </w:tcPr>
                <w:p>
                  <w:pPr>
                    <w:jc w:val="center"/>
                    <w:rPr>
                      <w:color w:val="000000"/>
                      <w:szCs w:val="21"/>
                    </w:rPr>
                  </w:pPr>
                  <w:r>
                    <w:rPr>
                      <w:rFonts w:hint="eastAsia"/>
                      <w:color w:val="000000"/>
                      <w:szCs w:val="21"/>
                    </w:rPr>
                    <w:t>油烟</w:t>
                  </w:r>
                </w:p>
              </w:tc>
              <w:tc>
                <w:tcPr>
                  <w:tcW w:w="974" w:type="dxa"/>
                  <w:noWrap w:val="0"/>
                  <w:vAlign w:val="center"/>
                </w:tcPr>
                <w:p>
                  <w:pPr>
                    <w:jc w:val="center"/>
                    <w:rPr>
                      <w:color w:val="000000"/>
                      <w:szCs w:val="21"/>
                    </w:rPr>
                  </w:pPr>
                  <w:r>
                    <w:rPr>
                      <w:rFonts w:hint="eastAsia"/>
                      <w:color w:val="000000"/>
                      <w:szCs w:val="21"/>
                    </w:rPr>
                    <w:t>油烟净化器</w:t>
                  </w:r>
                </w:p>
              </w:tc>
              <w:tc>
                <w:tcPr>
                  <w:tcW w:w="1984" w:type="dxa"/>
                  <w:noWrap w:val="0"/>
                  <w:vAlign w:val="center"/>
                </w:tcPr>
                <w:p>
                  <w:pPr>
                    <w:pStyle w:val="51"/>
                    <w:jc w:val="center"/>
                    <w:rPr>
                      <w:rFonts w:cs="Times New Roman"/>
                      <w:sz w:val="21"/>
                      <w:szCs w:val="21"/>
                    </w:rPr>
                  </w:pPr>
                  <w:r>
                    <w:rPr>
                      <w:sz w:val="21"/>
                      <w:szCs w:val="21"/>
                    </w:rPr>
                    <w:t>《饮食业油烟排放标准（试行）》（GB18483-2001）</w:t>
                  </w:r>
                </w:p>
              </w:tc>
              <w:tc>
                <w:tcPr>
                  <w:tcW w:w="931" w:type="dxa"/>
                  <w:noWrap w:val="0"/>
                  <w:vAlign w:val="center"/>
                </w:tcPr>
                <w:p>
                  <w:pPr>
                    <w:pStyle w:val="51"/>
                    <w:jc w:val="center"/>
                    <w:rPr>
                      <w:rFonts w:cs="Times New Roman"/>
                      <w:sz w:val="21"/>
                      <w:szCs w:val="21"/>
                    </w:rPr>
                  </w:pPr>
                  <w:r>
                    <w:rPr>
                      <w:rFonts w:cs="Times New Roman"/>
                      <w:sz w:val="21"/>
                      <w:szCs w:val="21"/>
                    </w:rPr>
                    <w:t>2.0</w:t>
                  </w:r>
                </w:p>
              </w:tc>
              <w:tc>
                <w:tcPr>
                  <w:tcW w:w="1054" w:type="dxa"/>
                  <w:gridSpan w:val="2"/>
                  <w:noWrap w:val="0"/>
                  <w:vAlign w:val="center"/>
                </w:tcPr>
                <w:p>
                  <w:pPr>
                    <w:jc w:val="center"/>
                    <w:rPr>
                      <w:color w:val="000000"/>
                      <w:szCs w:val="21"/>
                    </w:rPr>
                  </w:pPr>
                  <w:r>
                    <w:rPr>
                      <w:color w:val="000000"/>
                      <w:szCs w:val="21"/>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13" w:type="dxa"/>
                  <w:gridSpan w:val="10"/>
                  <w:noWrap w:val="0"/>
                  <w:vAlign w:val="center"/>
                </w:tcPr>
                <w:p>
                  <w:pPr>
                    <w:jc w:val="center"/>
                    <w:rPr>
                      <w:color w:val="000000"/>
                      <w:szCs w:val="21"/>
                    </w:rPr>
                  </w:pPr>
                  <w:r>
                    <w:rPr>
                      <w:color w:val="000000"/>
                      <w:szCs w:val="21"/>
                    </w:rPr>
                    <w:t>全厂无组织排放总计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2075" w:type="dxa"/>
                  <w:gridSpan w:val="3"/>
                  <w:vMerge w:val="restart"/>
                  <w:noWrap w:val="0"/>
                  <w:vAlign w:val="center"/>
                </w:tcPr>
                <w:p>
                  <w:pPr>
                    <w:jc w:val="center"/>
                    <w:rPr>
                      <w:color w:val="000000"/>
                      <w:szCs w:val="21"/>
                    </w:rPr>
                  </w:pPr>
                  <w:r>
                    <w:rPr>
                      <w:color w:val="000000"/>
                      <w:szCs w:val="21"/>
                    </w:rPr>
                    <w:t>全厂无组织排放总计</w:t>
                  </w:r>
                </w:p>
              </w:tc>
              <w:tc>
                <w:tcPr>
                  <w:tcW w:w="851" w:type="dxa"/>
                  <w:noWrap w:val="0"/>
                  <w:vAlign w:val="center"/>
                </w:tcPr>
                <w:p>
                  <w:pPr>
                    <w:jc w:val="center"/>
                    <w:rPr>
                      <w:color w:val="000000"/>
                      <w:szCs w:val="21"/>
                    </w:rPr>
                  </w:pPr>
                  <w:r>
                    <w:rPr>
                      <w:rFonts w:hint="eastAsia"/>
                      <w:color w:val="000000"/>
                      <w:szCs w:val="21"/>
                    </w:rPr>
                    <w:t>氯化氢</w:t>
                  </w:r>
                </w:p>
              </w:tc>
              <w:tc>
                <w:tcPr>
                  <w:tcW w:w="4943" w:type="dxa"/>
                  <w:gridSpan w:val="5"/>
                  <w:noWrap w:val="0"/>
                  <w:vAlign w:val="center"/>
                </w:tcPr>
                <w:p>
                  <w:pPr>
                    <w:jc w:val="center"/>
                    <w:rPr>
                      <w:color w:val="000000"/>
                      <w:szCs w:val="21"/>
                    </w:rPr>
                  </w:pPr>
                  <w:r>
                    <w:rPr>
                      <w:rFonts w:hint="eastAsia"/>
                      <w:color w:val="000000"/>
                      <w:szCs w:val="21"/>
                    </w:rPr>
                    <w:t>0</w:t>
                  </w:r>
                  <w:r>
                    <w:rPr>
                      <w:color w:val="000000"/>
                      <w:szCs w:val="21"/>
                    </w:rPr>
                    <w:t>.001t/a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4" w:type="dxa"/>
              </w:trPr>
              <w:tc>
                <w:tcPr>
                  <w:tcW w:w="2075" w:type="dxa"/>
                  <w:gridSpan w:val="3"/>
                  <w:vMerge w:val="continue"/>
                  <w:noWrap w:val="0"/>
                  <w:vAlign w:val="center"/>
                </w:tcPr>
                <w:p>
                  <w:pPr>
                    <w:jc w:val="center"/>
                    <w:rPr>
                      <w:color w:val="000000"/>
                      <w:szCs w:val="21"/>
                    </w:rPr>
                  </w:pPr>
                </w:p>
              </w:tc>
              <w:tc>
                <w:tcPr>
                  <w:tcW w:w="851" w:type="dxa"/>
                  <w:noWrap w:val="0"/>
                  <w:vAlign w:val="center"/>
                </w:tcPr>
                <w:p>
                  <w:pPr>
                    <w:jc w:val="center"/>
                    <w:rPr>
                      <w:color w:val="000000"/>
                      <w:szCs w:val="21"/>
                    </w:rPr>
                  </w:pPr>
                  <w:r>
                    <w:rPr>
                      <w:color w:val="000000"/>
                      <w:szCs w:val="21"/>
                    </w:rPr>
                    <w:t>油烟</w:t>
                  </w:r>
                </w:p>
              </w:tc>
              <w:tc>
                <w:tcPr>
                  <w:tcW w:w="4943" w:type="dxa"/>
                  <w:gridSpan w:val="5"/>
                  <w:noWrap w:val="0"/>
                  <w:vAlign w:val="center"/>
                </w:tcPr>
                <w:p>
                  <w:pPr>
                    <w:jc w:val="center"/>
                    <w:rPr>
                      <w:color w:val="000000"/>
                      <w:szCs w:val="21"/>
                    </w:rPr>
                  </w:pPr>
                  <w:r>
                    <w:rPr>
                      <w:color w:val="000000"/>
                      <w:szCs w:val="21"/>
                    </w:rPr>
                    <w:t>0.0038t/a</w:t>
                  </w:r>
                </w:p>
              </w:tc>
            </w:tr>
          </w:tbl>
          <w:p>
            <w:pPr>
              <w:pStyle w:val="183"/>
            </w:pPr>
            <w:r>
              <w:rPr>
                <w:rFonts w:hint="eastAsia" w:ascii="宋体" w:hAnsi="宋体"/>
              </w:rPr>
              <w:t>③</w:t>
            </w:r>
            <w:r>
              <w:t>大气污染物年排放情况</w:t>
            </w:r>
          </w:p>
          <w:p>
            <w:pPr>
              <w:pStyle w:val="183"/>
            </w:pPr>
            <w:r>
              <w:t>本项目大气污染物年排放情况见下表。</w:t>
            </w:r>
          </w:p>
          <w:p>
            <w:pPr>
              <w:pStyle w:val="212"/>
            </w:pPr>
            <w:r>
              <w:t>表4-7  大气污染物年排放情况</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3"/>
              <w:gridCol w:w="2644"/>
              <w:gridCol w:w="2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noWrap w:val="0"/>
                  <w:vAlign w:val="center"/>
                </w:tcPr>
                <w:p>
                  <w:pPr>
                    <w:adjustRightInd w:val="0"/>
                    <w:snapToGrid w:val="0"/>
                    <w:jc w:val="center"/>
                    <w:rPr>
                      <w:b/>
                      <w:color w:val="000000"/>
                      <w:szCs w:val="21"/>
                    </w:rPr>
                  </w:pPr>
                  <w:r>
                    <w:rPr>
                      <w:b/>
                      <w:color w:val="000000"/>
                      <w:szCs w:val="21"/>
                    </w:rPr>
                    <w:t>序号</w:t>
                  </w:r>
                </w:p>
              </w:tc>
              <w:tc>
                <w:tcPr>
                  <w:tcW w:w="2644" w:type="dxa"/>
                  <w:noWrap w:val="0"/>
                  <w:vAlign w:val="center"/>
                </w:tcPr>
                <w:p>
                  <w:pPr>
                    <w:adjustRightInd w:val="0"/>
                    <w:snapToGrid w:val="0"/>
                    <w:jc w:val="center"/>
                    <w:rPr>
                      <w:b/>
                      <w:color w:val="000000"/>
                      <w:szCs w:val="21"/>
                    </w:rPr>
                  </w:pPr>
                  <w:r>
                    <w:rPr>
                      <w:b/>
                      <w:color w:val="000000"/>
                      <w:szCs w:val="21"/>
                    </w:rPr>
                    <w:t>污染物种类</w:t>
                  </w:r>
                </w:p>
              </w:tc>
              <w:tc>
                <w:tcPr>
                  <w:tcW w:w="2644" w:type="dxa"/>
                  <w:noWrap w:val="0"/>
                  <w:vAlign w:val="center"/>
                </w:tcPr>
                <w:p>
                  <w:pPr>
                    <w:adjustRightInd w:val="0"/>
                    <w:snapToGrid w:val="0"/>
                    <w:jc w:val="center"/>
                    <w:rPr>
                      <w:b/>
                      <w:color w:val="000000"/>
                      <w:szCs w:val="21"/>
                    </w:rPr>
                  </w:pPr>
                  <w:r>
                    <w:rPr>
                      <w:b/>
                      <w:color w:val="000000"/>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noWrap w:val="0"/>
                  <w:vAlign w:val="center"/>
                </w:tcPr>
                <w:p>
                  <w:pPr>
                    <w:adjustRightInd w:val="0"/>
                    <w:snapToGrid w:val="0"/>
                    <w:jc w:val="center"/>
                    <w:rPr>
                      <w:bCs/>
                      <w:color w:val="000000"/>
                      <w:szCs w:val="21"/>
                    </w:rPr>
                  </w:pPr>
                  <w:r>
                    <w:rPr>
                      <w:rFonts w:hint="eastAsia"/>
                      <w:bCs/>
                      <w:color w:val="000000"/>
                      <w:szCs w:val="21"/>
                    </w:rPr>
                    <w:t>1</w:t>
                  </w:r>
                </w:p>
              </w:tc>
              <w:tc>
                <w:tcPr>
                  <w:tcW w:w="2644" w:type="dxa"/>
                  <w:noWrap w:val="0"/>
                  <w:vAlign w:val="center"/>
                </w:tcPr>
                <w:p>
                  <w:pPr>
                    <w:adjustRightInd w:val="0"/>
                    <w:snapToGrid w:val="0"/>
                    <w:jc w:val="center"/>
                    <w:rPr>
                      <w:rFonts w:hint="eastAsia"/>
                      <w:bCs/>
                      <w:color w:val="000000"/>
                      <w:szCs w:val="21"/>
                    </w:rPr>
                  </w:pPr>
                  <w:r>
                    <w:rPr>
                      <w:rFonts w:hint="eastAsia"/>
                      <w:bCs/>
                      <w:color w:val="000000"/>
                      <w:szCs w:val="21"/>
                    </w:rPr>
                    <w:t>氯化氢</w:t>
                  </w:r>
                </w:p>
              </w:tc>
              <w:tc>
                <w:tcPr>
                  <w:tcW w:w="2644" w:type="dxa"/>
                  <w:noWrap w:val="0"/>
                  <w:vAlign w:val="center"/>
                </w:tcPr>
                <w:p>
                  <w:pPr>
                    <w:adjustRightInd w:val="0"/>
                    <w:snapToGrid w:val="0"/>
                    <w:jc w:val="center"/>
                    <w:rPr>
                      <w:bCs/>
                      <w:color w:val="000000"/>
                      <w:szCs w:val="21"/>
                    </w:rPr>
                  </w:pPr>
                  <w:r>
                    <w:rPr>
                      <w:rFonts w:hint="eastAsia"/>
                      <w:bCs/>
                      <w:color w:val="000000"/>
                      <w:szCs w:val="21"/>
                    </w:rPr>
                    <w:t>0</w:t>
                  </w:r>
                  <w:r>
                    <w:rPr>
                      <w:bCs/>
                      <w:color w:val="000000"/>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noWrap w:val="0"/>
                  <w:vAlign w:val="center"/>
                </w:tcPr>
                <w:p>
                  <w:pPr>
                    <w:adjustRightInd w:val="0"/>
                    <w:snapToGrid w:val="0"/>
                    <w:jc w:val="center"/>
                    <w:rPr>
                      <w:color w:val="000000"/>
                      <w:szCs w:val="21"/>
                    </w:rPr>
                  </w:pPr>
                  <w:r>
                    <w:rPr>
                      <w:color w:val="000000"/>
                      <w:szCs w:val="21"/>
                    </w:rPr>
                    <w:t>2</w:t>
                  </w:r>
                </w:p>
              </w:tc>
              <w:tc>
                <w:tcPr>
                  <w:tcW w:w="2644" w:type="dxa"/>
                  <w:noWrap w:val="0"/>
                  <w:vAlign w:val="center"/>
                </w:tcPr>
                <w:p>
                  <w:pPr>
                    <w:adjustRightInd w:val="0"/>
                    <w:snapToGrid w:val="0"/>
                    <w:jc w:val="center"/>
                    <w:rPr>
                      <w:color w:val="000000"/>
                      <w:szCs w:val="21"/>
                    </w:rPr>
                  </w:pPr>
                  <w:r>
                    <w:rPr>
                      <w:color w:val="000000"/>
                      <w:szCs w:val="21"/>
                    </w:rPr>
                    <w:t>油烟</w:t>
                  </w:r>
                </w:p>
              </w:tc>
              <w:tc>
                <w:tcPr>
                  <w:tcW w:w="2644" w:type="dxa"/>
                  <w:noWrap w:val="0"/>
                  <w:vAlign w:val="center"/>
                </w:tcPr>
                <w:p>
                  <w:pPr>
                    <w:adjustRightInd w:val="0"/>
                    <w:snapToGrid w:val="0"/>
                    <w:jc w:val="center"/>
                    <w:rPr>
                      <w:color w:val="000000"/>
                      <w:szCs w:val="21"/>
                    </w:rPr>
                  </w:pPr>
                  <w:r>
                    <w:rPr>
                      <w:color w:val="000000"/>
                      <w:szCs w:val="21"/>
                    </w:rPr>
                    <w:t>0.0038</w:t>
                  </w:r>
                </w:p>
              </w:tc>
            </w:tr>
          </w:tbl>
          <w:p>
            <w:pPr>
              <w:pStyle w:val="183"/>
            </w:pPr>
            <w:r>
              <w:rPr>
                <w:rFonts w:hint="eastAsia" w:ascii="宋体" w:hAnsi="宋体"/>
              </w:rPr>
              <w:t>④</w:t>
            </w:r>
            <w:r>
              <w:t>非正常工况排放情况</w:t>
            </w:r>
          </w:p>
          <w:p>
            <w:pPr>
              <w:adjustRightInd w:val="0"/>
              <w:snapToGrid w:val="0"/>
              <w:spacing w:line="360" w:lineRule="auto"/>
              <w:ind w:firstLine="480" w:firstLineChars="200"/>
              <w:jc w:val="left"/>
              <w:rPr>
                <w:color w:val="000000"/>
                <w:sz w:val="24"/>
              </w:rPr>
            </w:pPr>
            <w:r>
              <w:rPr>
                <w:color w:val="000000"/>
                <w:sz w:val="24"/>
              </w:rPr>
              <w:t>本项目在非正常工况下，废气治理设施</w:t>
            </w:r>
            <w:r>
              <w:rPr>
                <w:rFonts w:hint="eastAsia"/>
                <w:color w:val="000000"/>
                <w:sz w:val="24"/>
              </w:rPr>
              <w:t>处理效率降至5</w:t>
            </w:r>
            <w:r>
              <w:rPr>
                <w:color w:val="000000"/>
                <w:sz w:val="24"/>
              </w:rPr>
              <w:t>0%，则项目非正常工况下大气污染物排放情况见下表。</w:t>
            </w:r>
          </w:p>
          <w:p>
            <w:pPr>
              <w:pStyle w:val="212"/>
              <w:ind w:firstLine="420"/>
            </w:pPr>
            <w:r>
              <w:t>表4-8 非正常工况下大气污染排放情况一览表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750"/>
              <w:gridCol w:w="1134"/>
              <w:gridCol w:w="881"/>
              <w:gridCol w:w="881"/>
              <w:gridCol w:w="881"/>
              <w:gridCol w:w="881"/>
              <w:gridCol w:w="882"/>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noWrap w:val="0"/>
                  <w:vAlign w:val="center"/>
                </w:tcPr>
                <w:p>
                  <w:pPr>
                    <w:adjustRightInd w:val="0"/>
                    <w:snapToGrid w:val="0"/>
                    <w:jc w:val="center"/>
                    <w:rPr>
                      <w:b/>
                      <w:color w:val="000000"/>
                      <w:szCs w:val="21"/>
                    </w:rPr>
                  </w:pPr>
                  <w:r>
                    <w:rPr>
                      <w:b/>
                      <w:color w:val="000000"/>
                      <w:szCs w:val="21"/>
                    </w:rPr>
                    <w:t>序号</w:t>
                  </w:r>
                </w:p>
              </w:tc>
              <w:tc>
                <w:tcPr>
                  <w:tcW w:w="750" w:type="dxa"/>
                  <w:noWrap w:val="0"/>
                  <w:vAlign w:val="center"/>
                </w:tcPr>
                <w:p>
                  <w:pPr>
                    <w:adjustRightInd w:val="0"/>
                    <w:snapToGrid w:val="0"/>
                    <w:jc w:val="center"/>
                    <w:rPr>
                      <w:b/>
                      <w:color w:val="000000"/>
                      <w:szCs w:val="21"/>
                    </w:rPr>
                  </w:pPr>
                  <w:r>
                    <w:rPr>
                      <w:b/>
                      <w:color w:val="000000"/>
                      <w:szCs w:val="21"/>
                    </w:rPr>
                    <w:t>污染源</w:t>
                  </w:r>
                </w:p>
              </w:tc>
              <w:tc>
                <w:tcPr>
                  <w:tcW w:w="1134" w:type="dxa"/>
                  <w:noWrap w:val="0"/>
                  <w:vAlign w:val="center"/>
                </w:tcPr>
                <w:p>
                  <w:pPr>
                    <w:adjustRightInd w:val="0"/>
                    <w:snapToGrid w:val="0"/>
                    <w:jc w:val="center"/>
                    <w:rPr>
                      <w:b/>
                      <w:color w:val="000000"/>
                      <w:szCs w:val="21"/>
                    </w:rPr>
                  </w:pPr>
                  <w:r>
                    <w:rPr>
                      <w:b/>
                      <w:color w:val="000000"/>
                      <w:szCs w:val="21"/>
                    </w:rPr>
                    <w:t>非正常原因</w:t>
                  </w:r>
                </w:p>
              </w:tc>
              <w:tc>
                <w:tcPr>
                  <w:tcW w:w="881" w:type="dxa"/>
                  <w:noWrap w:val="0"/>
                  <w:vAlign w:val="center"/>
                </w:tcPr>
                <w:p>
                  <w:pPr>
                    <w:adjustRightInd w:val="0"/>
                    <w:snapToGrid w:val="0"/>
                    <w:jc w:val="center"/>
                    <w:rPr>
                      <w:b/>
                      <w:color w:val="000000"/>
                      <w:szCs w:val="21"/>
                    </w:rPr>
                  </w:pPr>
                  <w:r>
                    <w:rPr>
                      <w:b/>
                      <w:color w:val="000000"/>
                      <w:szCs w:val="21"/>
                    </w:rPr>
                    <w:t>污染物</w:t>
                  </w:r>
                </w:p>
              </w:tc>
              <w:tc>
                <w:tcPr>
                  <w:tcW w:w="881" w:type="dxa"/>
                  <w:noWrap w:val="0"/>
                  <w:vAlign w:val="center"/>
                </w:tcPr>
                <w:p>
                  <w:pPr>
                    <w:adjustRightInd w:val="0"/>
                    <w:snapToGrid w:val="0"/>
                    <w:jc w:val="center"/>
                    <w:rPr>
                      <w:b/>
                      <w:color w:val="000000"/>
                      <w:szCs w:val="21"/>
                    </w:rPr>
                  </w:pPr>
                  <w:r>
                    <w:rPr>
                      <w:b/>
                      <w:color w:val="000000"/>
                      <w:szCs w:val="21"/>
                    </w:rPr>
                    <w:t>非正常排放浓度mg/m</w:t>
                  </w:r>
                  <w:r>
                    <w:rPr>
                      <w:b/>
                      <w:color w:val="000000"/>
                      <w:szCs w:val="21"/>
                      <w:vertAlign w:val="superscript"/>
                    </w:rPr>
                    <w:t>3</w:t>
                  </w:r>
                </w:p>
              </w:tc>
              <w:tc>
                <w:tcPr>
                  <w:tcW w:w="881" w:type="dxa"/>
                  <w:noWrap w:val="0"/>
                  <w:vAlign w:val="center"/>
                </w:tcPr>
                <w:p>
                  <w:pPr>
                    <w:adjustRightInd w:val="0"/>
                    <w:snapToGrid w:val="0"/>
                    <w:jc w:val="center"/>
                    <w:rPr>
                      <w:b/>
                      <w:color w:val="000000"/>
                      <w:szCs w:val="21"/>
                    </w:rPr>
                  </w:pPr>
                  <w:r>
                    <w:rPr>
                      <w:b/>
                      <w:color w:val="000000"/>
                      <w:szCs w:val="21"/>
                    </w:rPr>
                    <w:t>非正常排放速率</w:t>
                  </w:r>
                </w:p>
                <w:p>
                  <w:pPr>
                    <w:adjustRightInd w:val="0"/>
                    <w:snapToGrid w:val="0"/>
                    <w:jc w:val="center"/>
                    <w:rPr>
                      <w:b/>
                      <w:color w:val="000000"/>
                      <w:szCs w:val="21"/>
                    </w:rPr>
                  </w:pPr>
                  <w:r>
                    <w:rPr>
                      <w:b/>
                      <w:color w:val="000000"/>
                      <w:szCs w:val="21"/>
                    </w:rPr>
                    <w:t>kg/h</w:t>
                  </w:r>
                </w:p>
              </w:tc>
              <w:tc>
                <w:tcPr>
                  <w:tcW w:w="881" w:type="dxa"/>
                  <w:noWrap w:val="0"/>
                  <w:vAlign w:val="center"/>
                </w:tcPr>
                <w:p>
                  <w:pPr>
                    <w:adjustRightInd w:val="0"/>
                    <w:snapToGrid w:val="0"/>
                    <w:jc w:val="center"/>
                    <w:rPr>
                      <w:b/>
                      <w:color w:val="000000"/>
                      <w:szCs w:val="21"/>
                    </w:rPr>
                  </w:pPr>
                  <w:r>
                    <w:rPr>
                      <w:b/>
                      <w:color w:val="000000"/>
                      <w:szCs w:val="21"/>
                    </w:rPr>
                    <w:t>单次持续时间h</w:t>
                  </w:r>
                </w:p>
              </w:tc>
              <w:tc>
                <w:tcPr>
                  <w:tcW w:w="882" w:type="dxa"/>
                  <w:noWrap w:val="0"/>
                  <w:vAlign w:val="center"/>
                </w:tcPr>
                <w:p>
                  <w:pPr>
                    <w:adjustRightInd w:val="0"/>
                    <w:snapToGrid w:val="0"/>
                    <w:jc w:val="center"/>
                    <w:rPr>
                      <w:b/>
                      <w:color w:val="000000"/>
                      <w:szCs w:val="21"/>
                    </w:rPr>
                  </w:pPr>
                  <w:r>
                    <w:rPr>
                      <w:b/>
                      <w:color w:val="000000"/>
                      <w:szCs w:val="21"/>
                    </w:rPr>
                    <w:t>年发生频次</w:t>
                  </w:r>
                </w:p>
              </w:tc>
              <w:tc>
                <w:tcPr>
                  <w:tcW w:w="882" w:type="dxa"/>
                  <w:noWrap w:val="0"/>
                  <w:vAlign w:val="center"/>
                </w:tcPr>
                <w:p>
                  <w:pPr>
                    <w:adjustRightInd w:val="0"/>
                    <w:snapToGrid w:val="0"/>
                    <w:jc w:val="center"/>
                    <w:rPr>
                      <w:b/>
                      <w:color w:val="000000"/>
                      <w:szCs w:val="21"/>
                    </w:rPr>
                  </w:pPr>
                  <w:r>
                    <w:rPr>
                      <w:b/>
                      <w:color w:val="000000"/>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noWrap w:val="0"/>
                  <w:vAlign w:val="center"/>
                </w:tcPr>
                <w:p>
                  <w:pPr>
                    <w:adjustRightInd w:val="0"/>
                    <w:snapToGrid w:val="0"/>
                    <w:jc w:val="center"/>
                    <w:rPr>
                      <w:color w:val="000000"/>
                      <w:szCs w:val="21"/>
                    </w:rPr>
                  </w:pPr>
                  <w:r>
                    <w:rPr>
                      <w:color w:val="000000"/>
                      <w:szCs w:val="21"/>
                    </w:rPr>
                    <w:t>1</w:t>
                  </w:r>
                </w:p>
              </w:tc>
              <w:tc>
                <w:tcPr>
                  <w:tcW w:w="750" w:type="dxa"/>
                  <w:noWrap w:val="0"/>
                  <w:vAlign w:val="center"/>
                </w:tcPr>
                <w:p>
                  <w:pPr>
                    <w:jc w:val="center"/>
                    <w:rPr>
                      <w:color w:val="000000"/>
                      <w:szCs w:val="21"/>
                    </w:rPr>
                  </w:pPr>
                  <w:r>
                    <w:rPr>
                      <w:color w:val="000000"/>
                      <w:szCs w:val="21"/>
                    </w:rPr>
                    <w:t>食堂油烟</w:t>
                  </w:r>
                </w:p>
              </w:tc>
              <w:tc>
                <w:tcPr>
                  <w:tcW w:w="1134" w:type="dxa"/>
                  <w:noWrap w:val="0"/>
                  <w:vAlign w:val="center"/>
                </w:tcPr>
                <w:p>
                  <w:pPr>
                    <w:adjustRightInd w:val="0"/>
                    <w:snapToGrid w:val="0"/>
                    <w:jc w:val="center"/>
                    <w:rPr>
                      <w:color w:val="000000"/>
                      <w:szCs w:val="21"/>
                    </w:rPr>
                  </w:pPr>
                  <w:r>
                    <w:rPr>
                      <w:color w:val="000000"/>
                      <w:szCs w:val="21"/>
                    </w:rPr>
                    <w:t>油烟净化器故障</w:t>
                  </w:r>
                </w:p>
              </w:tc>
              <w:tc>
                <w:tcPr>
                  <w:tcW w:w="881" w:type="dxa"/>
                  <w:noWrap w:val="0"/>
                  <w:vAlign w:val="center"/>
                </w:tcPr>
                <w:p>
                  <w:pPr>
                    <w:adjustRightInd w:val="0"/>
                    <w:snapToGrid w:val="0"/>
                    <w:jc w:val="center"/>
                    <w:rPr>
                      <w:color w:val="000000"/>
                      <w:szCs w:val="21"/>
                    </w:rPr>
                  </w:pPr>
                  <w:r>
                    <w:rPr>
                      <w:color w:val="000000"/>
                      <w:szCs w:val="21"/>
                    </w:rPr>
                    <w:t>油烟</w:t>
                  </w:r>
                </w:p>
              </w:tc>
              <w:tc>
                <w:tcPr>
                  <w:tcW w:w="881" w:type="dxa"/>
                  <w:noWrap w:val="0"/>
                  <w:vAlign w:val="center"/>
                </w:tcPr>
                <w:p>
                  <w:pPr>
                    <w:adjustRightInd w:val="0"/>
                    <w:snapToGrid w:val="0"/>
                    <w:jc w:val="center"/>
                    <w:rPr>
                      <w:color w:val="000000"/>
                      <w:szCs w:val="21"/>
                    </w:rPr>
                  </w:pPr>
                  <w:r>
                    <w:rPr>
                      <w:color w:val="000000"/>
                      <w:szCs w:val="21"/>
                    </w:rPr>
                    <w:t>3.42</w:t>
                  </w:r>
                </w:p>
              </w:tc>
              <w:tc>
                <w:tcPr>
                  <w:tcW w:w="881" w:type="dxa"/>
                  <w:noWrap w:val="0"/>
                  <w:vAlign w:val="center"/>
                </w:tcPr>
                <w:p>
                  <w:pPr>
                    <w:adjustRightInd w:val="0"/>
                    <w:snapToGrid w:val="0"/>
                    <w:jc w:val="center"/>
                    <w:rPr>
                      <w:color w:val="000000"/>
                      <w:szCs w:val="21"/>
                    </w:rPr>
                  </w:pPr>
                  <w:r>
                    <w:rPr>
                      <w:color w:val="000000"/>
                      <w:szCs w:val="21"/>
                    </w:rPr>
                    <w:t>0.005</w:t>
                  </w:r>
                </w:p>
              </w:tc>
              <w:tc>
                <w:tcPr>
                  <w:tcW w:w="881" w:type="dxa"/>
                  <w:noWrap w:val="0"/>
                  <w:vAlign w:val="center"/>
                </w:tcPr>
                <w:p>
                  <w:pPr>
                    <w:adjustRightInd w:val="0"/>
                    <w:snapToGrid w:val="0"/>
                    <w:jc w:val="center"/>
                    <w:rPr>
                      <w:color w:val="000000"/>
                      <w:szCs w:val="21"/>
                    </w:rPr>
                  </w:pPr>
                  <w:r>
                    <w:rPr>
                      <w:color w:val="000000"/>
                      <w:szCs w:val="21"/>
                    </w:rPr>
                    <w:t>0.5</w:t>
                  </w:r>
                </w:p>
              </w:tc>
              <w:tc>
                <w:tcPr>
                  <w:tcW w:w="882" w:type="dxa"/>
                  <w:noWrap w:val="0"/>
                  <w:vAlign w:val="center"/>
                </w:tcPr>
                <w:p>
                  <w:pPr>
                    <w:adjustRightInd w:val="0"/>
                    <w:snapToGrid w:val="0"/>
                    <w:jc w:val="center"/>
                    <w:rPr>
                      <w:color w:val="000000"/>
                      <w:szCs w:val="21"/>
                    </w:rPr>
                  </w:pPr>
                  <w:r>
                    <w:rPr>
                      <w:color w:val="000000"/>
                      <w:szCs w:val="21"/>
                    </w:rPr>
                    <w:t>1</w:t>
                  </w:r>
                </w:p>
              </w:tc>
              <w:tc>
                <w:tcPr>
                  <w:tcW w:w="882" w:type="dxa"/>
                  <w:noWrap w:val="0"/>
                  <w:vAlign w:val="center"/>
                </w:tcPr>
                <w:p>
                  <w:pPr>
                    <w:adjustRightInd w:val="0"/>
                    <w:snapToGrid w:val="0"/>
                    <w:jc w:val="center"/>
                    <w:rPr>
                      <w:color w:val="000000"/>
                      <w:szCs w:val="21"/>
                    </w:rPr>
                  </w:pPr>
                </w:p>
              </w:tc>
            </w:tr>
          </w:tbl>
          <w:p>
            <w:pPr>
              <w:widowControl/>
              <w:spacing w:line="360" w:lineRule="auto"/>
              <w:ind w:firstLine="480" w:firstLineChars="200"/>
              <w:jc w:val="left"/>
              <w:rPr>
                <w:sz w:val="24"/>
              </w:rPr>
            </w:pPr>
            <w:r>
              <w:rPr>
                <w:sz w:val="24"/>
                <w:lang w:bidi="ar"/>
              </w:rPr>
              <w:t xml:space="preserve">非正常工况下排放的污染物会对周围环境产生一定的影响。因此，建设单位必须加强废气治理措施的管理和维护，最大可能地减小废气非正常排放状况发生的概率。 </w:t>
            </w:r>
          </w:p>
          <w:p>
            <w:pPr>
              <w:widowControl/>
              <w:spacing w:line="360" w:lineRule="auto"/>
              <w:ind w:firstLine="480" w:firstLineChars="200"/>
              <w:jc w:val="left"/>
              <w:rPr>
                <w:sz w:val="24"/>
              </w:rPr>
            </w:pPr>
            <w:r>
              <w:rPr>
                <w:rFonts w:hint="eastAsia" w:cs="宋体"/>
                <w:sz w:val="24"/>
                <w:lang w:bidi="ar"/>
              </w:rPr>
              <w:t xml:space="preserve">本环评要求企业必须做好污染治理设施的日常维护与事故性排放的防护措施，尽量避免事故排放的发生，一旦发生事故时，能及时维修并采取相应防护措施，将污染影响降低到最小，建议建设单位做好以下防范工作： </w:t>
            </w:r>
          </w:p>
          <w:p>
            <w:pPr>
              <w:widowControl/>
              <w:spacing w:line="360" w:lineRule="auto"/>
              <w:ind w:firstLine="480" w:firstLineChars="200"/>
              <w:jc w:val="left"/>
              <w:rPr>
                <w:sz w:val="24"/>
              </w:rPr>
            </w:pPr>
            <w:r>
              <w:rPr>
                <w:rFonts w:hint="eastAsia" w:cs="宋体"/>
                <w:sz w:val="24"/>
                <w:lang w:bidi="ar"/>
              </w:rPr>
              <w:t>平时注意废气处理设施的维护，及时发现处理设备的隐患，确保废气处理系统正常运行；开、停、检修要有预案，有严密周全的计划，确保不发生非正常排放，或使影响最小。</w:t>
            </w:r>
          </w:p>
          <w:p>
            <w:pPr>
              <w:pStyle w:val="183"/>
              <w:ind w:firstLine="482"/>
              <w:rPr>
                <w:b/>
                <w:bCs/>
              </w:rPr>
            </w:pPr>
            <w:r>
              <w:rPr>
                <w:rFonts w:hint="eastAsia"/>
                <w:b/>
                <w:bCs/>
              </w:rPr>
              <w:t>（3）</w:t>
            </w:r>
            <w:r>
              <w:rPr>
                <w:b/>
                <w:bCs/>
              </w:rPr>
              <w:t>达标可行性分析</w:t>
            </w:r>
          </w:p>
          <w:p>
            <w:pPr>
              <w:pStyle w:val="183"/>
            </w:pPr>
            <w:r>
              <w:rPr>
                <w:rFonts w:hint="eastAsia"/>
              </w:rPr>
              <w:t>根据分析，项目</w:t>
            </w:r>
            <w:r>
              <w:t>采用油烟净化器治理后，食堂油烟排放量为0.0038t/a。油烟排放浓度为1.73mg/m</w:t>
            </w:r>
            <w:r>
              <w:rPr>
                <w:vertAlign w:val="superscript"/>
              </w:rPr>
              <w:t>3</w:t>
            </w:r>
            <w:r>
              <w:t>满足《饮食业油烟排放标准（试行）》（GB18483-2001）中的排放标准要求（2.0mg/m</w:t>
            </w:r>
            <w:r>
              <w:rPr>
                <w:vertAlign w:val="superscript"/>
              </w:rPr>
              <w:t>3</w:t>
            </w:r>
            <w:r>
              <w:t>）。</w:t>
            </w:r>
          </w:p>
          <w:p>
            <w:pPr>
              <w:pStyle w:val="51"/>
              <w:snapToGrid w:val="0"/>
              <w:spacing w:line="360" w:lineRule="auto"/>
              <w:ind w:firstLine="482"/>
              <w:rPr>
                <w:b/>
                <w:bCs/>
              </w:rPr>
            </w:pPr>
            <w:r>
              <w:rPr>
                <w:rFonts w:hint="eastAsia"/>
                <w:b/>
                <w:bCs/>
              </w:rPr>
              <w:t>（4）</w:t>
            </w:r>
            <w:r>
              <w:rPr>
                <w:b/>
                <w:bCs/>
              </w:rPr>
              <w:t>环境影响分析</w:t>
            </w:r>
          </w:p>
          <w:p>
            <w:pPr>
              <w:pStyle w:val="183"/>
            </w:pPr>
            <w:r>
              <w:t>根据</w:t>
            </w:r>
            <w:r>
              <w:rPr>
                <w:rFonts w:hint="eastAsia"/>
              </w:rPr>
              <w:t>《2</w:t>
            </w:r>
            <w:r>
              <w:t>020</w:t>
            </w:r>
            <w:r>
              <w:rPr>
                <w:rFonts w:hint="eastAsia"/>
              </w:rPr>
              <w:t>年乐山市市中区环境质量公报》</w:t>
            </w:r>
            <w:r>
              <w:t>，</w:t>
            </w:r>
            <w:r>
              <w:rPr>
                <w:rFonts w:hint="eastAsia"/>
                <w:szCs w:val="22"/>
              </w:rPr>
              <w:t>乐山市市中区环境</w:t>
            </w:r>
            <w:r>
              <w:rPr>
                <w:rFonts w:hint="eastAsia"/>
              </w:rPr>
              <w:t>空气中</w:t>
            </w:r>
            <w:r>
              <w:t>SO</w:t>
            </w:r>
            <w:r>
              <w:rPr>
                <w:vertAlign w:val="subscript"/>
              </w:rPr>
              <w:t>2</w:t>
            </w:r>
            <w:r>
              <w:rPr>
                <w:rFonts w:hint="eastAsia"/>
              </w:rPr>
              <w:t>、</w:t>
            </w:r>
            <w:r>
              <w:t>NO</w:t>
            </w:r>
            <w:r>
              <w:rPr>
                <w:vertAlign w:val="subscript"/>
              </w:rPr>
              <w:t>2</w:t>
            </w:r>
            <w:r>
              <w:rPr>
                <w:rFonts w:hint="eastAsia"/>
              </w:rPr>
              <w:t>、</w:t>
            </w:r>
            <w:r>
              <w:t>CO</w:t>
            </w:r>
            <w:r>
              <w:rPr>
                <w:rFonts w:hint="eastAsia"/>
              </w:rPr>
              <w:t>、</w:t>
            </w:r>
            <w:r>
              <w:t>O</w:t>
            </w:r>
            <w:r>
              <w:rPr>
                <w:vertAlign w:val="subscript"/>
              </w:rPr>
              <w:t>3</w:t>
            </w:r>
            <w:r>
              <w:rPr>
                <w:rFonts w:hint="eastAsia"/>
              </w:rPr>
              <w:t>、</w:t>
            </w:r>
            <w:r>
              <w:t>PM</w:t>
            </w:r>
            <w:r>
              <w:rPr>
                <w:vertAlign w:val="subscript"/>
              </w:rPr>
              <w:t>10</w:t>
            </w:r>
            <w:r>
              <w:rPr>
                <w:rFonts w:hint="eastAsia"/>
              </w:rPr>
              <w:t>、</w:t>
            </w:r>
            <w:r>
              <w:t>PM</w:t>
            </w:r>
            <w:r>
              <w:rPr>
                <w:vertAlign w:val="subscript"/>
              </w:rPr>
              <w:t>2.5</w:t>
            </w:r>
            <w:r>
              <w:rPr>
                <w:rFonts w:hint="eastAsia"/>
              </w:rPr>
              <w:t>均满足《环境空气质量标准》（G</w:t>
            </w:r>
            <w:r>
              <w:t>B3095-201</w:t>
            </w:r>
            <w:r>
              <w:rPr>
                <w:szCs w:val="22"/>
              </w:rPr>
              <w:t>2</w:t>
            </w:r>
            <w:r>
              <w:rPr>
                <w:rFonts w:hint="eastAsia"/>
                <w:szCs w:val="22"/>
              </w:rPr>
              <w:t>）中二级标准，属于环境空</w:t>
            </w:r>
            <w:r>
              <w:rPr>
                <w:rFonts w:hint="eastAsia"/>
              </w:rPr>
              <w:t>气质量达标区。</w:t>
            </w:r>
            <w:r>
              <w:t>本项目大气污染物排放量较小，对大气环境影响较小。</w:t>
            </w:r>
          </w:p>
          <w:p>
            <w:pPr>
              <w:pStyle w:val="183"/>
              <w:ind w:firstLine="482"/>
              <w:rPr>
                <w:rFonts w:hint="eastAsia"/>
                <w:b/>
              </w:rPr>
            </w:pPr>
            <w:r>
              <w:rPr>
                <w:rFonts w:hint="eastAsia"/>
                <w:b/>
              </w:rPr>
              <w:t>3、</w:t>
            </w:r>
            <w:r>
              <w:rPr>
                <w:b/>
              </w:rPr>
              <w:t>噪声产生</w:t>
            </w:r>
            <w:r>
              <w:rPr>
                <w:rFonts w:hint="eastAsia"/>
                <w:b/>
              </w:rPr>
              <w:t>及治理</w:t>
            </w:r>
            <w:r>
              <w:rPr>
                <w:b/>
              </w:rPr>
              <w:t>措施</w:t>
            </w:r>
          </w:p>
          <w:p>
            <w:pPr>
              <w:pStyle w:val="183"/>
              <w:wordWrap/>
              <w:autoSpaceDE w:val="0"/>
              <w:autoSpaceDN w:val="0"/>
              <w:ind w:firstLine="482"/>
              <w:rPr>
                <w:rFonts w:hint="eastAsia"/>
                <w:b/>
              </w:rPr>
            </w:pPr>
            <w:r>
              <w:rPr>
                <w:rFonts w:hint="eastAsia"/>
                <w:b/>
              </w:rPr>
              <w:t>1）源强分析</w:t>
            </w:r>
          </w:p>
          <w:p>
            <w:pPr>
              <w:autoSpaceDE w:val="0"/>
              <w:autoSpaceDN w:val="0"/>
              <w:adjustRightInd w:val="0"/>
              <w:snapToGrid w:val="0"/>
              <w:spacing w:line="360" w:lineRule="auto"/>
              <w:ind w:firstLine="480" w:firstLineChars="200"/>
              <w:rPr>
                <w:sz w:val="24"/>
              </w:rPr>
            </w:pPr>
            <w:r>
              <w:rPr>
                <w:rFonts w:hint="eastAsia"/>
                <w:sz w:val="24"/>
              </w:rPr>
              <w:t>项目运营期</w:t>
            </w:r>
            <w:r>
              <w:rPr>
                <w:sz w:val="24"/>
              </w:rPr>
              <w:t>噪声主要</w:t>
            </w:r>
            <w:r>
              <w:rPr>
                <w:rFonts w:hint="eastAsia"/>
                <w:sz w:val="24"/>
              </w:rPr>
              <w:t>来源于各类泵以及污泥脱水机等设备运行时产生的噪声</w:t>
            </w:r>
            <w:r>
              <w:rPr>
                <w:sz w:val="24"/>
              </w:rPr>
              <w:t>，噪声源源强</w:t>
            </w:r>
            <w:r>
              <w:rPr>
                <w:rFonts w:hint="eastAsia"/>
                <w:sz w:val="24"/>
              </w:rPr>
              <w:t>参考《噪声控制工程》（作者：高洪武）中常见工业设备噪声范围，建筑物插入损失参考《环境噪声控制》（作者：刘惠玲主编），因此，本项目噪声源强调查清单</w:t>
            </w:r>
            <w:r>
              <w:rPr>
                <w:sz w:val="24"/>
              </w:rPr>
              <w:t>如下。</w:t>
            </w:r>
          </w:p>
          <w:p>
            <w:pPr>
              <w:pStyle w:val="184"/>
              <w:autoSpaceDE w:val="0"/>
              <w:autoSpaceDN w:val="0"/>
              <w:rPr>
                <w:color w:val="auto"/>
                <w:sz w:val="24"/>
                <w:szCs w:val="24"/>
              </w:rPr>
            </w:pPr>
            <w:r>
              <w:rPr>
                <w:color w:val="auto"/>
                <w:sz w:val="24"/>
                <w:szCs w:val="24"/>
              </w:rPr>
              <w:t>表4</w:t>
            </w:r>
            <w:r>
              <w:rPr>
                <w:rFonts w:hint="eastAsia"/>
                <w:color w:val="auto"/>
                <w:sz w:val="24"/>
                <w:szCs w:val="24"/>
              </w:rPr>
              <w:t>-</w:t>
            </w:r>
            <w:r>
              <w:rPr>
                <w:color w:val="auto"/>
                <w:sz w:val="24"/>
                <w:szCs w:val="24"/>
              </w:rPr>
              <w:t>9</w:t>
            </w:r>
            <w:r>
              <w:rPr>
                <w:rFonts w:hint="eastAsia"/>
                <w:color w:val="auto"/>
                <w:sz w:val="24"/>
                <w:szCs w:val="24"/>
              </w:rPr>
              <w:t xml:space="preserve"> </w:t>
            </w:r>
            <w:r>
              <w:rPr>
                <w:color w:val="auto"/>
                <w:sz w:val="24"/>
                <w:szCs w:val="24"/>
              </w:rPr>
              <w:t xml:space="preserve"> </w:t>
            </w:r>
            <w:r>
              <w:rPr>
                <w:rFonts w:hint="eastAsia"/>
                <w:color w:val="auto"/>
                <w:sz w:val="24"/>
                <w:szCs w:val="24"/>
              </w:rPr>
              <w:t>主要噪声源特性表</w:t>
            </w:r>
          </w:p>
          <w:tbl>
            <w:tblPr>
              <w:tblStyle w:val="39"/>
              <w:tblW w:w="755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824"/>
              <w:gridCol w:w="830"/>
              <w:gridCol w:w="947"/>
              <w:gridCol w:w="510"/>
              <w:gridCol w:w="638"/>
              <w:gridCol w:w="506"/>
              <w:gridCol w:w="429"/>
              <w:gridCol w:w="6"/>
              <w:gridCol w:w="407"/>
              <w:gridCol w:w="425"/>
              <w:gridCol w:w="426"/>
              <w:gridCol w:w="514"/>
              <w:gridCol w:w="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70" w:type="dxa"/>
                  <w:vMerge w:val="restart"/>
                  <w:noWrap w:val="0"/>
                  <w:vAlign w:val="center"/>
                </w:tcPr>
                <w:p>
                  <w:pPr>
                    <w:autoSpaceDE w:val="0"/>
                    <w:autoSpaceDN w:val="0"/>
                    <w:adjustRightInd w:val="0"/>
                    <w:snapToGrid w:val="0"/>
                    <w:jc w:val="center"/>
                    <w:rPr>
                      <w:sz w:val="18"/>
                      <w:szCs w:val="18"/>
                    </w:rPr>
                  </w:pPr>
                  <w:r>
                    <w:rPr>
                      <w:rFonts w:hint="eastAsia"/>
                      <w:sz w:val="18"/>
                      <w:szCs w:val="18"/>
                    </w:rPr>
                    <w:t>建筑物名称</w:t>
                  </w:r>
                </w:p>
              </w:tc>
              <w:tc>
                <w:tcPr>
                  <w:tcW w:w="824" w:type="dxa"/>
                  <w:vMerge w:val="restart"/>
                  <w:noWrap w:val="0"/>
                  <w:vAlign w:val="center"/>
                </w:tcPr>
                <w:p>
                  <w:pPr>
                    <w:autoSpaceDE w:val="0"/>
                    <w:autoSpaceDN w:val="0"/>
                    <w:adjustRightInd w:val="0"/>
                    <w:snapToGrid w:val="0"/>
                    <w:jc w:val="center"/>
                    <w:rPr>
                      <w:sz w:val="18"/>
                      <w:szCs w:val="18"/>
                    </w:rPr>
                  </w:pPr>
                  <w:r>
                    <w:rPr>
                      <w:rFonts w:hint="eastAsia"/>
                      <w:sz w:val="18"/>
                      <w:szCs w:val="18"/>
                    </w:rPr>
                    <w:t>声源名称</w:t>
                  </w:r>
                </w:p>
              </w:tc>
              <w:tc>
                <w:tcPr>
                  <w:tcW w:w="830" w:type="dxa"/>
                  <w:vMerge w:val="restart"/>
                  <w:noWrap w:val="0"/>
                  <w:vAlign w:val="center"/>
                </w:tcPr>
                <w:p>
                  <w:pPr>
                    <w:autoSpaceDE w:val="0"/>
                    <w:autoSpaceDN w:val="0"/>
                    <w:adjustRightInd w:val="0"/>
                    <w:snapToGrid w:val="0"/>
                    <w:jc w:val="center"/>
                    <w:rPr>
                      <w:sz w:val="18"/>
                      <w:szCs w:val="18"/>
                    </w:rPr>
                  </w:pPr>
                  <w:r>
                    <w:rPr>
                      <w:rFonts w:hint="eastAsia"/>
                      <w:sz w:val="18"/>
                      <w:szCs w:val="18"/>
                    </w:rPr>
                    <w:t>声功率级/dB（A）</w:t>
                  </w:r>
                </w:p>
              </w:tc>
              <w:tc>
                <w:tcPr>
                  <w:tcW w:w="947" w:type="dxa"/>
                  <w:vMerge w:val="restart"/>
                  <w:noWrap w:val="0"/>
                  <w:vAlign w:val="center"/>
                </w:tcPr>
                <w:p>
                  <w:pPr>
                    <w:autoSpaceDE w:val="0"/>
                    <w:autoSpaceDN w:val="0"/>
                    <w:adjustRightInd w:val="0"/>
                    <w:snapToGrid w:val="0"/>
                    <w:jc w:val="center"/>
                    <w:rPr>
                      <w:sz w:val="18"/>
                      <w:szCs w:val="18"/>
                    </w:rPr>
                  </w:pPr>
                  <w:r>
                    <w:rPr>
                      <w:rFonts w:hint="eastAsia"/>
                      <w:sz w:val="18"/>
                      <w:szCs w:val="18"/>
                    </w:rPr>
                    <w:t>声源控制措施</w:t>
                  </w:r>
                </w:p>
              </w:tc>
              <w:tc>
                <w:tcPr>
                  <w:tcW w:w="2089" w:type="dxa"/>
                  <w:gridSpan w:val="5"/>
                  <w:noWrap w:val="0"/>
                  <w:vAlign w:val="center"/>
                </w:tcPr>
                <w:p>
                  <w:pPr>
                    <w:autoSpaceDE w:val="0"/>
                    <w:autoSpaceDN w:val="0"/>
                    <w:adjustRightInd w:val="0"/>
                    <w:snapToGrid w:val="0"/>
                    <w:jc w:val="center"/>
                    <w:rPr>
                      <w:rFonts w:hint="eastAsia"/>
                      <w:sz w:val="18"/>
                      <w:szCs w:val="18"/>
                    </w:rPr>
                  </w:pPr>
                  <w:r>
                    <w:rPr>
                      <w:rFonts w:hint="eastAsia"/>
                      <w:sz w:val="18"/>
                      <w:szCs w:val="18"/>
                    </w:rPr>
                    <w:t>距室内边界距离/m</w:t>
                  </w:r>
                </w:p>
              </w:tc>
              <w:tc>
                <w:tcPr>
                  <w:tcW w:w="1795" w:type="dxa"/>
                  <w:gridSpan w:val="5"/>
                  <w:noWrap w:val="0"/>
                  <w:vAlign w:val="center"/>
                </w:tcPr>
                <w:p>
                  <w:pPr>
                    <w:autoSpaceDE w:val="0"/>
                    <w:autoSpaceDN w:val="0"/>
                    <w:adjustRightInd w:val="0"/>
                    <w:snapToGrid w:val="0"/>
                    <w:jc w:val="center"/>
                    <w:rPr>
                      <w:rFonts w:hint="eastAsia"/>
                      <w:sz w:val="18"/>
                      <w:szCs w:val="18"/>
                    </w:rPr>
                  </w:pPr>
                  <w:r>
                    <w:rPr>
                      <w:rFonts w:hint="eastAsia"/>
                      <w:sz w:val="18"/>
                      <w:szCs w:val="18"/>
                    </w:rPr>
                    <w:t>室内边界声级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3" w:type="dxa"/>
                <w:jc w:val="center"/>
              </w:trPr>
              <w:tc>
                <w:tcPr>
                  <w:tcW w:w="1070" w:type="dxa"/>
                  <w:vMerge w:val="continue"/>
                  <w:noWrap w:val="0"/>
                  <w:vAlign w:val="center"/>
                </w:tcPr>
                <w:p>
                  <w:pPr>
                    <w:autoSpaceDE w:val="0"/>
                    <w:autoSpaceDN w:val="0"/>
                    <w:adjustRightInd w:val="0"/>
                    <w:snapToGrid w:val="0"/>
                    <w:jc w:val="center"/>
                    <w:rPr>
                      <w:sz w:val="18"/>
                      <w:szCs w:val="18"/>
                    </w:rPr>
                  </w:pPr>
                </w:p>
              </w:tc>
              <w:tc>
                <w:tcPr>
                  <w:tcW w:w="824" w:type="dxa"/>
                  <w:vMerge w:val="continue"/>
                  <w:noWrap w:val="0"/>
                  <w:vAlign w:val="center"/>
                </w:tcPr>
                <w:p>
                  <w:pPr>
                    <w:autoSpaceDE w:val="0"/>
                    <w:autoSpaceDN w:val="0"/>
                    <w:adjustRightInd w:val="0"/>
                    <w:snapToGrid w:val="0"/>
                    <w:jc w:val="center"/>
                    <w:rPr>
                      <w:sz w:val="18"/>
                      <w:szCs w:val="18"/>
                    </w:rPr>
                  </w:pPr>
                </w:p>
              </w:tc>
              <w:tc>
                <w:tcPr>
                  <w:tcW w:w="830" w:type="dxa"/>
                  <w:vMerge w:val="continue"/>
                  <w:noWrap w:val="0"/>
                  <w:vAlign w:val="center"/>
                </w:tcPr>
                <w:p>
                  <w:pPr>
                    <w:autoSpaceDE w:val="0"/>
                    <w:autoSpaceDN w:val="0"/>
                    <w:adjustRightInd w:val="0"/>
                    <w:snapToGrid w:val="0"/>
                    <w:jc w:val="center"/>
                    <w:rPr>
                      <w:sz w:val="18"/>
                      <w:szCs w:val="18"/>
                    </w:rPr>
                  </w:pPr>
                </w:p>
              </w:tc>
              <w:tc>
                <w:tcPr>
                  <w:tcW w:w="947" w:type="dxa"/>
                  <w:vMerge w:val="continue"/>
                  <w:noWrap w:val="0"/>
                  <w:vAlign w:val="center"/>
                </w:tcPr>
                <w:p>
                  <w:pPr>
                    <w:autoSpaceDE w:val="0"/>
                    <w:autoSpaceDN w:val="0"/>
                    <w:adjustRightInd w:val="0"/>
                    <w:snapToGrid w:val="0"/>
                    <w:jc w:val="center"/>
                    <w:rPr>
                      <w:sz w:val="18"/>
                      <w:szCs w:val="18"/>
                    </w:rPr>
                  </w:pPr>
                </w:p>
              </w:tc>
              <w:tc>
                <w:tcPr>
                  <w:tcW w:w="510" w:type="dxa"/>
                  <w:noWrap w:val="0"/>
                  <w:vAlign w:val="center"/>
                </w:tcPr>
                <w:p>
                  <w:pPr>
                    <w:autoSpaceDE w:val="0"/>
                    <w:autoSpaceDN w:val="0"/>
                    <w:adjustRightInd w:val="0"/>
                    <w:snapToGrid w:val="0"/>
                    <w:jc w:val="center"/>
                    <w:rPr>
                      <w:sz w:val="18"/>
                      <w:szCs w:val="18"/>
                    </w:rPr>
                  </w:pPr>
                  <w:r>
                    <w:rPr>
                      <w:rFonts w:hint="eastAsia"/>
                      <w:sz w:val="18"/>
                      <w:szCs w:val="18"/>
                    </w:rPr>
                    <w:t>东</w:t>
                  </w:r>
                </w:p>
              </w:tc>
              <w:tc>
                <w:tcPr>
                  <w:tcW w:w="638" w:type="dxa"/>
                  <w:noWrap w:val="0"/>
                  <w:vAlign w:val="center"/>
                </w:tcPr>
                <w:p>
                  <w:pPr>
                    <w:autoSpaceDE w:val="0"/>
                    <w:autoSpaceDN w:val="0"/>
                    <w:adjustRightInd w:val="0"/>
                    <w:snapToGrid w:val="0"/>
                    <w:ind w:left="169" w:hanging="169" w:hangingChars="94"/>
                    <w:jc w:val="center"/>
                    <w:rPr>
                      <w:sz w:val="18"/>
                      <w:szCs w:val="18"/>
                    </w:rPr>
                  </w:pPr>
                  <w:r>
                    <w:rPr>
                      <w:rFonts w:hint="eastAsia"/>
                      <w:sz w:val="18"/>
                      <w:szCs w:val="18"/>
                    </w:rPr>
                    <w:t>南</w:t>
                  </w:r>
                </w:p>
              </w:tc>
              <w:tc>
                <w:tcPr>
                  <w:tcW w:w="506" w:type="dxa"/>
                  <w:noWrap w:val="0"/>
                  <w:vAlign w:val="center"/>
                </w:tcPr>
                <w:p>
                  <w:pPr>
                    <w:autoSpaceDE w:val="0"/>
                    <w:autoSpaceDN w:val="0"/>
                    <w:adjustRightInd w:val="0"/>
                    <w:snapToGrid w:val="0"/>
                    <w:jc w:val="center"/>
                    <w:rPr>
                      <w:sz w:val="18"/>
                      <w:szCs w:val="18"/>
                    </w:rPr>
                  </w:pPr>
                  <w:r>
                    <w:rPr>
                      <w:rFonts w:hint="eastAsia"/>
                      <w:sz w:val="18"/>
                      <w:szCs w:val="18"/>
                    </w:rPr>
                    <w:t>西</w:t>
                  </w:r>
                </w:p>
              </w:tc>
              <w:tc>
                <w:tcPr>
                  <w:tcW w:w="429" w:type="dxa"/>
                  <w:noWrap w:val="0"/>
                  <w:vAlign w:val="center"/>
                </w:tcPr>
                <w:p>
                  <w:pPr>
                    <w:autoSpaceDE w:val="0"/>
                    <w:autoSpaceDN w:val="0"/>
                    <w:adjustRightInd w:val="0"/>
                    <w:snapToGrid w:val="0"/>
                    <w:jc w:val="center"/>
                    <w:rPr>
                      <w:rFonts w:hint="eastAsia"/>
                      <w:sz w:val="18"/>
                      <w:szCs w:val="18"/>
                    </w:rPr>
                  </w:pPr>
                  <w:r>
                    <w:rPr>
                      <w:rFonts w:hint="eastAsia"/>
                      <w:sz w:val="18"/>
                      <w:szCs w:val="18"/>
                    </w:rPr>
                    <w:t>北</w:t>
                  </w:r>
                </w:p>
              </w:tc>
              <w:tc>
                <w:tcPr>
                  <w:tcW w:w="413" w:type="dxa"/>
                  <w:gridSpan w:val="2"/>
                  <w:noWrap w:val="0"/>
                  <w:vAlign w:val="center"/>
                </w:tcPr>
                <w:p>
                  <w:pPr>
                    <w:autoSpaceDE w:val="0"/>
                    <w:autoSpaceDN w:val="0"/>
                    <w:adjustRightInd w:val="0"/>
                    <w:snapToGrid w:val="0"/>
                    <w:jc w:val="center"/>
                    <w:rPr>
                      <w:sz w:val="18"/>
                      <w:szCs w:val="18"/>
                    </w:rPr>
                  </w:pPr>
                  <w:r>
                    <w:rPr>
                      <w:rFonts w:hint="eastAsia"/>
                      <w:sz w:val="18"/>
                      <w:szCs w:val="18"/>
                    </w:rPr>
                    <w:t>东</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南</w:t>
                  </w:r>
                </w:p>
              </w:tc>
              <w:tc>
                <w:tcPr>
                  <w:tcW w:w="426" w:type="dxa"/>
                  <w:noWrap w:val="0"/>
                  <w:vAlign w:val="center"/>
                </w:tcPr>
                <w:p>
                  <w:pPr>
                    <w:autoSpaceDE w:val="0"/>
                    <w:autoSpaceDN w:val="0"/>
                    <w:adjustRightInd w:val="0"/>
                    <w:snapToGrid w:val="0"/>
                    <w:jc w:val="center"/>
                    <w:rPr>
                      <w:sz w:val="18"/>
                      <w:szCs w:val="18"/>
                    </w:rPr>
                  </w:pPr>
                  <w:r>
                    <w:rPr>
                      <w:rFonts w:hint="eastAsia"/>
                      <w:sz w:val="18"/>
                      <w:szCs w:val="18"/>
                    </w:rPr>
                    <w:t>西</w:t>
                  </w:r>
                </w:p>
              </w:tc>
              <w:tc>
                <w:tcPr>
                  <w:tcW w:w="514" w:type="dxa"/>
                  <w:noWrap w:val="0"/>
                  <w:vAlign w:val="center"/>
                </w:tcPr>
                <w:p>
                  <w:pPr>
                    <w:autoSpaceDE w:val="0"/>
                    <w:autoSpaceDN w:val="0"/>
                    <w:adjustRightInd w:val="0"/>
                    <w:snapToGrid w:val="0"/>
                    <w:jc w:val="center"/>
                    <w:rPr>
                      <w:rFonts w:hint="eastAsia"/>
                      <w:sz w:val="18"/>
                      <w:szCs w:val="18"/>
                    </w:rPr>
                  </w:pPr>
                  <w:r>
                    <w:rPr>
                      <w:rFonts w:hint="eastAsia"/>
                      <w:sz w:val="18"/>
                      <w:szCs w:val="18"/>
                    </w:rPr>
                    <w:t>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3" w:type="dxa"/>
                <w:jc w:val="center"/>
              </w:trPr>
              <w:tc>
                <w:tcPr>
                  <w:tcW w:w="1070" w:type="dxa"/>
                  <w:noWrap w:val="0"/>
                  <w:vAlign w:val="center"/>
                </w:tcPr>
                <w:p>
                  <w:pPr>
                    <w:autoSpaceDE w:val="0"/>
                    <w:autoSpaceDN w:val="0"/>
                    <w:adjustRightInd w:val="0"/>
                    <w:snapToGrid w:val="0"/>
                    <w:jc w:val="center"/>
                    <w:rPr>
                      <w:sz w:val="18"/>
                      <w:szCs w:val="18"/>
                    </w:rPr>
                  </w:pPr>
                  <w:r>
                    <w:rPr>
                      <w:rFonts w:hint="eastAsia"/>
                      <w:sz w:val="18"/>
                      <w:szCs w:val="18"/>
                    </w:rPr>
                    <w:t>提水泵站</w:t>
                  </w:r>
                </w:p>
              </w:tc>
              <w:tc>
                <w:tcPr>
                  <w:tcW w:w="824" w:type="dxa"/>
                  <w:noWrap w:val="0"/>
                  <w:vAlign w:val="center"/>
                </w:tcPr>
                <w:p>
                  <w:pPr>
                    <w:autoSpaceDE w:val="0"/>
                    <w:autoSpaceDN w:val="0"/>
                    <w:adjustRightInd w:val="0"/>
                    <w:snapToGrid w:val="0"/>
                    <w:jc w:val="center"/>
                    <w:rPr>
                      <w:sz w:val="18"/>
                      <w:szCs w:val="18"/>
                    </w:rPr>
                  </w:pPr>
                  <w:r>
                    <w:rPr>
                      <w:rFonts w:hint="eastAsia"/>
                      <w:sz w:val="18"/>
                      <w:szCs w:val="18"/>
                    </w:rPr>
                    <w:t>水泵</w:t>
                  </w:r>
                </w:p>
              </w:tc>
              <w:tc>
                <w:tcPr>
                  <w:tcW w:w="830" w:type="dxa"/>
                  <w:noWrap w:val="0"/>
                  <w:vAlign w:val="center"/>
                </w:tcPr>
                <w:p>
                  <w:pPr>
                    <w:autoSpaceDE w:val="0"/>
                    <w:autoSpaceDN w:val="0"/>
                    <w:adjustRightInd w:val="0"/>
                    <w:snapToGrid w:val="0"/>
                    <w:jc w:val="center"/>
                    <w:rPr>
                      <w:sz w:val="18"/>
                      <w:szCs w:val="18"/>
                    </w:rPr>
                  </w:pPr>
                  <w:r>
                    <w:rPr>
                      <w:sz w:val="18"/>
                      <w:szCs w:val="18"/>
                    </w:rPr>
                    <w:t>85</w:t>
                  </w:r>
                </w:p>
              </w:tc>
              <w:tc>
                <w:tcPr>
                  <w:tcW w:w="947" w:type="dxa"/>
                  <w:vMerge w:val="restart"/>
                  <w:noWrap w:val="0"/>
                  <w:vAlign w:val="center"/>
                </w:tcPr>
                <w:p>
                  <w:pPr>
                    <w:autoSpaceDE w:val="0"/>
                    <w:autoSpaceDN w:val="0"/>
                    <w:adjustRightInd w:val="0"/>
                    <w:snapToGrid w:val="0"/>
                    <w:jc w:val="center"/>
                    <w:rPr>
                      <w:sz w:val="18"/>
                      <w:szCs w:val="18"/>
                    </w:rPr>
                  </w:pPr>
                  <w:r>
                    <w:rPr>
                      <w:rFonts w:hint="eastAsia"/>
                      <w:sz w:val="18"/>
                      <w:szCs w:val="18"/>
                    </w:rPr>
                    <w:t>低噪声设备、隔音、设备减振</w:t>
                  </w:r>
                </w:p>
              </w:tc>
              <w:tc>
                <w:tcPr>
                  <w:tcW w:w="510" w:type="dxa"/>
                  <w:noWrap w:val="0"/>
                  <w:vAlign w:val="center"/>
                </w:tcPr>
                <w:p>
                  <w:pPr>
                    <w:autoSpaceDE w:val="0"/>
                    <w:autoSpaceDN w:val="0"/>
                    <w:adjustRightInd w:val="0"/>
                    <w:snapToGrid w:val="0"/>
                    <w:jc w:val="center"/>
                    <w:rPr>
                      <w:sz w:val="18"/>
                      <w:szCs w:val="18"/>
                    </w:rPr>
                  </w:pPr>
                  <w:r>
                    <w:rPr>
                      <w:rFonts w:hint="eastAsia"/>
                      <w:sz w:val="18"/>
                      <w:szCs w:val="18"/>
                    </w:rPr>
                    <w:t>4</w:t>
                  </w:r>
                </w:p>
              </w:tc>
              <w:tc>
                <w:tcPr>
                  <w:tcW w:w="638" w:type="dxa"/>
                  <w:noWrap w:val="0"/>
                  <w:vAlign w:val="center"/>
                </w:tcPr>
                <w:p>
                  <w:pPr>
                    <w:autoSpaceDE w:val="0"/>
                    <w:autoSpaceDN w:val="0"/>
                    <w:adjustRightInd w:val="0"/>
                    <w:snapToGrid w:val="0"/>
                    <w:jc w:val="center"/>
                    <w:rPr>
                      <w:sz w:val="18"/>
                      <w:szCs w:val="18"/>
                    </w:rPr>
                  </w:pPr>
                  <w:r>
                    <w:rPr>
                      <w:sz w:val="18"/>
                      <w:szCs w:val="18"/>
                    </w:rPr>
                    <w:t>5</w:t>
                  </w:r>
                </w:p>
              </w:tc>
              <w:tc>
                <w:tcPr>
                  <w:tcW w:w="506" w:type="dxa"/>
                  <w:noWrap w:val="0"/>
                  <w:vAlign w:val="center"/>
                </w:tcPr>
                <w:p>
                  <w:pPr>
                    <w:autoSpaceDE w:val="0"/>
                    <w:autoSpaceDN w:val="0"/>
                    <w:adjustRightInd w:val="0"/>
                    <w:snapToGrid w:val="0"/>
                    <w:jc w:val="center"/>
                    <w:rPr>
                      <w:rFonts w:hint="eastAsia"/>
                      <w:sz w:val="18"/>
                      <w:szCs w:val="18"/>
                    </w:rPr>
                  </w:pPr>
                  <w:r>
                    <w:rPr>
                      <w:rFonts w:hint="eastAsia"/>
                      <w:sz w:val="18"/>
                      <w:szCs w:val="18"/>
                    </w:rPr>
                    <w:t>3</w:t>
                  </w:r>
                </w:p>
              </w:tc>
              <w:tc>
                <w:tcPr>
                  <w:tcW w:w="429" w:type="dxa"/>
                  <w:noWrap w:val="0"/>
                  <w:vAlign w:val="center"/>
                </w:tcPr>
                <w:p>
                  <w:pPr>
                    <w:autoSpaceDE w:val="0"/>
                    <w:autoSpaceDN w:val="0"/>
                    <w:adjustRightInd w:val="0"/>
                    <w:snapToGrid w:val="0"/>
                    <w:jc w:val="center"/>
                    <w:rPr>
                      <w:rFonts w:hint="eastAsia"/>
                      <w:sz w:val="18"/>
                      <w:szCs w:val="18"/>
                    </w:rPr>
                  </w:pPr>
                  <w:r>
                    <w:rPr>
                      <w:sz w:val="18"/>
                      <w:szCs w:val="18"/>
                    </w:rPr>
                    <w:t>2</w:t>
                  </w:r>
                </w:p>
              </w:tc>
              <w:tc>
                <w:tcPr>
                  <w:tcW w:w="413" w:type="dxa"/>
                  <w:gridSpan w:val="2"/>
                  <w:noWrap w:val="0"/>
                  <w:vAlign w:val="center"/>
                </w:tcPr>
                <w:p>
                  <w:pPr>
                    <w:autoSpaceDE w:val="0"/>
                    <w:autoSpaceDN w:val="0"/>
                    <w:adjustRightInd w:val="0"/>
                    <w:snapToGrid w:val="0"/>
                    <w:jc w:val="center"/>
                    <w:rPr>
                      <w:sz w:val="18"/>
                      <w:szCs w:val="18"/>
                    </w:rPr>
                  </w:pPr>
                  <w:r>
                    <w:rPr>
                      <w:sz w:val="18"/>
                      <w:szCs w:val="18"/>
                    </w:rPr>
                    <w:t>73</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7</w:t>
                  </w:r>
                  <w:r>
                    <w:rPr>
                      <w:sz w:val="18"/>
                      <w:szCs w:val="18"/>
                    </w:rPr>
                    <w:t>1</w:t>
                  </w:r>
                </w:p>
              </w:tc>
              <w:tc>
                <w:tcPr>
                  <w:tcW w:w="426" w:type="dxa"/>
                  <w:noWrap w:val="0"/>
                  <w:vAlign w:val="center"/>
                </w:tcPr>
                <w:p>
                  <w:pPr>
                    <w:autoSpaceDE w:val="0"/>
                    <w:autoSpaceDN w:val="0"/>
                    <w:adjustRightInd w:val="0"/>
                    <w:snapToGrid w:val="0"/>
                    <w:jc w:val="center"/>
                    <w:rPr>
                      <w:rFonts w:hint="eastAsia"/>
                      <w:sz w:val="18"/>
                      <w:szCs w:val="18"/>
                    </w:rPr>
                  </w:pPr>
                  <w:r>
                    <w:rPr>
                      <w:rFonts w:hint="eastAsia"/>
                      <w:sz w:val="18"/>
                      <w:szCs w:val="18"/>
                    </w:rPr>
                    <w:t>7</w:t>
                  </w:r>
                  <w:r>
                    <w:rPr>
                      <w:sz w:val="18"/>
                      <w:szCs w:val="18"/>
                    </w:rPr>
                    <w:t>5</w:t>
                  </w:r>
                </w:p>
              </w:tc>
              <w:tc>
                <w:tcPr>
                  <w:tcW w:w="514" w:type="dxa"/>
                  <w:noWrap w:val="0"/>
                  <w:vAlign w:val="center"/>
                </w:tcPr>
                <w:p>
                  <w:pPr>
                    <w:autoSpaceDE w:val="0"/>
                    <w:autoSpaceDN w:val="0"/>
                    <w:adjustRightInd w:val="0"/>
                    <w:snapToGrid w:val="0"/>
                    <w:jc w:val="center"/>
                    <w:rPr>
                      <w:rFonts w:hint="eastAsia"/>
                      <w:sz w:val="18"/>
                      <w:szCs w:val="18"/>
                    </w:rPr>
                  </w:pPr>
                  <w:r>
                    <w:rPr>
                      <w:sz w:val="18"/>
                      <w:szCs w:val="18"/>
                    </w:rPr>
                    <w:t>79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gridAfter w:val="1"/>
                <w:wAfter w:w="23" w:type="dxa"/>
                <w:jc w:val="center"/>
              </w:trPr>
              <w:tc>
                <w:tcPr>
                  <w:tcW w:w="1070" w:type="dxa"/>
                  <w:vMerge w:val="restart"/>
                  <w:noWrap w:val="0"/>
                  <w:vAlign w:val="center"/>
                </w:tcPr>
                <w:p>
                  <w:pPr>
                    <w:autoSpaceDE w:val="0"/>
                    <w:autoSpaceDN w:val="0"/>
                    <w:adjustRightInd w:val="0"/>
                    <w:snapToGrid w:val="0"/>
                    <w:jc w:val="center"/>
                    <w:rPr>
                      <w:rFonts w:hint="eastAsia"/>
                      <w:sz w:val="18"/>
                      <w:szCs w:val="18"/>
                    </w:rPr>
                  </w:pPr>
                  <w:r>
                    <w:rPr>
                      <w:rFonts w:hint="eastAsia"/>
                      <w:sz w:val="18"/>
                      <w:szCs w:val="18"/>
                    </w:rPr>
                    <w:t>净水厂内</w:t>
                  </w:r>
                </w:p>
              </w:tc>
              <w:tc>
                <w:tcPr>
                  <w:tcW w:w="824" w:type="dxa"/>
                  <w:noWrap w:val="0"/>
                  <w:vAlign w:val="center"/>
                </w:tcPr>
                <w:p>
                  <w:pPr>
                    <w:autoSpaceDE w:val="0"/>
                    <w:autoSpaceDN w:val="0"/>
                    <w:adjustRightInd w:val="0"/>
                    <w:snapToGrid w:val="0"/>
                    <w:rPr>
                      <w:rFonts w:hint="eastAsia"/>
                      <w:sz w:val="18"/>
                      <w:szCs w:val="18"/>
                    </w:rPr>
                  </w:pPr>
                  <w:r>
                    <w:rPr>
                      <w:rFonts w:hint="eastAsia"/>
                      <w:sz w:val="18"/>
                      <w:szCs w:val="18"/>
                    </w:rPr>
                    <w:t>排污泵</w:t>
                  </w:r>
                </w:p>
              </w:tc>
              <w:tc>
                <w:tcPr>
                  <w:tcW w:w="830" w:type="dxa"/>
                  <w:noWrap w:val="0"/>
                  <w:vAlign w:val="center"/>
                </w:tcPr>
                <w:p>
                  <w:pPr>
                    <w:autoSpaceDE w:val="0"/>
                    <w:autoSpaceDN w:val="0"/>
                    <w:adjustRightInd w:val="0"/>
                    <w:snapToGrid w:val="0"/>
                    <w:jc w:val="center"/>
                    <w:rPr>
                      <w:sz w:val="18"/>
                      <w:szCs w:val="18"/>
                    </w:rPr>
                  </w:pPr>
                  <w:r>
                    <w:rPr>
                      <w:rFonts w:hint="eastAsia"/>
                      <w:sz w:val="18"/>
                      <w:szCs w:val="18"/>
                    </w:rPr>
                    <w:t>8</w:t>
                  </w:r>
                  <w:r>
                    <w:rPr>
                      <w:sz w:val="18"/>
                      <w:szCs w:val="18"/>
                    </w:rPr>
                    <w:t>5</w:t>
                  </w:r>
                </w:p>
              </w:tc>
              <w:tc>
                <w:tcPr>
                  <w:tcW w:w="947" w:type="dxa"/>
                  <w:vMerge w:val="continue"/>
                  <w:noWrap w:val="0"/>
                  <w:vAlign w:val="center"/>
                </w:tcPr>
                <w:p>
                  <w:pPr>
                    <w:autoSpaceDE w:val="0"/>
                    <w:autoSpaceDN w:val="0"/>
                    <w:adjustRightInd w:val="0"/>
                    <w:snapToGrid w:val="0"/>
                    <w:jc w:val="center"/>
                    <w:rPr>
                      <w:rFonts w:hint="eastAsia"/>
                      <w:sz w:val="18"/>
                      <w:szCs w:val="18"/>
                    </w:rPr>
                  </w:pPr>
                </w:p>
              </w:tc>
              <w:tc>
                <w:tcPr>
                  <w:tcW w:w="510" w:type="dxa"/>
                  <w:noWrap w:val="0"/>
                  <w:vAlign w:val="center"/>
                </w:tcPr>
                <w:p>
                  <w:pPr>
                    <w:autoSpaceDE w:val="0"/>
                    <w:autoSpaceDN w:val="0"/>
                    <w:adjustRightInd w:val="0"/>
                    <w:snapToGrid w:val="0"/>
                    <w:jc w:val="center"/>
                    <w:rPr>
                      <w:sz w:val="18"/>
                      <w:szCs w:val="18"/>
                    </w:rPr>
                  </w:pPr>
                  <w:r>
                    <w:rPr>
                      <w:rFonts w:hint="eastAsia"/>
                      <w:sz w:val="18"/>
                      <w:szCs w:val="18"/>
                    </w:rPr>
                    <w:t>1</w:t>
                  </w:r>
                  <w:r>
                    <w:rPr>
                      <w:sz w:val="18"/>
                      <w:szCs w:val="18"/>
                    </w:rPr>
                    <w:t>1</w:t>
                  </w:r>
                </w:p>
              </w:tc>
              <w:tc>
                <w:tcPr>
                  <w:tcW w:w="638" w:type="dxa"/>
                  <w:noWrap w:val="0"/>
                  <w:vAlign w:val="center"/>
                </w:tcPr>
                <w:p>
                  <w:pPr>
                    <w:autoSpaceDE w:val="0"/>
                    <w:autoSpaceDN w:val="0"/>
                    <w:adjustRightInd w:val="0"/>
                    <w:snapToGrid w:val="0"/>
                    <w:jc w:val="center"/>
                    <w:rPr>
                      <w:sz w:val="18"/>
                      <w:szCs w:val="18"/>
                    </w:rPr>
                  </w:pPr>
                  <w:r>
                    <w:rPr>
                      <w:rFonts w:hint="eastAsia"/>
                      <w:sz w:val="18"/>
                      <w:szCs w:val="18"/>
                    </w:rPr>
                    <w:t>5</w:t>
                  </w:r>
                  <w:r>
                    <w:rPr>
                      <w:sz w:val="18"/>
                      <w:szCs w:val="18"/>
                    </w:rPr>
                    <w:t>.5</w:t>
                  </w:r>
                </w:p>
              </w:tc>
              <w:tc>
                <w:tcPr>
                  <w:tcW w:w="506" w:type="dxa"/>
                  <w:noWrap w:val="0"/>
                  <w:vAlign w:val="center"/>
                </w:tcPr>
                <w:p>
                  <w:pPr>
                    <w:autoSpaceDE w:val="0"/>
                    <w:autoSpaceDN w:val="0"/>
                    <w:adjustRightInd w:val="0"/>
                    <w:snapToGrid w:val="0"/>
                    <w:jc w:val="center"/>
                    <w:rPr>
                      <w:rFonts w:hint="eastAsia"/>
                      <w:sz w:val="18"/>
                      <w:szCs w:val="18"/>
                    </w:rPr>
                  </w:pPr>
                  <w:r>
                    <w:rPr>
                      <w:rFonts w:hint="eastAsia"/>
                      <w:sz w:val="18"/>
                      <w:szCs w:val="18"/>
                    </w:rPr>
                    <w:t>9</w:t>
                  </w:r>
                </w:p>
              </w:tc>
              <w:tc>
                <w:tcPr>
                  <w:tcW w:w="429" w:type="dxa"/>
                  <w:noWrap w:val="0"/>
                  <w:vAlign w:val="center"/>
                </w:tcPr>
                <w:p>
                  <w:pPr>
                    <w:autoSpaceDE w:val="0"/>
                    <w:autoSpaceDN w:val="0"/>
                    <w:adjustRightInd w:val="0"/>
                    <w:snapToGrid w:val="0"/>
                    <w:jc w:val="center"/>
                    <w:rPr>
                      <w:rFonts w:hint="eastAsia"/>
                      <w:sz w:val="18"/>
                      <w:szCs w:val="18"/>
                    </w:rPr>
                  </w:pPr>
                  <w:r>
                    <w:rPr>
                      <w:rFonts w:hint="eastAsia"/>
                      <w:sz w:val="18"/>
                      <w:szCs w:val="18"/>
                    </w:rPr>
                    <w:t>7</w:t>
                  </w:r>
                </w:p>
              </w:tc>
              <w:tc>
                <w:tcPr>
                  <w:tcW w:w="413" w:type="dxa"/>
                  <w:gridSpan w:val="2"/>
                  <w:noWrap w:val="0"/>
                  <w:vAlign w:val="center"/>
                </w:tcPr>
                <w:p>
                  <w:pPr>
                    <w:autoSpaceDE w:val="0"/>
                    <w:autoSpaceDN w:val="0"/>
                    <w:adjustRightInd w:val="0"/>
                    <w:snapToGrid w:val="0"/>
                    <w:jc w:val="center"/>
                    <w:rPr>
                      <w:sz w:val="18"/>
                      <w:szCs w:val="18"/>
                    </w:rPr>
                  </w:pPr>
                  <w:r>
                    <w:rPr>
                      <w:rFonts w:hint="eastAsia"/>
                      <w:sz w:val="18"/>
                      <w:szCs w:val="18"/>
                    </w:rPr>
                    <w:t>6</w:t>
                  </w:r>
                  <w:r>
                    <w:rPr>
                      <w:sz w:val="18"/>
                      <w:szCs w:val="18"/>
                    </w:rPr>
                    <w:t>4</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7</w:t>
                  </w:r>
                  <w:r>
                    <w:rPr>
                      <w:sz w:val="18"/>
                      <w:szCs w:val="18"/>
                    </w:rPr>
                    <w:t>0</w:t>
                  </w:r>
                </w:p>
              </w:tc>
              <w:tc>
                <w:tcPr>
                  <w:tcW w:w="426" w:type="dxa"/>
                  <w:noWrap w:val="0"/>
                  <w:vAlign w:val="center"/>
                </w:tcPr>
                <w:p>
                  <w:pPr>
                    <w:autoSpaceDE w:val="0"/>
                    <w:autoSpaceDN w:val="0"/>
                    <w:adjustRightInd w:val="0"/>
                    <w:snapToGrid w:val="0"/>
                    <w:jc w:val="center"/>
                    <w:rPr>
                      <w:rFonts w:hint="eastAsia"/>
                      <w:sz w:val="18"/>
                      <w:szCs w:val="18"/>
                    </w:rPr>
                  </w:pPr>
                  <w:r>
                    <w:rPr>
                      <w:rFonts w:hint="eastAsia"/>
                      <w:sz w:val="18"/>
                      <w:szCs w:val="18"/>
                    </w:rPr>
                    <w:t>6</w:t>
                  </w:r>
                  <w:r>
                    <w:rPr>
                      <w:sz w:val="18"/>
                      <w:szCs w:val="18"/>
                    </w:rPr>
                    <w:t>6</w:t>
                  </w:r>
                </w:p>
              </w:tc>
              <w:tc>
                <w:tcPr>
                  <w:tcW w:w="514" w:type="dxa"/>
                  <w:noWrap w:val="0"/>
                  <w:vAlign w:val="center"/>
                </w:tcPr>
                <w:p>
                  <w:pPr>
                    <w:autoSpaceDE w:val="0"/>
                    <w:autoSpaceDN w:val="0"/>
                    <w:adjustRightInd w:val="0"/>
                    <w:snapToGrid w:val="0"/>
                    <w:jc w:val="center"/>
                    <w:rPr>
                      <w:rFonts w:hint="eastAsia"/>
                      <w:sz w:val="18"/>
                      <w:szCs w:val="18"/>
                    </w:rPr>
                  </w:pPr>
                  <w:r>
                    <w:rPr>
                      <w:rFonts w:hint="eastAsia"/>
                      <w:sz w:val="18"/>
                      <w:szCs w:val="18"/>
                    </w:rPr>
                    <w:t>6</w:t>
                  </w:r>
                  <w:r>
                    <w:rPr>
                      <w:sz w:val="18"/>
                      <w:szCs w:val="18"/>
                    </w:rPr>
                    <w:t>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3" w:type="dxa"/>
                <w:jc w:val="center"/>
              </w:trPr>
              <w:tc>
                <w:tcPr>
                  <w:tcW w:w="1070" w:type="dxa"/>
                  <w:vMerge w:val="continue"/>
                  <w:noWrap w:val="0"/>
                  <w:vAlign w:val="center"/>
                </w:tcPr>
                <w:p>
                  <w:pPr>
                    <w:autoSpaceDE w:val="0"/>
                    <w:autoSpaceDN w:val="0"/>
                    <w:adjustRightInd w:val="0"/>
                    <w:snapToGrid w:val="0"/>
                    <w:jc w:val="center"/>
                    <w:rPr>
                      <w:rFonts w:hint="eastAsia"/>
                      <w:sz w:val="18"/>
                      <w:szCs w:val="18"/>
                    </w:rPr>
                  </w:pPr>
                </w:p>
              </w:tc>
              <w:tc>
                <w:tcPr>
                  <w:tcW w:w="824" w:type="dxa"/>
                  <w:noWrap w:val="0"/>
                  <w:vAlign w:val="center"/>
                </w:tcPr>
                <w:p>
                  <w:pPr>
                    <w:autoSpaceDE w:val="0"/>
                    <w:autoSpaceDN w:val="0"/>
                    <w:adjustRightInd w:val="0"/>
                    <w:snapToGrid w:val="0"/>
                    <w:rPr>
                      <w:rFonts w:hint="eastAsia"/>
                      <w:sz w:val="18"/>
                      <w:szCs w:val="18"/>
                    </w:rPr>
                  </w:pPr>
                  <w:r>
                    <w:rPr>
                      <w:rFonts w:hint="eastAsia"/>
                      <w:sz w:val="18"/>
                      <w:szCs w:val="18"/>
                    </w:rPr>
                    <w:t>取样泵</w:t>
                  </w:r>
                </w:p>
              </w:tc>
              <w:tc>
                <w:tcPr>
                  <w:tcW w:w="830" w:type="dxa"/>
                  <w:noWrap w:val="0"/>
                  <w:vAlign w:val="center"/>
                </w:tcPr>
                <w:p>
                  <w:pPr>
                    <w:autoSpaceDE w:val="0"/>
                    <w:autoSpaceDN w:val="0"/>
                    <w:adjustRightInd w:val="0"/>
                    <w:snapToGrid w:val="0"/>
                    <w:jc w:val="center"/>
                    <w:rPr>
                      <w:rFonts w:hint="eastAsia"/>
                      <w:sz w:val="18"/>
                      <w:szCs w:val="18"/>
                    </w:rPr>
                  </w:pPr>
                  <w:r>
                    <w:rPr>
                      <w:rFonts w:hint="eastAsia"/>
                      <w:sz w:val="18"/>
                      <w:szCs w:val="18"/>
                    </w:rPr>
                    <w:t>8</w:t>
                  </w:r>
                  <w:r>
                    <w:rPr>
                      <w:sz w:val="18"/>
                      <w:szCs w:val="18"/>
                    </w:rPr>
                    <w:t>5</w:t>
                  </w:r>
                </w:p>
              </w:tc>
              <w:tc>
                <w:tcPr>
                  <w:tcW w:w="947" w:type="dxa"/>
                  <w:vMerge w:val="continue"/>
                  <w:noWrap w:val="0"/>
                  <w:vAlign w:val="center"/>
                </w:tcPr>
                <w:p>
                  <w:pPr>
                    <w:autoSpaceDE w:val="0"/>
                    <w:autoSpaceDN w:val="0"/>
                    <w:adjustRightInd w:val="0"/>
                    <w:snapToGrid w:val="0"/>
                    <w:jc w:val="center"/>
                    <w:rPr>
                      <w:rFonts w:hint="eastAsia"/>
                      <w:sz w:val="18"/>
                      <w:szCs w:val="18"/>
                    </w:rPr>
                  </w:pPr>
                </w:p>
              </w:tc>
              <w:tc>
                <w:tcPr>
                  <w:tcW w:w="510"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2</w:t>
                  </w:r>
                </w:p>
              </w:tc>
              <w:tc>
                <w:tcPr>
                  <w:tcW w:w="638"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2</w:t>
                  </w:r>
                </w:p>
              </w:tc>
              <w:tc>
                <w:tcPr>
                  <w:tcW w:w="506"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3</w:t>
                  </w:r>
                </w:p>
              </w:tc>
              <w:tc>
                <w:tcPr>
                  <w:tcW w:w="429"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3</w:t>
                  </w:r>
                </w:p>
              </w:tc>
              <w:tc>
                <w:tcPr>
                  <w:tcW w:w="413" w:type="dxa"/>
                  <w:gridSpan w:val="2"/>
                  <w:noWrap w:val="0"/>
                  <w:vAlign w:val="center"/>
                </w:tcPr>
                <w:p>
                  <w:pPr>
                    <w:autoSpaceDE w:val="0"/>
                    <w:autoSpaceDN w:val="0"/>
                    <w:adjustRightInd w:val="0"/>
                    <w:snapToGrid w:val="0"/>
                    <w:jc w:val="center"/>
                    <w:rPr>
                      <w:sz w:val="18"/>
                      <w:szCs w:val="18"/>
                    </w:rPr>
                  </w:pPr>
                  <w:r>
                    <w:rPr>
                      <w:rFonts w:hint="eastAsia"/>
                      <w:sz w:val="18"/>
                      <w:szCs w:val="18"/>
                    </w:rPr>
                    <w:t>6</w:t>
                  </w:r>
                  <w:r>
                    <w:rPr>
                      <w:sz w:val="18"/>
                      <w:szCs w:val="18"/>
                    </w:rPr>
                    <w:t>3</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6</w:t>
                  </w:r>
                  <w:r>
                    <w:rPr>
                      <w:sz w:val="18"/>
                      <w:szCs w:val="18"/>
                    </w:rPr>
                    <w:t>3</w:t>
                  </w:r>
                </w:p>
              </w:tc>
              <w:tc>
                <w:tcPr>
                  <w:tcW w:w="426" w:type="dxa"/>
                  <w:noWrap w:val="0"/>
                  <w:vAlign w:val="center"/>
                </w:tcPr>
                <w:p>
                  <w:pPr>
                    <w:autoSpaceDE w:val="0"/>
                    <w:autoSpaceDN w:val="0"/>
                    <w:adjustRightInd w:val="0"/>
                    <w:snapToGrid w:val="0"/>
                    <w:jc w:val="center"/>
                    <w:rPr>
                      <w:rFonts w:hint="eastAsia"/>
                      <w:sz w:val="18"/>
                      <w:szCs w:val="18"/>
                    </w:rPr>
                  </w:pPr>
                  <w:r>
                    <w:rPr>
                      <w:rFonts w:hint="eastAsia"/>
                      <w:sz w:val="18"/>
                      <w:szCs w:val="18"/>
                    </w:rPr>
                    <w:t>6</w:t>
                  </w:r>
                  <w:r>
                    <w:rPr>
                      <w:sz w:val="18"/>
                      <w:szCs w:val="18"/>
                    </w:rPr>
                    <w:t>3</w:t>
                  </w:r>
                </w:p>
              </w:tc>
              <w:tc>
                <w:tcPr>
                  <w:tcW w:w="514" w:type="dxa"/>
                  <w:noWrap w:val="0"/>
                  <w:vAlign w:val="center"/>
                </w:tcPr>
                <w:p>
                  <w:pPr>
                    <w:autoSpaceDE w:val="0"/>
                    <w:autoSpaceDN w:val="0"/>
                    <w:adjustRightInd w:val="0"/>
                    <w:snapToGrid w:val="0"/>
                    <w:jc w:val="center"/>
                    <w:rPr>
                      <w:rFonts w:hint="eastAsia"/>
                      <w:sz w:val="18"/>
                      <w:szCs w:val="18"/>
                    </w:rPr>
                  </w:pPr>
                  <w:r>
                    <w:rPr>
                      <w:rFonts w:hint="eastAsia"/>
                      <w:sz w:val="18"/>
                      <w:szCs w:val="18"/>
                    </w:rPr>
                    <w:t>6</w:t>
                  </w:r>
                  <w:r>
                    <w:rPr>
                      <w:sz w:val="18"/>
                      <w:szCs w:val="18"/>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3" w:type="dxa"/>
                <w:jc w:val="center"/>
              </w:trPr>
              <w:tc>
                <w:tcPr>
                  <w:tcW w:w="1070" w:type="dxa"/>
                  <w:noWrap w:val="0"/>
                  <w:vAlign w:val="center"/>
                </w:tcPr>
                <w:p>
                  <w:pPr>
                    <w:autoSpaceDE w:val="0"/>
                    <w:autoSpaceDN w:val="0"/>
                    <w:adjustRightInd w:val="0"/>
                    <w:snapToGrid w:val="0"/>
                    <w:jc w:val="center"/>
                    <w:rPr>
                      <w:rFonts w:hint="eastAsia"/>
                      <w:sz w:val="18"/>
                      <w:szCs w:val="18"/>
                    </w:rPr>
                  </w:pPr>
                  <w:r>
                    <w:rPr>
                      <w:rFonts w:hint="eastAsia"/>
                      <w:sz w:val="18"/>
                      <w:szCs w:val="18"/>
                    </w:rPr>
                    <w:t>脱水车间</w:t>
                  </w:r>
                </w:p>
              </w:tc>
              <w:tc>
                <w:tcPr>
                  <w:tcW w:w="824" w:type="dxa"/>
                  <w:noWrap w:val="0"/>
                  <w:vAlign w:val="center"/>
                </w:tcPr>
                <w:p>
                  <w:pPr>
                    <w:autoSpaceDE w:val="0"/>
                    <w:autoSpaceDN w:val="0"/>
                    <w:adjustRightInd w:val="0"/>
                    <w:snapToGrid w:val="0"/>
                    <w:jc w:val="center"/>
                    <w:rPr>
                      <w:rFonts w:hint="eastAsia"/>
                      <w:sz w:val="18"/>
                      <w:szCs w:val="18"/>
                    </w:rPr>
                  </w:pPr>
                  <w:r>
                    <w:rPr>
                      <w:rFonts w:hint="eastAsia"/>
                      <w:sz w:val="18"/>
                      <w:szCs w:val="18"/>
                    </w:rPr>
                    <w:t>脱水机</w:t>
                  </w:r>
                </w:p>
              </w:tc>
              <w:tc>
                <w:tcPr>
                  <w:tcW w:w="830" w:type="dxa"/>
                  <w:noWrap w:val="0"/>
                  <w:vAlign w:val="center"/>
                </w:tcPr>
                <w:p>
                  <w:pPr>
                    <w:autoSpaceDE w:val="0"/>
                    <w:autoSpaceDN w:val="0"/>
                    <w:adjustRightInd w:val="0"/>
                    <w:snapToGrid w:val="0"/>
                    <w:jc w:val="center"/>
                    <w:rPr>
                      <w:sz w:val="18"/>
                      <w:szCs w:val="18"/>
                    </w:rPr>
                  </w:pPr>
                  <w:r>
                    <w:rPr>
                      <w:rFonts w:hint="eastAsia"/>
                      <w:sz w:val="18"/>
                      <w:szCs w:val="18"/>
                    </w:rPr>
                    <w:t>8</w:t>
                  </w:r>
                  <w:r>
                    <w:rPr>
                      <w:sz w:val="18"/>
                      <w:szCs w:val="18"/>
                    </w:rPr>
                    <w:t>0</w:t>
                  </w:r>
                </w:p>
              </w:tc>
              <w:tc>
                <w:tcPr>
                  <w:tcW w:w="947" w:type="dxa"/>
                  <w:vMerge w:val="continue"/>
                  <w:noWrap w:val="0"/>
                  <w:vAlign w:val="center"/>
                </w:tcPr>
                <w:p>
                  <w:pPr>
                    <w:autoSpaceDE w:val="0"/>
                    <w:autoSpaceDN w:val="0"/>
                    <w:adjustRightInd w:val="0"/>
                    <w:snapToGrid w:val="0"/>
                    <w:jc w:val="center"/>
                    <w:rPr>
                      <w:rFonts w:hint="eastAsia"/>
                      <w:sz w:val="18"/>
                      <w:szCs w:val="18"/>
                    </w:rPr>
                  </w:pPr>
                </w:p>
              </w:tc>
              <w:tc>
                <w:tcPr>
                  <w:tcW w:w="510" w:type="dxa"/>
                  <w:noWrap w:val="0"/>
                  <w:vAlign w:val="center"/>
                </w:tcPr>
                <w:p>
                  <w:pPr>
                    <w:autoSpaceDE w:val="0"/>
                    <w:autoSpaceDN w:val="0"/>
                    <w:adjustRightInd w:val="0"/>
                    <w:snapToGrid w:val="0"/>
                    <w:jc w:val="center"/>
                    <w:rPr>
                      <w:sz w:val="18"/>
                      <w:szCs w:val="18"/>
                    </w:rPr>
                  </w:pPr>
                  <w:r>
                    <w:rPr>
                      <w:rFonts w:hint="eastAsia"/>
                      <w:sz w:val="18"/>
                      <w:szCs w:val="18"/>
                    </w:rPr>
                    <w:t>5</w:t>
                  </w:r>
                </w:p>
              </w:tc>
              <w:tc>
                <w:tcPr>
                  <w:tcW w:w="638" w:type="dxa"/>
                  <w:noWrap w:val="0"/>
                  <w:vAlign w:val="center"/>
                </w:tcPr>
                <w:p>
                  <w:pPr>
                    <w:autoSpaceDE w:val="0"/>
                    <w:autoSpaceDN w:val="0"/>
                    <w:adjustRightInd w:val="0"/>
                    <w:snapToGrid w:val="0"/>
                    <w:jc w:val="center"/>
                    <w:rPr>
                      <w:rFonts w:hint="eastAsia"/>
                      <w:sz w:val="18"/>
                      <w:szCs w:val="18"/>
                    </w:rPr>
                  </w:pPr>
                  <w:r>
                    <w:rPr>
                      <w:sz w:val="18"/>
                      <w:szCs w:val="18"/>
                    </w:rPr>
                    <w:t>3</w:t>
                  </w:r>
                </w:p>
              </w:tc>
              <w:tc>
                <w:tcPr>
                  <w:tcW w:w="506"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2</w:t>
                  </w:r>
                </w:p>
              </w:tc>
              <w:tc>
                <w:tcPr>
                  <w:tcW w:w="429" w:type="dxa"/>
                  <w:noWrap w:val="0"/>
                  <w:vAlign w:val="center"/>
                </w:tcPr>
                <w:p>
                  <w:pPr>
                    <w:autoSpaceDE w:val="0"/>
                    <w:autoSpaceDN w:val="0"/>
                    <w:adjustRightInd w:val="0"/>
                    <w:snapToGrid w:val="0"/>
                    <w:jc w:val="center"/>
                    <w:rPr>
                      <w:rFonts w:hint="eastAsia"/>
                      <w:sz w:val="18"/>
                      <w:szCs w:val="18"/>
                    </w:rPr>
                  </w:pPr>
                  <w:r>
                    <w:rPr>
                      <w:sz w:val="18"/>
                      <w:szCs w:val="18"/>
                    </w:rPr>
                    <w:t>8</w:t>
                  </w:r>
                </w:p>
              </w:tc>
              <w:tc>
                <w:tcPr>
                  <w:tcW w:w="413" w:type="dxa"/>
                  <w:gridSpan w:val="2"/>
                  <w:noWrap w:val="0"/>
                  <w:vAlign w:val="center"/>
                </w:tcPr>
                <w:p>
                  <w:pPr>
                    <w:autoSpaceDE w:val="0"/>
                    <w:autoSpaceDN w:val="0"/>
                    <w:adjustRightInd w:val="0"/>
                    <w:snapToGrid w:val="0"/>
                    <w:jc w:val="center"/>
                    <w:rPr>
                      <w:rFonts w:hint="eastAsia"/>
                      <w:sz w:val="18"/>
                      <w:szCs w:val="18"/>
                    </w:rPr>
                  </w:pPr>
                  <w:r>
                    <w:rPr>
                      <w:rFonts w:hint="eastAsia"/>
                      <w:sz w:val="18"/>
                      <w:szCs w:val="18"/>
                    </w:rPr>
                    <w:t>6</w:t>
                  </w:r>
                  <w:r>
                    <w:rPr>
                      <w:sz w:val="18"/>
                      <w:szCs w:val="18"/>
                    </w:rPr>
                    <w:t>6</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7</w:t>
                  </w:r>
                  <w:r>
                    <w:rPr>
                      <w:sz w:val="18"/>
                      <w:szCs w:val="18"/>
                    </w:rPr>
                    <w:t>0</w:t>
                  </w:r>
                </w:p>
              </w:tc>
              <w:tc>
                <w:tcPr>
                  <w:tcW w:w="426" w:type="dxa"/>
                  <w:noWrap w:val="0"/>
                  <w:vAlign w:val="center"/>
                </w:tcPr>
                <w:p>
                  <w:pPr>
                    <w:autoSpaceDE w:val="0"/>
                    <w:autoSpaceDN w:val="0"/>
                    <w:adjustRightInd w:val="0"/>
                    <w:snapToGrid w:val="0"/>
                    <w:jc w:val="center"/>
                    <w:rPr>
                      <w:rFonts w:hint="eastAsia"/>
                      <w:sz w:val="18"/>
                      <w:szCs w:val="18"/>
                    </w:rPr>
                  </w:pPr>
                  <w:r>
                    <w:rPr>
                      <w:rFonts w:hint="eastAsia"/>
                      <w:sz w:val="18"/>
                      <w:szCs w:val="18"/>
                    </w:rPr>
                    <w:t>5</w:t>
                  </w:r>
                  <w:r>
                    <w:rPr>
                      <w:sz w:val="18"/>
                      <w:szCs w:val="18"/>
                    </w:rPr>
                    <w:t>8</w:t>
                  </w:r>
                </w:p>
              </w:tc>
              <w:tc>
                <w:tcPr>
                  <w:tcW w:w="514" w:type="dxa"/>
                  <w:noWrap w:val="0"/>
                  <w:vAlign w:val="center"/>
                </w:tcPr>
                <w:p>
                  <w:pPr>
                    <w:autoSpaceDE w:val="0"/>
                    <w:autoSpaceDN w:val="0"/>
                    <w:adjustRightInd w:val="0"/>
                    <w:snapToGrid w:val="0"/>
                    <w:jc w:val="center"/>
                    <w:rPr>
                      <w:sz w:val="18"/>
                      <w:szCs w:val="18"/>
                    </w:rPr>
                  </w:pPr>
                  <w:r>
                    <w:rPr>
                      <w:rFonts w:hint="eastAsia"/>
                      <w:sz w:val="18"/>
                      <w:szCs w:val="18"/>
                    </w:rPr>
                    <w:t>6</w:t>
                  </w:r>
                  <w:r>
                    <w:rPr>
                      <w:sz w:val="18"/>
                      <w:szCs w:val="18"/>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3" w:type="dxa"/>
                <w:jc w:val="center"/>
              </w:trPr>
              <w:tc>
                <w:tcPr>
                  <w:tcW w:w="1070" w:type="dxa"/>
                  <w:noWrap w:val="0"/>
                  <w:vAlign w:val="center"/>
                </w:tcPr>
                <w:p>
                  <w:pPr>
                    <w:autoSpaceDE w:val="0"/>
                    <w:autoSpaceDN w:val="0"/>
                    <w:adjustRightInd w:val="0"/>
                    <w:snapToGrid w:val="0"/>
                    <w:jc w:val="center"/>
                    <w:rPr>
                      <w:rFonts w:hint="eastAsia"/>
                      <w:sz w:val="18"/>
                      <w:szCs w:val="18"/>
                    </w:rPr>
                  </w:pPr>
                  <w:r>
                    <w:rPr>
                      <w:rFonts w:hint="eastAsia"/>
                      <w:sz w:val="18"/>
                      <w:szCs w:val="18"/>
                    </w:rPr>
                    <w:t>送水泵房</w:t>
                  </w:r>
                </w:p>
              </w:tc>
              <w:tc>
                <w:tcPr>
                  <w:tcW w:w="824" w:type="dxa"/>
                  <w:noWrap w:val="0"/>
                  <w:vAlign w:val="center"/>
                </w:tcPr>
                <w:p>
                  <w:pPr>
                    <w:autoSpaceDE w:val="0"/>
                    <w:autoSpaceDN w:val="0"/>
                    <w:adjustRightInd w:val="0"/>
                    <w:snapToGrid w:val="0"/>
                    <w:jc w:val="center"/>
                    <w:rPr>
                      <w:rFonts w:hint="eastAsia"/>
                      <w:sz w:val="18"/>
                      <w:szCs w:val="18"/>
                    </w:rPr>
                  </w:pPr>
                  <w:r>
                    <w:rPr>
                      <w:rFonts w:hint="eastAsia"/>
                      <w:sz w:val="18"/>
                      <w:szCs w:val="18"/>
                    </w:rPr>
                    <w:t>离心泵</w:t>
                  </w:r>
                </w:p>
              </w:tc>
              <w:tc>
                <w:tcPr>
                  <w:tcW w:w="830" w:type="dxa"/>
                  <w:noWrap w:val="0"/>
                  <w:vAlign w:val="center"/>
                </w:tcPr>
                <w:p>
                  <w:pPr>
                    <w:autoSpaceDE w:val="0"/>
                    <w:autoSpaceDN w:val="0"/>
                    <w:adjustRightInd w:val="0"/>
                    <w:snapToGrid w:val="0"/>
                    <w:jc w:val="center"/>
                    <w:rPr>
                      <w:sz w:val="18"/>
                      <w:szCs w:val="18"/>
                    </w:rPr>
                  </w:pPr>
                  <w:r>
                    <w:rPr>
                      <w:rFonts w:hint="eastAsia"/>
                      <w:sz w:val="18"/>
                      <w:szCs w:val="18"/>
                    </w:rPr>
                    <w:t>8</w:t>
                  </w:r>
                  <w:r>
                    <w:rPr>
                      <w:sz w:val="18"/>
                      <w:szCs w:val="18"/>
                    </w:rPr>
                    <w:t>5</w:t>
                  </w:r>
                </w:p>
              </w:tc>
              <w:tc>
                <w:tcPr>
                  <w:tcW w:w="947" w:type="dxa"/>
                  <w:vMerge w:val="continue"/>
                  <w:noWrap w:val="0"/>
                  <w:vAlign w:val="center"/>
                </w:tcPr>
                <w:p>
                  <w:pPr>
                    <w:autoSpaceDE w:val="0"/>
                    <w:autoSpaceDN w:val="0"/>
                    <w:adjustRightInd w:val="0"/>
                    <w:snapToGrid w:val="0"/>
                    <w:jc w:val="center"/>
                    <w:rPr>
                      <w:rFonts w:hint="eastAsia"/>
                      <w:sz w:val="18"/>
                      <w:szCs w:val="18"/>
                    </w:rPr>
                  </w:pPr>
                </w:p>
              </w:tc>
              <w:tc>
                <w:tcPr>
                  <w:tcW w:w="510" w:type="dxa"/>
                  <w:noWrap w:val="0"/>
                  <w:vAlign w:val="center"/>
                </w:tcPr>
                <w:p>
                  <w:pPr>
                    <w:autoSpaceDE w:val="0"/>
                    <w:autoSpaceDN w:val="0"/>
                    <w:adjustRightInd w:val="0"/>
                    <w:snapToGrid w:val="0"/>
                    <w:jc w:val="center"/>
                    <w:rPr>
                      <w:sz w:val="18"/>
                      <w:szCs w:val="18"/>
                    </w:rPr>
                  </w:pPr>
                  <w:r>
                    <w:rPr>
                      <w:rFonts w:hint="eastAsia"/>
                      <w:sz w:val="18"/>
                      <w:szCs w:val="18"/>
                    </w:rPr>
                    <w:t>3</w:t>
                  </w:r>
                </w:p>
              </w:tc>
              <w:tc>
                <w:tcPr>
                  <w:tcW w:w="638" w:type="dxa"/>
                  <w:noWrap w:val="0"/>
                  <w:vAlign w:val="center"/>
                </w:tcPr>
                <w:p>
                  <w:pPr>
                    <w:autoSpaceDE w:val="0"/>
                    <w:autoSpaceDN w:val="0"/>
                    <w:adjustRightInd w:val="0"/>
                    <w:snapToGrid w:val="0"/>
                    <w:jc w:val="center"/>
                    <w:rPr>
                      <w:rFonts w:hint="eastAsia"/>
                      <w:sz w:val="18"/>
                      <w:szCs w:val="18"/>
                    </w:rPr>
                  </w:pPr>
                  <w:r>
                    <w:rPr>
                      <w:rFonts w:hint="eastAsia"/>
                      <w:sz w:val="18"/>
                      <w:szCs w:val="18"/>
                    </w:rPr>
                    <w:t>2</w:t>
                  </w:r>
                  <w:r>
                    <w:rPr>
                      <w:sz w:val="18"/>
                      <w:szCs w:val="18"/>
                    </w:rPr>
                    <w:t>1</w:t>
                  </w:r>
                </w:p>
              </w:tc>
              <w:tc>
                <w:tcPr>
                  <w:tcW w:w="506" w:type="dxa"/>
                  <w:noWrap w:val="0"/>
                  <w:vAlign w:val="center"/>
                </w:tcPr>
                <w:p>
                  <w:pPr>
                    <w:autoSpaceDE w:val="0"/>
                    <w:autoSpaceDN w:val="0"/>
                    <w:adjustRightInd w:val="0"/>
                    <w:snapToGrid w:val="0"/>
                    <w:jc w:val="center"/>
                    <w:rPr>
                      <w:rFonts w:hint="eastAsia"/>
                      <w:sz w:val="18"/>
                      <w:szCs w:val="18"/>
                    </w:rPr>
                  </w:pPr>
                  <w:r>
                    <w:rPr>
                      <w:rFonts w:hint="eastAsia"/>
                      <w:sz w:val="18"/>
                      <w:szCs w:val="18"/>
                    </w:rPr>
                    <w:t>5</w:t>
                  </w:r>
                </w:p>
              </w:tc>
              <w:tc>
                <w:tcPr>
                  <w:tcW w:w="429" w:type="dxa"/>
                  <w:noWrap w:val="0"/>
                  <w:vAlign w:val="center"/>
                </w:tcPr>
                <w:p>
                  <w:pPr>
                    <w:autoSpaceDE w:val="0"/>
                    <w:autoSpaceDN w:val="0"/>
                    <w:adjustRightInd w:val="0"/>
                    <w:snapToGrid w:val="0"/>
                    <w:jc w:val="center"/>
                    <w:rPr>
                      <w:rFonts w:hint="eastAsia"/>
                      <w:sz w:val="18"/>
                      <w:szCs w:val="18"/>
                    </w:rPr>
                  </w:pPr>
                  <w:r>
                    <w:rPr>
                      <w:rFonts w:hint="eastAsia"/>
                      <w:sz w:val="18"/>
                      <w:szCs w:val="18"/>
                    </w:rPr>
                    <w:t>1</w:t>
                  </w:r>
                  <w:r>
                    <w:rPr>
                      <w:sz w:val="18"/>
                      <w:szCs w:val="18"/>
                    </w:rPr>
                    <w:t>0</w:t>
                  </w:r>
                </w:p>
              </w:tc>
              <w:tc>
                <w:tcPr>
                  <w:tcW w:w="413" w:type="dxa"/>
                  <w:gridSpan w:val="2"/>
                  <w:noWrap w:val="0"/>
                  <w:vAlign w:val="center"/>
                </w:tcPr>
                <w:p>
                  <w:pPr>
                    <w:autoSpaceDE w:val="0"/>
                    <w:autoSpaceDN w:val="0"/>
                    <w:adjustRightInd w:val="0"/>
                    <w:snapToGrid w:val="0"/>
                    <w:jc w:val="center"/>
                    <w:rPr>
                      <w:rFonts w:hint="eastAsia"/>
                      <w:sz w:val="18"/>
                      <w:szCs w:val="18"/>
                    </w:rPr>
                  </w:pPr>
                  <w:r>
                    <w:rPr>
                      <w:rFonts w:hint="eastAsia"/>
                      <w:sz w:val="18"/>
                      <w:szCs w:val="18"/>
                    </w:rPr>
                    <w:t>7</w:t>
                  </w:r>
                  <w:r>
                    <w:rPr>
                      <w:sz w:val="18"/>
                      <w:szCs w:val="18"/>
                    </w:rPr>
                    <w:t>5</w:t>
                  </w:r>
                </w:p>
              </w:tc>
              <w:tc>
                <w:tcPr>
                  <w:tcW w:w="425" w:type="dxa"/>
                  <w:noWrap w:val="0"/>
                  <w:vAlign w:val="center"/>
                </w:tcPr>
                <w:p>
                  <w:pPr>
                    <w:autoSpaceDE w:val="0"/>
                    <w:autoSpaceDN w:val="0"/>
                    <w:adjustRightInd w:val="0"/>
                    <w:snapToGrid w:val="0"/>
                    <w:jc w:val="center"/>
                    <w:rPr>
                      <w:sz w:val="18"/>
                      <w:szCs w:val="18"/>
                    </w:rPr>
                  </w:pPr>
                  <w:r>
                    <w:rPr>
                      <w:rFonts w:hint="eastAsia"/>
                      <w:sz w:val="18"/>
                      <w:szCs w:val="18"/>
                    </w:rPr>
                    <w:t>5</w:t>
                  </w:r>
                  <w:r>
                    <w:rPr>
                      <w:sz w:val="18"/>
                      <w:szCs w:val="18"/>
                    </w:rPr>
                    <w:t>9</w:t>
                  </w:r>
                </w:p>
              </w:tc>
              <w:tc>
                <w:tcPr>
                  <w:tcW w:w="426" w:type="dxa"/>
                  <w:noWrap w:val="0"/>
                  <w:vAlign w:val="center"/>
                </w:tcPr>
                <w:p>
                  <w:pPr>
                    <w:autoSpaceDE w:val="0"/>
                    <w:autoSpaceDN w:val="0"/>
                    <w:adjustRightInd w:val="0"/>
                    <w:snapToGrid w:val="0"/>
                    <w:jc w:val="center"/>
                    <w:rPr>
                      <w:rFonts w:hint="eastAsia"/>
                      <w:sz w:val="18"/>
                      <w:szCs w:val="18"/>
                    </w:rPr>
                  </w:pPr>
                  <w:r>
                    <w:rPr>
                      <w:rFonts w:hint="eastAsia"/>
                      <w:sz w:val="18"/>
                      <w:szCs w:val="18"/>
                    </w:rPr>
                    <w:t>7</w:t>
                  </w:r>
                  <w:r>
                    <w:rPr>
                      <w:sz w:val="18"/>
                      <w:szCs w:val="18"/>
                    </w:rPr>
                    <w:t>1</w:t>
                  </w:r>
                </w:p>
              </w:tc>
              <w:tc>
                <w:tcPr>
                  <w:tcW w:w="514" w:type="dxa"/>
                  <w:noWrap w:val="0"/>
                  <w:vAlign w:val="center"/>
                </w:tcPr>
                <w:p>
                  <w:pPr>
                    <w:autoSpaceDE w:val="0"/>
                    <w:autoSpaceDN w:val="0"/>
                    <w:adjustRightInd w:val="0"/>
                    <w:snapToGrid w:val="0"/>
                    <w:rPr>
                      <w:rFonts w:hint="eastAsia"/>
                      <w:sz w:val="18"/>
                      <w:szCs w:val="18"/>
                    </w:rPr>
                  </w:pPr>
                  <w:r>
                    <w:rPr>
                      <w:rFonts w:hint="eastAsia"/>
                      <w:sz w:val="18"/>
                      <w:szCs w:val="18"/>
                    </w:rPr>
                    <w:t>6</w:t>
                  </w:r>
                  <w:r>
                    <w:rPr>
                      <w:sz w:val="18"/>
                      <w:szCs w:val="18"/>
                    </w:rPr>
                    <w:t>5</w:t>
                  </w:r>
                </w:p>
              </w:tc>
            </w:tr>
          </w:tbl>
          <w:p>
            <w:pPr>
              <w:pStyle w:val="183"/>
              <w:wordWrap/>
              <w:autoSpaceDE w:val="0"/>
              <w:autoSpaceDN w:val="0"/>
              <w:ind w:firstLine="200" w:firstLineChars="83"/>
              <w:jc w:val="center"/>
              <w:rPr>
                <w:b/>
                <w:bCs/>
              </w:rPr>
            </w:pPr>
            <w:r>
              <w:rPr>
                <w:b/>
                <w:bCs/>
              </w:rPr>
              <w:t>表4</w:t>
            </w:r>
            <w:r>
              <w:rPr>
                <w:rFonts w:hint="eastAsia"/>
                <w:b/>
                <w:bCs/>
              </w:rPr>
              <w:t>-</w:t>
            </w:r>
            <w:r>
              <w:rPr>
                <w:b/>
                <w:bCs/>
              </w:rPr>
              <w:t>9</w:t>
            </w:r>
            <w:r>
              <w:rPr>
                <w:rFonts w:hint="eastAsia"/>
                <w:b/>
                <w:bCs/>
              </w:rPr>
              <w:t xml:space="preserve"> </w:t>
            </w:r>
            <w:r>
              <w:rPr>
                <w:b/>
                <w:bCs/>
              </w:rPr>
              <w:t xml:space="preserve"> </w:t>
            </w:r>
            <w:r>
              <w:rPr>
                <w:rFonts w:hint="eastAsia"/>
                <w:b/>
                <w:bCs/>
              </w:rPr>
              <w:t>主要噪声源特性表（续）</w:t>
            </w:r>
          </w:p>
          <w:tbl>
            <w:tblPr>
              <w:tblStyle w:val="39"/>
              <w:tblW w:w="779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870"/>
              <w:gridCol w:w="962"/>
              <w:gridCol w:w="1301"/>
              <w:gridCol w:w="1150"/>
              <w:gridCol w:w="498"/>
              <w:gridCol w:w="668"/>
              <w:gridCol w:w="505"/>
              <w:gridCol w:w="19"/>
              <w:gridCol w:w="660"/>
              <w:gridCol w:w="19"/>
              <w:gridCol w:w="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27" w:type="dxa"/>
                  <w:vMerge w:val="restart"/>
                  <w:noWrap w:val="0"/>
                  <w:vAlign w:val="center"/>
                </w:tcPr>
                <w:p>
                  <w:pPr>
                    <w:autoSpaceDE w:val="0"/>
                    <w:autoSpaceDN w:val="0"/>
                    <w:jc w:val="center"/>
                    <w:rPr>
                      <w:sz w:val="18"/>
                      <w:szCs w:val="18"/>
                    </w:rPr>
                  </w:pPr>
                  <w:r>
                    <w:rPr>
                      <w:rFonts w:hint="eastAsia"/>
                      <w:sz w:val="18"/>
                      <w:szCs w:val="18"/>
                    </w:rPr>
                    <w:t>建筑物名称</w:t>
                  </w:r>
                </w:p>
              </w:tc>
              <w:tc>
                <w:tcPr>
                  <w:tcW w:w="870" w:type="dxa"/>
                  <w:vMerge w:val="restart"/>
                  <w:noWrap w:val="0"/>
                  <w:vAlign w:val="center"/>
                </w:tcPr>
                <w:p>
                  <w:pPr>
                    <w:autoSpaceDE w:val="0"/>
                    <w:autoSpaceDN w:val="0"/>
                    <w:jc w:val="center"/>
                    <w:rPr>
                      <w:sz w:val="18"/>
                      <w:szCs w:val="18"/>
                    </w:rPr>
                  </w:pPr>
                  <w:r>
                    <w:rPr>
                      <w:rFonts w:hint="eastAsia"/>
                      <w:sz w:val="18"/>
                      <w:szCs w:val="18"/>
                    </w:rPr>
                    <w:t>声源名称</w:t>
                  </w:r>
                </w:p>
              </w:tc>
              <w:tc>
                <w:tcPr>
                  <w:tcW w:w="962" w:type="dxa"/>
                  <w:vMerge w:val="restart"/>
                  <w:noWrap w:val="0"/>
                  <w:vAlign w:val="center"/>
                </w:tcPr>
                <w:p>
                  <w:pPr>
                    <w:autoSpaceDE w:val="0"/>
                    <w:autoSpaceDN w:val="0"/>
                    <w:jc w:val="center"/>
                    <w:rPr>
                      <w:sz w:val="18"/>
                      <w:szCs w:val="18"/>
                    </w:rPr>
                  </w:pPr>
                  <w:r>
                    <w:rPr>
                      <w:rFonts w:hint="eastAsia"/>
                      <w:sz w:val="18"/>
                      <w:szCs w:val="18"/>
                    </w:rPr>
                    <w:t>声功率级/dB（A）</w:t>
                  </w:r>
                </w:p>
              </w:tc>
              <w:tc>
                <w:tcPr>
                  <w:tcW w:w="1301" w:type="dxa"/>
                  <w:vMerge w:val="restart"/>
                  <w:noWrap w:val="0"/>
                  <w:vAlign w:val="center"/>
                </w:tcPr>
                <w:p>
                  <w:pPr>
                    <w:autoSpaceDE w:val="0"/>
                    <w:autoSpaceDN w:val="0"/>
                    <w:jc w:val="center"/>
                    <w:rPr>
                      <w:sz w:val="18"/>
                      <w:szCs w:val="18"/>
                    </w:rPr>
                  </w:pPr>
                  <w:r>
                    <w:rPr>
                      <w:rFonts w:hint="eastAsia"/>
                      <w:sz w:val="18"/>
                      <w:szCs w:val="18"/>
                    </w:rPr>
                    <w:t>声源控制措施</w:t>
                  </w:r>
                </w:p>
              </w:tc>
              <w:tc>
                <w:tcPr>
                  <w:tcW w:w="1150" w:type="dxa"/>
                  <w:vMerge w:val="restart"/>
                  <w:noWrap w:val="0"/>
                  <w:vAlign w:val="center"/>
                </w:tcPr>
                <w:p>
                  <w:pPr>
                    <w:autoSpaceDE w:val="0"/>
                    <w:autoSpaceDN w:val="0"/>
                    <w:jc w:val="center"/>
                    <w:rPr>
                      <w:rFonts w:hint="eastAsia"/>
                      <w:sz w:val="18"/>
                      <w:szCs w:val="18"/>
                    </w:rPr>
                  </w:pPr>
                  <w:r>
                    <w:rPr>
                      <w:rFonts w:hint="eastAsia"/>
                      <w:sz w:val="18"/>
                      <w:szCs w:val="18"/>
                    </w:rPr>
                    <w:t>建筑物插入损失/dB（A）</w:t>
                  </w:r>
                </w:p>
              </w:tc>
              <w:tc>
                <w:tcPr>
                  <w:tcW w:w="2381" w:type="dxa"/>
                  <w:gridSpan w:val="7"/>
                  <w:noWrap w:val="0"/>
                  <w:vAlign w:val="center"/>
                </w:tcPr>
                <w:p>
                  <w:pPr>
                    <w:autoSpaceDE w:val="0"/>
                    <w:autoSpaceDN w:val="0"/>
                    <w:jc w:val="center"/>
                    <w:rPr>
                      <w:rFonts w:hint="eastAsia"/>
                      <w:sz w:val="18"/>
                      <w:szCs w:val="18"/>
                    </w:rPr>
                  </w:pPr>
                  <w:r>
                    <w:rPr>
                      <w:rFonts w:hint="eastAsia"/>
                      <w:sz w:val="18"/>
                      <w:szCs w:val="18"/>
                    </w:rPr>
                    <w:t>建筑物外距离/</w:t>
                  </w:r>
                  <w:r>
                    <w:rPr>
                      <w:sz w:val="18"/>
                      <w:szCs w:val="18"/>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31" w:type="dxa"/>
                <w:trHeight w:val="247" w:hRule="atLeast"/>
                <w:jc w:val="center"/>
              </w:trPr>
              <w:tc>
                <w:tcPr>
                  <w:tcW w:w="1127" w:type="dxa"/>
                  <w:vMerge w:val="continue"/>
                  <w:noWrap w:val="0"/>
                  <w:vAlign w:val="center"/>
                </w:tcPr>
                <w:p>
                  <w:pPr>
                    <w:autoSpaceDE w:val="0"/>
                    <w:autoSpaceDN w:val="0"/>
                    <w:jc w:val="center"/>
                    <w:rPr>
                      <w:rFonts w:hint="eastAsia"/>
                      <w:sz w:val="18"/>
                      <w:szCs w:val="18"/>
                    </w:rPr>
                  </w:pPr>
                </w:p>
              </w:tc>
              <w:tc>
                <w:tcPr>
                  <w:tcW w:w="870" w:type="dxa"/>
                  <w:vMerge w:val="continue"/>
                  <w:noWrap w:val="0"/>
                  <w:vAlign w:val="center"/>
                </w:tcPr>
                <w:p>
                  <w:pPr>
                    <w:autoSpaceDE w:val="0"/>
                    <w:autoSpaceDN w:val="0"/>
                    <w:jc w:val="center"/>
                    <w:rPr>
                      <w:rFonts w:hint="eastAsia"/>
                      <w:sz w:val="18"/>
                      <w:szCs w:val="18"/>
                    </w:rPr>
                  </w:pPr>
                </w:p>
              </w:tc>
              <w:tc>
                <w:tcPr>
                  <w:tcW w:w="962" w:type="dxa"/>
                  <w:vMerge w:val="continue"/>
                  <w:noWrap w:val="0"/>
                  <w:vAlign w:val="center"/>
                </w:tcPr>
                <w:p>
                  <w:pPr>
                    <w:autoSpaceDE w:val="0"/>
                    <w:autoSpaceDN w:val="0"/>
                    <w:jc w:val="center"/>
                    <w:rPr>
                      <w:rFonts w:hint="eastAsia"/>
                      <w:sz w:val="18"/>
                      <w:szCs w:val="18"/>
                    </w:rPr>
                  </w:pPr>
                </w:p>
              </w:tc>
              <w:tc>
                <w:tcPr>
                  <w:tcW w:w="1301" w:type="dxa"/>
                  <w:vMerge w:val="continue"/>
                  <w:noWrap w:val="0"/>
                  <w:vAlign w:val="center"/>
                </w:tcPr>
                <w:p>
                  <w:pPr>
                    <w:autoSpaceDE w:val="0"/>
                    <w:autoSpaceDN w:val="0"/>
                    <w:jc w:val="center"/>
                    <w:rPr>
                      <w:rFonts w:hint="eastAsia"/>
                      <w:sz w:val="18"/>
                      <w:szCs w:val="18"/>
                    </w:rPr>
                  </w:pPr>
                </w:p>
              </w:tc>
              <w:tc>
                <w:tcPr>
                  <w:tcW w:w="1150" w:type="dxa"/>
                  <w:vMerge w:val="continue"/>
                  <w:noWrap w:val="0"/>
                  <w:vAlign w:val="center"/>
                </w:tcPr>
                <w:p>
                  <w:pPr>
                    <w:autoSpaceDE w:val="0"/>
                    <w:autoSpaceDN w:val="0"/>
                    <w:jc w:val="center"/>
                    <w:rPr>
                      <w:rFonts w:hint="eastAsia"/>
                      <w:sz w:val="18"/>
                      <w:szCs w:val="18"/>
                    </w:rPr>
                  </w:pPr>
                </w:p>
              </w:tc>
              <w:tc>
                <w:tcPr>
                  <w:tcW w:w="498" w:type="dxa"/>
                  <w:noWrap w:val="0"/>
                  <w:vAlign w:val="center"/>
                </w:tcPr>
                <w:p>
                  <w:pPr>
                    <w:autoSpaceDE w:val="0"/>
                    <w:autoSpaceDN w:val="0"/>
                    <w:jc w:val="center"/>
                    <w:rPr>
                      <w:sz w:val="18"/>
                      <w:szCs w:val="18"/>
                    </w:rPr>
                  </w:pPr>
                  <w:r>
                    <w:rPr>
                      <w:rFonts w:hint="eastAsia"/>
                      <w:sz w:val="18"/>
                      <w:szCs w:val="18"/>
                    </w:rPr>
                    <w:t>东</w:t>
                  </w:r>
                </w:p>
              </w:tc>
              <w:tc>
                <w:tcPr>
                  <w:tcW w:w="668" w:type="dxa"/>
                  <w:noWrap w:val="0"/>
                  <w:vAlign w:val="center"/>
                </w:tcPr>
                <w:p>
                  <w:pPr>
                    <w:autoSpaceDE w:val="0"/>
                    <w:autoSpaceDN w:val="0"/>
                    <w:jc w:val="center"/>
                    <w:rPr>
                      <w:sz w:val="18"/>
                      <w:szCs w:val="18"/>
                    </w:rPr>
                  </w:pPr>
                  <w:r>
                    <w:rPr>
                      <w:rFonts w:hint="eastAsia"/>
                      <w:sz w:val="18"/>
                      <w:szCs w:val="18"/>
                    </w:rPr>
                    <w:t>南</w:t>
                  </w:r>
                </w:p>
              </w:tc>
              <w:tc>
                <w:tcPr>
                  <w:tcW w:w="505" w:type="dxa"/>
                  <w:noWrap w:val="0"/>
                  <w:vAlign w:val="center"/>
                </w:tcPr>
                <w:p>
                  <w:pPr>
                    <w:autoSpaceDE w:val="0"/>
                    <w:autoSpaceDN w:val="0"/>
                    <w:jc w:val="center"/>
                    <w:rPr>
                      <w:sz w:val="18"/>
                      <w:szCs w:val="18"/>
                    </w:rPr>
                  </w:pPr>
                  <w:r>
                    <w:rPr>
                      <w:rFonts w:hint="eastAsia"/>
                      <w:sz w:val="18"/>
                      <w:szCs w:val="18"/>
                    </w:rPr>
                    <w:t>西</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 w:type="dxa"/>
                <w:jc w:val="center"/>
              </w:trPr>
              <w:tc>
                <w:tcPr>
                  <w:tcW w:w="1127" w:type="dxa"/>
                  <w:noWrap w:val="0"/>
                  <w:vAlign w:val="center"/>
                </w:tcPr>
                <w:p>
                  <w:pPr>
                    <w:autoSpaceDE w:val="0"/>
                    <w:autoSpaceDN w:val="0"/>
                    <w:adjustRightInd w:val="0"/>
                    <w:snapToGrid w:val="0"/>
                    <w:jc w:val="center"/>
                    <w:rPr>
                      <w:sz w:val="18"/>
                      <w:szCs w:val="18"/>
                    </w:rPr>
                  </w:pPr>
                  <w:r>
                    <w:rPr>
                      <w:rFonts w:hint="eastAsia"/>
                      <w:sz w:val="18"/>
                      <w:szCs w:val="18"/>
                    </w:rPr>
                    <w:t>提水泵站</w:t>
                  </w:r>
                </w:p>
              </w:tc>
              <w:tc>
                <w:tcPr>
                  <w:tcW w:w="870" w:type="dxa"/>
                  <w:noWrap w:val="0"/>
                  <w:vAlign w:val="center"/>
                </w:tcPr>
                <w:p>
                  <w:pPr>
                    <w:autoSpaceDE w:val="0"/>
                    <w:autoSpaceDN w:val="0"/>
                    <w:adjustRightInd w:val="0"/>
                    <w:snapToGrid w:val="0"/>
                    <w:jc w:val="center"/>
                    <w:rPr>
                      <w:sz w:val="18"/>
                      <w:szCs w:val="18"/>
                    </w:rPr>
                  </w:pPr>
                  <w:r>
                    <w:rPr>
                      <w:rFonts w:hint="eastAsia"/>
                      <w:sz w:val="18"/>
                      <w:szCs w:val="18"/>
                    </w:rPr>
                    <w:t>水泵</w:t>
                  </w:r>
                </w:p>
              </w:tc>
              <w:tc>
                <w:tcPr>
                  <w:tcW w:w="962" w:type="dxa"/>
                  <w:noWrap w:val="0"/>
                  <w:vAlign w:val="center"/>
                </w:tcPr>
                <w:p>
                  <w:pPr>
                    <w:autoSpaceDE w:val="0"/>
                    <w:autoSpaceDN w:val="0"/>
                    <w:adjustRightInd w:val="0"/>
                    <w:snapToGrid w:val="0"/>
                    <w:jc w:val="center"/>
                    <w:rPr>
                      <w:sz w:val="18"/>
                      <w:szCs w:val="18"/>
                    </w:rPr>
                  </w:pPr>
                  <w:r>
                    <w:rPr>
                      <w:rFonts w:hint="eastAsia"/>
                      <w:sz w:val="18"/>
                      <w:szCs w:val="18"/>
                    </w:rPr>
                    <w:t>8</w:t>
                  </w:r>
                  <w:r>
                    <w:rPr>
                      <w:sz w:val="18"/>
                      <w:szCs w:val="18"/>
                    </w:rPr>
                    <w:t>5</w:t>
                  </w:r>
                </w:p>
              </w:tc>
              <w:tc>
                <w:tcPr>
                  <w:tcW w:w="1301" w:type="dxa"/>
                  <w:vMerge w:val="restart"/>
                  <w:noWrap w:val="0"/>
                  <w:vAlign w:val="center"/>
                </w:tcPr>
                <w:p>
                  <w:pPr>
                    <w:autoSpaceDE w:val="0"/>
                    <w:autoSpaceDN w:val="0"/>
                    <w:jc w:val="center"/>
                    <w:rPr>
                      <w:sz w:val="18"/>
                      <w:szCs w:val="18"/>
                    </w:rPr>
                  </w:pPr>
                  <w:r>
                    <w:rPr>
                      <w:rFonts w:hint="eastAsia"/>
                      <w:sz w:val="18"/>
                      <w:szCs w:val="18"/>
                    </w:rPr>
                    <w:t>低噪声设备、隔音、设备减振</w:t>
                  </w:r>
                </w:p>
              </w:tc>
              <w:tc>
                <w:tcPr>
                  <w:tcW w:w="1150" w:type="dxa"/>
                  <w:noWrap w:val="0"/>
                  <w:vAlign w:val="center"/>
                </w:tcPr>
                <w:p>
                  <w:pPr>
                    <w:autoSpaceDE w:val="0"/>
                    <w:autoSpaceDN w:val="0"/>
                    <w:jc w:val="center"/>
                    <w:rPr>
                      <w:sz w:val="18"/>
                      <w:szCs w:val="18"/>
                    </w:rPr>
                  </w:pPr>
                  <w:r>
                    <w:rPr>
                      <w:sz w:val="18"/>
                      <w:szCs w:val="18"/>
                    </w:rPr>
                    <w:t>25</w:t>
                  </w:r>
                </w:p>
              </w:tc>
              <w:tc>
                <w:tcPr>
                  <w:tcW w:w="498" w:type="dxa"/>
                  <w:noWrap w:val="0"/>
                  <w:vAlign w:val="center"/>
                </w:tcPr>
                <w:p>
                  <w:pPr>
                    <w:autoSpaceDE w:val="0"/>
                    <w:autoSpaceDN w:val="0"/>
                    <w:jc w:val="center"/>
                    <w:rPr>
                      <w:rFonts w:hint="eastAsia"/>
                      <w:sz w:val="18"/>
                      <w:szCs w:val="18"/>
                    </w:rPr>
                  </w:pPr>
                  <w:r>
                    <w:rPr>
                      <w:rFonts w:hint="eastAsia"/>
                      <w:sz w:val="18"/>
                      <w:szCs w:val="18"/>
                    </w:rPr>
                    <w:t>3</w:t>
                  </w:r>
                </w:p>
              </w:tc>
              <w:tc>
                <w:tcPr>
                  <w:tcW w:w="668" w:type="dxa"/>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c>
                <w:tcPr>
                  <w:tcW w:w="524" w:type="dxa"/>
                  <w:gridSpan w:val="2"/>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 w:type="dxa"/>
                <w:jc w:val="center"/>
              </w:trPr>
              <w:tc>
                <w:tcPr>
                  <w:tcW w:w="1127" w:type="dxa"/>
                  <w:vMerge w:val="restart"/>
                  <w:noWrap w:val="0"/>
                  <w:vAlign w:val="center"/>
                </w:tcPr>
                <w:p>
                  <w:pPr>
                    <w:autoSpaceDE w:val="0"/>
                    <w:autoSpaceDN w:val="0"/>
                    <w:adjustRightInd w:val="0"/>
                    <w:snapToGrid w:val="0"/>
                    <w:jc w:val="center"/>
                    <w:rPr>
                      <w:rFonts w:hint="eastAsia"/>
                      <w:sz w:val="18"/>
                      <w:szCs w:val="18"/>
                    </w:rPr>
                  </w:pPr>
                  <w:r>
                    <w:rPr>
                      <w:rFonts w:hint="eastAsia"/>
                      <w:sz w:val="18"/>
                      <w:szCs w:val="18"/>
                    </w:rPr>
                    <w:t>净水厂内</w:t>
                  </w:r>
                </w:p>
              </w:tc>
              <w:tc>
                <w:tcPr>
                  <w:tcW w:w="870" w:type="dxa"/>
                  <w:noWrap w:val="0"/>
                  <w:vAlign w:val="center"/>
                </w:tcPr>
                <w:p>
                  <w:pPr>
                    <w:autoSpaceDE w:val="0"/>
                    <w:autoSpaceDN w:val="0"/>
                    <w:adjustRightInd w:val="0"/>
                    <w:snapToGrid w:val="0"/>
                    <w:rPr>
                      <w:rFonts w:hint="eastAsia"/>
                      <w:sz w:val="18"/>
                      <w:szCs w:val="18"/>
                    </w:rPr>
                  </w:pPr>
                  <w:r>
                    <w:rPr>
                      <w:rFonts w:hint="eastAsia"/>
                      <w:sz w:val="18"/>
                      <w:szCs w:val="18"/>
                    </w:rPr>
                    <w:t>排污泵</w:t>
                  </w:r>
                </w:p>
              </w:tc>
              <w:tc>
                <w:tcPr>
                  <w:tcW w:w="962" w:type="dxa"/>
                  <w:noWrap w:val="0"/>
                  <w:vAlign w:val="center"/>
                </w:tcPr>
                <w:p>
                  <w:pPr>
                    <w:autoSpaceDE w:val="0"/>
                    <w:autoSpaceDN w:val="0"/>
                    <w:adjustRightInd w:val="0"/>
                    <w:snapToGrid w:val="0"/>
                    <w:jc w:val="center"/>
                    <w:rPr>
                      <w:rFonts w:hint="eastAsia"/>
                      <w:sz w:val="18"/>
                      <w:szCs w:val="18"/>
                    </w:rPr>
                  </w:pPr>
                  <w:r>
                    <w:rPr>
                      <w:rFonts w:hint="eastAsia"/>
                      <w:sz w:val="18"/>
                      <w:szCs w:val="18"/>
                    </w:rPr>
                    <w:t>8</w:t>
                  </w:r>
                  <w:r>
                    <w:rPr>
                      <w:sz w:val="18"/>
                      <w:szCs w:val="18"/>
                    </w:rPr>
                    <w:t>5</w:t>
                  </w:r>
                </w:p>
              </w:tc>
              <w:tc>
                <w:tcPr>
                  <w:tcW w:w="1301" w:type="dxa"/>
                  <w:vMerge w:val="continue"/>
                  <w:noWrap w:val="0"/>
                  <w:vAlign w:val="center"/>
                </w:tcPr>
                <w:p>
                  <w:pPr>
                    <w:autoSpaceDE w:val="0"/>
                    <w:autoSpaceDN w:val="0"/>
                    <w:jc w:val="center"/>
                    <w:rPr>
                      <w:sz w:val="18"/>
                      <w:szCs w:val="18"/>
                    </w:rPr>
                  </w:pPr>
                </w:p>
              </w:tc>
              <w:tc>
                <w:tcPr>
                  <w:tcW w:w="1150" w:type="dxa"/>
                  <w:noWrap w:val="0"/>
                  <w:vAlign w:val="center"/>
                </w:tcPr>
                <w:p>
                  <w:pPr>
                    <w:autoSpaceDE w:val="0"/>
                    <w:autoSpaceDN w:val="0"/>
                    <w:jc w:val="center"/>
                    <w:rPr>
                      <w:rFonts w:hint="eastAsia"/>
                      <w:sz w:val="18"/>
                      <w:szCs w:val="18"/>
                    </w:rPr>
                  </w:pPr>
                  <w:r>
                    <w:rPr>
                      <w:sz w:val="18"/>
                      <w:szCs w:val="18"/>
                    </w:rPr>
                    <w:t>20</w:t>
                  </w:r>
                </w:p>
              </w:tc>
              <w:tc>
                <w:tcPr>
                  <w:tcW w:w="498" w:type="dxa"/>
                  <w:noWrap w:val="0"/>
                  <w:vAlign w:val="center"/>
                </w:tcPr>
                <w:p>
                  <w:pPr>
                    <w:autoSpaceDE w:val="0"/>
                    <w:autoSpaceDN w:val="0"/>
                    <w:jc w:val="center"/>
                    <w:rPr>
                      <w:rFonts w:hint="eastAsia"/>
                      <w:sz w:val="18"/>
                      <w:szCs w:val="18"/>
                    </w:rPr>
                  </w:pPr>
                  <w:r>
                    <w:rPr>
                      <w:rFonts w:hint="eastAsia"/>
                      <w:sz w:val="18"/>
                      <w:szCs w:val="18"/>
                    </w:rPr>
                    <w:t>1</w:t>
                  </w:r>
                  <w:r>
                    <w:rPr>
                      <w:sz w:val="18"/>
                      <w:szCs w:val="18"/>
                    </w:rPr>
                    <w:t>01</w:t>
                  </w:r>
                </w:p>
              </w:tc>
              <w:tc>
                <w:tcPr>
                  <w:tcW w:w="668" w:type="dxa"/>
                  <w:noWrap w:val="0"/>
                  <w:vAlign w:val="center"/>
                </w:tcPr>
                <w:p>
                  <w:pPr>
                    <w:autoSpaceDE w:val="0"/>
                    <w:autoSpaceDN w:val="0"/>
                    <w:jc w:val="center"/>
                    <w:rPr>
                      <w:rFonts w:hint="eastAsia"/>
                      <w:sz w:val="18"/>
                      <w:szCs w:val="18"/>
                    </w:rPr>
                  </w:pPr>
                  <w:r>
                    <w:rPr>
                      <w:rFonts w:hint="eastAsia"/>
                      <w:sz w:val="18"/>
                      <w:szCs w:val="18"/>
                    </w:rPr>
                    <w:t>2</w:t>
                  </w:r>
                  <w:r>
                    <w:rPr>
                      <w:sz w:val="18"/>
                      <w:szCs w:val="18"/>
                    </w:rPr>
                    <w:t>4</w:t>
                  </w:r>
                </w:p>
              </w:tc>
              <w:tc>
                <w:tcPr>
                  <w:tcW w:w="524" w:type="dxa"/>
                  <w:gridSpan w:val="2"/>
                  <w:noWrap w:val="0"/>
                  <w:vAlign w:val="center"/>
                </w:tcPr>
                <w:p>
                  <w:pPr>
                    <w:autoSpaceDE w:val="0"/>
                    <w:autoSpaceDN w:val="0"/>
                    <w:jc w:val="center"/>
                    <w:rPr>
                      <w:rFonts w:hint="eastAsia"/>
                      <w:sz w:val="18"/>
                      <w:szCs w:val="18"/>
                    </w:rPr>
                  </w:pPr>
                  <w:r>
                    <w:rPr>
                      <w:rFonts w:hint="eastAsia"/>
                      <w:sz w:val="18"/>
                      <w:szCs w:val="18"/>
                    </w:rPr>
                    <w:t>1</w:t>
                  </w:r>
                  <w:r>
                    <w:rPr>
                      <w:sz w:val="18"/>
                      <w:szCs w:val="18"/>
                    </w:rPr>
                    <w:t>54</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1</w:t>
                  </w:r>
                  <w:r>
                    <w:rPr>
                      <w:sz w:val="18"/>
                      <w:szCs w:val="18"/>
                    </w:rPr>
                    <w:t>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 w:type="dxa"/>
                <w:jc w:val="center"/>
              </w:trPr>
              <w:tc>
                <w:tcPr>
                  <w:tcW w:w="1127" w:type="dxa"/>
                  <w:vMerge w:val="continue"/>
                  <w:noWrap w:val="0"/>
                  <w:vAlign w:val="center"/>
                </w:tcPr>
                <w:p>
                  <w:pPr>
                    <w:autoSpaceDE w:val="0"/>
                    <w:autoSpaceDN w:val="0"/>
                    <w:adjustRightInd w:val="0"/>
                    <w:snapToGrid w:val="0"/>
                    <w:jc w:val="center"/>
                    <w:rPr>
                      <w:rFonts w:hint="eastAsia"/>
                      <w:sz w:val="18"/>
                      <w:szCs w:val="18"/>
                    </w:rPr>
                  </w:pPr>
                </w:p>
              </w:tc>
              <w:tc>
                <w:tcPr>
                  <w:tcW w:w="870" w:type="dxa"/>
                  <w:noWrap w:val="0"/>
                  <w:vAlign w:val="center"/>
                </w:tcPr>
                <w:p>
                  <w:pPr>
                    <w:autoSpaceDE w:val="0"/>
                    <w:autoSpaceDN w:val="0"/>
                    <w:adjustRightInd w:val="0"/>
                    <w:snapToGrid w:val="0"/>
                    <w:rPr>
                      <w:rFonts w:hint="eastAsia"/>
                      <w:sz w:val="18"/>
                      <w:szCs w:val="18"/>
                    </w:rPr>
                  </w:pPr>
                  <w:r>
                    <w:rPr>
                      <w:rFonts w:hint="eastAsia"/>
                      <w:sz w:val="18"/>
                      <w:szCs w:val="18"/>
                    </w:rPr>
                    <w:t>取样泵</w:t>
                  </w:r>
                </w:p>
              </w:tc>
              <w:tc>
                <w:tcPr>
                  <w:tcW w:w="962" w:type="dxa"/>
                  <w:noWrap w:val="0"/>
                  <w:vAlign w:val="center"/>
                </w:tcPr>
                <w:p>
                  <w:pPr>
                    <w:autoSpaceDE w:val="0"/>
                    <w:autoSpaceDN w:val="0"/>
                    <w:adjustRightInd w:val="0"/>
                    <w:snapToGrid w:val="0"/>
                    <w:jc w:val="center"/>
                    <w:rPr>
                      <w:sz w:val="18"/>
                      <w:szCs w:val="18"/>
                    </w:rPr>
                  </w:pPr>
                  <w:r>
                    <w:rPr>
                      <w:sz w:val="18"/>
                      <w:szCs w:val="18"/>
                    </w:rPr>
                    <w:t>85</w:t>
                  </w:r>
                </w:p>
              </w:tc>
              <w:tc>
                <w:tcPr>
                  <w:tcW w:w="1301" w:type="dxa"/>
                  <w:vMerge w:val="continue"/>
                  <w:noWrap w:val="0"/>
                  <w:vAlign w:val="center"/>
                </w:tcPr>
                <w:p>
                  <w:pPr>
                    <w:autoSpaceDE w:val="0"/>
                    <w:autoSpaceDN w:val="0"/>
                    <w:jc w:val="center"/>
                    <w:rPr>
                      <w:sz w:val="18"/>
                      <w:szCs w:val="18"/>
                    </w:rPr>
                  </w:pPr>
                </w:p>
              </w:tc>
              <w:tc>
                <w:tcPr>
                  <w:tcW w:w="1150" w:type="dxa"/>
                  <w:noWrap w:val="0"/>
                  <w:vAlign w:val="center"/>
                </w:tcPr>
                <w:p>
                  <w:pPr>
                    <w:autoSpaceDE w:val="0"/>
                    <w:autoSpaceDN w:val="0"/>
                    <w:jc w:val="center"/>
                    <w:rPr>
                      <w:rFonts w:hint="eastAsia"/>
                      <w:sz w:val="18"/>
                      <w:szCs w:val="18"/>
                    </w:rPr>
                  </w:pPr>
                  <w:r>
                    <w:rPr>
                      <w:sz w:val="18"/>
                      <w:szCs w:val="18"/>
                    </w:rPr>
                    <w:t>20</w:t>
                  </w:r>
                </w:p>
              </w:tc>
              <w:tc>
                <w:tcPr>
                  <w:tcW w:w="498" w:type="dxa"/>
                  <w:noWrap w:val="0"/>
                  <w:vAlign w:val="center"/>
                </w:tcPr>
                <w:p>
                  <w:pPr>
                    <w:autoSpaceDE w:val="0"/>
                    <w:autoSpaceDN w:val="0"/>
                    <w:jc w:val="center"/>
                    <w:rPr>
                      <w:rFonts w:hint="eastAsia"/>
                      <w:sz w:val="18"/>
                      <w:szCs w:val="18"/>
                    </w:rPr>
                  </w:pPr>
                  <w:r>
                    <w:rPr>
                      <w:rFonts w:hint="eastAsia"/>
                      <w:sz w:val="18"/>
                      <w:szCs w:val="18"/>
                    </w:rPr>
                    <w:t>1</w:t>
                  </w:r>
                  <w:r>
                    <w:rPr>
                      <w:sz w:val="18"/>
                      <w:szCs w:val="18"/>
                    </w:rPr>
                    <w:t>38</w:t>
                  </w:r>
                </w:p>
              </w:tc>
              <w:tc>
                <w:tcPr>
                  <w:tcW w:w="668" w:type="dxa"/>
                  <w:noWrap w:val="0"/>
                  <w:vAlign w:val="center"/>
                </w:tcPr>
                <w:p>
                  <w:pPr>
                    <w:autoSpaceDE w:val="0"/>
                    <w:autoSpaceDN w:val="0"/>
                    <w:jc w:val="center"/>
                    <w:rPr>
                      <w:rFonts w:hint="eastAsia"/>
                      <w:sz w:val="18"/>
                      <w:szCs w:val="18"/>
                    </w:rPr>
                  </w:pPr>
                  <w:r>
                    <w:rPr>
                      <w:rFonts w:hint="eastAsia"/>
                      <w:sz w:val="18"/>
                      <w:szCs w:val="18"/>
                    </w:rPr>
                    <w:t>1</w:t>
                  </w:r>
                  <w:r>
                    <w:rPr>
                      <w:sz w:val="18"/>
                      <w:szCs w:val="18"/>
                    </w:rPr>
                    <w:t>5</w:t>
                  </w:r>
                </w:p>
              </w:tc>
              <w:tc>
                <w:tcPr>
                  <w:tcW w:w="524" w:type="dxa"/>
                  <w:gridSpan w:val="2"/>
                  <w:noWrap w:val="0"/>
                  <w:vAlign w:val="center"/>
                </w:tcPr>
                <w:p>
                  <w:pPr>
                    <w:autoSpaceDE w:val="0"/>
                    <w:autoSpaceDN w:val="0"/>
                    <w:jc w:val="center"/>
                    <w:rPr>
                      <w:rFonts w:hint="eastAsia"/>
                      <w:sz w:val="18"/>
                      <w:szCs w:val="18"/>
                    </w:rPr>
                  </w:pPr>
                  <w:r>
                    <w:rPr>
                      <w:rFonts w:hint="eastAsia"/>
                      <w:sz w:val="18"/>
                      <w:szCs w:val="18"/>
                    </w:rPr>
                    <w:t>1</w:t>
                  </w:r>
                  <w:r>
                    <w:rPr>
                      <w:sz w:val="18"/>
                      <w:szCs w:val="18"/>
                    </w:rPr>
                    <w:t>05</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1</w:t>
                  </w:r>
                  <w:r>
                    <w:rPr>
                      <w:sz w:val="18"/>
                      <w:szCs w:val="18"/>
                    </w:rPr>
                    <w:t>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 w:type="dxa"/>
                <w:jc w:val="center"/>
              </w:trPr>
              <w:tc>
                <w:tcPr>
                  <w:tcW w:w="1127" w:type="dxa"/>
                  <w:noWrap w:val="0"/>
                  <w:vAlign w:val="center"/>
                </w:tcPr>
                <w:p>
                  <w:pPr>
                    <w:autoSpaceDE w:val="0"/>
                    <w:autoSpaceDN w:val="0"/>
                    <w:adjustRightInd w:val="0"/>
                    <w:snapToGrid w:val="0"/>
                    <w:jc w:val="center"/>
                    <w:rPr>
                      <w:rFonts w:hint="eastAsia"/>
                      <w:sz w:val="18"/>
                      <w:szCs w:val="18"/>
                    </w:rPr>
                  </w:pPr>
                  <w:r>
                    <w:rPr>
                      <w:rFonts w:hint="eastAsia"/>
                      <w:sz w:val="18"/>
                      <w:szCs w:val="18"/>
                    </w:rPr>
                    <w:t>脱水车间</w:t>
                  </w:r>
                </w:p>
              </w:tc>
              <w:tc>
                <w:tcPr>
                  <w:tcW w:w="870" w:type="dxa"/>
                  <w:noWrap w:val="0"/>
                  <w:vAlign w:val="center"/>
                </w:tcPr>
                <w:p>
                  <w:pPr>
                    <w:autoSpaceDE w:val="0"/>
                    <w:autoSpaceDN w:val="0"/>
                    <w:adjustRightInd w:val="0"/>
                    <w:snapToGrid w:val="0"/>
                    <w:jc w:val="center"/>
                    <w:rPr>
                      <w:rFonts w:hint="eastAsia"/>
                      <w:sz w:val="18"/>
                      <w:szCs w:val="18"/>
                    </w:rPr>
                  </w:pPr>
                  <w:r>
                    <w:rPr>
                      <w:rFonts w:hint="eastAsia"/>
                      <w:sz w:val="18"/>
                      <w:szCs w:val="18"/>
                    </w:rPr>
                    <w:t>脱水机</w:t>
                  </w:r>
                </w:p>
              </w:tc>
              <w:tc>
                <w:tcPr>
                  <w:tcW w:w="962" w:type="dxa"/>
                  <w:noWrap w:val="0"/>
                  <w:vAlign w:val="center"/>
                </w:tcPr>
                <w:p>
                  <w:pPr>
                    <w:autoSpaceDE w:val="0"/>
                    <w:autoSpaceDN w:val="0"/>
                    <w:adjustRightInd w:val="0"/>
                    <w:snapToGrid w:val="0"/>
                    <w:jc w:val="center"/>
                    <w:rPr>
                      <w:sz w:val="18"/>
                      <w:szCs w:val="18"/>
                    </w:rPr>
                  </w:pPr>
                  <w:r>
                    <w:rPr>
                      <w:sz w:val="18"/>
                      <w:szCs w:val="18"/>
                    </w:rPr>
                    <w:t>80</w:t>
                  </w:r>
                </w:p>
              </w:tc>
              <w:tc>
                <w:tcPr>
                  <w:tcW w:w="1301" w:type="dxa"/>
                  <w:vMerge w:val="continue"/>
                  <w:noWrap w:val="0"/>
                  <w:vAlign w:val="center"/>
                </w:tcPr>
                <w:p>
                  <w:pPr>
                    <w:autoSpaceDE w:val="0"/>
                    <w:autoSpaceDN w:val="0"/>
                    <w:jc w:val="center"/>
                    <w:rPr>
                      <w:sz w:val="18"/>
                      <w:szCs w:val="18"/>
                    </w:rPr>
                  </w:pPr>
                </w:p>
              </w:tc>
              <w:tc>
                <w:tcPr>
                  <w:tcW w:w="1150" w:type="dxa"/>
                  <w:noWrap w:val="0"/>
                  <w:vAlign w:val="center"/>
                </w:tcPr>
                <w:p>
                  <w:pPr>
                    <w:autoSpaceDE w:val="0"/>
                    <w:autoSpaceDN w:val="0"/>
                    <w:jc w:val="center"/>
                    <w:rPr>
                      <w:rFonts w:hint="eastAsia"/>
                      <w:sz w:val="18"/>
                      <w:szCs w:val="18"/>
                    </w:rPr>
                  </w:pPr>
                  <w:r>
                    <w:rPr>
                      <w:sz w:val="18"/>
                      <w:szCs w:val="18"/>
                    </w:rPr>
                    <w:t>15</w:t>
                  </w:r>
                </w:p>
              </w:tc>
              <w:tc>
                <w:tcPr>
                  <w:tcW w:w="498" w:type="dxa"/>
                  <w:noWrap w:val="0"/>
                  <w:vAlign w:val="center"/>
                </w:tcPr>
                <w:p>
                  <w:pPr>
                    <w:autoSpaceDE w:val="0"/>
                    <w:autoSpaceDN w:val="0"/>
                    <w:jc w:val="center"/>
                    <w:rPr>
                      <w:rFonts w:hint="eastAsia"/>
                      <w:sz w:val="18"/>
                      <w:szCs w:val="18"/>
                    </w:rPr>
                  </w:pPr>
                  <w:r>
                    <w:rPr>
                      <w:rFonts w:hint="eastAsia"/>
                      <w:sz w:val="18"/>
                      <w:szCs w:val="18"/>
                    </w:rPr>
                    <w:t>2</w:t>
                  </w:r>
                  <w:r>
                    <w:rPr>
                      <w:sz w:val="18"/>
                      <w:szCs w:val="18"/>
                    </w:rPr>
                    <w:t>25</w:t>
                  </w:r>
                </w:p>
              </w:tc>
              <w:tc>
                <w:tcPr>
                  <w:tcW w:w="668" w:type="dxa"/>
                  <w:noWrap w:val="0"/>
                  <w:vAlign w:val="center"/>
                </w:tcPr>
                <w:p>
                  <w:pPr>
                    <w:autoSpaceDE w:val="0"/>
                    <w:autoSpaceDN w:val="0"/>
                    <w:jc w:val="center"/>
                    <w:rPr>
                      <w:rFonts w:hint="eastAsia"/>
                      <w:sz w:val="18"/>
                      <w:szCs w:val="18"/>
                    </w:rPr>
                  </w:pPr>
                  <w:r>
                    <w:rPr>
                      <w:rFonts w:hint="eastAsia"/>
                      <w:sz w:val="18"/>
                      <w:szCs w:val="18"/>
                    </w:rPr>
                    <w:t>1</w:t>
                  </w:r>
                  <w:r>
                    <w:rPr>
                      <w:sz w:val="18"/>
                      <w:szCs w:val="18"/>
                    </w:rPr>
                    <w:t>64</w:t>
                  </w:r>
                </w:p>
              </w:tc>
              <w:tc>
                <w:tcPr>
                  <w:tcW w:w="524" w:type="dxa"/>
                  <w:gridSpan w:val="2"/>
                  <w:noWrap w:val="0"/>
                  <w:vAlign w:val="center"/>
                </w:tcPr>
                <w:p>
                  <w:pPr>
                    <w:autoSpaceDE w:val="0"/>
                    <w:autoSpaceDN w:val="0"/>
                    <w:jc w:val="center"/>
                    <w:rPr>
                      <w:rFonts w:hint="eastAsia"/>
                      <w:sz w:val="18"/>
                      <w:szCs w:val="18"/>
                    </w:rPr>
                  </w:pPr>
                  <w:r>
                    <w:rPr>
                      <w:rFonts w:hint="eastAsia"/>
                      <w:sz w:val="18"/>
                      <w:szCs w:val="18"/>
                    </w:rPr>
                    <w:t>3</w:t>
                  </w:r>
                  <w:r>
                    <w:rPr>
                      <w:sz w:val="18"/>
                      <w:szCs w:val="18"/>
                    </w:rPr>
                    <w:t>0</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 w:type="dxa"/>
                <w:jc w:val="center"/>
              </w:trPr>
              <w:tc>
                <w:tcPr>
                  <w:tcW w:w="1127" w:type="dxa"/>
                  <w:noWrap w:val="0"/>
                  <w:vAlign w:val="center"/>
                </w:tcPr>
                <w:p>
                  <w:pPr>
                    <w:autoSpaceDE w:val="0"/>
                    <w:autoSpaceDN w:val="0"/>
                    <w:adjustRightInd w:val="0"/>
                    <w:snapToGrid w:val="0"/>
                    <w:jc w:val="center"/>
                    <w:rPr>
                      <w:rFonts w:hint="eastAsia"/>
                      <w:sz w:val="18"/>
                      <w:szCs w:val="18"/>
                    </w:rPr>
                  </w:pPr>
                  <w:r>
                    <w:rPr>
                      <w:rFonts w:hint="eastAsia"/>
                      <w:sz w:val="18"/>
                      <w:szCs w:val="18"/>
                    </w:rPr>
                    <w:t>送水泵房</w:t>
                  </w:r>
                </w:p>
              </w:tc>
              <w:tc>
                <w:tcPr>
                  <w:tcW w:w="870" w:type="dxa"/>
                  <w:noWrap w:val="0"/>
                  <w:vAlign w:val="center"/>
                </w:tcPr>
                <w:p>
                  <w:pPr>
                    <w:autoSpaceDE w:val="0"/>
                    <w:autoSpaceDN w:val="0"/>
                    <w:adjustRightInd w:val="0"/>
                    <w:snapToGrid w:val="0"/>
                    <w:jc w:val="center"/>
                    <w:rPr>
                      <w:rFonts w:hint="eastAsia"/>
                      <w:sz w:val="18"/>
                      <w:szCs w:val="18"/>
                    </w:rPr>
                  </w:pPr>
                  <w:r>
                    <w:rPr>
                      <w:rFonts w:hint="eastAsia"/>
                      <w:sz w:val="18"/>
                      <w:szCs w:val="18"/>
                    </w:rPr>
                    <w:t>离心泵</w:t>
                  </w:r>
                </w:p>
              </w:tc>
              <w:tc>
                <w:tcPr>
                  <w:tcW w:w="962" w:type="dxa"/>
                  <w:noWrap w:val="0"/>
                  <w:vAlign w:val="center"/>
                </w:tcPr>
                <w:p>
                  <w:pPr>
                    <w:autoSpaceDE w:val="0"/>
                    <w:autoSpaceDN w:val="0"/>
                    <w:jc w:val="center"/>
                    <w:rPr>
                      <w:rFonts w:hint="eastAsia"/>
                      <w:sz w:val="18"/>
                      <w:szCs w:val="18"/>
                    </w:rPr>
                  </w:pPr>
                  <w:r>
                    <w:rPr>
                      <w:rFonts w:hint="eastAsia"/>
                      <w:sz w:val="18"/>
                      <w:szCs w:val="18"/>
                    </w:rPr>
                    <w:t>8</w:t>
                  </w:r>
                  <w:r>
                    <w:rPr>
                      <w:sz w:val="18"/>
                      <w:szCs w:val="18"/>
                    </w:rPr>
                    <w:t>5</w:t>
                  </w:r>
                </w:p>
              </w:tc>
              <w:tc>
                <w:tcPr>
                  <w:tcW w:w="1301" w:type="dxa"/>
                  <w:vMerge w:val="continue"/>
                  <w:noWrap w:val="0"/>
                  <w:vAlign w:val="center"/>
                </w:tcPr>
                <w:p>
                  <w:pPr>
                    <w:autoSpaceDE w:val="0"/>
                    <w:autoSpaceDN w:val="0"/>
                    <w:jc w:val="center"/>
                    <w:rPr>
                      <w:sz w:val="18"/>
                      <w:szCs w:val="18"/>
                    </w:rPr>
                  </w:pPr>
                </w:p>
              </w:tc>
              <w:tc>
                <w:tcPr>
                  <w:tcW w:w="1150" w:type="dxa"/>
                  <w:noWrap w:val="0"/>
                  <w:vAlign w:val="center"/>
                </w:tcPr>
                <w:p>
                  <w:pPr>
                    <w:autoSpaceDE w:val="0"/>
                    <w:autoSpaceDN w:val="0"/>
                    <w:jc w:val="center"/>
                    <w:rPr>
                      <w:rFonts w:hint="eastAsia"/>
                      <w:sz w:val="18"/>
                      <w:szCs w:val="18"/>
                    </w:rPr>
                  </w:pPr>
                  <w:r>
                    <w:rPr>
                      <w:sz w:val="18"/>
                      <w:szCs w:val="18"/>
                    </w:rPr>
                    <w:t>15</w:t>
                  </w:r>
                </w:p>
              </w:tc>
              <w:tc>
                <w:tcPr>
                  <w:tcW w:w="498" w:type="dxa"/>
                  <w:noWrap w:val="0"/>
                  <w:vAlign w:val="center"/>
                </w:tcPr>
                <w:p>
                  <w:pPr>
                    <w:autoSpaceDE w:val="0"/>
                    <w:autoSpaceDN w:val="0"/>
                    <w:jc w:val="center"/>
                    <w:rPr>
                      <w:rFonts w:hint="eastAsia"/>
                      <w:sz w:val="18"/>
                      <w:szCs w:val="18"/>
                    </w:rPr>
                  </w:pPr>
                  <w:r>
                    <w:rPr>
                      <w:rFonts w:hint="eastAsia"/>
                      <w:sz w:val="18"/>
                      <w:szCs w:val="18"/>
                    </w:rPr>
                    <w:t>2</w:t>
                  </w:r>
                  <w:r>
                    <w:rPr>
                      <w:sz w:val="18"/>
                      <w:szCs w:val="18"/>
                    </w:rPr>
                    <w:t>16</w:t>
                  </w:r>
                </w:p>
              </w:tc>
              <w:tc>
                <w:tcPr>
                  <w:tcW w:w="668" w:type="dxa"/>
                  <w:noWrap w:val="0"/>
                  <w:vAlign w:val="center"/>
                </w:tcPr>
                <w:p>
                  <w:pPr>
                    <w:autoSpaceDE w:val="0"/>
                    <w:autoSpaceDN w:val="0"/>
                    <w:jc w:val="center"/>
                    <w:rPr>
                      <w:rFonts w:hint="eastAsia"/>
                      <w:sz w:val="18"/>
                      <w:szCs w:val="18"/>
                    </w:rPr>
                  </w:pPr>
                  <w:r>
                    <w:rPr>
                      <w:rFonts w:hint="eastAsia"/>
                      <w:sz w:val="18"/>
                      <w:szCs w:val="18"/>
                    </w:rPr>
                    <w:t>1</w:t>
                  </w:r>
                  <w:r>
                    <w:rPr>
                      <w:sz w:val="18"/>
                      <w:szCs w:val="18"/>
                    </w:rPr>
                    <w:t>6</w:t>
                  </w:r>
                </w:p>
              </w:tc>
              <w:tc>
                <w:tcPr>
                  <w:tcW w:w="524" w:type="dxa"/>
                  <w:gridSpan w:val="2"/>
                  <w:noWrap w:val="0"/>
                  <w:vAlign w:val="center"/>
                </w:tcPr>
                <w:p>
                  <w:pPr>
                    <w:autoSpaceDE w:val="0"/>
                    <w:autoSpaceDN w:val="0"/>
                    <w:jc w:val="center"/>
                    <w:rPr>
                      <w:rFonts w:hint="eastAsia"/>
                      <w:sz w:val="18"/>
                      <w:szCs w:val="18"/>
                    </w:rPr>
                  </w:pPr>
                  <w:r>
                    <w:rPr>
                      <w:rFonts w:hint="eastAsia"/>
                      <w:sz w:val="18"/>
                      <w:szCs w:val="18"/>
                    </w:rPr>
                    <w:t>4</w:t>
                  </w:r>
                  <w:r>
                    <w:rPr>
                      <w:sz w:val="18"/>
                      <w:szCs w:val="18"/>
                    </w:rPr>
                    <w:t>7</w:t>
                  </w:r>
                </w:p>
              </w:tc>
              <w:tc>
                <w:tcPr>
                  <w:tcW w:w="679" w:type="dxa"/>
                  <w:gridSpan w:val="2"/>
                  <w:noWrap w:val="0"/>
                  <w:vAlign w:val="center"/>
                </w:tcPr>
                <w:p>
                  <w:pPr>
                    <w:autoSpaceDE w:val="0"/>
                    <w:autoSpaceDN w:val="0"/>
                    <w:jc w:val="center"/>
                    <w:rPr>
                      <w:rFonts w:hint="eastAsia"/>
                      <w:sz w:val="18"/>
                      <w:szCs w:val="18"/>
                    </w:rPr>
                  </w:pPr>
                  <w:r>
                    <w:rPr>
                      <w:rFonts w:hint="eastAsia"/>
                      <w:sz w:val="18"/>
                      <w:szCs w:val="18"/>
                    </w:rPr>
                    <w:t>1</w:t>
                  </w:r>
                  <w:r>
                    <w:rPr>
                      <w:sz w:val="18"/>
                      <w:szCs w:val="18"/>
                    </w:rPr>
                    <w:t>45</w:t>
                  </w:r>
                </w:p>
              </w:tc>
            </w:tr>
          </w:tbl>
          <w:p>
            <w:pPr>
              <w:pStyle w:val="183"/>
              <w:wordWrap/>
              <w:autoSpaceDE w:val="0"/>
              <w:autoSpaceDN w:val="0"/>
              <w:ind w:firstLine="482"/>
              <w:rPr>
                <w:rFonts w:hint="eastAsia"/>
                <w:b/>
              </w:rPr>
            </w:pPr>
            <w:r>
              <w:rPr>
                <w:rFonts w:hint="eastAsia"/>
                <w:b/>
              </w:rPr>
              <w:t>2）噪声治理措施</w:t>
            </w:r>
          </w:p>
          <w:p>
            <w:pPr>
              <w:pStyle w:val="183"/>
              <w:wordWrap/>
              <w:autoSpaceDE w:val="0"/>
              <w:autoSpaceDN w:val="0"/>
              <w:rPr>
                <w:rFonts w:hint="eastAsia"/>
              </w:rPr>
            </w:pPr>
            <w:r>
              <w:rPr>
                <w:rFonts w:hint="eastAsia"/>
              </w:rPr>
              <w:t>本次环评要求建设单位做到以下几个措施，降低噪声对周围环境的影响：</w:t>
            </w:r>
          </w:p>
          <w:p>
            <w:pPr>
              <w:autoSpaceDE w:val="0"/>
              <w:autoSpaceDN w:val="0"/>
              <w:spacing w:line="360" w:lineRule="auto"/>
              <w:ind w:firstLine="470" w:firstLineChars="196"/>
              <w:rPr>
                <w:sz w:val="24"/>
              </w:rPr>
            </w:pPr>
            <w:r>
              <w:rPr>
                <w:rFonts w:hAnsi="宋体"/>
                <w:sz w:val="24"/>
              </w:rPr>
              <w:t>①所有设备均置于厂房内</w:t>
            </w:r>
            <w:r>
              <w:rPr>
                <w:rFonts w:hint="eastAsia" w:hAnsi="宋体"/>
                <w:sz w:val="24"/>
              </w:rPr>
              <w:t>或半地下</w:t>
            </w:r>
            <w:r>
              <w:rPr>
                <w:rFonts w:hAnsi="宋体"/>
                <w:sz w:val="24"/>
              </w:rPr>
              <w:t>，设备选型上应使用国内先进的低噪声设备，加强管理，确保各机械设备正常运行。</w:t>
            </w:r>
          </w:p>
          <w:p>
            <w:pPr>
              <w:autoSpaceDE w:val="0"/>
              <w:autoSpaceDN w:val="0"/>
              <w:spacing w:line="360" w:lineRule="auto"/>
              <w:ind w:firstLine="470" w:firstLineChars="196"/>
              <w:rPr>
                <w:sz w:val="24"/>
              </w:rPr>
            </w:pPr>
            <w:r>
              <w:rPr>
                <w:rFonts w:hAnsi="宋体"/>
                <w:sz w:val="24"/>
              </w:rPr>
              <w:t>②对产生机械噪声的设备，可在设备与基础之间安装减震装置。</w:t>
            </w:r>
          </w:p>
          <w:p>
            <w:pPr>
              <w:autoSpaceDE w:val="0"/>
              <w:autoSpaceDN w:val="0"/>
              <w:spacing w:line="360" w:lineRule="auto"/>
              <w:ind w:firstLine="470" w:firstLineChars="196"/>
              <w:rPr>
                <w:sz w:val="24"/>
              </w:rPr>
            </w:pPr>
            <w:r>
              <w:rPr>
                <w:rFonts w:hAnsi="宋体"/>
                <w:sz w:val="24"/>
              </w:rPr>
              <w:t>③注意维护各种机械设备的正常运转，加强主要噪声设备的维护，确保设备处于良好的运转状态，杜绝因设备不正常运转时产生的高噪声现象。</w:t>
            </w:r>
          </w:p>
          <w:p>
            <w:pPr>
              <w:autoSpaceDE w:val="0"/>
              <w:autoSpaceDN w:val="0"/>
              <w:spacing w:line="360" w:lineRule="auto"/>
              <w:ind w:firstLine="470" w:firstLineChars="196"/>
              <w:rPr>
                <w:sz w:val="24"/>
              </w:rPr>
            </w:pPr>
            <w:r>
              <w:rPr>
                <w:rFonts w:hAnsi="宋体"/>
                <w:sz w:val="24"/>
              </w:rPr>
              <w:t>在采取上述措施治理后，本项目噪声可达到</w:t>
            </w:r>
            <w:r>
              <w:rPr>
                <w:rFonts w:hAnsi="宋体"/>
                <w:bCs/>
                <w:sz w:val="24"/>
              </w:rPr>
              <w:t>《工业企业厂界环境噪声排放标准》（</w:t>
            </w:r>
            <w:r>
              <w:rPr>
                <w:bCs/>
                <w:sz w:val="24"/>
              </w:rPr>
              <w:t>GB12348-2008</w:t>
            </w:r>
            <w:r>
              <w:rPr>
                <w:rFonts w:hAnsi="宋体"/>
                <w:bCs/>
                <w:sz w:val="24"/>
              </w:rPr>
              <w:t>）的</w:t>
            </w:r>
            <w:r>
              <w:rPr>
                <w:bCs/>
                <w:sz w:val="24"/>
              </w:rPr>
              <w:t>2</w:t>
            </w:r>
            <w:r>
              <w:rPr>
                <w:rFonts w:hAnsi="宋体"/>
                <w:bCs/>
                <w:sz w:val="24"/>
              </w:rPr>
              <w:t>类标准要求，不会对周边声环境造成明显影响。</w:t>
            </w:r>
          </w:p>
          <w:p>
            <w:pPr>
              <w:pStyle w:val="183"/>
              <w:wordWrap/>
              <w:autoSpaceDE w:val="0"/>
              <w:autoSpaceDN w:val="0"/>
              <w:ind w:firstLine="482"/>
              <w:rPr>
                <w:rFonts w:hint="eastAsia"/>
                <w:b/>
              </w:rPr>
            </w:pPr>
            <w:r>
              <w:rPr>
                <w:rFonts w:hint="eastAsia"/>
                <w:b/>
              </w:rPr>
              <w:t>3）预测分析</w:t>
            </w:r>
          </w:p>
          <w:p>
            <w:pPr>
              <w:autoSpaceDE w:val="0"/>
              <w:autoSpaceDN w:val="0"/>
              <w:spacing w:line="360" w:lineRule="auto"/>
              <w:ind w:firstLine="480" w:firstLineChars="200"/>
              <w:rPr>
                <w:sz w:val="24"/>
              </w:rPr>
            </w:pPr>
            <w:r>
              <w:rPr>
                <w:sz w:val="24"/>
              </w:rPr>
              <w:t>本项目噪声源主要是</w:t>
            </w:r>
            <w:r>
              <w:rPr>
                <w:rFonts w:hint="eastAsia"/>
                <w:sz w:val="24"/>
              </w:rPr>
              <w:t>各类泵、脱水机</w:t>
            </w:r>
            <w:r>
              <w:rPr>
                <w:sz w:val="24"/>
              </w:rPr>
              <w:t>等生产设备产生噪声，声压级约为80~85dB(A)。主要噪声设备均位于生产车间内。本次评价对噪声源强进行预测，具体如下：</w:t>
            </w:r>
          </w:p>
          <w:p>
            <w:pPr>
              <w:autoSpaceDE w:val="0"/>
              <w:autoSpaceDN w:val="0"/>
              <w:spacing w:line="360" w:lineRule="auto"/>
              <w:ind w:firstLine="482" w:firstLineChars="200"/>
              <w:rPr>
                <w:b/>
                <w:sz w:val="24"/>
              </w:rPr>
            </w:pPr>
            <w:r>
              <w:rPr>
                <w:rFonts w:hint="eastAsia" w:ascii="宋体" w:hAnsi="宋体" w:cs="宋体"/>
                <w:b/>
                <w:sz w:val="24"/>
              </w:rPr>
              <w:t>①</w:t>
            </w:r>
            <w:r>
              <w:rPr>
                <w:b/>
                <w:sz w:val="24"/>
              </w:rPr>
              <w:t>预测模式：</w:t>
            </w:r>
          </w:p>
          <w:p>
            <w:pPr>
              <w:autoSpaceDE w:val="0"/>
              <w:autoSpaceDN w:val="0"/>
              <w:adjustRightInd w:val="0"/>
              <w:snapToGrid w:val="0"/>
              <w:spacing w:line="360" w:lineRule="auto"/>
              <w:ind w:firstLine="480" w:firstLineChars="200"/>
              <w:jc w:val="left"/>
              <w:rPr>
                <w:sz w:val="24"/>
              </w:rPr>
            </w:pPr>
            <w:r>
              <w:rPr>
                <w:sz w:val="24"/>
              </w:rPr>
              <w:t>预测模式如下：</w:t>
            </w:r>
          </w:p>
          <w:p>
            <w:pPr>
              <w:pStyle w:val="183"/>
              <w:wordWrap/>
              <w:autoSpaceDE w:val="0"/>
              <w:autoSpaceDN w:val="0"/>
            </w:pPr>
            <w:r>
              <w:t>（1）</w:t>
            </w:r>
            <w:r>
              <w:rPr>
                <w:rFonts w:hint="eastAsia"/>
              </w:rPr>
              <w:t>无指向性点声源的几何发散衰减公式：</w:t>
            </w:r>
          </w:p>
          <w:p>
            <w:pPr>
              <w:pStyle w:val="183"/>
              <w:wordWrap/>
              <w:autoSpaceDE w:val="0"/>
              <w:autoSpaceDN w:val="0"/>
              <w:jc w:val="center"/>
              <w:rPr>
                <w:szCs w:val="26"/>
              </w:rPr>
            </w:pPr>
            <w:r>
              <w:object>
                <v:shape id="_x0000_i1034" o:spt="75" type="#_x0000_t75" style="height:19pt;width:129pt;" o:ole="t" filled="f" o:preferrelative="t" stroked="f" coordsize="21600,21600">
                  <v:path/>
                  <v:fill on="f" focussize="0,0"/>
                  <v:stroke on="f"/>
                  <v:imagedata r:id="rId22" o:title=""/>
                  <o:lock v:ext="edit" aspectratio="t"/>
                  <w10:wrap type="none"/>
                  <w10:anchorlock/>
                </v:shape>
                <o:OLEObject Type="Embed" ProgID="Equation.3" ShapeID="_x0000_i1034" DrawAspect="Content" ObjectID="_1468075726" r:id="rId21">
                  <o:LockedField>false</o:LockedField>
                </o:OLEObject>
              </w:object>
            </w:r>
          </w:p>
          <w:p>
            <w:pPr>
              <w:pStyle w:val="183"/>
              <w:wordWrap/>
              <w:autoSpaceDE w:val="0"/>
              <w:autoSpaceDN w:val="0"/>
              <w:rPr>
                <w:szCs w:val="26"/>
              </w:rPr>
            </w:pPr>
            <w:r>
              <w:rPr>
                <w:szCs w:val="26"/>
              </w:rPr>
              <w:t>式中：</w:t>
            </w:r>
          </w:p>
          <w:p>
            <w:pPr>
              <w:pStyle w:val="183"/>
              <w:wordWrap/>
              <w:autoSpaceDE w:val="0"/>
              <w:autoSpaceDN w:val="0"/>
              <w:rPr>
                <w:szCs w:val="26"/>
                <w:highlight w:val="yellow"/>
              </w:rPr>
            </w:pPr>
            <w:r>
              <w:rPr>
                <w:rFonts w:hint="eastAsia"/>
                <w:szCs w:val="26"/>
              </w:rPr>
              <w:t xml:space="preserve">    </w:t>
            </w:r>
            <w:r>
              <w:rPr>
                <w:rFonts w:hint="eastAsia"/>
                <w:i/>
                <w:szCs w:val="26"/>
              </w:rPr>
              <w:t xml:space="preserve"> </w:t>
            </w:r>
            <w:r>
              <w:rPr>
                <w:i/>
                <w:szCs w:val="26"/>
              </w:rPr>
              <w:t>L</w:t>
            </w:r>
            <w:r>
              <w:rPr>
                <w:i/>
                <w:szCs w:val="26"/>
                <w:vertAlign w:val="subscript"/>
              </w:rPr>
              <w:t>P</w:t>
            </w:r>
            <w:r>
              <w:rPr>
                <w:rFonts w:hint="eastAsia"/>
                <w:i/>
                <w:szCs w:val="26"/>
                <w:vertAlign w:val="subscript"/>
              </w:rPr>
              <w:t>（r）</w:t>
            </w:r>
            <w:r>
              <w:rPr>
                <w:szCs w:val="26"/>
              </w:rPr>
              <w:t>—</w:t>
            </w:r>
            <w:r>
              <w:rPr>
                <w:rFonts w:hint="eastAsia"/>
                <w:szCs w:val="26"/>
              </w:rPr>
              <w:t>预测点处声压级，dB；</w:t>
            </w:r>
          </w:p>
          <w:p>
            <w:pPr>
              <w:pStyle w:val="183"/>
              <w:wordWrap/>
              <w:autoSpaceDE w:val="0"/>
              <w:autoSpaceDN w:val="0"/>
              <w:rPr>
                <w:rFonts w:hint="eastAsia"/>
                <w:szCs w:val="26"/>
              </w:rPr>
            </w:pPr>
            <w:r>
              <w:rPr>
                <w:rFonts w:hint="eastAsia"/>
                <w:szCs w:val="26"/>
              </w:rPr>
              <w:t xml:space="preserve">   </w:t>
            </w:r>
            <w:r>
              <w:rPr>
                <w:rFonts w:hint="eastAsia"/>
                <w:i/>
                <w:szCs w:val="26"/>
              </w:rPr>
              <w:t xml:space="preserve"> </w:t>
            </w:r>
            <w:r>
              <w:rPr>
                <w:i/>
                <w:szCs w:val="26"/>
              </w:rPr>
              <w:t>L</w:t>
            </w:r>
            <w:r>
              <w:rPr>
                <w:i/>
                <w:szCs w:val="26"/>
                <w:vertAlign w:val="subscript"/>
              </w:rPr>
              <w:t>P</w:t>
            </w:r>
            <w:r>
              <w:rPr>
                <w:rFonts w:hint="eastAsia"/>
                <w:i/>
                <w:szCs w:val="26"/>
                <w:vertAlign w:val="subscript"/>
              </w:rPr>
              <w:t>（r0）</w:t>
            </w:r>
            <w:r>
              <w:rPr>
                <w:szCs w:val="26"/>
              </w:rPr>
              <w:t>—</w:t>
            </w:r>
            <w:r>
              <w:rPr>
                <w:rFonts w:hint="eastAsia"/>
                <w:szCs w:val="26"/>
              </w:rPr>
              <w:t>参考位置距声源的距离</w:t>
            </w:r>
            <w:r>
              <w:rPr>
                <w:szCs w:val="26"/>
              </w:rPr>
              <w:t>；</w:t>
            </w:r>
          </w:p>
          <w:p>
            <w:pPr>
              <w:pStyle w:val="183"/>
              <w:wordWrap/>
              <w:autoSpaceDE w:val="0"/>
              <w:autoSpaceDN w:val="0"/>
              <w:rPr>
                <w:szCs w:val="26"/>
              </w:rPr>
            </w:pPr>
            <w:r>
              <w:rPr>
                <w:rFonts w:hint="eastAsia"/>
                <w:szCs w:val="26"/>
              </w:rPr>
              <w:t>（2）室内声源等效室外声源声功率级计算方法</w:t>
            </w:r>
          </w:p>
          <w:p>
            <w:pPr>
              <w:pStyle w:val="183"/>
              <w:wordWrap/>
              <w:autoSpaceDE w:val="0"/>
              <w:autoSpaceDN w:val="0"/>
              <w:jc w:val="center"/>
              <w:rPr>
                <w:szCs w:val="26"/>
              </w:rPr>
            </w:pPr>
            <w:r>
              <w:object>
                <v:shape id="_x0000_i1035" o:spt="75" type="#_x0000_t75" style="height:19pt;width:97.8pt;" o:ole="t" filled="f" o:preferrelative="t" stroked="f" coordsize="21600,21600">
                  <v:path/>
                  <v:fill on="f" focussize="0,0"/>
                  <v:stroke on="f"/>
                  <v:imagedata r:id="rId24" o:title=""/>
                  <o:lock v:ext="edit" aspectratio="t"/>
                  <w10:wrap type="none"/>
                  <w10:anchorlock/>
                </v:shape>
                <o:OLEObject Type="Embed" ProgID="Equation.3" ShapeID="_x0000_i1035" DrawAspect="Content" ObjectID="_1468075727" r:id="rId23">
                  <o:LockedField>false</o:LockedField>
                </o:OLEObject>
              </w:object>
            </w:r>
          </w:p>
          <w:p>
            <w:pPr>
              <w:pStyle w:val="183"/>
              <w:wordWrap/>
              <w:autoSpaceDE w:val="0"/>
              <w:autoSpaceDN w:val="0"/>
              <w:rPr>
                <w:szCs w:val="26"/>
              </w:rPr>
            </w:pPr>
            <w:r>
              <w:rPr>
                <w:rFonts w:hint="eastAsia"/>
                <w:szCs w:val="26"/>
              </w:rPr>
              <w:t>式中：</w:t>
            </w:r>
          </w:p>
          <w:p>
            <w:pPr>
              <w:pStyle w:val="183"/>
              <w:wordWrap/>
              <w:autoSpaceDE w:val="0"/>
              <w:autoSpaceDN w:val="0"/>
              <w:rPr>
                <w:szCs w:val="26"/>
              </w:rPr>
            </w:pPr>
            <w:r>
              <w:rPr>
                <w:rFonts w:hint="eastAsia"/>
                <w:szCs w:val="26"/>
              </w:rPr>
              <w:t xml:space="preserve">   </w:t>
            </w:r>
            <w:r>
              <w:rPr>
                <w:rFonts w:hint="eastAsia"/>
                <w:i/>
                <w:szCs w:val="26"/>
              </w:rPr>
              <w:t xml:space="preserve"> L</w:t>
            </w:r>
            <w:r>
              <w:rPr>
                <w:rFonts w:hint="eastAsia"/>
                <w:i/>
                <w:szCs w:val="26"/>
                <w:vertAlign w:val="subscript"/>
              </w:rPr>
              <w:t>p1</w:t>
            </w:r>
            <w:r>
              <w:rPr>
                <w:rFonts w:hint="eastAsia"/>
                <w:szCs w:val="26"/>
              </w:rPr>
              <w:t>——靠近开口处（窗户）室内某倍频带的声压级或A声级，dB；</w:t>
            </w:r>
          </w:p>
          <w:p>
            <w:pPr>
              <w:pStyle w:val="183"/>
              <w:wordWrap/>
              <w:autoSpaceDE w:val="0"/>
              <w:autoSpaceDN w:val="0"/>
              <w:rPr>
                <w:szCs w:val="26"/>
              </w:rPr>
            </w:pPr>
            <w:r>
              <w:rPr>
                <w:rFonts w:hint="eastAsia"/>
                <w:szCs w:val="26"/>
              </w:rPr>
              <w:t xml:space="preserve">   </w:t>
            </w:r>
            <w:r>
              <w:rPr>
                <w:rFonts w:hint="eastAsia"/>
                <w:i/>
                <w:szCs w:val="26"/>
              </w:rPr>
              <w:t xml:space="preserve"> L</w:t>
            </w:r>
            <w:r>
              <w:rPr>
                <w:rFonts w:hint="eastAsia"/>
                <w:i/>
                <w:szCs w:val="26"/>
                <w:vertAlign w:val="subscript"/>
              </w:rPr>
              <w:t>p2</w:t>
            </w:r>
            <w:r>
              <w:rPr>
                <w:rFonts w:hint="eastAsia"/>
                <w:szCs w:val="26"/>
              </w:rPr>
              <w:t>——靠近开口处（窗户）室外某倍频带的声压级或A声级，dB；</w:t>
            </w:r>
          </w:p>
          <w:p>
            <w:pPr>
              <w:pStyle w:val="183"/>
              <w:wordWrap/>
              <w:autoSpaceDE w:val="0"/>
              <w:autoSpaceDN w:val="0"/>
              <w:rPr>
                <w:szCs w:val="26"/>
              </w:rPr>
            </w:pPr>
            <w:r>
              <w:rPr>
                <w:rFonts w:hint="eastAsia"/>
                <w:szCs w:val="26"/>
              </w:rPr>
              <w:t xml:space="preserve">   </w:t>
            </w:r>
            <w:r>
              <w:rPr>
                <w:rFonts w:hint="eastAsia"/>
                <w:i/>
                <w:szCs w:val="26"/>
              </w:rPr>
              <w:t xml:space="preserve"> TL</w:t>
            </w:r>
            <w:r>
              <w:rPr>
                <w:rFonts w:hint="eastAsia"/>
                <w:szCs w:val="26"/>
              </w:rPr>
              <w:t>——隔墙（窗户）倍频带或A声级的隔音量，dB。</w:t>
            </w:r>
          </w:p>
          <w:p>
            <w:pPr>
              <w:pStyle w:val="183"/>
              <w:wordWrap/>
              <w:autoSpaceDE w:val="0"/>
              <w:autoSpaceDN w:val="0"/>
              <w:rPr>
                <w:szCs w:val="26"/>
              </w:rPr>
            </w:pPr>
            <w:r>
              <w:rPr>
                <w:szCs w:val="26"/>
              </w:rPr>
              <w:t>（</w:t>
            </w:r>
            <w:r>
              <w:rPr>
                <w:rFonts w:hint="eastAsia"/>
                <w:szCs w:val="26"/>
              </w:rPr>
              <w:t>3</w:t>
            </w:r>
            <w:r>
              <w:rPr>
                <w:szCs w:val="26"/>
              </w:rPr>
              <w:t>）</w:t>
            </w:r>
            <w:r>
              <w:rPr>
                <w:rFonts w:hint="eastAsia"/>
                <w:szCs w:val="26"/>
              </w:rPr>
              <w:t>工业企业噪声计算：</w:t>
            </w:r>
          </w:p>
          <w:p>
            <w:pPr>
              <w:pStyle w:val="183"/>
              <w:wordWrap/>
              <w:autoSpaceDE w:val="0"/>
              <w:autoSpaceDN w:val="0"/>
              <w:jc w:val="center"/>
              <w:rPr>
                <w:szCs w:val="26"/>
              </w:rPr>
            </w:pPr>
            <w:r>
              <w:object>
                <v:shape id="_x0000_i1036" o:spt="75" type="#_x0000_t75" style="height:40.1pt;width:205.15pt;" o:ole="t" filled="f" o:preferrelative="t" stroked="f" coordsize="21600,21600">
                  <v:path/>
                  <v:fill on="f" focussize="0,0"/>
                  <v:stroke on="f"/>
                  <v:imagedata r:id="rId26" o:title=""/>
                  <o:lock v:ext="edit" aspectratio="t"/>
                  <w10:wrap type="none"/>
                  <w10:anchorlock/>
                </v:shape>
                <o:OLEObject Type="Embed" ProgID="Equation.3" ShapeID="_x0000_i1036" DrawAspect="Content" ObjectID="_1468075728" r:id="rId25">
                  <o:LockedField>false</o:LockedField>
                </o:OLEObject>
              </w:object>
            </w:r>
          </w:p>
          <w:p>
            <w:pPr>
              <w:pStyle w:val="183"/>
              <w:wordWrap/>
              <w:autoSpaceDE w:val="0"/>
              <w:autoSpaceDN w:val="0"/>
              <w:rPr>
                <w:szCs w:val="26"/>
              </w:rPr>
            </w:pPr>
            <w:r>
              <w:rPr>
                <w:rFonts w:hint="eastAsia"/>
                <w:szCs w:val="26"/>
              </w:rPr>
              <w:t>式中：Leqg——建设项目声源在预测点的等效声级贡献值，dB；</w:t>
            </w:r>
          </w:p>
          <w:p>
            <w:pPr>
              <w:pStyle w:val="183"/>
              <w:wordWrap/>
              <w:autoSpaceDE w:val="0"/>
              <w:autoSpaceDN w:val="0"/>
              <w:rPr>
                <w:szCs w:val="26"/>
              </w:rPr>
            </w:pPr>
            <w:r>
              <w:rPr>
                <w:rFonts w:hint="eastAsia"/>
                <w:szCs w:val="26"/>
              </w:rPr>
              <w:t xml:space="preserve">      T——用于计算等效声级的时间，s；</w:t>
            </w:r>
          </w:p>
          <w:p>
            <w:pPr>
              <w:pStyle w:val="183"/>
              <w:wordWrap/>
              <w:autoSpaceDE w:val="0"/>
              <w:autoSpaceDN w:val="0"/>
              <w:rPr>
                <w:szCs w:val="26"/>
              </w:rPr>
            </w:pPr>
            <w:r>
              <w:rPr>
                <w:rFonts w:hint="eastAsia"/>
                <w:szCs w:val="26"/>
              </w:rPr>
              <w:t xml:space="preserve">      N——室外声源个数；</w:t>
            </w:r>
          </w:p>
          <w:p>
            <w:pPr>
              <w:pStyle w:val="183"/>
              <w:wordWrap/>
              <w:autoSpaceDE w:val="0"/>
              <w:autoSpaceDN w:val="0"/>
              <w:rPr>
                <w:szCs w:val="26"/>
              </w:rPr>
            </w:pPr>
            <w:r>
              <w:rPr>
                <w:rFonts w:hint="eastAsia"/>
                <w:szCs w:val="26"/>
              </w:rPr>
              <w:t xml:space="preserve">      ti——在T时间内i声源工作时间，s；</w:t>
            </w:r>
          </w:p>
          <w:p>
            <w:pPr>
              <w:pStyle w:val="183"/>
              <w:wordWrap/>
              <w:autoSpaceDE w:val="0"/>
              <w:autoSpaceDN w:val="0"/>
              <w:rPr>
                <w:szCs w:val="26"/>
              </w:rPr>
            </w:pPr>
            <w:r>
              <w:rPr>
                <w:rFonts w:hint="eastAsia"/>
                <w:szCs w:val="26"/>
              </w:rPr>
              <w:t xml:space="preserve">      M——等效室外声源个数；</w:t>
            </w:r>
          </w:p>
          <w:p>
            <w:pPr>
              <w:pStyle w:val="183"/>
              <w:wordWrap/>
              <w:autoSpaceDE w:val="0"/>
              <w:autoSpaceDN w:val="0"/>
              <w:rPr>
                <w:szCs w:val="26"/>
              </w:rPr>
            </w:pPr>
            <w:r>
              <w:rPr>
                <w:rFonts w:hint="eastAsia"/>
                <w:szCs w:val="26"/>
              </w:rPr>
              <w:t xml:space="preserve">      tj——在T时间内j声源工作时间，s。</w:t>
            </w:r>
          </w:p>
          <w:p>
            <w:pPr>
              <w:pStyle w:val="183"/>
              <w:wordWrap/>
              <w:autoSpaceDE w:val="0"/>
              <w:autoSpaceDN w:val="0"/>
              <w:rPr>
                <w:szCs w:val="26"/>
              </w:rPr>
            </w:pPr>
            <w:r>
              <w:rPr>
                <w:rFonts w:hint="eastAsia"/>
                <w:szCs w:val="26"/>
              </w:rPr>
              <w:t>（4）</w:t>
            </w:r>
            <w:r>
              <w:rPr>
                <w:szCs w:val="26"/>
              </w:rPr>
              <w:t>预测点的预测等效声级（Leq）计算公式：</w:t>
            </w:r>
          </w:p>
          <w:p>
            <w:pPr>
              <w:pStyle w:val="183"/>
              <w:wordWrap/>
              <w:autoSpaceDE w:val="0"/>
              <w:autoSpaceDN w:val="0"/>
              <w:jc w:val="center"/>
              <w:rPr>
                <w:szCs w:val="26"/>
              </w:rPr>
            </w:pPr>
            <w:r>
              <w:drawing>
                <wp:inline distT="0" distB="0" distL="114300" distR="114300">
                  <wp:extent cx="1711960" cy="260985"/>
                  <wp:effectExtent l="0" t="0" r="2540" b="5715"/>
                  <wp:docPr id="1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
                          <pic:cNvPicPr>
                            <a:picLocks noChangeAspect="1"/>
                          </pic:cNvPicPr>
                        </pic:nvPicPr>
                        <pic:blipFill>
                          <a:blip r:embed="rId27"/>
                          <a:stretch>
                            <a:fillRect/>
                          </a:stretch>
                        </pic:blipFill>
                        <pic:spPr>
                          <a:xfrm>
                            <a:off x="0" y="0"/>
                            <a:ext cx="1711960" cy="260985"/>
                          </a:xfrm>
                          <a:prstGeom prst="rect">
                            <a:avLst/>
                          </a:prstGeom>
                          <a:noFill/>
                          <a:ln>
                            <a:noFill/>
                          </a:ln>
                        </pic:spPr>
                      </pic:pic>
                    </a:graphicData>
                  </a:graphic>
                </wp:inline>
              </w:drawing>
            </w:r>
          </w:p>
          <w:p>
            <w:pPr>
              <w:pStyle w:val="183"/>
              <w:wordWrap/>
              <w:autoSpaceDE w:val="0"/>
              <w:autoSpaceDN w:val="0"/>
              <w:rPr>
                <w:szCs w:val="26"/>
              </w:rPr>
            </w:pPr>
            <w:r>
              <w:rPr>
                <w:szCs w:val="26"/>
              </w:rPr>
              <w:t>式中：</w:t>
            </w:r>
          </w:p>
          <w:p>
            <w:pPr>
              <w:pStyle w:val="183"/>
              <w:wordWrap/>
              <w:autoSpaceDE w:val="0"/>
              <w:autoSpaceDN w:val="0"/>
              <w:rPr>
                <w:szCs w:val="26"/>
              </w:rPr>
            </w:pPr>
            <w:r>
              <w:rPr>
                <w:rFonts w:hint="eastAsia"/>
                <w:szCs w:val="26"/>
              </w:rPr>
              <w:t xml:space="preserve">     </w:t>
            </w:r>
            <w:r>
              <w:rPr>
                <w:i/>
                <w:szCs w:val="26"/>
              </w:rPr>
              <w:t>L</w:t>
            </w:r>
            <w:r>
              <w:rPr>
                <w:i/>
                <w:szCs w:val="26"/>
                <w:vertAlign w:val="subscript"/>
              </w:rPr>
              <w:t>eqg</w:t>
            </w:r>
            <w:r>
              <w:rPr>
                <w:szCs w:val="26"/>
              </w:rPr>
              <w:t>—建设项目声源在预测点的等效声级贡献值，dB（A）；</w:t>
            </w:r>
          </w:p>
          <w:p>
            <w:pPr>
              <w:pStyle w:val="183"/>
              <w:wordWrap/>
              <w:autoSpaceDE w:val="0"/>
              <w:autoSpaceDN w:val="0"/>
              <w:rPr>
                <w:b/>
                <w:bCs/>
              </w:rPr>
            </w:pPr>
            <w:r>
              <w:rPr>
                <w:rFonts w:hint="eastAsia"/>
                <w:szCs w:val="26"/>
              </w:rPr>
              <w:t xml:space="preserve">   </w:t>
            </w:r>
            <w:r>
              <w:rPr>
                <w:rFonts w:hint="eastAsia"/>
                <w:i/>
                <w:szCs w:val="26"/>
              </w:rPr>
              <w:t xml:space="preserve">  </w:t>
            </w:r>
            <w:r>
              <w:rPr>
                <w:i/>
                <w:szCs w:val="26"/>
              </w:rPr>
              <w:t>L</w:t>
            </w:r>
            <w:r>
              <w:rPr>
                <w:i/>
                <w:szCs w:val="26"/>
                <w:vertAlign w:val="subscript"/>
              </w:rPr>
              <w:t>eqb</w:t>
            </w:r>
            <w:r>
              <w:rPr>
                <w:szCs w:val="26"/>
              </w:rPr>
              <w:t>— 预测点的背景值，dB（A）。</w:t>
            </w:r>
          </w:p>
          <w:p>
            <w:pPr>
              <w:pStyle w:val="183"/>
              <w:wordWrap/>
              <w:autoSpaceDE w:val="0"/>
              <w:autoSpaceDN w:val="0"/>
              <w:rPr>
                <w:rFonts w:hint="eastAsia"/>
              </w:rPr>
            </w:pPr>
            <w:r>
              <w:rPr>
                <w:rFonts w:hint="eastAsia"/>
              </w:rPr>
              <w:t>从工程总平面布置图看，本项目各主要噪声源于厂界的距离见下表：</w:t>
            </w:r>
          </w:p>
          <w:p>
            <w:pPr>
              <w:pStyle w:val="184"/>
              <w:autoSpaceDE w:val="0"/>
              <w:autoSpaceDN w:val="0"/>
              <w:rPr>
                <w:color w:val="auto"/>
              </w:rPr>
            </w:pPr>
            <w:r>
              <w:rPr>
                <w:rFonts w:hint="eastAsia"/>
                <w:color w:val="auto"/>
              </w:rPr>
              <w:t>表4-</w:t>
            </w:r>
            <w:r>
              <w:rPr>
                <w:color w:val="auto"/>
              </w:rPr>
              <w:t>10</w:t>
            </w:r>
            <w:r>
              <w:rPr>
                <w:rFonts w:hint="eastAsia"/>
                <w:color w:val="auto"/>
              </w:rPr>
              <w:t xml:space="preserve"> 本工程各主要噪声源与厂界及敏感点的距离</w:t>
            </w:r>
            <w:r>
              <w:rPr>
                <w:color w:val="auto"/>
              </w:rPr>
              <w:t xml:space="preserve">    </w:t>
            </w:r>
            <w:r>
              <w:rPr>
                <w:rFonts w:hint="eastAsia"/>
                <w:color w:val="auto"/>
              </w:rPr>
              <w:t>单位：</w:t>
            </w:r>
            <w:r>
              <w:rPr>
                <w:color w:val="auto"/>
              </w:rPr>
              <w:t>m</w:t>
            </w:r>
          </w:p>
          <w:tbl>
            <w:tblPr>
              <w:tblStyle w:val="39"/>
              <w:tblW w:w="0" w:type="auto"/>
              <w:jc w:val="right"/>
              <w:tblBorders>
                <w:top w:val="single" w:color="auto" w:sz="2"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5"/>
              <w:gridCol w:w="1696"/>
              <w:gridCol w:w="868"/>
              <w:gridCol w:w="1080"/>
              <w:gridCol w:w="1134"/>
              <w:gridCol w:w="1134"/>
              <w:gridCol w:w="1255"/>
            </w:tblGrid>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vMerge w:val="restart"/>
                  <w:noWrap w:val="0"/>
                  <w:vAlign w:val="center"/>
                </w:tcPr>
                <w:p>
                  <w:pPr>
                    <w:pStyle w:val="182"/>
                    <w:wordWrap/>
                    <w:rPr>
                      <w:b/>
                    </w:rPr>
                  </w:pPr>
                  <w:r>
                    <w:rPr>
                      <w:rFonts w:hint="eastAsia"/>
                      <w:b/>
                    </w:rPr>
                    <w:t>位置</w:t>
                  </w:r>
                </w:p>
              </w:tc>
              <w:tc>
                <w:tcPr>
                  <w:tcW w:w="1696" w:type="dxa"/>
                  <w:vMerge w:val="restart"/>
                  <w:noWrap w:val="0"/>
                  <w:vAlign w:val="center"/>
                </w:tcPr>
                <w:p>
                  <w:pPr>
                    <w:pStyle w:val="182"/>
                    <w:wordWrap/>
                    <w:rPr>
                      <w:b/>
                    </w:rPr>
                  </w:pPr>
                  <w:r>
                    <w:rPr>
                      <w:rFonts w:hint="eastAsia"/>
                      <w:b/>
                    </w:rPr>
                    <w:t>噪声源</w:t>
                  </w:r>
                </w:p>
              </w:tc>
              <w:tc>
                <w:tcPr>
                  <w:tcW w:w="868" w:type="dxa"/>
                  <w:vMerge w:val="restart"/>
                  <w:noWrap w:val="0"/>
                  <w:vAlign w:val="center"/>
                </w:tcPr>
                <w:p>
                  <w:pPr>
                    <w:pStyle w:val="182"/>
                    <w:wordWrap/>
                    <w:rPr>
                      <w:b/>
                    </w:rPr>
                  </w:pPr>
                  <w:r>
                    <w:rPr>
                      <w:rFonts w:hint="eastAsia"/>
                      <w:b/>
                    </w:rPr>
                    <w:t>数量</w:t>
                  </w:r>
                </w:p>
              </w:tc>
              <w:tc>
                <w:tcPr>
                  <w:tcW w:w="4603" w:type="dxa"/>
                  <w:gridSpan w:val="4"/>
                  <w:noWrap w:val="0"/>
                  <w:vAlign w:val="center"/>
                </w:tcPr>
                <w:p>
                  <w:pPr>
                    <w:pStyle w:val="182"/>
                    <w:wordWrap/>
                    <w:rPr>
                      <w:b/>
                    </w:rPr>
                  </w:pPr>
                  <w:r>
                    <w:rPr>
                      <w:rFonts w:hint="eastAsia"/>
                      <w:b/>
                    </w:rPr>
                    <w:t>距各厂界距离（</w:t>
                  </w:r>
                  <w:r>
                    <w:rPr>
                      <w:b/>
                    </w:rPr>
                    <w:t>m</w:t>
                  </w:r>
                  <w:r>
                    <w:rPr>
                      <w:rFonts w:hint="eastAsia"/>
                      <w:b/>
                    </w:rPr>
                    <w:t>）</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vMerge w:val="continue"/>
                  <w:noWrap w:val="0"/>
                  <w:vAlign w:val="center"/>
                </w:tcPr>
                <w:p>
                  <w:pPr>
                    <w:pStyle w:val="182"/>
                    <w:wordWrap/>
                    <w:rPr>
                      <w:b/>
                    </w:rPr>
                  </w:pPr>
                </w:p>
              </w:tc>
              <w:tc>
                <w:tcPr>
                  <w:tcW w:w="1696" w:type="dxa"/>
                  <w:vMerge w:val="continue"/>
                  <w:noWrap w:val="0"/>
                  <w:vAlign w:val="center"/>
                </w:tcPr>
                <w:p>
                  <w:pPr>
                    <w:pStyle w:val="182"/>
                    <w:wordWrap/>
                    <w:rPr>
                      <w:b/>
                    </w:rPr>
                  </w:pPr>
                </w:p>
              </w:tc>
              <w:tc>
                <w:tcPr>
                  <w:tcW w:w="868" w:type="dxa"/>
                  <w:vMerge w:val="continue"/>
                  <w:noWrap w:val="0"/>
                  <w:vAlign w:val="center"/>
                </w:tcPr>
                <w:p>
                  <w:pPr>
                    <w:pStyle w:val="182"/>
                    <w:wordWrap/>
                    <w:rPr>
                      <w:b/>
                    </w:rPr>
                  </w:pPr>
                </w:p>
              </w:tc>
              <w:tc>
                <w:tcPr>
                  <w:tcW w:w="1080" w:type="dxa"/>
                  <w:noWrap w:val="0"/>
                  <w:vAlign w:val="center"/>
                </w:tcPr>
                <w:p>
                  <w:pPr>
                    <w:pStyle w:val="182"/>
                    <w:wordWrap/>
                    <w:rPr>
                      <w:b/>
                    </w:rPr>
                  </w:pPr>
                  <w:r>
                    <w:rPr>
                      <w:rFonts w:hint="eastAsia"/>
                      <w:b/>
                    </w:rPr>
                    <w:t>东厂界</w:t>
                  </w:r>
                </w:p>
              </w:tc>
              <w:tc>
                <w:tcPr>
                  <w:tcW w:w="1134" w:type="dxa"/>
                  <w:noWrap w:val="0"/>
                  <w:vAlign w:val="center"/>
                </w:tcPr>
                <w:p>
                  <w:pPr>
                    <w:pStyle w:val="182"/>
                    <w:wordWrap/>
                    <w:rPr>
                      <w:b/>
                    </w:rPr>
                  </w:pPr>
                  <w:r>
                    <w:rPr>
                      <w:rFonts w:hint="eastAsia"/>
                      <w:b/>
                    </w:rPr>
                    <w:t>南厂界</w:t>
                  </w:r>
                </w:p>
              </w:tc>
              <w:tc>
                <w:tcPr>
                  <w:tcW w:w="1134" w:type="dxa"/>
                  <w:noWrap w:val="0"/>
                  <w:vAlign w:val="center"/>
                </w:tcPr>
                <w:p>
                  <w:pPr>
                    <w:pStyle w:val="182"/>
                    <w:wordWrap/>
                    <w:rPr>
                      <w:b/>
                    </w:rPr>
                  </w:pPr>
                  <w:r>
                    <w:rPr>
                      <w:rFonts w:hint="eastAsia"/>
                      <w:b/>
                    </w:rPr>
                    <w:t>西厂界</w:t>
                  </w:r>
                </w:p>
              </w:tc>
              <w:tc>
                <w:tcPr>
                  <w:tcW w:w="1255" w:type="dxa"/>
                  <w:noWrap w:val="0"/>
                  <w:vAlign w:val="center"/>
                </w:tcPr>
                <w:p>
                  <w:pPr>
                    <w:pStyle w:val="182"/>
                    <w:wordWrap/>
                    <w:rPr>
                      <w:b/>
                    </w:rPr>
                  </w:pPr>
                  <w:r>
                    <w:rPr>
                      <w:rFonts w:hint="eastAsia"/>
                      <w:b/>
                    </w:rPr>
                    <w:t>北厂界</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noWrap w:val="0"/>
                  <w:vAlign w:val="center"/>
                </w:tcPr>
                <w:p>
                  <w:pPr>
                    <w:autoSpaceDE w:val="0"/>
                    <w:autoSpaceDN w:val="0"/>
                    <w:adjustRightInd w:val="0"/>
                    <w:snapToGrid w:val="0"/>
                    <w:jc w:val="center"/>
                    <w:rPr>
                      <w:sz w:val="18"/>
                      <w:szCs w:val="18"/>
                    </w:rPr>
                  </w:pPr>
                  <w:r>
                    <w:rPr>
                      <w:rFonts w:hint="eastAsia"/>
                      <w:sz w:val="18"/>
                      <w:szCs w:val="18"/>
                    </w:rPr>
                    <w:t>提水泵站</w:t>
                  </w:r>
                </w:p>
              </w:tc>
              <w:tc>
                <w:tcPr>
                  <w:tcW w:w="1696" w:type="dxa"/>
                  <w:noWrap w:val="0"/>
                  <w:vAlign w:val="center"/>
                </w:tcPr>
                <w:p>
                  <w:pPr>
                    <w:autoSpaceDE w:val="0"/>
                    <w:autoSpaceDN w:val="0"/>
                    <w:adjustRightInd w:val="0"/>
                    <w:snapToGrid w:val="0"/>
                    <w:jc w:val="center"/>
                    <w:rPr>
                      <w:sz w:val="18"/>
                      <w:szCs w:val="18"/>
                    </w:rPr>
                  </w:pPr>
                  <w:r>
                    <w:rPr>
                      <w:rFonts w:hint="eastAsia"/>
                      <w:sz w:val="18"/>
                      <w:szCs w:val="18"/>
                    </w:rPr>
                    <w:t>水泵</w:t>
                  </w:r>
                </w:p>
              </w:tc>
              <w:tc>
                <w:tcPr>
                  <w:tcW w:w="868" w:type="dxa"/>
                  <w:noWrap w:val="0"/>
                  <w:vAlign w:val="center"/>
                </w:tcPr>
                <w:p>
                  <w:pPr>
                    <w:autoSpaceDE w:val="0"/>
                    <w:autoSpaceDN w:val="0"/>
                    <w:spacing w:line="260" w:lineRule="exact"/>
                    <w:jc w:val="center"/>
                    <w:rPr>
                      <w:szCs w:val="21"/>
                    </w:rPr>
                  </w:pPr>
                  <w:r>
                    <w:rPr>
                      <w:rFonts w:hint="eastAsia"/>
                      <w:szCs w:val="21"/>
                    </w:rPr>
                    <w:t>7</w:t>
                  </w:r>
                </w:p>
              </w:tc>
              <w:tc>
                <w:tcPr>
                  <w:tcW w:w="1080" w:type="dxa"/>
                  <w:noWrap w:val="0"/>
                  <w:vAlign w:val="center"/>
                </w:tcPr>
                <w:p>
                  <w:pPr>
                    <w:autoSpaceDE w:val="0"/>
                    <w:autoSpaceDN w:val="0"/>
                    <w:jc w:val="center"/>
                    <w:rPr>
                      <w:rFonts w:hint="eastAsia"/>
                      <w:sz w:val="18"/>
                      <w:szCs w:val="18"/>
                    </w:rPr>
                  </w:pPr>
                  <w:r>
                    <w:rPr>
                      <w:rFonts w:hint="eastAsia"/>
                      <w:sz w:val="18"/>
                      <w:szCs w:val="18"/>
                    </w:rPr>
                    <w:t>3</w:t>
                  </w:r>
                </w:p>
              </w:tc>
              <w:tc>
                <w:tcPr>
                  <w:tcW w:w="1134" w:type="dxa"/>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c>
                <w:tcPr>
                  <w:tcW w:w="1134" w:type="dxa"/>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c>
                <w:tcPr>
                  <w:tcW w:w="1255" w:type="dxa"/>
                  <w:noWrap w:val="0"/>
                  <w:vAlign w:val="center"/>
                </w:tcPr>
                <w:p>
                  <w:pPr>
                    <w:autoSpaceDE w:val="0"/>
                    <w:autoSpaceDN w:val="0"/>
                    <w:jc w:val="center"/>
                    <w:rPr>
                      <w:rFonts w:hint="eastAsia"/>
                      <w:sz w:val="18"/>
                      <w:szCs w:val="18"/>
                    </w:rPr>
                  </w:pPr>
                  <w:r>
                    <w:rPr>
                      <w:rFonts w:hint="eastAsia"/>
                      <w:sz w:val="18"/>
                      <w:szCs w:val="18"/>
                    </w:rPr>
                    <w:t>2</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vMerge w:val="restart"/>
                  <w:noWrap w:val="0"/>
                  <w:vAlign w:val="center"/>
                </w:tcPr>
                <w:p>
                  <w:pPr>
                    <w:autoSpaceDE w:val="0"/>
                    <w:autoSpaceDN w:val="0"/>
                    <w:adjustRightInd w:val="0"/>
                    <w:snapToGrid w:val="0"/>
                    <w:jc w:val="center"/>
                    <w:rPr>
                      <w:rFonts w:hint="eastAsia"/>
                      <w:sz w:val="18"/>
                      <w:szCs w:val="18"/>
                    </w:rPr>
                  </w:pPr>
                  <w:r>
                    <w:rPr>
                      <w:rFonts w:hint="eastAsia"/>
                      <w:sz w:val="18"/>
                      <w:szCs w:val="18"/>
                    </w:rPr>
                    <w:t>净水厂内</w:t>
                  </w:r>
                </w:p>
              </w:tc>
              <w:tc>
                <w:tcPr>
                  <w:tcW w:w="1696" w:type="dxa"/>
                  <w:noWrap w:val="0"/>
                  <w:vAlign w:val="center"/>
                </w:tcPr>
                <w:p>
                  <w:pPr>
                    <w:autoSpaceDE w:val="0"/>
                    <w:autoSpaceDN w:val="0"/>
                    <w:adjustRightInd w:val="0"/>
                    <w:snapToGrid w:val="0"/>
                    <w:jc w:val="center"/>
                    <w:rPr>
                      <w:rFonts w:hint="eastAsia"/>
                      <w:sz w:val="18"/>
                      <w:szCs w:val="18"/>
                    </w:rPr>
                  </w:pPr>
                  <w:r>
                    <w:rPr>
                      <w:rFonts w:hint="eastAsia"/>
                      <w:sz w:val="18"/>
                      <w:szCs w:val="18"/>
                    </w:rPr>
                    <w:t>排污泵</w:t>
                  </w:r>
                </w:p>
              </w:tc>
              <w:tc>
                <w:tcPr>
                  <w:tcW w:w="868" w:type="dxa"/>
                  <w:noWrap w:val="0"/>
                  <w:vAlign w:val="center"/>
                </w:tcPr>
                <w:p>
                  <w:pPr>
                    <w:pStyle w:val="182"/>
                    <w:wordWrap/>
                  </w:pPr>
                  <w:r>
                    <w:t>4</w:t>
                  </w:r>
                </w:p>
              </w:tc>
              <w:tc>
                <w:tcPr>
                  <w:tcW w:w="1080" w:type="dxa"/>
                  <w:noWrap w:val="0"/>
                  <w:vAlign w:val="center"/>
                </w:tcPr>
                <w:p>
                  <w:pPr>
                    <w:autoSpaceDE w:val="0"/>
                    <w:autoSpaceDN w:val="0"/>
                    <w:jc w:val="center"/>
                    <w:rPr>
                      <w:rFonts w:hint="eastAsia"/>
                      <w:sz w:val="18"/>
                      <w:szCs w:val="18"/>
                    </w:rPr>
                  </w:pPr>
                  <w:r>
                    <w:rPr>
                      <w:rFonts w:hint="eastAsia"/>
                      <w:sz w:val="18"/>
                      <w:szCs w:val="18"/>
                    </w:rPr>
                    <w:t>1</w:t>
                  </w:r>
                  <w:r>
                    <w:rPr>
                      <w:sz w:val="18"/>
                      <w:szCs w:val="18"/>
                    </w:rPr>
                    <w:t>01</w:t>
                  </w:r>
                </w:p>
              </w:tc>
              <w:tc>
                <w:tcPr>
                  <w:tcW w:w="1134" w:type="dxa"/>
                  <w:noWrap w:val="0"/>
                  <w:vAlign w:val="center"/>
                </w:tcPr>
                <w:p>
                  <w:pPr>
                    <w:autoSpaceDE w:val="0"/>
                    <w:autoSpaceDN w:val="0"/>
                    <w:jc w:val="center"/>
                    <w:rPr>
                      <w:rFonts w:hint="eastAsia"/>
                      <w:sz w:val="18"/>
                      <w:szCs w:val="18"/>
                    </w:rPr>
                  </w:pPr>
                  <w:r>
                    <w:rPr>
                      <w:rFonts w:hint="eastAsia"/>
                      <w:sz w:val="18"/>
                      <w:szCs w:val="18"/>
                    </w:rPr>
                    <w:t>2</w:t>
                  </w:r>
                  <w:r>
                    <w:rPr>
                      <w:sz w:val="18"/>
                      <w:szCs w:val="18"/>
                    </w:rPr>
                    <w:t>4</w:t>
                  </w:r>
                </w:p>
              </w:tc>
              <w:tc>
                <w:tcPr>
                  <w:tcW w:w="1134" w:type="dxa"/>
                  <w:noWrap w:val="0"/>
                  <w:vAlign w:val="center"/>
                </w:tcPr>
                <w:p>
                  <w:pPr>
                    <w:autoSpaceDE w:val="0"/>
                    <w:autoSpaceDN w:val="0"/>
                    <w:jc w:val="center"/>
                    <w:rPr>
                      <w:rFonts w:hint="eastAsia"/>
                      <w:sz w:val="18"/>
                      <w:szCs w:val="18"/>
                    </w:rPr>
                  </w:pPr>
                  <w:r>
                    <w:rPr>
                      <w:rFonts w:hint="eastAsia"/>
                      <w:sz w:val="18"/>
                      <w:szCs w:val="18"/>
                    </w:rPr>
                    <w:t>1</w:t>
                  </w:r>
                  <w:r>
                    <w:rPr>
                      <w:sz w:val="18"/>
                      <w:szCs w:val="18"/>
                    </w:rPr>
                    <w:t>54</w:t>
                  </w:r>
                </w:p>
              </w:tc>
              <w:tc>
                <w:tcPr>
                  <w:tcW w:w="1255" w:type="dxa"/>
                  <w:noWrap w:val="0"/>
                  <w:vAlign w:val="center"/>
                </w:tcPr>
                <w:p>
                  <w:pPr>
                    <w:autoSpaceDE w:val="0"/>
                    <w:autoSpaceDN w:val="0"/>
                    <w:jc w:val="center"/>
                    <w:rPr>
                      <w:rFonts w:hint="eastAsia"/>
                      <w:sz w:val="18"/>
                      <w:szCs w:val="18"/>
                    </w:rPr>
                  </w:pPr>
                  <w:r>
                    <w:rPr>
                      <w:rFonts w:hint="eastAsia"/>
                      <w:sz w:val="18"/>
                      <w:szCs w:val="18"/>
                    </w:rPr>
                    <w:t>1</w:t>
                  </w:r>
                  <w:r>
                    <w:rPr>
                      <w:sz w:val="18"/>
                      <w:szCs w:val="18"/>
                    </w:rPr>
                    <w:t>46</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vMerge w:val="continue"/>
                  <w:noWrap w:val="0"/>
                  <w:vAlign w:val="center"/>
                </w:tcPr>
                <w:p>
                  <w:pPr>
                    <w:autoSpaceDE w:val="0"/>
                    <w:autoSpaceDN w:val="0"/>
                    <w:adjustRightInd w:val="0"/>
                    <w:snapToGrid w:val="0"/>
                    <w:jc w:val="center"/>
                    <w:rPr>
                      <w:rFonts w:hint="eastAsia"/>
                      <w:sz w:val="18"/>
                      <w:szCs w:val="18"/>
                    </w:rPr>
                  </w:pPr>
                </w:p>
              </w:tc>
              <w:tc>
                <w:tcPr>
                  <w:tcW w:w="1696" w:type="dxa"/>
                  <w:noWrap w:val="0"/>
                  <w:vAlign w:val="center"/>
                </w:tcPr>
                <w:p>
                  <w:pPr>
                    <w:autoSpaceDE w:val="0"/>
                    <w:autoSpaceDN w:val="0"/>
                    <w:adjustRightInd w:val="0"/>
                    <w:snapToGrid w:val="0"/>
                    <w:jc w:val="center"/>
                    <w:rPr>
                      <w:rFonts w:hint="eastAsia"/>
                      <w:sz w:val="18"/>
                      <w:szCs w:val="18"/>
                    </w:rPr>
                  </w:pPr>
                  <w:r>
                    <w:rPr>
                      <w:rFonts w:hint="eastAsia"/>
                      <w:sz w:val="18"/>
                      <w:szCs w:val="18"/>
                    </w:rPr>
                    <w:t>取样泵</w:t>
                  </w:r>
                </w:p>
              </w:tc>
              <w:tc>
                <w:tcPr>
                  <w:tcW w:w="868" w:type="dxa"/>
                  <w:noWrap w:val="0"/>
                  <w:vAlign w:val="center"/>
                </w:tcPr>
                <w:p>
                  <w:pPr>
                    <w:pStyle w:val="182"/>
                    <w:wordWrap/>
                  </w:pPr>
                  <w:r>
                    <w:rPr>
                      <w:rFonts w:hint="eastAsia"/>
                    </w:rPr>
                    <w:t>4</w:t>
                  </w:r>
                </w:p>
              </w:tc>
              <w:tc>
                <w:tcPr>
                  <w:tcW w:w="1080" w:type="dxa"/>
                  <w:noWrap w:val="0"/>
                  <w:vAlign w:val="center"/>
                </w:tcPr>
                <w:p>
                  <w:pPr>
                    <w:autoSpaceDE w:val="0"/>
                    <w:autoSpaceDN w:val="0"/>
                    <w:jc w:val="center"/>
                    <w:rPr>
                      <w:rFonts w:hint="eastAsia"/>
                      <w:sz w:val="18"/>
                      <w:szCs w:val="18"/>
                    </w:rPr>
                  </w:pPr>
                  <w:r>
                    <w:rPr>
                      <w:rFonts w:hint="eastAsia"/>
                      <w:sz w:val="18"/>
                      <w:szCs w:val="18"/>
                    </w:rPr>
                    <w:t>1</w:t>
                  </w:r>
                  <w:r>
                    <w:rPr>
                      <w:sz w:val="18"/>
                      <w:szCs w:val="18"/>
                    </w:rPr>
                    <w:t>38</w:t>
                  </w:r>
                </w:p>
              </w:tc>
              <w:tc>
                <w:tcPr>
                  <w:tcW w:w="1134" w:type="dxa"/>
                  <w:noWrap w:val="0"/>
                  <w:vAlign w:val="center"/>
                </w:tcPr>
                <w:p>
                  <w:pPr>
                    <w:autoSpaceDE w:val="0"/>
                    <w:autoSpaceDN w:val="0"/>
                    <w:jc w:val="center"/>
                    <w:rPr>
                      <w:rFonts w:hint="eastAsia"/>
                      <w:sz w:val="18"/>
                      <w:szCs w:val="18"/>
                    </w:rPr>
                  </w:pPr>
                  <w:r>
                    <w:rPr>
                      <w:rFonts w:hint="eastAsia"/>
                      <w:sz w:val="18"/>
                      <w:szCs w:val="18"/>
                    </w:rPr>
                    <w:t>1</w:t>
                  </w:r>
                  <w:r>
                    <w:rPr>
                      <w:sz w:val="18"/>
                      <w:szCs w:val="18"/>
                    </w:rPr>
                    <w:t>5</w:t>
                  </w:r>
                </w:p>
              </w:tc>
              <w:tc>
                <w:tcPr>
                  <w:tcW w:w="1134" w:type="dxa"/>
                  <w:noWrap w:val="0"/>
                  <w:vAlign w:val="center"/>
                </w:tcPr>
                <w:p>
                  <w:pPr>
                    <w:autoSpaceDE w:val="0"/>
                    <w:autoSpaceDN w:val="0"/>
                    <w:jc w:val="center"/>
                    <w:rPr>
                      <w:rFonts w:hint="eastAsia"/>
                      <w:sz w:val="18"/>
                      <w:szCs w:val="18"/>
                    </w:rPr>
                  </w:pPr>
                  <w:r>
                    <w:rPr>
                      <w:rFonts w:hint="eastAsia"/>
                      <w:sz w:val="18"/>
                      <w:szCs w:val="18"/>
                    </w:rPr>
                    <w:t>1</w:t>
                  </w:r>
                  <w:r>
                    <w:rPr>
                      <w:sz w:val="18"/>
                      <w:szCs w:val="18"/>
                    </w:rPr>
                    <w:t>05</w:t>
                  </w:r>
                </w:p>
              </w:tc>
              <w:tc>
                <w:tcPr>
                  <w:tcW w:w="1255" w:type="dxa"/>
                  <w:noWrap w:val="0"/>
                  <w:vAlign w:val="center"/>
                </w:tcPr>
                <w:p>
                  <w:pPr>
                    <w:autoSpaceDE w:val="0"/>
                    <w:autoSpaceDN w:val="0"/>
                    <w:jc w:val="center"/>
                    <w:rPr>
                      <w:rFonts w:hint="eastAsia"/>
                      <w:sz w:val="18"/>
                      <w:szCs w:val="18"/>
                    </w:rPr>
                  </w:pPr>
                  <w:r>
                    <w:rPr>
                      <w:rFonts w:hint="eastAsia"/>
                      <w:sz w:val="18"/>
                      <w:szCs w:val="18"/>
                    </w:rPr>
                    <w:t>1</w:t>
                  </w:r>
                  <w:r>
                    <w:rPr>
                      <w:sz w:val="18"/>
                      <w:szCs w:val="18"/>
                    </w:rPr>
                    <w:t>38</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noWrap w:val="0"/>
                  <w:vAlign w:val="center"/>
                </w:tcPr>
                <w:p>
                  <w:pPr>
                    <w:autoSpaceDE w:val="0"/>
                    <w:autoSpaceDN w:val="0"/>
                    <w:adjustRightInd w:val="0"/>
                    <w:snapToGrid w:val="0"/>
                    <w:jc w:val="center"/>
                    <w:rPr>
                      <w:rFonts w:hint="eastAsia"/>
                      <w:sz w:val="18"/>
                      <w:szCs w:val="18"/>
                    </w:rPr>
                  </w:pPr>
                  <w:r>
                    <w:rPr>
                      <w:rFonts w:hint="eastAsia"/>
                      <w:sz w:val="18"/>
                      <w:szCs w:val="18"/>
                    </w:rPr>
                    <w:t>脱水车间</w:t>
                  </w:r>
                </w:p>
              </w:tc>
              <w:tc>
                <w:tcPr>
                  <w:tcW w:w="1696" w:type="dxa"/>
                  <w:noWrap w:val="0"/>
                  <w:vAlign w:val="center"/>
                </w:tcPr>
                <w:p>
                  <w:pPr>
                    <w:autoSpaceDE w:val="0"/>
                    <w:autoSpaceDN w:val="0"/>
                    <w:adjustRightInd w:val="0"/>
                    <w:snapToGrid w:val="0"/>
                    <w:jc w:val="center"/>
                    <w:rPr>
                      <w:rFonts w:hint="eastAsia"/>
                      <w:sz w:val="18"/>
                      <w:szCs w:val="18"/>
                    </w:rPr>
                  </w:pPr>
                  <w:r>
                    <w:rPr>
                      <w:rFonts w:hint="eastAsia"/>
                      <w:sz w:val="18"/>
                      <w:szCs w:val="18"/>
                    </w:rPr>
                    <w:t>脱水机</w:t>
                  </w:r>
                </w:p>
              </w:tc>
              <w:tc>
                <w:tcPr>
                  <w:tcW w:w="868" w:type="dxa"/>
                  <w:noWrap w:val="0"/>
                  <w:vAlign w:val="center"/>
                </w:tcPr>
                <w:p>
                  <w:pPr>
                    <w:pStyle w:val="182"/>
                    <w:wordWrap/>
                  </w:pPr>
                  <w:r>
                    <w:t>/</w:t>
                  </w:r>
                </w:p>
              </w:tc>
              <w:tc>
                <w:tcPr>
                  <w:tcW w:w="1080" w:type="dxa"/>
                  <w:noWrap w:val="0"/>
                  <w:vAlign w:val="center"/>
                </w:tcPr>
                <w:p>
                  <w:pPr>
                    <w:autoSpaceDE w:val="0"/>
                    <w:autoSpaceDN w:val="0"/>
                    <w:jc w:val="center"/>
                    <w:rPr>
                      <w:rFonts w:hint="eastAsia"/>
                      <w:sz w:val="18"/>
                      <w:szCs w:val="18"/>
                    </w:rPr>
                  </w:pPr>
                  <w:r>
                    <w:rPr>
                      <w:rFonts w:hint="eastAsia"/>
                      <w:sz w:val="18"/>
                      <w:szCs w:val="18"/>
                    </w:rPr>
                    <w:t>2</w:t>
                  </w:r>
                  <w:r>
                    <w:rPr>
                      <w:sz w:val="18"/>
                      <w:szCs w:val="18"/>
                    </w:rPr>
                    <w:t>25</w:t>
                  </w:r>
                </w:p>
              </w:tc>
              <w:tc>
                <w:tcPr>
                  <w:tcW w:w="1134" w:type="dxa"/>
                  <w:noWrap w:val="0"/>
                  <w:vAlign w:val="center"/>
                </w:tcPr>
                <w:p>
                  <w:pPr>
                    <w:autoSpaceDE w:val="0"/>
                    <w:autoSpaceDN w:val="0"/>
                    <w:jc w:val="center"/>
                    <w:rPr>
                      <w:rFonts w:hint="eastAsia"/>
                      <w:sz w:val="18"/>
                      <w:szCs w:val="18"/>
                    </w:rPr>
                  </w:pPr>
                  <w:r>
                    <w:rPr>
                      <w:rFonts w:hint="eastAsia"/>
                      <w:sz w:val="18"/>
                      <w:szCs w:val="18"/>
                    </w:rPr>
                    <w:t>1</w:t>
                  </w:r>
                  <w:r>
                    <w:rPr>
                      <w:sz w:val="18"/>
                      <w:szCs w:val="18"/>
                    </w:rPr>
                    <w:t>64</w:t>
                  </w:r>
                </w:p>
              </w:tc>
              <w:tc>
                <w:tcPr>
                  <w:tcW w:w="1134" w:type="dxa"/>
                  <w:noWrap w:val="0"/>
                  <w:vAlign w:val="center"/>
                </w:tcPr>
                <w:p>
                  <w:pPr>
                    <w:autoSpaceDE w:val="0"/>
                    <w:autoSpaceDN w:val="0"/>
                    <w:jc w:val="center"/>
                    <w:rPr>
                      <w:rFonts w:hint="eastAsia"/>
                      <w:sz w:val="18"/>
                      <w:szCs w:val="18"/>
                    </w:rPr>
                  </w:pPr>
                  <w:r>
                    <w:rPr>
                      <w:rFonts w:hint="eastAsia"/>
                      <w:sz w:val="18"/>
                      <w:szCs w:val="18"/>
                    </w:rPr>
                    <w:t>3</w:t>
                  </w:r>
                  <w:r>
                    <w:rPr>
                      <w:sz w:val="18"/>
                      <w:szCs w:val="18"/>
                    </w:rPr>
                    <w:t>0</w:t>
                  </w:r>
                </w:p>
              </w:tc>
              <w:tc>
                <w:tcPr>
                  <w:tcW w:w="1255" w:type="dxa"/>
                  <w:noWrap w:val="0"/>
                  <w:vAlign w:val="center"/>
                </w:tcPr>
                <w:p>
                  <w:pPr>
                    <w:autoSpaceDE w:val="0"/>
                    <w:autoSpaceDN w:val="0"/>
                    <w:jc w:val="center"/>
                    <w:rPr>
                      <w:rFonts w:hint="eastAsia"/>
                      <w:sz w:val="18"/>
                      <w:szCs w:val="18"/>
                    </w:rPr>
                  </w:pPr>
                  <w:r>
                    <w:rPr>
                      <w:rFonts w:hint="eastAsia"/>
                      <w:sz w:val="18"/>
                      <w:szCs w:val="18"/>
                    </w:rPr>
                    <w:t>2</w:t>
                  </w:r>
                  <w:r>
                    <w:rPr>
                      <w:sz w:val="18"/>
                      <w:szCs w:val="18"/>
                    </w:rPr>
                    <w:t>1</w:t>
                  </w:r>
                </w:p>
              </w:tc>
            </w:tr>
            <w:tr>
              <w:tblPrEx>
                <w:tblBorders>
                  <w:top w:val="single" w:color="auto" w:sz="2"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745" w:type="dxa"/>
                  <w:noWrap w:val="0"/>
                  <w:vAlign w:val="center"/>
                </w:tcPr>
                <w:p>
                  <w:pPr>
                    <w:autoSpaceDE w:val="0"/>
                    <w:autoSpaceDN w:val="0"/>
                    <w:adjustRightInd w:val="0"/>
                    <w:snapToGrid w:val="0"/>
                    <w:jc w:val="center"/>
                    <w:rPr>
                      <w:rFonts w:hint="eastAsia"/>
                      <w:sz w:val="18"/>
                      <w:szCs w:val="18"/>
                    </w:rPr>
                  </w:pPr>
                  <w:r>
                    <w:rPr>
                      <w:rFonts w:hint="eastAsia"/>
                      <w:sz w:val="18"/>
                      <w:szCs w:val="18"/>
                    </w:rPr>
                    <w:t>送水泵房</w:t>
                  </w:r>
                </w:p>
              </w:tc>
              <w:tc>
                <w:tcPr>
                  <w:tcW w:w="1696" w:type="dxa"/>
                  <w:noWrap w:val="0"/>
                  <w:vAlign w:val="center"/>
                </w:tcPr>
                <w:p>
                  <w:pPr>
                    <w:autoSpaceDE w:val="0"/>
                    <w:autoSpaceDN w:val="0"/>
                    <w:adjustRightInd w:val="0"/>
                    <w:snapToGrid w:val="0"/>
                    <w:jc w:val="center"/>
                    <w:rPr>
                      <w:rFonts w:hint="eastAsia"/>
                      <w:sz w:val="18"/>
                      <w:szCs w:val="18"/>
                    </w:rPr>
                  </w:pPr>
                  <w:r>
                    <w:rPr>
                      <w:rFonts w:hint="eastAsia"/>
                      <w:sz w:val="18"/>
                      <w:szCs w:val="18"/>
                    </w:rPr>
                    <w:t>离心泵</w:t>
                  </w:r>
                </w:p>
              </w:tc>
              <w:tc>
                <w:tcPr>
                  <w:tcW w:w="868" w:type="dxa"/>
                  <w:noWrap w:val="0"/>
                  <w:vAlign w:val="center"/>
                </w:tcPr>
                <w:p>
                  <w:pPr>
                    <w:pStyle w:val="182"/>
                    <w:wordWrap/>
                  </w:pPr>
                  <w:r>
                    <w:rPr>
                      <w:rFonts w:hint="eastAsia"/>
                    </w:rPr>
                    <w:t>3</w:t>
                  </w:r>
                </w:p>
              </w:tc>
              <w:tc>
                <w:tcPr>
                  <w:tcW w:w="1080" w:type="dxa"/>
                  <w:noWrap w:val="0"/>
                  <w:vAlign w:val="center"/>
                </w:tcPr>
                <w:p>
                  <w:pPr>
                    <w:autoSpaceDE w:val="0"/>
                    <w:autoSpaceDN w:val="0"/>
                    <w:jc w:val="center"/>
                    <w:rPr>
                      <w:rFonts w:hint="eastAsia"/>
                      <w:sz w:val="18"/>
                      <w:szCs w:val="18"/>
                    </w:rPr>
                  </w:pPr>
                  <w:r>
                    <w:rPr>
                      <w:rFonts w:hint="eastAsia"/>
                      <w:sz w:val="18"/>
                      <w:szCs w:val="18"/>
                    </w:rPr>
                    <w:t>2</w:t>
                  </w:r>
                  <w:r>
                    <w:rPr>
                      <w:sz w:val="18"/>
                      <w:szCs w:val="18"/>
                    </w:rPr>
                    <w:t>16</w:t>
                  </w:r>
                </w:p>
              </w:tc>
              <w:tc>
                <w:tcPr>
                  <w:tcW w:w="1134" w:type="dxa"/>
                  <w:noWrap w:val="0"/>
                  <w:vAlign w:val="center"/>
                </w:tcPr>
                <w:p>
                  <w:pPr>
                    <w:autoSpaceDE w:val="0"/>
                    <w:autoSpaceDN w:val="0"/>
                    <w:jc w:val="center"/>
                    <w:rPr>
                      <w:rFonts w:hint="eastAsia"/>
                      <w:sz w:val="18"/>
                      <w:szCs w:val="18"/>
                    </w:rPr>
                  </w:pPr>
                  <w:r>
                    <w:rPr>
                      <w:rFonts w:hint="eastAsia"/>
                      <w:sz w:val="18"/>
                      <w:szCs w:val="18"/>
                    </w:rPr>
                    <w:t>1</w:t>
                  </w:r>
                  <w:r>
                    <w:rPr>
                      <w:sz w:val="18"/>
                      <w:szCs w:val="18"/>
                    </w:rPr>
                    <w:t>6</w:t>
                  </w:r>
                </w:p>
              </w:tc>
              <w:tc>
                <w:tcPr>
                  <w:tcW w:w="1134" w:type="dxa"/>
                  <w:noWrap w:val="0"/>
                  <w:vAlign w:val="center"/>
                </w:tcPr>
                <w:p>
                  <w:pPr>
                    <w:autoSpaceDE w:val="0"/>
                    <w:autoSpaceDN w:val="0"/>
                    <w:jc w:val="center"/>
                    <w:rPr>
                      <w:rFonts w:hint="eastAsia"/>
                      <w:sz w:val="18"/>
                      <w:szCs w:val="18"/>
                    </w:rPr>
                  </w:pPr>
                  <w:r>
                    <w:rPr>
                      <w:rFonts w:hint="eastAsia"/>
                      <w:sz w:val="18"/>
                      <w:szCs w:val="18"/>
                    </w:rPr>
                    <w:t>4</w:t>
                  </w:r>
                  <w:r>
                    <w:rPr>
                      <w:sz w:val="18"/>
                      <w:szCs w:val="18"/>
                    </w:rPr>
                    <w:t>7</w:t>
                  </w:r>
                </w:p>
              </w:tc>
              <w:tc>
                <w:tcPr>
                  <w:tcW w:w="1255" w:type="dxa"/>
                  <w:noWrap w:val="0"/>
                  <w:vAlign w:val="center"/>
                </w:tcPr>
                <w:p>
                  <w:pPr>
                    <w:autoSpaceDE w:val="0"/>
                    <w:autoSpaceDN w:val="0"/>
                    <w:jc w:val="center"/>
                    <w:rPr>
                      <w:rFonts w:hint="eastAsia"/>
                      <w:sz w:val="18"/>
                      <w:szCs w:val="18"/>
                    </w:rPr>
                  </w:pPr>
                  <w:r>
                    <w:rPr>
                      <w:rFonts w:hint="eastAsia"/>
                      <w:sz w:val="18"/>
                      <w:szCs w:val="18"/>
                    </w:rPr>
                    <w:t>1</w:t>
                  </w:r>
                  <w:r>
                    <w:rPr>
                      <w:sz w:val="18"/>
                      <w:szCs w:val="18"/>
                    </w:rPr>
                    <w:t>45</w:t>
                  </w:r>
                </w:p>
              </w:tc>
            </w:tr>
          </w:tbl>
          <w:p>
            <w:pPr>
              <w:autoSpaceDE w:val="0"/>
              <w:autoSpaceDN w:val="0"/>
              <w:spacing w:line="360" w:lineRule="auto"/>
              <w:ind w:firstLine="474" w:firstLineChars="200"/>
              <w:jc w:val="left"/>
              <w:rPr>
                <w:rFonts w:hint="eastAsia"/>
                <w:b/>
                <w:spacing w:val="-2"/>
                <w:sz w:val="24"/>
              </w:rPr>
            </w:pPr>
            <w:r>
              <w:rPr>
                <w:rFonts w:hint="eastAsia"/>
                <w:b/>
                <w:spacing w:val="-2"/>
                <w:sz w:val="24"/>
              </w:rPr>
              <w:t>②预测结果</w:t>
            </w:r>
          </w:p>
          <w:p>
            <w:pPr>
              <w:autoSpaceDE w:val="0"/>
              <w:autoSpaceDN w:val="0"/>
              <w:spacing w:line="360" w:lineRule="auto"/>
              <w:ind w:firstLine="472" w:firstLineChars="200"/>
              <w:jc w:val="left"/>
              <w:rPr>
                <w:rFonts w:hAnsi="宋体"/>
                <w:b/>
                <w:bCs/>
                <w:sz w:val="24"/>
              </w:rPr>
            </w:pPr>
            <w:r>
              <w:rPr>
                <w:rFonts w:hint="eastAsia"/>
                <w:spacing w:val="-2"/>
                <w:sz w:val="24"/>
              </w:rPr>
              <w:t>根据噪声衰减公式对各设备声源在不同距离的衰减量进行计算得出本工程噪声的贡献值，工程噪声预测结果见下表：</w:t>
            </w:r>
          </w:p>
          <w:p>
            <w:pPr>
              <w:pStyle w:val="184"/>
              <w:autoSpaceDE w:val="0"/>
              <w:autoSpaceDN w:val="0"/>
              <w:rPr>
                <w:color w:val="auto"/>
              </w:rPr>
            </w:pPr>
            <w:r>
              <w:rPr>
                <w:color w:val="auto"/>
              </w:rPr>
              <w:t xml:space="preserve">   </w:t>
            </w:r>
            <w:r>
              <w:rPr>
                <w:rFonts w:hint="eastAsia"/>
                <w:color w:val="auto"/>
              </w:rPr>
              <w:t>表4-1</w:t>
            </w:r>
            <w:r>
              <w:rPr>
                <w:color w:val="auto"/>
              </w:rPr>
              <w:t xml:space="preserve">1  </w:t>
            </w:r>
            <w:r>
              <w:rPr>
                <w:rFonts w:hint="eastAsia"/>
                <w:color w:val="auto"/>
              </w:rPr>
              <w:t>本工程各主要噪声源对各厂界噪声贡献值</w:t>
            </w:r>
            <w:r>
              <w:rPr>
                <w:color w:val="auto"/>
              </w:rPr>
              <w:t xml:space="preserve">    </w:t>
            </w:r>
            <w:r>
              <w:rPr>
                <w:rFonts w:hint="eastAsia"/>
                <w:color w:val="auto"/>
              </w:rPr>
              <w:t>单位：</w:t>
            </w:r>
            <w:r>
              <w:rPr>
                <w:color w:val="auto"/>
              </w:rPr>
              <w:t>dB</w:t>
            </w:r>
            <w:r>
              <w:rPr>
                <w:rFonts w:hint="eastAsia"/>
                <w:color w:val="auto"/>
              </w:rPr>
              <w:t>（</w:t>
            </w:r>
            <w:r>
              <w:rPr>
                <w:color w:val="auto"/>
              </w:rPr>
              <w:t>A</w:t>
            </w:r>
            <w:r>
              <w:rPr>
                <w:rFonts w:hint="eastAsia"/>
                <w:color w:val="auto"/>
              </w:rPr>
              <w:t>）</w:t>
            </w:r>
          </w:p>
          <w:tbl>
            <w:tblPr>
              <w:tblStyle w:val="39"/>
              <w:tblW w:w="7645"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2"/>
              <w:gridCol w:w="1209"/>
              <w:gridCol w:w="1189"/>
              <w:gridCol w:w="1134"/>
              <w:gridCol w:w="1134"/>
              <w:gridCol w:w="1134"/>
              <w:gridCol w:w="903"/>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942" w:type="dxa"/>
                  <w:vMerge w:val="restart"/>
                  <w:noWrap w:val="0"/>
                  <w:vAlign w:val="center"/>
                </w:tcPr>
                <w:p>
                  <w:pPr>
                    <w:pStyle w:val="182"/>
                    <w:wordWrap/>
                    <w:rPr>
                      <w:b/>
                    </w:rPr>
                  </w:pPr>
                  <w:r>
                    <w:rPr>
                      <w:rFonts w:hint="eastAsia"/>
                      <w:b/>
                    </w:rPr>
                    <w:t>位置</w:t>
                  </w:r>
                </w:p>
              </w:tc>
              <w:tc>
                <w:tcPr>
                  <w:tcW w:w="1209" w:type="dxa"/>
                  <w:vMerge w:val="restart"/>
                  <w:noWrap w:val="0"/>
                  <w:vAlign w:val="center"/>
                </w:tcPr>
                <w:p>
                  <w:pPr>
                    <w:pStyle w:val="182"/>
                    <w:wordWrap/>
                    <w:rPr>
                      <w:b/>
                    </w:rPr>
                  </w:pPr>
                  <w:r>
                    <w:rPr>
                      <w:rFonts w:hint="eastAsia"/>
                      <w:b/>
                    </w:rPr>
                    <w:t>噪声源</w:t>
                  </w:r>
                </w:p>
              </w:tc>
              <w:tc>
                <w:tcPr>
                  <w:tcW w:w="1189" w:type="dxa"/>
                  <w:vMerge w:val="restart"/>
                  <w:noWrap w:val="0"/>
                  <w:vAlign w:val="center"/>
                </w:tcPr>
                <w:p>
                  <w:pPr>
                    <w:pStyle w:val="182"/>
                    <w:wordWrap/>
                    <w:rPr>
                      <w:b/>
                      <w:highlight w:val="red"/>
                    </w:rPr>
                  </w:pPr>
                  <w:r>
                    <w:rPr>
                      <w:rFonts w:hint="eastAsia"/>
                      <w:b/>
                    </w:rPr>
                    <w:t>数量</w:t>
                  </w:r>
                </w:p>
              </w:tc>
              <w:tc>
                <w:tcPr>
                  <w:tcW w:w="4305" w:type="dxa"/>
                  <w:gridSpan w:val="4"/>
                  <w:noWrap w:val="0"/>
                  <w:vAlign w:val="center"/>
                </w:tcPr>
                <w:p>
                  <w:pPr>
                    <w:pStyle w:val="182"/>
                    <w:wordWrap/>
                    <w:rPr>
                      <w:b/>
                    </w:rPr>
                  </w:pPr>
                  <w:r>
                    <w:rPr>
                      <w:rFonts w:hint="eastAsia"/>
                      <w:b/>
                    </w:rPr>
                    <w:t>贡献值（</w:t>
                  </w:r>
                  <w:r>
                    <w:rPr>
                      <w:b/>
                    </w:rPr>
                    <w:t>dB</w:t>
                  </w:r>
                  <w:r>
                    <w:rPr>
                      <w:rFonts w:hint="eastAsia"/>
                      <w:b/>
                    </w:rPr>
                    <w:t>（</w:t>
                  </w:r>
                  <w:r>
                    <w:rPr>
                      <w:b/>
                    </w:rPr>
                    <w:t>A</w:t>
                  </w:r>
                  <w:r>
                    <w:rPr>
                      <w:rFonts w:hint="eastAsia"/>
                      <w:b/>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942" w:type="dxa"/>
                  <w:vMerge w:val="continue"/>
                  <w:noWrap w:val="0"/>
                  <w:vAlign w:val="center"/>
                </w:tcPr>
                <w:p>
                  <w:pPr>
                    <w:pStyle w:val="182"/>
                    <w:wordWrap/>
                    <w:rPr>
                      <w:b/>
                    </w:rPr>
                  </w:pPr>
                </w:p>
              </w:tc>
              <w:tc>
                <w:tcPr>
                  <w:tcW w:w="1209" w:type="dxa"/>
                  <w:vMerge w:val="continue"/>
                  <w:noWrap w:val="0"/>
                  <w:vAlign w:val="center"/>
                </w:tcPr>
                <w:p>
                  <w:pPr>
                    <w:pStyle w:val="182"/>
                    <w:wordWrap/>
                    <w:rPr>
                      <w:b/>
                    </w:rPr>
                  </w:pPr>
                </w:p>
              </w:tc>
              <w:tc>
                <w:tcPr>
                  <w:tcW w:w="1189" w:type="dxa"/>
                  <w:vMerge w:val="continue"/>
                  <w:noWrap w:val="0"/>
                  <w:vAlign w:val="center"/>
                </w:tcPr>
                <w:p>
                  <w:pPr>
                    <w:pStyle w:val="182"/>
                    <w:wordWrap/>
                    <w:rPr>
                      <w:b/>
                      <w:highlight w:val="red"/>
                    </w:rPr>
                  </w:pPr>
                </w:p>
              </w:tc>
              <w:tc>
                <w:tcPr>
                  <w:tcW w:w="1134" w:type="dxa"/>
                  <w:noWrap w:val="0"/>
                  <w:vAlign w:val="center"/>
                </w:tcPr>
                <w:p>
                  <w:pPr>
                    <w:pStyle w:val="182"/>
                    <w:wordWrap/>
                    <w:rPr>
                      <w:b/>
                    </w:rPr>
                  </w:pPr>
                  <w:r>
                    <w:rPr>
                      <w:rFonts w:hint="eastAsia"/>
                      <w:b/>
                    </w:rPr>
                    <w:t>东厂界</w:t>
                  </w:r>
                </w:p>
              </w:tc>
              <w:tc>
                <w:tcPr>
                  <w:tcW w:w="1134" w:type="dxa"/>
                  <w:noWrap w:val="0"/>
                  <w:vAlign w:val="center"/>
                </w:tcPr>
                <w:p>
                  <w:pPr>
                    <w:pStyle w:val="182"/>
                    <w:wordWrap/>
                    <w:rPr>
                      <w:b/>
                    </w:rPr>
                  </w:pPr>
                  <w:r>
                    <w:rPr>
                      <w:rFonts w:hint="eastAsia"/>
                      <w:b/>
                    </w:rPr>
                    <w:t>南厂界</w:t>
                  </w:r>
                </w:p>
              </w:tc>
              <w:tc>
                <w:tcPr>
                  <w:tcW w:w="1134" w:type="dxa"/>
                  <w:noWrap w:val="0"/>
                  <w:vAlign w:val="center"/>
                </w:tcPr>
                <w:p>
                  <w:pPr>
                    <w:pStyle w:val="182"/>
                    <w:wordWrap/>
                    <w:rPr>
                      <w:b/>
                    </w:rPr>
                  </w:pPr>
                  <w:r>
                    <w:rPr>
                      <w:rFonts w:hint="eastAsia"/>
                      <w:b/>
                    </w:rPr>
                    <w:t>西厂界</w:t>
                  </w:r>
                </w:p>
              </w:tc>
              <w:tc>
                <w:tcPr>
                  <w:tcW w:w="903" w:type="dxa"/>
                  <w:noWrap w:val="0"/>
                  <w:vAlign w:val="center"/>
                </w:tcPr>
                <w:p>
                  <w:pPr>
                    <w:pStyle w:val="182"/>
                    <w:wordWrap/>
                    <w:rPr>
                      <w:b/>
                    </w:rPr>
                  </w:pPr>
                  <w:r>
                    <w:rPr>
                      <w:rFonts w:hint="eastAsia"/>
                      <w:b/>
                    </w:rPr>
                    <w:t>北厂界</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942" w:type="dxa"/>
                  <w:noWrap w:val="0"/>
                  <w:vAlign w:val="center"/>
                </w:tcPr>
                <w:p>
                  <w:pPr>
                    <w:autoSpaceDE w:val="0"/>
                    <w:autoSpaceDN w:val="0"/>
                    <w:adjustRightInd w:val="0"/>
                    <w:snapToGrid w:val="0"/>
                    <w:jc w:val="center"/>
                    <w:rPr>
                      <w:sz w:val="18"/>
                      <w:szCs w:val="18"/>
                    </w:rPr>
                  </w:pPr>
                  <w:r>
                    <w:rPr>
                      <w:rFonts w:hint="eastAsia"/>
                      <w:sz w:val="18"/>
                      <w:szCs w:val="18"/>
                    </w:rPr>
                    <w:t>提水泵站</w:t>
                  </w:r>
                </w:p>
              </w:tc>
              <w:tc>
                <w:tcPr>
                  <w:tcW w:w="1209" w:type="dxa"/>
                  <w:noWrap w:val="0"/>
                  <w:vAlign w:val="center"/>
                </w:tcPr>
                <w:p>
                  <w:pPr>
                    <w:autoSpaceDE w:val="0"/>
                    <w:autoSpaceDN w:val="0"/>
                    <w:adjustRightInd w:val="0"/>
                    <w:snapToGrid w:val="0"/>
                    <w:jc w:val="center"/>
                    <w:rPr>
                      <w:sz w:val="18"/>
                      <w:szCs w:val="18"/>
                    </w:rPr>
                  </w:pPr>
                  <w:r>
                    <w:rPr>
                      <w:rFonts w:hint="eastAsia"/>
                      <w:sz w:val="18"/>
                      <w:szCs w:val="18"/>
                    </w:rPr>
                    <w:t>水泵</w:t>
                  </w:r>
                </w:p>
              </w:tc>
              <w:tc>
                <w:tcPr>
                  <w:tcW w:w="1189" w:type="dxa"/>
                  <w:noWrap w:val="0"/>
                  <w:vAlign w:val="center"/>
                </w:tcPr>
                <w:p>
                  <w:pPr>
                    <w:pStyle w:val="182"/>
                    <w:wordWrap/>
                    <w:rPr>
                      <w:highlight w:val="red"/>
                    </w:rPr>
                  </w:pPr>
                  <w:r>
                    <w:t>7</w:t>
                  </w:r>
                </w:p>
              </w:tc>
              <w:tc>
                <w:tcPr>
                  <w:tcW w:w="1134" w:type="dxa"/>
                  <w:noWrap w:val="0"/>
                  <w:vAlign w:val="center"/>
                </w:tcPr>
                <w:p>
                  <w:pPr>
                    <w:pStyle w:val="182"/>
                    <w:wordWrap/>
                  </w:pPr>
                  <w:r>
                    <w:rPr>
                      <w:rFonts w:hint="eastAsia"/>
                    </w:rPr>
                    <w:t>3</w:t>
                  </w:r>
                  <w:r>
                    <w:t>8</w:t>
                  </w:r>
                </w:p>
              </w:tc>
              <w:tc>
                <w:tcPr>
                  <w:tcW w:w="1134" w:type="dxa"/>
                  <w:noWrap w:val="0"/>
                  <w:vAlign w:val="center"/>
                </w:tcPr>
                <w:p>
                  <w:pPr>
                    <w:pStyle w:val="182"/>
                    <w:wordWrap/>
                  </w:pPr>
                  <w:r>
                    <w:rPr>
                      <w:rFonts w:hint="eastAsia"/>
                    </w:rPr>
                    <w:t>2</w:t>
                  </w:r>
                  <w:r>
                    <w:t>0</w:t>
                  </w:r>
                </w:p>
              </w:tc>
              <w:tc>
                <w:tcPr>
                  <w:tcW w:w="1134" w:type="dxa"/>
                  <w:noWrap w:val="0"/>
                  <w:vAlign w:val="center"/>
                </w:tcPr>
                <w:p>
                  <w:pPr>
                    <w:pStyle w:val="182"/>
                    <w:wordWrap/>
                  </w:pPr>
                  <w:r>
                    <w:rPr>
                      <w:rFonts w:hint="eastAsia"/>
                    </w:rPr>
                    <w:t>2</w:t>
                  </w:r>
                  <w:r>
                    <w:t>4</w:t>
                  </w:r>
                </w:p>
              </w:tc>
              <w:tc>
                <w:tcPr>
                  <w:tcW w:w="903" w:type="dxa"/>
                  <w:noWrap w:val="0"/>
                  <w:vAlign w:val="center"/>
                </w:tcPr>
                <w:p>
                  <w:pPr>
                    <w:pStyle w:val="182"/>
                    <w:wordWrap/>
                  </w:pPr>
                  <w:r>
                    <w:rPr>
                      <w:rFonts w:hint="eastAsia"/>
                    </w:rPr>
                    <w:t>4</w:t>
                  </w:r>
                  <w:r>
                    <w:t>8</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340" w:type="dxa"/>
                  <w:gridSpan w:val="3"/>
                  <w:noWrap w:val="0"/>
                  <w:vAlign w:val="center"/>
                </w:tcPr>
                <w:p>
                  <w:pPr>
                    <w:pStyle w:val="182"/>
                    <w:wordWrap/>
                  </w:pPr>
                  <w:r>
                    <w:rPr>
                      <w:rFonts w:hint="eastAsia"/>
                    </w:rPr>
                    <w:t>提水泵站噪声源对厂界噪声的贡献值</w:t>
                  </w:r>
                </w:p>
              </w:tc>
              <w:tc>
                <w:tcPr>
                  <w:tcW w:w="1134" w:type="dxa"/>
                  <w:noWrap w:val="0"/>
                  <w:vAlign w:val="center"/>
                </w:tcPr>
                <w:p>
                  <w:pPr>
                    <w:pStyle w:val="182"/>
                    <w:wordWrap/>
                  </w:pPr>
                  <w:r>
                    <w:rPr>
                      <w:rFonts w:hint="eastAsia"/>
                    </w:rPr>
                    <w:t>3</w:t>
                  </w:r>
                  <w:r>
                    <w:t>8</w:t>
                  </w:r>
                </w:p>
              </w:tc>
              <w:tc>
                <w:tcPr>
                  <w:tcW w:w="1134" w:type="dxa"/>
                  <w:noWrap w:val="0"/>
                  <w:vAlign w:val="center"/>
                </w:tcPr>
                <w:p>
                  <w:pPr>
                    <w:pStyle w:val="182"/>
                    <w:wordWrap/>
                  </w:pPr>
                  <w:r>
                    <w:rPr>
                      <w:rFonts w:hint="eastAsia"/>
                    </w:rPr>
                    <w:t>2</w:t>
                  </w:r>
                  <w:r>
                    <w:t>0</w:t>
                  </w:r>
                </w:p>
              </w:tc>
              <w:tc>
                <w:tcPr>
                  <w:tcW w:w="1134" w:type="dxa"/>
                  <w:noWrap w:val="0"/>
                  <w:vAlign w:val="center"/>
                </w:tcPr>
                <w:p>
                  <w:pPr>
                    <w:pStyle w:val="182"/>
                    <w:wordWrap/>
                  </w:pPr>
                  <w:r>
                    <w:rPr>
                      <w:rFonts w:hint="eastAsia"/>
                    </w:rPr>
                    <w:t>2</w:t>
                  </w:r>
                  <w:r>
                    <w:t>4</w:t>
                  </w:r>
                </w:p>
              </w:tc>
              <w:tc>
                <w:tcPr>
                  <w:tcW w:w="903" w:type="dxa"/>
                  <w:noWrap w:val="0"/>
                  <w:vAlign w:val="center"/>
                </w:tcPr>
                <w:p>
                  <w:pPr>
                    <w:pStyle w:val="182"/>
                    <w:wordWrap/>
                  </w:pPr>
                  <w:r>
                    <w:rPr>
                      <w:rFonts w:hint="eastAsia"/>
                    </w:rPr>
                    <w:t>4</w:t>
                  </w:r>
                  <w:r>
                    <w:t>8</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942" w:type="dxa"/>
                  <w:vMerge w:val="restart"/>
                  <w:noWrap w:val="0"/>
                  <w:vAlign w:val="center"/>
                </w:tcPr>
                <w:p>
                  <w:pPr>
                    <w:autoSpaceDE w:val="0"/>
                    <w:autoSpaceDN w:val="0"/>
                    <w:adjustRightInd w:val="0"/>
                    <w:snapToGrid w:val="0"/>
                    <w:jc w:val="center"/>
                    <w:rPr>
                      <w:rFonts w:hint="eastAsia"/>
                      <w:sz w:val="18"/>
                      <w:szCs w:val="18"/>
                    </w:rPr>
                  </w:pPr>
                  <w:r>
                    <w:rPr>
                      <w:rFonts w:hint="eastAsia"/>
                      <w:sz w:val="18"/>
                      <w:szCs w:val="18"/>
                    </w:rPr>
                    <w:t>净水厂内</w:t>
                  </w:r>
                </w:p>
              </w:tc>
              <w:tc>
                <w:tcPr>
                  <w:tcW w:w="1209" w:type="dxa"/>
                  <w:noWrap w:val="0"/>
                  <w:vAlign w:val="center"/>
                </w:tcPr>
                <w:p>
                  <w:pPr>
                    <w:autoSpaceDE w:val="0"/>
                    <w:autoSpaceDN w:val="0"/>
                    <w:adjustRightInd w:val="0"/>
                    <w:snapToGrid w:val="0"/>
                    <w:jc w:val="center"/>
                    <w:rPr>
                      <w:rFonts w:hint="eastAsia"/>
                      <w:sz w:val="18"/>
                      <w:szCs w:val="18"/>
                    </w:rPr>
                  </w:pPr>
                  <w:r>
                    <w:rPr>
                      <w:rFonts w:hint="eastAsia"/>
                      <w:sz w:val="18"/>
                      <w:szCs w:val="18"/>
                    </w:rPr>
                    <w:t>排污泵</w:t>
                  </w:r>
                </w:p>
              </w:tc>
              <w:tc>
                <w:tcPr>
                  <w:tcW w:w="1189" w:type="dxa"/>
                  <w:noWrap w:val="0"/>
                  <w:vAlign w:val="center"/>
                </w:tcPr>
                <w:p>
                  <w:pPr>
                    <w:pStyle w:val="182"/>
                    <w:wordWrap/>
                  </w:pPr>
                  <w:r>
                    <w:t>4</w:t>
                  </w:r>
                </w:p>
              </w:tc>
              <w:tc>
                <w:tcPr>
                  <w:tcW w:w="1134" w:type="dxa"/>
                  <w:noWrap w:val="0"/>
                  <w:vAlign w:val="center"/>
                </w:tcPr>
                <w:p>
                  <w:pPr>
                    <w:pStyle w:val="182"/>
                    <w:wordWrap/>
                  </w:pPr>
                  <w:r>
                    <w:rPr>
                      <w:rFonts w:hint="eastAsia"/>
                    </w:rPr>
                    <w:t>4</w:t>
                  </w:r>
                </w:p>
              </w:tc>
              <w:tc>
                <w:tcPr>
                  <w:tcW w:w="1134" w:type="dxa"/>
                  <w:noWrap w:val="0"/>
                  <w:vAlign w:val="center"/>
                </w:tcPr>
                <w:p>
                  <w:pPr>
                    <w:pStyle w:val="182"/>
                    <w:wordWrap/>
                  </w:pPr>
                  <w:r>
                    <w:rPr>
                      <w:rFonts w:hint="eastAsia"/>
                    </w:rPr>
                    <w:t>2</w:t>
                  </w:r>
                  <w:r>
                    <w:t>2</w:t>
                  </w:r>
                </w:p>
              </w:tc>
              <w:tc>
                <w:tcPr>
                  <w:tcW w:w="1134" w:type="dxa"/>
                  <w:noWrap w:val="0"/>
                  <w:vAlign w:val="center"/>
                </w:tcPr>
                <w:p>
                  <w:pPr>
                    <w:pStyle w:val="182"/>
                    <w:wordWrap/>
                  </w:pPr>
                  <w:r>
                    <w:rPr>
                      <w:rFonts w:hint="eastAsia"/>
                    </w:rPr>
                    <w:t>1</w:t>
                  </w:r>
                  <w:r>
                    <w:t>8</w:t>
                  </w:r>
                </w:p>
              </w:tc>
              <w:tc>
                <w:tcPr>
                  <w:tcW w:w="903" w:type="dxa"/>
                  <w:noWrap w:val="0"/>
                  <w:vAlign w:val="center"/>
                </w:tcPr>
                <w:p>
                  <w:pPr>
                    <w:pStyle w:val="182"/>
                    <w:wordWrap/>
                  </w:pPr>
                  <w:r>
                    <w:rPr>
                      <w:rFonts w:hint="eastAsia"/>
                    </w:rPr>
                    <w:t>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942" w:type="dxa"/>
                  <w:vMerge w:val="continue"/>
                  <w:noWrap w:val="0"/>
                  <w:vAlign w:val="center"/>
                </w:tcPr>
                <w:p>
                  <w:pPr>
                    <w:autoSpaceDE w:val="0"/>
                    <w:autoSpaceDN w:val="0"/>
                    <w:adjustRightInd w:val="0"/>
                    <w:snapToGrid w:val="0"/>
                    <w:jc w:val="center"/>
                    <w:rPr>
                      <w:rFonts w:hint="eastAsia"/>
                      <w:sz w:val="18"/>
                      <w:szCs w:val="18"/>
                    </w:rPr>
                  </w:pPr>
                </w:p>
              </w:tc>
              <w:tc>
                <w:tcPr>
                  <w:tcW w:w="1209" w:type="dxa"/>
                  <w:noWrap w:val="0"/>
                  <w:vAlign w:val="center"/>
                </w:tcPr>
                <w:p>
                  <w:pPr>
                    <w:autoSpaceDE w:val="0"/>
                    <w:autoSpaceDN w:val="0"/>
                    <w:adjustRightInd w:val="0"/>
                    <w:snapToGrid w:val="0"/>
                    <w:jc w:val="center"/>
                    <w:rPr>
                      <w:rFonts w:hint="eastAsia"/>
                      <w:sz w:val="18"/>
                      <w:szCs w:val="18"/>
                    </w:rPr>
                  </w:pPr>
                  <w:r>
                    <w:rPr>
                      <w:rFonts w:hint="eastAsia"/>
                      <w:sz w:val="18"/>
                      <w:szCs w:val="18"/>
                    </w:rPr>
                    <w:t>取样泵</w:t>
                  </w:r>
                </w:p>
              </w:tc>
              <w:tc>
                <w:tcPr>
                  <w:tcW w:w="1189" w:type="dxa"/>
                  <w:noWrap w:val="0"/>
                  <w:vAlign w:val="center"/>
                </w:tcPr>
                <w:p>
                  <w:pPr>
                    <w:pStyle w:val="182"/>
                    <w:wordWrap/>
                  </w:pPr>
                  <w:r>
                    <w:rPr>
                      <w:rFonts w:hint="eastAsia"/>
                    </w:rPr>
                    <w:t>4</w:t>
                  </w:r>
                </w:p>
              </w:tc>
              <w:tc>
                <w:tcPr>
                  <w:tcW w:w="1134" w:type="dxa"/>
                  <w:noWrap w:val="0"/>
                  <w:vAlign w:val="center"/>
                </w:tcPr>
                <w:p>
                  <w:pPr>
                    <w:pStyle w:val="182"/>
                    <w:wordWrap/>
                  </w:pPr>
                  <w:r>
                    <w:rPr>
                      <w:rFonts w:hint="eastAsia"/>
                    </w:rPr>
                    <w:t>1</w:t>
                  </w:r>
                </w:p>
              </w:tc>
              <w:tc>
                <w:tcPr>
                  <w:tcW w:w="1134" w:type="dxa"/>
                  <w:noWrap w:val="0"/>
                  <w:vAlign w:val="center"/>
                </w:tcPr>
                <w:p>
                  <w:pPr>
                    <w:pStyle w:val="182"/>
                    <w:wordWrap/>
                  </w:pPr>
                  <w:r>
                    <w:rPr>
                      <w:rFonts w:hint="eastAsia"/>
                    </w:rPr>
                    <w:t>1</w:t>
                  </w:r>
                  <w:r>
                    <w:t>9</w:t>
                  </w:r>
                </w:p>
              </w:tc>
              <w:tc>
                <w:tcPr>
                  <w:tcW w:w="1134" w:type="dxa"/>
                  <w:noWrap w:val="0"/>
                  <w:vAlign w:val="center"/>
                </w:tcPr>
                <w:p>
                  <w:pPr>
                    <w:pStyle w:val="182"/>
                    <w:wordWrap/>
                    <w:jc w:val="both"/>
                    <w:rPr>
                      <w:rFonts w:hint="eastAsia"/>
                    </w:rPr>
                  </w:pPr>
                  <w:r>
                    <w:rPr>
                      <w:rFonts w:hint="eastAsia"/>
                    </w:rPr>
                    <w:t>3</w:t>
                  </w:r>
                </w:p>
              </w:tc>
              <w:tc>
                <w:tcPr>
                  <w:tcW w:w="903" w:type="dxa"/>
                  <w:noWrap w:val="0"/>
                  <w:vAlign w:val="center"/>
                </w:tcPr>
                <w:p>
                  <w:pPr>
                    <w:pStyle w:val="182"/>
                    <w:wordWrap/>
                  </w:pPr>
                  <w:r>
                    <w:rPr>
                      <w:rFonts w:hint="eastAsia"/>
                    </w:rPr>
                    <w:t>1</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942" w:type="dxa"/>
                  <w:noWrap w:val="0"/>
                  <w:vAlign w:val="center"/>
                </w:tcPr>
                <w:p>
                  <w:pPr>
                    <w:autoSpaceDE w:val="0"/>
                    <w:autoSpaceDN w:val="0"/>
                    <w:adjustRightInd w:val="0"/>
                    <w:snapToGrid w:val="0"/>
                    <w:jc w:val="center"/>
                    <w:rPr>
                      <w:rFonts w:hint="eastAsia"/>
                      <w:sz w:val="18"/>
                      <w:szCs w:val="18"/>
                    </w:rPr>
                  </w:pPr>
                  <w:r>
                    <w:rPr>
                      <w:rFonts w:hint="eastAsia"/>
                      <w:sz w:val="18"/>
                      <w:szCs w:val="18"/>
                    </w:rPr>
                    <w:t>脱水车间</w:t>
                  </w:r>
                </w:p>
              </w:tc>
              <w:tc>
                <w:tcPr>
                  <w:tcW w:w="1209" w:type="dxa"/>
                  <w:noWrap w:val="0"/>
                  <w:vAlign w:val="center"/>
                </w:tcPr>
                <w:p>
                  <w:pPr>
                    <w:autoSpaceDE w:val="0"/>
                    <w:autoSpaceDN w:val="0"/>
                    <w:adjustRightInd w:val="0"/>
                    <w:snapToGrid w:val="0"/>
                    <w:jc w:val="center"/>
                    <w:rPr>
                      <w:rFonts w:hint="eastAsia"/>
                      <w:sz w:val="18"/>
                      <w:szCs w:val="18"/>
                    </w:rPr>
                  </w:pPr>
                  <w:r>
                    <w:rPr>
                      <w:rFonts w:hint="eastAsia"/>
                      <w:sz w:val="18"/>
                      <w:szCs w:val="18"/>
                    </w:rPr>
                    <w:t>脱水机</w:t>
                  </w:r>
                </w:p>
              </w:tc>
              <w:tc>
                <w:tcPr>
                  <w:tcW w:w="1189" w:type="dxa"/>
                  <w:noWrap w:val="0"/>
                  <w:vAlign w:val="center"/>
                </w:tcPr>
                <w:p>
                  <w:pPr>
                    <w:pStyle w:val="182"/>
                    <w:wordWrap/>
                  </w:pPr>
                  <w:r>
                    <w:t>/</w:t>
                  </w:r>
                </w:p>
              </w:tc>
              <w:tc>
                <w:tcPr>
                  <w:tcW w:w="1134" w:type="dxa"/>
                  <w:noWrap w:val="0"/>
                  <w:vAlign w:val="center"/>
                </w:tcPr>
                <w:p>
                  <w:pPr>
                    <w:pStyle w:val="182"/>
                    <w:wordWrap/>
                  </w:pPr>
                  <w:r>
                    <w:rPr>
                      <w:rFonts w:hint="eastAsia"/>
                    </w:rPr>
                    <w:t>4</w:t>
                  </w:r>
                </w:p>
              </w:tc>
              <w:tc>
                <w:tcPr>
                  <w:tcW w:w="1134" w:type="dxa"/>
                  <w:noWrap w:val="0"/>
                  <w:vAlign w:val="center"/>
                </w:tcPr>
                <w:p>
                  <w:pPr>
                    <w:pStyle w:val="182"/>
                    <w:wordWrap/>
                  </w:pPr>
                  <w:r>
                    <w:rPr>
                      <w:rFonts w:hint="eastAsia"/>
                    </w:rPr>
                    <w:t>1</w:t>
                  </w:r>
                  <w:r>
                    <w:t>1</w:t>
                  </w:r>
                </w:p>
              </w:tc>
              <w:tc>
                <w:tcPr>
                  <w:tcW w:w="1134" w:type="dxa"/>
                  <w:noWrap w:val="0"/>
                  <w:vAlign w:val="center"/>
                </w:tcPr>
                <w:p>
                  <w:pPr>
                    <w:pStyle w:val="182"/>
                    <w:wordWrap/>
                  </w:pPr>
                  <w:r>
                    <w:rPr>
                      <w:rFonts w:hint="eastAsia"/>
                    </w:rPr>
                    <w:t>1</w:t>
                  </w:r>
                  <w:r>
                    <w:t>3</w:t>
                  </w:r>
                </w:p>
              </w:tc>
              <w:tc>
                <w:tcPr>
                  <w:tcW w:w="903" w:type="dxa"/>
                  <w:noWrap w:val="0"/>
                  <w:vAlign w:val="center"/>
                </w:tcPr>
                <w:p>
                  <w:pPr>
                    <w:pStyle w:val="182"/>
                    <w:wordWrap/>
                  </w:pPr>
                  <w:r>
                    <w:rPr>
                      <w:rFonts w:hint="eastAsia"/>
                    </w:rPr>
                    <w:t>2</w:t>
                  </w:r>
                  <w:r>
                    <w:t>1</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942" w:type="dxa"/>
                  <w:noWrap w:val="0"/>
                  <w:vAlign w:val="center"/>
                </w:tcPr>
                <w:p>
                  <w:pPr>
                    <w:autoSpaceDE w:val="0"/>
                    <w:autoSpaceDN w:val="0"/>
                    <w:adjustRightInd w:val="0"/>
                    <w:snapToGrid w:val="0"/>
                    <w:jc w:val="center"/>
                    <w:rPr>
                      <w:rFonts w:hint="eastAsia"/>
                      <w:sz w:val="18"/>
                      <w:szCs w:val="18"/>
                    </w:rPr>
                  </w:pPr>
                  <w:r>
                    <w:rPr>
                      <w:rFonts w:hint="eastAsia"/>
                      <w:sz w:val="18"/>
                      <w:szCs w:val="18"/>
                    </w:rPr>
                    <w:t>送水泵房</w:t>
                  </w:r>
                </w:p>
              </w:tc>
              <w:tc>
                <w:tcPr>
                  <w:tcW w:w="1209" w:type="dxa"/>
                  <w:noWrap w:val="0"/>
                  <w:vAlign w:val="center"/>
                </w:tcPr>
                <w:p>
                  <w:pPr>
                    <w:autoSpaceDE w:val="0"/>
                    <w:autoSpaceDN w:val="0"/>
                    <w:adjustRightInd w:val="0"/>
                    <w:snapToGrid w:val="0"/>
                    <w:jc w:val="center"/>
                    <w:rPr>
                      <w:rFonts w:hint="eastAsia"/>
                      <w:sz w:val="18"/>
                      <w:szCs w:val="18"/>
                    </w:rPr>
                  </w:pPr>
                  <w:r>
                    <w:rPr>
                      <w:rFonts w:hint="eastAsia"/>
                      <w:sz w:val="18"/>
                      <w:szCs w:val="18"/>
                    </w:rPr>
                    <w:t>离心泵</w:t>
                  </w:r>
                </w:p>
              </w:tc>
              <w:tc>
                <w:tcPr>
                  <w:tcW w:w="1189" w:type="dxa"/>
                  <w:noWrap w:val="0"/>
                  <w:vAlign w:val="center"/>
                </w:tcPr>
                <w:p>
                  <w:pPr>
                    <w:pStyle w:val="182"/>
                    <w:wordWrap/>
                  </w:pPr>
                  <w:r>
                    <w:rPr>
                      <w:rFonts w:hint="eastAsia"/>
                    </w:rPr>
                    <w:t>3</w:t>
                  </w:r>
                </w:p>
              </w:tc>
              <w:tc>
                <w:tcPr>
                  <w:tcW w:w="1134" w:type="dxa"/>
                  <w:noWrap w:val="0"/>
                  <w:vAlign w:val="center"/>
                </w:tcPr>
                <w:p>
                  <w:pPr>
                    <w:pStyle w:val="182"/>
                    <w:wordWrap/>
                  </w:pPr>
                  <w:r>
                    <w:rPr>
                      <w:rFonts w:hint="eastAsia"/>
                    </w:rPr>
                    <w:t>1</w:t>
                  </w:r>
                  <w:r>
                    <w:t>3</w:t>
                  </w:r>
                </w:p>
              </w:tc>
              <w:tc>
                <w:tcPr>
                  <w:tcW w:w="1134" w:type="dxa"/>
                  <w:noWrap w:val="0"/>
                  <w:vAlign w:val="center"/>
                </w:tcPr>
                <w:p>
                  <w:pPr>
                    <w:pStyle w:val="182"/>
                    <w:wordWrap/>
                  </w:pPr>
                  <w:r>
                    <w:rPr>
                      <w:rFonts w:hint="eastAsia"/>
                    </w:rPr>
                    <w:t>2</w:t>
                  </w:r>
                  <w:r>
                    <w:t>1</w:t>
                  </w:r>
                </w:p>
              </w:tc>
              <w:tc>
                <w:tcPr>
                  <w:tcW w:w="1134" w:type="dxa"/>
                  <w:noWrap w:val="0"/>
                  <w:vAlign w:val="center"/>
                </w:tcPr>
                <w:p>
                  <w:pPr>
                    <w:pStyle w:val="182"/>
                    <w:wordWrap/>
                  </w:pPr>
                  <w:r>
                    <w:rPr>
                      <w:rFonts w:hint="eastAsia"/>
                    </w:rPr>
                    <w:t>2</w:t>
                  </w:r>
                  <w:r>
                    <w:t>3</w:t>
                  </w:r>
                </w:p>
              </w:tc>
              <w:tc>
                <w:tcPr>
                  <w:tcW w:w="903" w:type="dxa"/>
                  <w:noWrap w:val="0"/>
                  <w:vAlign w:val="center"/>
                </w:tcPr>
                <w:p>
                  <w:pPr>
                    <w:pStyle w:val="182"/>
                    <w:wordWrap/>
                  </w:pPr>
                  <w:r>
                    <w:rPr>
                      <w:rFonts w:hint="eastAsia"/>
                    </w:rPr>
                    <w:t>7</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3340" w:type="dxa"/>
                  <w:gridSpan w:val="3"/>
                  <w:noWrap w:val="0"/>
                  <w:vAlign w:val="center"/>
                </w:tcPr>
                <w:p>
                  <w:pPr>
                    <w:pStyle w:val="182"/>
                    <w:wordWrap/>
                  </w:pPr>
                  <w:r>
                    <w:rPr>
                      <w:rFonts w:hint="eastAsia" w:ascii="宋体" w:hAnsi="宋体"/>
                    </w:rPr>
                    <w:t>叠加后噪声源对厂界噪声的贡献值</w:t>
                  </w:r>
                </w:p>
              </w:tc>
              <w:tc>
                <w:tcPr>
                  <w:tcW w:w="1134" w:type="dxa"/>
                  <w:noWrap w:val="0"/>
                  <w:vAlign w:val="center"/>
                </w:tcPr>
                <w:p>
                  <w:pPr>
                    <w:pStyle w:val="182"/>
                    <w:wordWrap/>
                  </w:pPr>
                  <w:r>
                    <w:t>14</w:t>
                  </w:r>
                </w:p>
              </w:tc>
              <w:tc>
                <w:tcPr>
                  <w:tcW w:w="1134" w:type="dxa"/>
                  <w:noWrap w:val="0"/>
                  <w:vAlign w:val="center"/>
                </w:tcPr>
                <w:p>
                  <w:pPr>
                    <w:pStyle w:val="182"/>
                    <w:wordWrap/>
                  </w:pPr>
                  <w:r>
                    <w:t>26</w:t>
                  </w:r>
                </w:p>
              </w:tc>
              <w:tc>
                <w:tcPr>
                  <w:tcW w:w="1134" w:type="dxa"/>
                  <w:noWrap w:val="0"/>
                  <w:vAlign w:val="center"/>
                </w:tcPr>
                <w:p>
                  <w:pPr>
                    <w:pStyle w:val="182"/>
                    <w:wordWrap/>
                  </w:pPr>
                  <w:r>
                    <w:rPr>
                      <w:rFonts w:hint="eastAsia"/>
                    </w:rPr>
                    <w:t>2</w:t>
                  </w:r>
                  <w:r>
                    <w:t>5</w:t>
                  </w:r>
                </w:p>
              </w:tc>
              <w:tc>
                <w:tcPr>
                  <w:tcW w:w="903" w:type="dxa"/>
                  <w:noWrap w:val="0"/>
                  <w:vAlign w:val="center"/>
                </w:tcPr>
                <w:p>
                  <w:pPr>
                    <w:pStyle w:val="182"/>
                    <w:wordWrap/>
                  </w:pPr>
                  <w:r>
                    <w:rPr>
                      <w:rFonts w:hint="eastAsia"/>
                    </w:rPr>
                    <w:t>2</w:t>
                  </w:r>
                  <w:r>
                    <w:t>1</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7645" w:type="dxa"/>
                  <w:gridSpan w:val="7"/>
                  <w:noWrap w:val="0"/>
                  <w:vAlign w:val="center"/>
                </w:tcPr>
                <w:p>
                  <w:pPr>
                    <w:pStyle w:val="182"/>
                    <w:wordWrap/>
                    <w:rPr>
                      <w:rFonts w:hint="eastAsia"/>
                    </w:rPr>
                  </w:pPr>
                  <w:r>
                    <w:rPr>
                      <w:rFonts w:hint="eastAsia"/>
                    </w:rPr>
                    <w:t>执行标准：《工业企业厂界环境噪声排放标准》（</w:t>
                  </w:r>
                  <w:r>
                    <w:t>GB12348-2008</w:t>
                  </w:r>
                  <w:r>
                    <w:rPr>
                      <w:rFonts w:hint="eastAsia"/>
                    </w:rPr>
                    <w:t>）</w:t>
                  </w:r>
                  <w:r>
                    <w:t>5</w:t>
                  </w:r>
                  <w:r>
                    <w:rPr>
                      <w:rFonts w:hint="eastAsia"/>
                    </w:rPr>
                    <w:t>类标准（昼间</w:t>
                  </w:r>
                  <w:r>
                    <w:t>≤</w:t>
                  </w:r>
                  <w:r>
                    <w:rPr>
                      <w:rFonts w:hint="eastAsia"/>
                    </w:rPr>
                    <w:t>6</w:t>
                  </w:r>
                  <w:r>
                    <w:t>0</w:t>
                  </w:r>
                  <w:r>
                    <w:rPr>
                      <w:rFonts w:hint="eastAsia"/>
                    </w:rPr>
                    <w:t>，夜间≤5</w:t>
                  </w:r>
                  <w:r>
                    <w:t>0</w:t>
                  </w:r>
                  <w:r>
                    <w:rPr>
                      <w:rFonts w:hint="eastAsia"/>
                    </w:rPr>
                    <w:t>）</w:t>
                  </w:r>
                </w:p>
              </w:tc>
            </w:tr>
          </w:tbl>
          <w:p>
            <w:pPr>
              <w:autoSpaceDE w:val="0"/>
              <w:autoSpaceDN w:val="0"/>
              <w:spacing w:line="360" w:lineRule="auto"/>
              <w:ind w:firstLine="482" w:firstLineChars="200"/>
              <w:rPr>
                <w:rFonts w:hint="eastAsia"/>
                <w:b/>
                <w:sz w:val="24"/>
              </w:rPr>
            </w:pPr>
            <w:r>
              <w:rPr>
                <w:rFonts w:hint="eastAsia"/>
                <w:b/>
                <w:sz w:val="24"/>
              </w:rPr>
              <w:t>③噪声影响评价结论</w:t>
            </w:r>
          </w:p>
          <w:p>
            <w:pPr>
              <w:autoSpaceDE w:val="0"/>
              <w:autoSpaceDN w:val="0"/>
              <w:spacing w:line="360" w:lineRule="auto"/>
              <w:ind w:firstLine="480" w:firstLineChars="200"/>
              <w:rPr>
                <w:rFonts w:hint="eastAsia"/>
                <w:sz w:val="24"/>
              </w:rPr>
            </w:pPr>
            <w:r>
              <w:rPr>
                <w:rFonts w:hint="eastAsia"/>
                <w:sz w:val="24"/>
              </w:rPr>
              <w:t>由上表可看出，项目运营期厂界昼间、夜间噪声满足《工业企业厂界环境噪声排放标准》（GB12348-2008）中</w:t>
            </w:r>
            <w:r>
              <w:rPr>
                <w:sz w:val="24"/>
              </w:rPr>
              <w:t>2</w:t>
            </w:r>
            <w:r>
              <w:rPr>
                <w:rFonts w:hint="eastAsia"/>
                <w:sz w:val="24"/>
              </w:rPr>
              <w:t>类标准。</w:t>
            </w:r>
          </w:p>
          <w:p>
            <w:pPr>
              <w:autoSpaceDE w:val="0"/>
              <w:autoSpaceDN w:val="0"/>
              <w:spacing w:line="360" w:lineRule="auto"/>
              <w:ind w:firstLine="480" w:firstLineChars="200"/>
              <w:rPr>
                <w:rFonts w:hint="eastAsia"/>
                <w:sz w:val="24"/>
              </w:rPr>
            </w:pPr>
            <w:r>
              <w:rPr>
                <w:rFonts w:hint="eastAsia"/>
                <w:sz w:val="24"/>
              </w:rPr>
              <w:t>综上，项目拟采取的噪声防治措施能实现达标排放。</w:t>
            </w:r>
          </w:p>
          <w:p>
            <w:pPr>
              <w:autoSpaceDE w:val="0"/>
              <w:autoSpaceDN w:val="0"/>
              <w:spacing w:line="360" w:lineRule="auto"/>
              <w:ind w:firstLine="482" w:firstLineChars="200"/>
              <w:rPr>
                <w:rFonts w:hint="eastAsia"/>
                <w:b/>
                <w:sz w:val="24"/>
              </w:rPr>
            </w:pPr>
            <w:r>
              <w:rPr>
                <w:rFonts w:hint="eastAsia"/>
                <w:b/>
                <w:sz w:val="24"/>
              </w:rPr>
              <w:t>4）环境监测计划</w:t>
            </w:r>
          </w:p>
          <w:p>
            <w:pPr>
              <w:autoSpaceDE w:val="0"/>
              <w:autoSpaceDN w:val="0"/>
              <w:adjustRightInd w:val="0"/>
              <w:snapToGrid w:val="0"/>
              <w:spacing w:line="360" w:lineRule="auto"/>
              <w:ind w:firstLine="440" w:firstLineChars="200"/>
              <w:jc w:val="left"/>
              <w:rPr>
                <w:rFonts w:hint="eastAsia"/>
                <w:kern w:val="0"/>
                <w:sz w:val="24"/>
              </w:rPr>
            </w:pPr>
            <w:r>
              <w:rPr>
                <w:rFonts w:hint="eastAsia" w:ascii="宋体" w:hAnsi="宋体" w:cs="宋体"/>
                <w:bCs/>
                <w:spacing w:val="-10"/>
                <w:kern w:val="0"/>
                <w:sz w:val="24"/>
              </w:rPr>
              <w:t>本项目为自来水生产与供应，</w:t>
            </w:r>
            <w:r>
              <w:rPr>
                <w:rFonts w:hint="eastAsia"/>
                <w:kern w:val="0"/>
                <w:sz w:val="24"/>
              </w:rPr>
              <w:t>根据《固定污染源排污许可分类管理名录》（2019版），本项目为登记管理。根据《排污单位自行监测技术指南 总则》（HJ819-2017），本项目监测计划如下。</w:t>
            </w:r>
          </w:p>
          <w:p>
            <w:pPr>
              <w:tabs>
                <w:tab w:val="right" w:pos="8306"/>
              </w:tabs>
              <w:autoSpaceDE w:val="0"/>
              <w:autoSpaceDN w:val="0"/>
              <w:spacing w:line="360" w:lineRule="auto"/>
              <w:jc w:val="center"/>
              <w:rPr>
                <w:b/>
                <w:bCs/>
                <w:szCs w:val="21"/>
              </w:rPr>
            </w:pPr>
            <w:r>
              <w:rPr>
                <w:b/>
                <w:bCs/>
                <w:szCs w:val="21"/>
              </w:rPr>
              <w:t>表</w:t>
            </w:r>
            <w:r>
              <w:rPr>
                <w:rFonts w:hint="eastAsia"/>
                <w:b/>
                <w:bCs/>
                <w:szCs w:val="21"/>
              </w:rPr>
              <w:t>4</w:t>
            </w:r>
            <w:r>
              <w:rPr>
                <w:b/>
                <w:bCs/>
                <w:szCs w:val="21"/>
              </w:rPr>
              <w:t>-</w:t>
            </w:r>
            <w:r>
              <w:rPr>
                <w:rFonts w:hint="eastAsia"/>
                <w:b/>
                <w:bCs/>
                <w:szCs w:val="21"/>
              </w:rPr>
              <w:t>1</w:t>
            </w:r>
            <w:r>
              <w:rPr>
                <w:b/>
                <w:bCs/>
                <w:szCs w:val="21"/>
              </w:rPr>
              <w:t>2</w:t>
            </w:r>
            <w:r>
              <w:rPr>
                <w:rFonts w:hint="eastAsia"/>
                <w:b/>
                <w:bCs/>
                <w:szCs w:val="21"/>
              </w:rPr>
              <w:t xml:space="preserve"> </w:t>
            </w:r>
            <w:r>
              <w:rPr>
                <w:b/>
                <w:bCs/>
                <w:szCs w:val="21"/>
              </w:rPr>
              <w:t>项目监测计划表</w:t>
            </w:r>
          </w:p>
          <w:tbl>
            <w:tblPr>
              <w:tblStyle w:val="39"/>
              <w:tblW w:w="491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1278"/>
              <w:gridCol w:w="1475"/>
              <w:gridCol w:w="1661"/>
              <w:gridCol w:w="1134"/>
              <w:gridCol w:w="11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1" w:type="pct"/>
                  <w:noWrap w:val="0"/>
                  <w:vAlign w:val="center"/>
                </w:tcPr>
                <w:p>
                  <w:pPr>
                    <w:autoSpaceDE w:val="0"/>
                    <w:autoSpaceDN w:val="0"/>
                    <w:adjustRightInd w:val="0"/>
                    <w:jc w:val="center"/>
                    <w:rPr>
                      <w:b/>
                      <w:kern w:val="0"/>
                      <w:szCs w:val="21"/>
                    </w:rPr>
                  </w:pPr>
                  <w:r>
                    <w:rPr>
                      <w:b/>
                      <w:kern w:val="0"/>
                      <w:szCs w:val="21"/>
                    </w:rPr>
                    <w:t>监测时段</w:t>
                  </w:r>
                </w:p>
              </w:tc>
              <w:tc>
                <w:tcPr>
                  <w:tcW w:w="818" w:type="pct"/>
                  <w:noWrap w:val="0"/>
                  <w:vAlign w:val="center"/>
                </w:tcPr>
                <w:p>
                  <w:pPr>
                    <w:autoSpaceDE w:val="0"/>
                    <w:autoSpaceDN w:val="0"/>
                    <w:adjustRightInd w:val="0"/>
                    <w:jc w:val="center"/>
                    <w:rPr>
                      <w:b/>
                      <w:kern w:val="0"/>
                      <w:szCs w:val="21"/>
                    </w:rPr>
                  </w:pPr>
                  <w:r>
                    <w:rPr>
                      <w:b/>
                      <w:kern w:val="0"/>
                      <w:szCs w:val="21"/>
                    </w:rPr>
                    <w:t>监测内容</w:t>
                  </w:r>
                </w:p>
              </w:tc>
              <w:tc>
                <w:tcPr>
                  <w:tcW w:w="944" w:type="pct"/>
                  <w:noWrap w:val="0"/>
                  <w:vAlign w:val="center"/>
                </w:tcPr>
                <w:p>
                  <w:pPr>
                    <w:autoSpaceDE w:val="0"/>
                    <w:autoSpaceDN w:val="0"/>
                    <w:adjustRightInd w:val="0"/>
                    <w:jc w:val="center"/>
                    <w:rPr>
                      <w:rFonts w:hint="eastAsia"/>
                      <w:b/>
                      <w:kern w:val="0"/>
                      <w:szCs w:val="21"/>
                    </w:rPr>
                  </w:pPr>
                  <w:r>
                    <w:rPr>
                      <w:b/>
                      <w:kern w:val="0"/>
                      <w:szCs w:val="21"/>
                    </w:rPr>
                    <w:t>监测点</w:t>
                  </w:r>
                  <w:r>
                    <w:rPr>
                      <w:rFonts w:hint="eastAsia"/>
                      <w:b/>
                      <w:kern w:val="0"/>
                      <w:szCs w:val="21"/>
                    </w:rPr>
                    <w:t>位</w:t>
                  </w:r>
                </w:p>
              </w:tc>
              <w:tc>
                <w:tcPr>
                  <w:tcW w:w="1063" w:type="pct"/>
                  <w:noWrap w:val="0"/>
                  <w:vAlign w:val="center"/>
                </w:tcPr>
                <w:p>
                  <w:pPr>
                    <w:autoSpaceDE w:val="0"/>
                    <w:autoSpaceDN w:val="0"/>
                    <w:adjustRightInd w:val="0"/>
                    <w:jc w:val="center"/>
                    <w:rPr>
                      <w:b/>
                      <w:kern w:val="0"/>
                      <w:szCs w:val="21"/>
                    </w:rPr>
                  </w:pPr>
                  <w:r>
                    <w:rPr>
                      <w:b/>
                      <w:kern w:val="0"/>
                      <w:szCs w:val="21"/>
                    </w:rPr>
                    <w:t>监测项目</w:t>
                  </w:r>
                </w:p>
              </w:tc>
              <w:tc>
                <w:tcPr>
                  <w:tcW w:w="726" w:type="pct"/>
                  <w:noWrap w:val="0"/>
                  <w:vAlign w:val="center"/>
                </w:tcPr>
                <w:p>
                  <w:pPr>
                    <w:autoSpaceDE w:val="0"/>
                    <w:autoSpaceDN w:val="0"/>
                    <w:adjustRightInd w:val="0"/>
                    <w:jc w:val="center"/>
                    <w:rPr>
                      <w:b/>
                      <w:kern w:val="0"/>
                      <w:szCs w:val="21"/>
                    </w:rPr>
                  </w:pPr>
                  <w:r>
                    <w:rPr>
                      <w:b/>
                      <w:kern w:val="0"/>
                      <w:szCs w:val="21"/>
                    </w:rPr>
                    <w:t>监测频率</w:t>
                  </w:r>
                </w:p>
              </w:tc>
              <w:tc>
                <w:tcPr>
                  <w:tcW w:w="708" w:type="pct"/>
                  <w:noWrap w:val="0"/>
                  <w:vAlign w:val="center"/>
                </w:tcPr>
                <w:p>
                  <w:pPr>
                    <w:autoSpaceDE w:val="0"/>
                    <w:autoSpaceDN w:val="0"/>
                    <w:adjustRightInd w:val="0"/>
                    <w:jc w:val="center"/>
                    <w:rPr>
                      <w:b/>
                      <w:kern w:val="0"/>
                      <w:szCs w:val="21"/>
                    </w:rPr>
                  </w:pPr>
                  <w:r>
                    <w:rPr>
                      <w:b/>
                      <w:kern w:val="0"/>
                      <w:szCs w:val="21"/>
                    </w:rPr>
                    <w:t>监测方法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1" w:type="pct"/>
                  <w:noWrap w:val="0"/>
                  <w:vAlign w:val="center"/>
                </w:tcPr>
                <w:p>
                  <w:pPr>
                    <w:autoSpaceDE w:val="0"/>
                    <w:autoSpaceDN w:val="0"/>
                    <w:adjustRightInd w:val="0"/>
                    <w:jc w:val="center"/>
                    <w:rPr>
                      <w:kern w:val="0"/>
                      <w:szCs w:val="21"/>
                    </w:rPr>
                  </w:pPr>
                  <w:r>
                    <w:rPr>
                      <w:kern w:val="0"/>
                      <w:szCs w:val="21"/>
                    </w:rPr>
                    <w:t>运营期</w:t>
                  </w:r>
                </w:p>
              </w:tc>
              <w:tc>
                <w:tcPr>
                  <w:tcW w:w="818" w:type="pct"/>
                  <w:noWrap w:val="0"/>
                  <w:vAlign w:val="center"/>
                </w:tcPr>
                <w:p>
                  <w:pPr>
                    <w:autoSpaceDE w:val="0"/>
                    <w:autoSpaceDN w:val="0"/>
                    <w:adjustRightInd w:val="0"/>
                    <w:jc w:val="center"/>
                    <w:rPr>
                      <w:kern w:val="0"/>
                      <w:szCs w:val="21"/>
                    </w:rPr>
                  </w:pPr>
                  <w:r>
                    <w:rPr>
                      <w:kern w:val="0"/>
                      <w:szCs w:val="21"/>
                    </w:rPr>
                    <w:t>噪声</w:t>
                  </w:r>
                </w:p>
              </w:tc>
              <w:tc>
                <w:tcPr>
                  <w:tcW w:w="944" w:type="pct"/>
                  <w:noWrap w:val="0"/>
                  <w:vAlign w:val="center"/>
                </w:tcPr>
                <w:p>
                  <w:pPr>
                    <w:autoSpaceDE w:val="0"/>
                    <w:autoSpaceDN w:val="0"/>
                    <w:adjustRightInd w:val="0"/>
                    <w:jc w:val="center"/>
                    <w:rPr>
                      <w:kern w:val="0"/>
                      <w:szCs w:val="21"/>
                    </w:rPr>
                  </w:pPr>
                  <w:r>
                    <w:rPr>
                      <w:kern w:val="0"/>
                      <w:szCs w:val="21"/>
                    </w:rPr>
                    <w:t>项目厂界四周</w:t>
                  </w:r>
                </w:p>
              </w:tc>
              <w:tc>
                <w:tcPr>
                  <w:tcW w:w="1063" w:type="pct"/>
                  <w:noWrap w:val="0"/>
                  <w:vAlign w:val="center"/>
                </w:tcPr>
                <w:p>
                  <w:pPr>
                    <w:autoSpaceDE w:val="0"/>
                    <w:autoSpaceDN w:val="0"/>
                    <w:adjustRightInd w:val="0"/>
                    <w:jc w:val="center"/>
                    <w:rPr>
                      <w:kern w:val="0"/>
                      <w:szCs w:val="21"/>
                    </w:rPr>
                  </w:pPr>
                  <w:r>
                    <w:rPr>
                      <w:kern w:val="0"/>
                      <w:szCs w:val="21"/>
                    </w:rPr>
                    <w:t>连续等效A声级</w:t>
                  </w:r>
                </w:p>
              </w:tc>
              <w:tc>
                <w:tcPr>
                  <w:tcW w:w="726" w:type="pct"/>
                  <w:noWrap w:val="0"/>
                  <w:vAlign w:val="center"/>
                </w:tcPr>
                <w:p>
                  <w:pPr>
                    <w:autoSpaceDE w:val="0"/>
                    <w:autoSpaceDN w:val="0"/>
                    <w:adjustRightInd w:val="0"/>
                    <w:jc w:val="center"/>
                    <w:rPr>
                      <w:kern w:val="0"/>
                      <w:szCs w:val="21"/>
                    </w:rPr>
                  </w:pPr>
                  <w:r>
                    <w:rPr>
                      <w:rFonts w:hint="eastAsia"/>
                      <w:kern w:val="0"/>
                      <w:szCs w:val="21"/>
                    </w:rPr>
                    <w:t>1次/季度</w:t>
                  </w:r>
                </w:p>
              </w:tc>
              <w:tc>
                <w:tcPr>
                  <w:tcW w:w="708" w:type="pct"/>
                  <w:noWrap w:val="0"/>
                  <w:vAlign w:val="center"/>
                </w:tcPr>
                <w:p>
                  <w:pPr>
                    <w:autoSpaceDE w:val="0"/>
                    <w:autoSpaceDN w:val="0"/>
                    <w:adjustRightInd w:val="0"/>
                    <w:jc w:val="center"/>
                    <w:rPr>
                      <w:kern w:val="0"/>
                      <w:szCs w:val="21"/>
                    </w:rPr>
                  </w:pPr>
                  <w:r>
                    <w:rPr>
                      <w:kern w:val="0"/>
                      <w:szCs w:val="21"/>
                    </w:rPr>
                    <w:t>按相关规范进行</w:t>
                  </w:r>
                </w:p>
              </w:tc>
            </w:tr>
          </w:tbl>
          <w:p>
            <w:pPr>
              <w:pStyle w:val="183"/>
              <w:ind w:firstLine="482"/>
              <w:rPr>
                <w:b/>
              </w:rPr>
            </w:pPr>
            <w:r>
              <w:rPr>
                <w:rFonts w:hint="eastAsia"/>
                <w:b/>
              </w:rPr>
              <w:t>4、</w:t>
            </w:r>
            <w:r>
              <w:rPr>
                <w:b/>
              </w:rPr>
              <w:t>固废产生及治理措施</w:t>
            </w:r>
          </w:p>
          <w:p>
            <w:pPr>
              <w:pStyle w:val="183"/>
            </w:pPr>
            <w:r>
              <w:rPr>
                <w:rFonts w:hint="eastAsia"/>
              </w:rPr>
              <w:t>固废产生及治理：</w:t>
            </w:r>
          </w:p>
          <w:p>
            <w:pPr>
              <w:pStyle w:val="183"/>
            </w:pPr>
            <w:r>
              <w:t>本项目运营期产生的固废主要为生活垃圾</w:t>
            </w:r>
            <w:r>
              <w:rPr>
                <w:rFonts w:hint="eastAsia"/>
              </w:rPr>
              <w:t>以及泥饼</w:t>
            </w:r>
            <w:r>
              <w:t>。</w:t>
            </w:r>
          </w:p>
          <w:p>
            <w:pPr>
              <w:wordWrap w:val="0"/>
              <w:adjustRightInd w:val="0"/>
              <w:snapToGrid w:val="0"/>
              <w:spacing w:line="360" w:lineRule="auto"/>
              <w:ind w:firstLine="480" w:firstLineChars="200"/>
              <w:jc w:val="left"/>
              <w:rPr>
                <w:sz w:val="24"/>
              </w:rPr>
            </w:pPr>
            <w:r>
              <w:rPr>
                <w:rFonts w:hint="eastAsia"/>
                <w:sz w:val="24"/>
              </w:rPr>
              <w:t>1</w:t>
            </w:r>
            <w:r>
              <w:rPr>
                <w:sz w:val="24"/>
              </w:rPr>
              <w:t>）生活垃圾</w:t>
            </w:r>
          </w:p>
          <w:p>
            <w:pPr>
              <w:wordWrap w:val="0"/>
              <w:adjustRightInd w:val="0"/>
              <w:snapToGrid w:val="0"/>
              <w:spacing w:line="360" w:lineRule="auto"/>
              <w:ind w:firstLine="480" w:firstLineChars="200"/>
              <w:jc w:val="left"/>
              <w:rPr>
                <w:rFonts w:hint="eastAsia"/>
                <w:sz w:val="24"/>
              </w:rPr>
            </w:pPr>
            <w:r>
              <w:rPr>
                <w:sz w:val="24"/>
              </w:rPr>
              <w:t>本项目劳动定员34人，生活垃圾产生量以0.5kg/人·天计，则本项目产生的生活垃圾</w:t>
            </w:r>
            <w:r>
              <w:rPr>
                <w:rFonts w:hint="eastAsia"/>
                <w:sz w:val="24"/>
              </w:rPr>
              <w:t>1</w:t>
            </w:r>
            <w:r>
              <w:rPr>
                <w:sz w:val="24"/>
              </w:rPr>
              <w:t>7kg/d，本项目生活垃圾产生量为</w:t>
            </w:r>
            <w:r>
              <w:rPr>
                <w:rFonts w:hint="eastAsia"/>
                <w:sz w:val="24"/>
              </w:rPr>
              <w:t>6</w:t>
            </w:r>
            <w:r>
              <w:rPr>
                <w:sz w:val="24"/>
              </w:rPr>
              <w:t>.205t/a</w:t>
            </w:r>
            <w:r>
              <w:rPr>
                <w:rFonts w:hint="eastAsia"/>
                <w:sz w:val="24"/>
              </w:rPr>
              <w:t>，经收集后交由当地环卫部门</w:t>
            </w:r>
            <w:r>
              <w:rPr>
                <w:rFonts w:hint="eastAsia"/>
              </w:rPr>
              <w:t>统一处置。</w:t>
            </w:r>
          </w:p>
          <w:p>
            <w:pPr>
              <w:wordWrap w:val="0"/>
              <w:adjustRightInd w:val="0"/>
              <w:snapToGrid w:val="0"/>
              <w:spacing w:line="360" w:lineRule="auto"/>
              <w:ind w:firstLine="480" w:firstLineChars="200"/>
              <w:jc w:val="left"/>
              <w:rPr>
                <w:sz w:val="24"/>
              </w:rPr>
            </w:pPr>
            <w:r>
              <w:rPr>
                <w:rFonts w:hint="eastAsia"/>
                <w:sz w:val="24"/>
              </w:rPr>
              <w:t>2</w:t>
            </w:r>
            <w:r>
              <w:rPr>
                <w:sz w:val="24"/>
              </w:rPr>
              <w:t>）</w:t>
            </w:r>
            <w:r>
              <w:rPr>
                <w:rFonts w:hint="eastAsia"/>
                <w:sz w:val="24"/>
              </w:rPr>
              <w:t>泥饼</w:t>
            </w:r>
          </w:p>
          <w:p>
            <w:pPr>
              <w:pStyle w:val="138"/>
              <w:ind w:firstLine="480"/>
            </w:pPr>
            <w:r>
              <w:rPr>
                <w:rFonts w:hint="eastAsia"/>
              </w:rPr>
              <w:t>根据水平衡分析可知，本项目泥饼产生量为</w:t>
            </w:r>
            <w:r>
              <w:t>136.5t/a</w:t>
            </w:r>
            <w:r>
              <w:rPr>
                <w:rFonts w:hint="eastAsia"/>
              </w:rPr>
              <w:t>，该类污泥属中细粒度有机与无机混合污泥，水厂中产生的污泥送垃圾填埋场填埋处理。</w:t>
            </w:r>
          </w:p>
          <w:p>
            <w:pPr>
              <w:pStyle w:val="138"/>
              <w:wordWrap/>
              <w:ind w:firstLine="480"/>
            </w:pPr>
            <w:r>
              <w:rPr>
                <w:rFonts w:hint="eastAsia"/>
              </w:rPr>
              <w:t>影响分析：</w:t>
            </w:r>
          </w:p>
          <w:p>
            <w:pPr>
              <w:adjustRightInd w:val="0"/>
              <w:snapToGrid w:val="0"/>
              <w:spacing w:line="360" w:lineRule="auto"/>
              <w:ind w:firstLine="480" w:firstLineChars="200"/>
              <w:rPr>
                <w:rFonts w:hint="eastAsia"/>
                <w:sz w:val="24"/>
              </w:rPr>
            </w:pPr>
            <w:r>
              <w:rPr>
                <w:rFonts w:hint="eastAsia"/>
                <w:sz w:val="24"/>
              </w:rPr>
              <w:t>该类污泥属中细粒度有机与无机混合污泥，水厂中产生的污泥一般不含交由相关公司承包外运处理，进行综合利用。项目污泥为一般固废，项目污泥暂存间建设要求应符合《一般工业固体废物贮存、处置场污染控制标准》（GB18599-2001）中相关要求：</w:t>
            </w:r>
          </w:p>
          <w:p>
            <w:pPr>
              <w:adjustRightInd w:val="0"/>
              <w:snapToGrid w:val="0"/>
              <w:spacing w:line="360" w:lineRule="auto"/>
              <w:ind w:firstLine="480" w:firstLineChars="200"/>
              <w:rPr>
                <w:rFonts w:hint="eastAsia"/>
                <w:sz w:val="24"/>
              </w:rPr>
            </w:pPr>
            <w:r>
              <w:rPr>
                <w:rFonts w:hint="eastAsia"/>
                <w:sz w:val="24"/>
              </w:rPr>
              <w:t>①污泥暂存设施基础应防渗，防渗层为至少1 米厚粘土层，或2 毫米聚乙烯，或其它人工材料，渗透系数≤10-10 厘米/秒；</w:t>
            </w:r>
          </w:p>
          <w:p>
            <w:pPr>
              <w:adjustRightInd w:val="0"/>
              <w:snapToGrid w:val="0"/>
              <w:spacing w:line="360" w:lineRule="auto"/>
              <w:ind w:firstLine="480" w:firstLineChars="200"/>
              <w:rPr>
                <w:rFonts w:hint="eastAsia"/>
                <w:sz w:val="24"/>
              </w:rPr>
            </w:pPr>
            <w:r>
              <w:rPr>
                <w:rFonts w:hint="eastAsia"/>
                <w:sz w:val="24"/>
              </w:rPr>
              <w:t>②暂存间底部须高于地下水最高水位；</w:t>
            </w:r>
          </w:p>
          <w:p>
            <w:pPr>
              <w:adjustRightInd w:val="0"/>
              <w:snapToGrid w:val="0"/>
              <w:spacing w:line="360" w:lineRule="auto"/>
              <w:ind w:firstLine="480" w:firstLineChars="200"/>
              <w:rPr>
                <w:rFonts w:hint="eastAsia"/>
                <w:sz w:val="24"/>
              </w:rPr>
            </w:pPr>
            <w:r>
              <w:rPr>
                <w:rFonts w:hint="eastAsia"/>
                <w:sz w:val="24"/>
              </w:rPr>
              <w:t>③暂存间应建在常年最大风频的下风向；</w:t>
            </w:r>
          </w:p>
          <w:p>
            <w:pPr>
              <w:adjustRightInd w:val="0"/>
              <w:snapToGrid w:val="0"/>
              <w:spacing w:line="360" w:lineRule="auto"/>
              <w:ind w:firstLine="480" w:firstLineChars="200"/>
              <w:rPr>
                <w:rFonts w:hint="eastAsia"/>
                <w:sz w:val="24"/>
              </w:rPr>
            </w:pPr>
            <w:r>
              <w:rPr>
                <w:rFonts w:hint="eastAsia"/>
                <w:sz w:val="24"/>
              </w:rPr>
              <w:t>④暂存间需做好防腐、防渗、防漏措施；</w:t>
            </w:r>
          </w:p>
          <w:p>
            <w:pPr>
              <w:adjustRightInd w:val="0"/>
              <w:snapToGrid w:val="0"/>
              <w:spacing w:line="360" w:lineRule="auto"/>
              <w:ind w:firstLine="480" w:firstLineChars="200"/>
              <w:rPr>
                <w:rFonts w:hint="eastAsia"/>
                <w:sz w:val="24"/>
              </w:rPr>
            </w:pPr>
            <w:r>
              <w:rPr>
                <w:rFonts w:hint="eastAsia"/>
                <w:sz w:val="24"/>
              </w:rPr>
              <w:t>（2）生活垃圾</w:t>
            </w:r>
          </w:p>
          <w:p>
            <w:pPr>
              <w:adjustRightInd w:val="0"/>
              <w:snapToGrid w:val="0"/>
              <w:spacing w:line="360" w:lineRule="auto"/>
              <w:ind w:firstLine="480" w:firstLineChars="200"/>
              <w:rPr>
                <w:rFonts w:hint="eastAsia"/>
                <w:sz w:val="24"/>
              </w:rPr>
            </w:pPr>
            <w:r>
              <w:rPr>
                <w:rFonts w:hint="eastAsia"/>
                <w:sz w:val="24"/>
              </w:rPr>
              <w:t>生活垃圾先集中到厂区内垃圾桶，在送至各乡镇垃圾暂存点，再由环卫人员定时处理。项目应做到厂区的垃圾日产日清，清运率达到100%。</w:t>
            </w:r>
          </w:p>
          <w:p>
            <w:pPr>
              <w:adjustRightInd w:val="0"/>
              <w:snapToGrid w:val="0"/>
              <w:spacing w:line="360" w:lineRule="auto"/>
              <w:ind w:firstLine="480" w:firstLineChars="200"/>
              <w:rPr>
                <w:rFonts w:hint="eastAsia"/>
                <w:sz w:val="24"/>
              </w:rPr>
            </w:pPr>
            <w:r>
              <w:rPr>
                <w:rFonts w:hint="eastAsia"/>
                <w:sz w:val="24"/>
              </w:rPr>
              <w:t>综上所述，本项目产生的固体废物能得到有效处置，对环境影响较小。</w:t>
            </w:r>
          </w:p>
          <w:p>
            <w:pPr>
              <w:adjustRightInd w:val="0"/>
              <w:snapToGrid w:val="0"/>
              <w:spacing w:line="360" w:lineRule="auto"/>
              <w:ind w:firstLine="480" w:firstLineChars="200"/>
              <w:rPr>
                <w:sz w:val="24"/>
              </w:rPr>
            </w:pPr>
            <w:r>
              <w:rPr>
                <w:sz w:val="24"/>
              </w:rPr>
              <w:t>求做相应防渗和管理措施后，对区域地下水不会造成明显影响。</w:t>
            </w:r>
          </w:p>
          <w:p>
            <w:pPr>
              <w:adjustRightInd w:val="0"/>
              <w:snapToGrid w:val="0"/>
              <w:spacing w:line="360" w:lineRule="auto"/>
              <w:ind w:firstLine="482" w:firstLineChars="200"/>
              <w:rPr>
                <w:b/>
                <w:bCs/>
                <w:sz w:val="24"/>
              </w:rPr>
            </w:pPr>
            <w:r>
              <w:rPr>
                <w:b/>
                <w:bCs/>
                <w:sz w:val="24"/>
              </w:rPr>
              <w:t>5</w:t>
            </w:r>
            <w:r>
              <w:rPr>
                <w:rFonts w:hint="eastAsia"/>
                <w:b/>
                <w:bCs/>
                <w:sz w:val="24"/>
              </w:rPr>
              <w:t>、地下水环境影响分析</w:t>
            </w:r>
          </w:p>
          <w:p>
            <w:pPr>
              <w:spacing w:line="360" w:lineRule="auto"/>
              <w:ind w:firstLine="480" w:firstLineChars="200"/>
              <w:rPr>
                <w:sz w:val="24"/>
              </w:rPr>
            </w:pPr>
            <w:r>
              <w:rPr>
                <w:rFonts w:hint="eastAsia"/>
                <w:sz w:val="24"/>
              </w:rPr>
              <w:t>根据《环境影响评价技术导则—地下水环境》(HJ610-2016)中建设项目对地下水环境的影响程度，本项目属于“143、自来水生产和供应工程”项中的“全部”项，故确定为IV类建设项目，可不开展地下水环境影响评价，本项目仅对地下水影响及防治措施进行简单分析。</w:t>
            </w:r>
          </w:p>
          <w:p>
            <w:pPr>
              <w:pStyle w:val="264"/>
              <w:ind w:firstLine="480"/>
              <w:rPr>
                <w:szCs w:val="24"/>
              </w:rPr>
            </w:pPr>
            <w:r>
              <w:rPr>
                <w:rFonts w:hint="eastAsia"/>
                <w:szCs w:val="24"/>
              </w:rPr>
              <w:t>项目生产过程中，储存的物料泄漏，化学品（主要为盐酸、氯酸钠）运输、暂存过程中跑、冒、滴、漏渗透到地下造成地下水污染，项目拟采取严格的防渗防漏措施。针对可能发生的地下水污染，本项目地下水污染防治措施将按照“源头控制、分区防治、污染监控、应急响应”相结合的原则，对地下水影响进行控制。</w:t>
            </w:r>
          </w:p>
          <w:p>
            <w:pPr>
              <w:pStyle w:val="264"/>
              <w:ind w:firstLine="480"/>
              <w:rPr>
                <w:szCs w:val="24"/>
              </w:rPr>
            </w:pPr>
            <w:r>
              <w:rPr>
                <w:rFonts w:hint="eastAsia"/>
                <w:szCs w:val="24"/>
              </w:rPr>
              <w:t>在非正常工况下，该工程对地下水环境有一定的影响。但从泄漏概率、地面破损概率综合考虑，废水池渗入地下是概率很小的事件，如果采取适当的预防措施和应急处理措施，可以把对地下水环境的影响控制到地下水环境容量可以接受的程度。</w:t>
            </w:r>
          </w:p>
          <w:p>
            <w:pPr>
              <w:pStyle w:val="264"/>
              <w:ind w:firstLine="480"/>
              <w:rPr>
                <w:szCs w:val="24"/>
              </w:rPr>
            </w:pPr>
            <w:r>
              <w:rPr>
                <w:rFonts w:hint="eastAsia"/>
                <w:szCs w:val="24"/>
              </w:rPr>
              <w:t>为防止项目建设对区域地下水产生影响，建议企业应采取以下措施：</w:t>
            </w:r>
          </w:p>
          <w:p>
            <w:pPr>
              <w:pStyle w:val="264"/>
              <w:ind w:firstLine="480"/>
              <w:rPr>
                <w:szCs w:val="24"/>
              </w:rPr>
            </w:pPr>
            <w:r>
              <w:rPr>
                <w:rFonts w:hint="eastAsia"/>
                <w:szCs w:val="24"/>
              </w:rPr>
              <w:t>（1）源头控制措施。项目应严格按照评价建议的清洁生产措施和污染防治措施进行建设，并注意厂区地面硬化、加强各类生产设施防渗措施。</w:t>
            </w:r>
          </w:p>
          <w:p>
            <w:pPr>
              <w:pStyle w:val="264"/>
              <w:ind w:firstLine="480"/>
              <w:rPr>
                <w:szCs w:val="24"/>
              </w:rPr>
            </w:pPr>
            <w:r>
              <w:rPr>
                <w:rFonts w:hint="eastAsia"/>
                <w:szCs w:val="24"/>
              </w:rPr>
              <w:t>（2）分区防渗：参照《环境影响评价技术导则-地下水环境》（HJ610-2016）项目污染防治对策的要求，根据项目厂区各生产功能单元可能泄漏至地面区域的污染物性质和生产单元的构筑方式，将厂区划分为重点防渗区、一般防渗区和简单防渗区。重点防渗区应主要包括加氯间、盐酸储罐区、氯酸钠储罐区及综合加药间，防渗技术要求为等效粘土防渗层 Mb≥6.0m，K≤10</w:t>
            </w:r>
            <w:r>
              <w:rPr>
                <w:rFonts w:hint="eastAsia"/>
                <w:szCs w:val="24"/>
                <w:vertAlign w:val="superscript"/>
              </w:rPr>
              <w:t>-7</w:t>
            </w:r>
            <w:r>
              <w:rPr>
                <w:rFonts w:hint="eastAsia"/>
                <w:szCs w:val="24"/>
              </w:rPr>
              <w:t>cm/s（其中危险废物暂存间 K≤10</w:t>
            </w:r>
            <w:r>
              <w:rPr>
                <w:rFonts w:hint="eastAsia"/>
                <w:szCs w:val="24"/>
                <w:vertAlign w:val="superscript"/>
              </w:rPr>
              <w:t>-10</w:t>
            </w:r>
            <w:r>
              <w:rPr>
                <w:rFonts w:hint="eastAsia"/>
                <w:szCs w:val="24"/>
              </w:rPr>
              <w:t>cm/s），或参照《危险废物填埋污染控制标准》（GB18598－2001）执行。一般防渗区主要包括普通生产单元、化粪池及污水管网。防渗技术要求为等效粘土防渗层Mb≥1.5m，K≤10</w:t>
            </w:r>
            <w:r>
              <w:rPr>
                <w:rFonts w:hint="eastAsia"/>
                <w:szCs w:val="24"/>
                <w:vertAlign w:val="superscript"/>
              </w:rPr>
              <w:t>-7</w:t>
            </w:r>
            <w:r>
              <w:rPr>
                <w:rFonts w:hint="eastAsia"/>
                <w:szCs w:val="24"/>
              </w:rPr>
              <w:t>cm/s，或参照《生活垃圾填埋场污染控制标准》（GB16889－2008）执行。简单防渗区是指一般和重点污染防治区以外的区域或部位，主要包括办公区和厂区道路等，一般要求进行硬化处理。</w:t>
            </w:r>
          </w:p>
          <w:p>
            <w:pPr>
              <w:pStyle w:val="264"/>
              <w:ind w:firstLine="480"/>
            </w:pPr>
            <w:r>
              <w:t>根据本项目特点，防渗区域划分及防渗要求见下表。</w:t>
            </w:r>
          </w:p>
          <w:p>
            <w:pPr>
              <w:pStyle w:val="265"/>
              <w:numPr>
                <w:ilvl w:val="0"/>
                <w:numId w:val="0"/>
              </w:numPr>
              <w:spacing w:line="360" w:lineRule="auto"/>
              <w:outlineLvl w:val="9"/>
              <w:rPr>
                <w:rFonts w:ascii="Times New Roman" w:hAnsi="Times New Roman"/>
                <w:b/>
                <w:bCs/>
                <w:sz w:val="21"/>
              </w:rPr>
            </w:pPr>
            <w:r>
              <w:rPr>
                <w:rFonts w:ascii="Times New Roman" w:hAnsi="Times New Roman"/>
                <w:b/>
                <w:bCs/>
                <w:sz w:val="21"/>
              </w:rPr>
              <w:t>表4-13 污染区划分及防渗要求</w:t>
            </w:r>
          </w:p>
          <w:tbl>
            <w:tblPr>
              <w:tblStyle w:val="39"/>
              <w:tblW w:w="801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360"/>
              <w:gridCol w:w="2828"/>
              <w:gridCol w:w="38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8" w:type="pct"/>
                  <w:noWrap w:val="0"/>
                  <w:vAlign w:val="center"/>
                </w:tcPr>
                <w:p>
                  <w:pPr>
                    <w:widowControl/>
                    <w:jc w:val="center"/>
                    <w:rPr>
                      <w:b/>
                      <w:bCs/>
                      <w:kern w:val="0"/>
                      <w:szCs w:val="21"/>
                    </w:rPr>
                  </w:pPr>
                  <w:r>
                    <w:rPr>
                      <w:b/>
                      <w:bCs/>
                      <w:kern w:val="0"/>
                      <w:szCs w:val="21"/>
                    </w:rPr>
                    <w:t>分区类别</w:t>
                  </w:r>
                </w:p>
              </w:tc>
              <w:tc>
                <w:tcPr>
                  <w:tcW w:w="1764" w:type="pct"/>
                  <w:noWrap w:val="0"/>
                  <w:vAlign w:val="center"/>
                </w:tcPr>
                <w:p>
                  <w:pPr>
                    <w:widowControl/>
                    <w:jc w:val="center"/>
                    <w:rPr>
                      <w:b/>
                      <w:bCs/>
                      <w:kern w:val="0"/>
                      <w:szCs w:val="21"/>
                    </w:rPr>
                  </w:pPr>
                  <w:r>
                    <w:rPr>
                      <w:b/>
                      <w:bCs/>
                      <w:kern w:val="0"/>
                      <w:szCs w:val="21"/>
                    </w:rPr>
                    <w:t>分区举例</w:t>
                  </w:r>
                </w:p>
              </w:tc>
              <w:tc>
                <w:tcPr>
                  <w:tcW w:w="2388" w:type="pct"/>
                  <w:noWrap w:val="0"/>
                  <w:vAlign w:val="center"/>
                </w:tcPr>
                <w:p>
                  <w:pPr>
                    <w:widowControl/>
                    <w:jc w:val="center"/>
                    <w:rPr>
                      <w:b/>
                      <w:bCs/>
                      <w:kern w:val="0"/>
                      <w:szCs w:val="21"/>
                    </w:rPr>
                  </w:pPr>
                  <w:r>
                    <w:rPr>
                      <w:b/>
                      <w:bCs/>
                      <w:kern w:val="0"/>
                      <w:szCs w:val="21"/>
                    </w:rPr>
                    <w:t>防渗要求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8" w:type="pct"/>
                  <w:noWrap w:val="0"/>
                  <w:vAlign w:val="center"/>
                </w:tcPr>
                <w:p>
                  <w:pPr>
                    <w:autoSpaceDE w:val="0"/>
                    <w:autoSpaceDN w:val="0"/>
                    <w:adjustRightInd w:val="0"/>
                    <w:jc w:val="center"/>
                    <w:rPr>
                      <w:szCs w:val="21"/>
                    </w:rPr>
                  </w:pPr>
                  <w:r>
                    <w:rPr>
                      <w:szCs w:val="21"/>
                    </w:rPr>
                    <w:t>一般污染防治区</w:t>
                  </w:r>
                </w:p>
              </w:tc>
              <w:tc>
                <w:tcPr>
                  <w:tcW w:w="1764" w:type="pct"/>
                  <w:noWrap w:val="0"/>
                  <w:vAlign w:val="center"/>
                </w:tcPr>
                <w:p>
                  <w:pPr>
                    <w:autoSpaceDE w:val="0"/>
                    <w:autoSpaceDN w:val="0"/>
                    <w:adjustRightInd w:val="0"/>
                    <w:jc w:val="center"/>
                    <w:rPr>
                      <w:szCs w:val="21"/>
                    </w:rPr>
                  </w:pPr>
                  <w:r>
                    <w:rPr>
                      <w:rFonts w:hint="eastAsia"/>
                      <w:szCs w:val="21"/>
                    </w:rPr>
                    <w:t>生产单元、化粪池及污水管网</w:t>
                  </w:r>
                </w:p>
              </w:tc>
              <w:tc>
                <w:tcPr>
                  <w:tcW w:w="2388" w:type="pct"/>
                  <w:noWrap w:val="0"/>
                  <w:vAlign w:val="center"/>
                </w:tcPr>
                <w:p>
                  <w:pPr>
                    <w:autoSpaceDE w:val="0"/>
                    <w:autoSpaceDN w:val="0"/>
                    <w:adjustRightInd w:val="0"/>
                    <w:jc w:val="center"/>
                    <w:rPr>
                      <w:szCs w:val="21"/>
                    </w:rPr>
                  </w:pPr>
                  <w:r>
                    <w:rPr>
                      <w:szCs w:val="21"/>
                    </w:rPr>
                    <w:t>渗透系数≤10</w:t>
                  </w:r>
                  <w:r>
                    <w:rPr>
                      <w:szCs w:val="21"/>
                      <w:vertAlign w:val="superscript"/>
                    </w:rPr>
                    <w:t>-7</w:t>
                  </w:r>
                  <w:r>
                    <w:rPr>
                      <w:szCs w:val="21"/>
                    </w:rPr>
                    <w:t>cm/s，水泥硬化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8" w:type="pct"/>
                  <w:noWrap w:val="0"/>
                  <w:vAlign w:val="center"/>
                </w:tcPr>
                <w:p>
                  <w:pPr>
                    <w:autoSpaceDE w:val="0"/>
                    <w:autoSpaceDN w:val="0"/>
                    <w:adjustRightInd w:val="0"/>
                    <w:jc w:val="center"/>
                    <w:rPr>
                      <w:szCs w:val="21"/>
                    </w:rPr>
                  </w:pPr>
                  <w:r>
                    <w:rPr>
                      <w:szCs w:val="21"/>
                    </w:rPr>
                    <w:t>重点污染防治区</w:t>
                  </w:r>
                </w:p>
              </w:tc>
              <w:tc>
                <w:tcPr>
                  <w:tcW w:w="1764" w:type="pct"/>
                  <w:noWrap w:val="0"/>
                  <w:vAlign w:val="center"/>
                </w:tcPr>
                <w:p>
                  <w:pPr>
                    <w:autoSpaceDE w:val="0"/>
                    <w:autoSpaceDN w:val="0"/>
                    <w:adjustRightInd w:val="0"/>
                    <w:jc w:val="center"/>
                    <w:rPr>
                      <w:szCs w:val="21"/>
                    </w:rPr>
                  </w:pPr>
                  <w:r>
                    <w:rPr>
                      <w:rFonts w:hint="eastAsia"/>
                      <w:szCs w:val="21"/>
                    </w:rPr>
                    <w:t>加氯加药间、盐酸储罐区、氯酸钠储存区</w:t>
                  </w:r>
                </w:p>
              </w:tc>
              <w:tc>
                <w:tcPr>
                  <w:tcW w:w="2388" w:type="pct"/>
                  <w:noWrap w:val="0"/>
                  <w:vAlign w:val="center"/>
                </w:tcPr>
                <w:p>
                  <w:pPr>
                    <w:autoSpaceDE w:val="0"/>
                    <w:autoSpaceDN w:val="0"/>
                    <w:adjustRightInd w:val="0"/>
                    <w:jc w:val="center"/>
                    <w:rPr>
                      <w:szCs w:val="21"/>
                    </w:rPr>
                  </w:pPr>
                  <w:r>
                    <w:rPr>
                      <w:rFonts w:hint="eastAsia"/>
                      <w:szCs w:val="21"/>
                    </w:rPr>
                    <w:t>涂刷防腐、防渗、防化学反应等涂层。防渗系数能够K≤1×10</w:t>
                  </w:r>
                  <w:r>
                    <w:rPr>
                      <w:rFonts w:hint="eastAsia"/>
                      <w:szCs w:val="21"/>
                      <w:vertAlign w:val="superscript"/>
                    </w:rPr>
                    <w:t>-7</w:t>
                  </w:r>
                  <w:r>
                    <w:rPr>
                      <w:rFonts w:hint="eastAsia"/>
                      <w:szCs w:val="21"/>
                    </w:rPr>
                    <w:t>cm/s。拟采取素土夯实+30mm厚碎石+150mm钢筋混凝土+上层2mm厚环氧树脂地坪。</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8" w:type="pct"/>
                  <w:noWrap w:val="0"/>
                  <w:vAlign w:val="center"/>
                </w:tcPr>
                <w:p>
                  <w:pPr>
                    <w:autoSpaceDE w:val="0"/>
                    <w:autoSpaceDN w:val="0"/>
                    <w:adjustRightInd w:val="0"/>
                    <w:jc w:val="center"/>
                    <w:rPr>
                      <w:szCs w:val="21"/>
                    </w:rPr>
                  </w:pPr>
                  <w:r>
                    <w:rPr>
                      <w:rFonts w:hint="eastAsia"/>
                      <w:szCs w:val="21"/>
                    </w:rPr>
                    <w:t>简单防渗区</w:t>
                  </w:r>
                </w:p>
              </w:tc>
              <w:tc>
                <w:tcPr>
                  <w:tcW w:w="1764" w:type="pct"/>
                  <w:noWrap w:val="0"/>
                  <w:vAlign w:val="center"/>
                </w:tcPr>
                <w:p>
                  <w:pPr>
                    <w:autoSpaceDE w:val="0"/>
                    <w:autoSpaceDN w:val="0"/>
                    <w:adjustRightInd w:val="0"/>
                    <w:jc w:val="center"/>
                    <w:rPr>
                      <w:szCs w:val="21"/>
                    </w:rPr>
                  </w:pPr>
                  <w:r>
                    <w:rPr>
                      <w:rFonts w:hint="eastAsia"/>
                      <w:szCs w:val="21"/>
                    </w:rPr>
                    <w:t>办公区及厂区道路</w:t>
                  </w:r>
                </w:p>
              </w:tc>
              <w:tc>
                <w:tcPr>
                  <w:tcW w:w="2388" w:type="pct"/>
                  <w:noWrap w:val="0"/>
                  <w:vAlign w:val="center"/>
                </w:tcPr>
                <w:p>
                  <w:pPr>
                    <w:autoSpaceDE w:val="0"/>
                    <w:autoSpaceDN w:val="0"/>
                    <w:adjustRightInd w:val="0"/>
                    <w:jc w:val="center"/>
                    <w:rPr>
                      <w:szCs w:val="21"/>
                    </w:rPr>
                  </w:pPr>
                  <w:r>
                    <w:rPr>
                      <w:rFonts w:hint="eastAsia"/>
                      <w:szCs w:val="21"/>
                    </w:rPr>
                    <w:t>混凝土硬化</w:t>
                  </w:r>
                </w:p>
              </w:tc>
            </w:tr>
          </w:tbl>
          <w:p>
            <w:pPr>
              <w:pStyle w:val="213"/>
              <w:ind w:firstLine="482"/>
              <w:rPr>
                <w:rFonts w:hint="eastAsia" w:hAnsi="宋体" w:cs="宋体"/>
                <w:b/>
                <w:szCs w:val="24"/>
              </w:rPr>
            </w:pPr>
          </w:p>
          <w:p>
            <w:pPr>
              <w:pStyle w:val="183"/>
              <w:ind w:firstLine="482"/>
              <w:rPr>
                <w:rFonts w:hint="eastAsia"/>
                <w:b/>
              </w:rPr>
            </w:pPr>
            <w:r>
              <w:rPr>
                <w:b/>
              </w:rPr>
              <w:t>6</w:t>
            </w:r>
            <w:r>
              <w:rPr>
                <w:rFonts w:hint="eastAsia"/>
                <w:b/>
              </w:rPr>
              <w:t>、环境风险</w:t>
            </w:r>
          </w:p>
          <w:p>
            <w:pPr>
              <w:pStyle w:val="183"/>
              <w:wordWrap/>
              <w:autoSpaceDE w:val="0"/>
              <w:autoSpaceDN w:val="0"/>
              <w:rPr>
                <w:rFonts w:hint="eastAsia"/>
              </w:rPr>
            </w:pPr>
            <w:r>
              <w:rPr>
                <w:rFonts w:hint="eastAsia"/>
              </w:rPr>
              <w:t>环境风险评价的目的是分析和预测建设项目存在的潜在危险、有害因素，建设项目建设和运行期间可能发生的突发事件或事故（一般不包括人为破坏及自然灾害），引起有毒有害、易燃易爆等物质泄露，或突发事件产生的新的有毒有害物质，所造成的对人身安全与环境的影响和损害程度，提出合理可行的防范、应急与减缓措施，以使建设项目事故率、损失和环境影响达到可接受水平。</w:t>
            </w:r>
          </w:p>
          <w:p>
            <w:pPr>
              <w:pStyle w:val="183"/>
              <w:wordWrap/>
              <w:autoSpaceDE w:val="0"/>
              <w:autoSpaceDN w:val="0"/>
              <w:ind w:firstLine="482"/>
              <w:rPr>
                <w:rFonts w:hint="eastAsia"/>
                <w:b/>
              </w:rPr>
            </w:pPr>
            <w:r>
              <w:rPr>
                <w:rFonts w:hint="eastAsia"/>
                <w:b/>
              </w:rPr>
              <w:t>（1）评价依据</w:t>
            </w:r>
          </w:p>
          <w:p>
            <w:pPr>
              <w:pStyle w:val="183"/>
              <w:wordWrap/>
              <w:autoSpaceDE w:val="0"/>
              <w:autoSpaceDN w:val="0"/>
              <w:rPr>
                <w:rFonts w:hint="eastAsia"/>
              </w:rPr>
            </w:pPr>
            <w:r>
              <w:rPr>
                <w:rFonts w:hint="eastAsia"/>
              </w:rPr>
              <w:t>1）风险调查</w:t>
            </w:r>
          </w:p>
          <w:p>
            <w:pPr>
              <w:pStyle w:val="183"/>
              <w:wordWrap/>
              <w:autoSpaceDE w:val="0"/>
              <w:autoSpaceDN w:val="0"/>
              <w:rPr>
                <w:rFonts w:hint="eastAsia"/>
              </w:rPr>
            </w:pPr>
            <w:r>
              <w:rPr>
                <w:rFonts w:hint="eastAsia"/>
              </w:rPr>
              <w:t>本项目净水厂用原料主要为天然水、PAC、盐酸（32%）以及氯酸钠，产生固废主要为泥饼。根据《建设项目环境风险评价技术导则》（HJ169-2018）附录B和《危险化学品重大危险源辨识》（GB18218-2018），盐酸、氯酸钠为风险物质。</w:t>
            </w:r>
          </w:p>
          <w:p>
            <w:pPr>
              <w:pStyle w:val="183"/>
              <w:wordWrap/>
              <w:autoSpaceDE w:val="0"/>
              <w:autoSpaceDN w:val="0"/>
              <w:rPr>
                <w:iCs/>
              </w:rPr>
            </w:pPr>
            <w:r>
              <w:rPr>
                <w:rFonts w:hint="eastAsia"/>
              </w:rPr>
              <w:t>2）</w:t>
            </w:r>
            <w:r>
              <w:rPr>
                <w:rFonts w:hint="eastAsia"/>
                <w:iCs/>
              </w:rPr>
              <w:t>环境风险潜势初判</w:t>
            </w:r>
          </w:p>
          <w:p>
            <w:pPr>
              <w:pStyle w:val="183"/>
              <w:wordWrap/>
              <w:autoSpaceDE w:val="0"/>
              <w:autoSpaceDN w:val="0"/>
              <w:rPr>
                <w:rFonts w:hint="eastAsia"/>
                <w:iCs/>
              </w:rPr>
            </w:pPr>
            <w:r>
              <w:rPr>
                <w:rFonts w:hint="eastAsia"/>
                <w:iCs/>
              </w:rPr>
              <w:t>根据《建设项目环境风险评价技术导则》（</w:t>
            </w:r>
            <w:r>
              <w:rPr>
                <w:iCs/>
              </w:rPr>
              <w:t>HJ169-2018</w:t>
            </w:r>
            <w:r>
              <w:rPr>
                <w:rFonts w:hint="eastAsia"/>
                <w:iCs/>
              </w:rPr>
              <w:t>）计算所涉及的每种危险物质在厂界内的最大存在总量与其在附录</w:t>
            </w:r>
            <w:r>
              <w:rPr>
                <w:iCs/>
              </w:rPr>
              <w:t>B</w:t>
            </w:r>
            <w:r>
              <w:rPr>
                <w:rFonts w:hint="eastAsia"/>
                <w:iCs/>
              </w:rPr>
              <w:t>中对应临界量的比值</w:t>
            </w:r>
            <w:r>
              <w:rPr>
                <w:iCs/>
              </w:rPr>
              <w:t>Q</w:t>
            </w:r>
            <w:r>
              <w:rPr>
                <w:rFonts w:hint="eastAsia"/>
                <w:iCs/>
              </w:rPr>
              <w:t>。当只涉及一种危险物质时，计算该物质的总量与其临界量比值，即为</w:t>
            </w:r>
            <w:r>
              <w:rPr>
                <w:iCs/>
              </w:rPr>
              <w:t>Q</w:t>
            </w:r>
            <w:r>
              <w:rPr>
                <w:rFonts w:hint="eastAsia"/>
                <w:iCs/>
              </w:rPr>
              <w:t>；当存在多种危险物质时，则按以下公式计算物质总量与其临界量的比值</w:t>
            </w:r>
            <w:r>
              <w:rPr>
                <w:iCs/>
              </w:rPr>
              <w:t>Q</w:t>
            </w:r>
            <w:r>
              <w:rPr>
                <w:rFonts w:hint="eastAsia"/>
                <w:iCs/>
              </w:rPr>
              <w:t>：</w:t>
            </w:r>
          </w:p>
          <w:p>
            <w:pPr>
              <w:pStyle w:val="183"/>
              <w:wordWrap/>
              <w:autoSpaceDE w:val="0"/>
              <w:autoSpaceDN w:val="0"/>
              <w:jc w:val="center"/>
              <w:rPr>
                <w:iCs/>
              </w:rPr>
            </w:pPr>
            <w:r>
              <w:rPr>
                <w:iCs/>
                <w:position w:val="-30"/>
              </w:rPr>
              <w:object>
                <v:shape id="_x0000_i1038" o:spt="75" type="#_x0000_t75" style="height:34pt;width:117pt;" o:ole="t" filled="f" o:preferrelative="t" stroked="f" coordsize="21600,21600">
                  <v:path/>
                  <v:fill on="f" alignshape="1" focussize="0,0"/>
                  <v:stroke on="f"/>
                  <v:imagedata r:id="rId29" o:title=""/>
                  <o:lock v:ext="edit" aspectratio="t"/>
                  <w10:wrap type="none"/>
                  <w10:anchorlock/>
                </v:shape>
                <o:OLEObject Type="Embed" ProgID="Equation.3" ShapeID="_x0000_i1038" DrawAspect="Content" ObjectID="_1468075729" r:id="rId28">
                  <o:LockedField>false</o:LockedField>
                </o:OLEObject>
              </w:object>
            </w:r>
          </w:p>
          <w:p>
            <w:pPr>
              <w:autoSpaceDE w:val="0"/>
              <w:autoSpaceDN w:val="0"/>
              <w:adjustRightInd w:val="0"/>
              <w:snapToGrid w:val="0"/>
              <w:spacing w:line="360" w:lineRule="auto"/>
              <w:ind w:firstLine="480" w:firstLineChars="200"/>
              <w:jc w:val="left"/>
              <w:rPr>
                <w:sz w:val="24"/>
              </w:rPr>
            </w:pPr>
            <w:r>
              <w:rPr>
                <w:rFonts w:hint="eastAsia"/>
                <w:sz w:val="24"/>
              </w:rPr>
              <w:t>式中：</w:t>
            </w:r>
            <w:r>
              <w:rPr>
                <w:sz w:val="24"/>
              </w:rPr>
              <w:t>q</w:t>
            </w:r>
            <w:r>
              <w:rPr>
                <w:sz w:val="24"/>
                <w:vertAlign w:val="subscript"/>
              </w:rPr>
              <w:t>1</w:t>
            </w:r>
            <w:r>
              <w:rPr>
                <w:rFonts w:hint="eastAsia"/>
                <w:sz w:val="24"/>
              </w:rPr>
              <w:t>、</w:t>
            </w:r>
            <w:r>
              <w:rPr>
                <w:sz w:val="24"/>
              </w:rPr>
              <w:t>q</w:t>
            </w:r>
            <w:r>
              <w:rPr>
                <w:sz w:val="24"/>
                <w:vertAlign w:val="subscript"/>
              </w:rPr>
              <w:t>2</w:t>
            </w:r>
            <w:r>
              <w:rPr>
                <w:rFonts w:hint="eastAsia"/>
                <w:sz w:val="24"/>
              </w:rPr>
              <w:t>、</w:t>
            </w:r>
            <w:r>
              <w:rPr>
                <w:sz w:val="24"/>
              </w:rPr>
              <w:t>…q</w:t>
            </w:r>
            <w:r>
              <w:rPr>
                <w:sz w:val="24"/>
                <w:vertAlign w:val="subscript"/>
              </w:rPr>
              <w:t>n</w:t>
            </w:r>
            <w:r>
              <w:rPr>
                <w:sz w:val="24"/>
              </w:rPr>
              <w:t>——</w:t>
            </w:r>
            <w:r>
              <w:rPr>
                <w:rFonts w:hint="eastAsia"/>
                <w:sz w:val="24"/>
              </w:rPr>
              <w:t>每种无限物质的最大存在总量，</w:t>
            </w:r>
            <w:r>
              <w:rPr>
                <w:sz w:val="24"/>
              </w:rPr>
              <w:t>t</w:t>
            </w:r>
            <w:r>
              <w:rPr>
                <w:rFonts w:hint="eastAsia"/>
                <w:sz w:val="24"/>
              </w:rPr>
              <w:t>；</w:t>
            </w:r>
          </w:p>
          <w:p>
            <w:pPr>
              <w:autoSpaceDE w:val="0"/>
              <w:autoSpaceDN w:val="0"/>
              <w:adjustRightInd w:val="0"/>
              <w:snapToGrid w:val="0"/>
              <w:spacing w:line="360" w:lineRule="auto"/>
              <w:ind w:firstLine="480" w:firstLineChars="200"/>
              <w:jc w:val="left"/>
              <w:rPr>
                <w:sz w:val="24"/>
              </w:rPr>
            </w:pPr>
            <w:r>
              <w:rPr>
                <w:sz w:val="24"/>
              </w:rPr>
              <w:t xml:space="preserve">      Q</w:t>
            </w:r>
            <w:r>
              <w:rPr>
                <w:sz w:val="24"/>
                <w:vertAlign w:val="subscript"/>
              </w:rPr>
              <w:t>1</w:t>
            </w:r>
            <w:r>
              <w:rPr>
                <w:rFonts w:hint="eastAsia"/>
                <w:sz w:val="24"/>
              </w:rPr>
              <w:t>、</w:t>
            </w:r>
            <w:r>
              <w:rPr>
                <w:sz w:val="24"/>
              </w:rPr>
              <w:t>Q</w:t>
            </w:r>
            <w:r>
              <w:rPr>
                <w:sz w:val="24"/>
                <w:vertAlign w:val="subscript"/>
              </w:rPr>
              <w:t>2</w:t>
            </w:r>
            <w:r>
              <w:rPr>
                <w:rFonts w:hint="eastAsia"/>
                <w:sz w:val="24"/>
              </w:rPr>
              <w:t>、</w:t>
            </w:r>
            <w:r>
              <w:rPr>
                <w:sz w:val="24"/>
              </w:rPr>
              <w:t>…Q</w:t>
            </w:r>
            <w:r>
              <w:rPr>
                <w:sz w:val="24"/>
                <w:vertAlign w:val="subscript"/>
              </w:rPr>
              <w:t>n</w:t>
            </w:r>
            <w:r>
              <w:rPr>
                <w:sz w:val="24"/>
              </w:rPr>
              <w:t>——</w:t>
            </w:r>
            <w:r>
              <w:rPr>
                <w:rFonts w:hint="eastAsia"/>
                <w:sz w:val="24"/>
              </w:rPr>
              <w:t>每种危险物质的临界量，</w:t>
            </w:r>
            <w:r>
              <w:rPr>
                <w:sz w:val="24"/>
              </w:rPr>
              <w:t>t</w:t>
            </w:r>
            <w:r>
              <w:rPr>
                <w:rFonts w:hint="eastAsia"/>
                <w:sz w:val="24"/>
              </w:rPr>
              <w:t>。</w:t>
            </w:r>
          </w:p>
          <w:p>
            <w:pPr>
              <w:autoSpaceDE w:val="0"/>
              <w:autoSpaceDN w:val="0"/>
              <w:adjustRightInd w:val="0"/>
              <w:snapToGrid w:val="0"/>
              <w:spacing w:line="360" w:lineRule="auto"/>
              <w:ind w:firstLine="480" w:firstLineChars="200"/>
              <w:jc w:val="left"/>
              <w:rPr>
                <w:sz w:val="24"/>
              </w:rPr>
            </w:pPr>
            <w:r>
              <w:rPr>
                <w:rFonts w:hint="eastAsia"/>
                <w:sz w:val="24"/>
              </w:rPr>
              <w:t>当</w:t>
            </w:r>
            <w:r>
              <w:rPr>
                <w:sz w:val="24"/>
              </w:rPr>
              <w:t>Q</w:t>
            </w:r>
            <w:r>
              <w:rPr>
                <w:rFonts w:hint="eastAsia"/>
                <w:sz w:val="24"/>
              </w:rPr>
              <w:t>＜</w:t>
            </w:r>
            <w:r>
              <w:rPr>
                <w:sz w:val="24"/>
              </w:rPr>
              <w:t>1</w:t>
            </w:r>
            <w:r>
              <w:rPr>
                <w:rFonts w:hint="eastAsia"/>
                <w:sz w:val="24"/>
              </w:rPr>
              <w:t>时，该项目环境风险潜势为</w:t>
            </w:r>
            <w:r>
              <w:rPr>
                <w:rFonts w:hint="eastAsia" w:ascii="宋体" w:hAnsi="宋体" w:cs="宋体"/>
                <w:sz w:val="24"/>
              </w:rPr>
              <w:t>Ⅰ</w:t>
            </w:r>
            <w:r>
              <w:rPr>
                <w:rFonts w:hint="eastAsia"/>
                <w:sz w:val="24"/>
              </w:rPr>
              <w:t>；</w:t>
            </w:r>
            <w:r>
              <w:rPr>
                <w:sz w:val="24"/>
              </w:rPr>
              <w:t xml:space="preserve"> </w:t>
            </w:r>
          </w:p>
          <w:p>
            <w:pPr>
              <w:autoSpaceDE w:val="0"/>
              <w:autoSpaceDN w:val="0"/>
              <w:adjustRightInd w:val="0"/>
              <w:snapToGrid w:val="0"/>
              <w:spacing w:line="360" w:lineRule="auto"/>
              <w:ind w:firstLine="480" w:firstLineChars="200"/>
              <w:jc w:val="left"/>
              <w:rPr>
                <w:sz w:val="24"/>
              </w:rPr>
            </w:pPr>
            <w:r>
              <w:rPr>
                <w:rFonts w:hint="eastAsia"/>
                <w:sz w:val="24"/>
              </w:rPr>
              <w:t>当</w:t>
            </w:r>
            <w:r>
              <w:rPr>
                <w:sz w:val="24"/>
              </w:rPr>
              <w:t>Q≥1</w:t>
            </w:r>
            <w:r>
              <w:rPr>
                <w:rFonts w:hint="eastAsia"/>
                <w:sz w:val="24"/>
              </w:rPr>
              <w:t>时，将</w:t>
            </w:r>
            <w:r>
              <w:rPr>
                <w:sz w:val="24"/>
              </w:rPr>
              <w:t>Q</w:t>
            </w:r>
            <w:r>
              <w:rPr>
                <w:rFonts w:hint="eastAsia"/>
                <w:sz w:val="24"/>
              </w:rPr>
              <w:t>值划分为：（</w:t>
            </w:r>
            <w:r>
              <w:rPr>
                <w:sz w:val="24"/>
              </w:rPr>
              <w:t>1</w:t>
            </w:r>
            <w:r>
              <w:rPr>
                <w:rFonts w:hint="eastAsia"/>
                <w:sz w:val="24"/>
              </w:rPr>
              <w:t>）</w:t>
            </w:r>
            <w:r>
              <w:rPr>
                <w:sz w:val="24"/>
              </w:rPr>
              <w:t>1≤Q</w:t>
            </w:r>
            <w:r>
              <w:rPr>
                <w:rFonts w:hint="eastAsia"/>
                <w:sz w:val="24"/>
              </w:rPr>
              <w:t>＜</w:t>
            </w:r>
            <w:r>
              <w:rPr>
                <w:sz w:val="24"/>
              </w:rPr>
              <w:t>10</w:t>
            </w:r>
            <w:r>
              <w:rPr>
                <w:rFonts w:hint="eastAsia"/>
                <w:sz w:val="24"/>
              </w:rPr>
              <w:t>；（</w:t>
            </w:r>
            <w:r>
              <w:rPr>
                <w:sz w:val="24"/>
              </w:rPr>
              <w:t>2</w:t>
            </w:r>
            <w:r>
              <w:rPr>
                <w:rFonts w:hint="eastAsia"/>
                <w:sz w:val="24"/>
              </w:rPr>
              <w:t>）</w:t>
            </w:r>
            <w:r>
              <w:rPr>
                <w:sz w:val="24"/>
              </w:rPr>
              <w:t>10≤Q</w:t>
            </w:r>
            <w:r>
              <w:rPr>
                <w:rFonts w:hint="eastAsia"/>
                <w:sz w:val="24"/>
              </w:rPr>
              <w:t>＜</w:t>
            </w:r>
            <w:r>
              <w:rPr>
                <w:sz w:val="24"/>
              </w:rPr>
              <w:t>100</w:t>
            </w:r>
            <w:r>
              <w:rPr>
                <w:rFonts w:hint="eastAsia"/>
                <w:sz w:val="24"/>
              </w:rPr>
              <w:t>；（</w:t>
            </w:r>
            <w:r>
              <w:rPr>
                <w:sz w:val="24"/>
              </w:rPr>
              <w:t>3</w:t>
            </w:r>
            <w:r>
              <w:rPr>
                <w:rFonts w:hint="eastAsia"/>
                <w:sz w:val="24"/>
              </w:rPr>
              <w:t>）</w:t>
            </w:r>
            <w:r>
              <w:rPr>
                <w:sz w:val="24"/>
              </w:rPr>
              <w:t>Q≥100</w:t>
            </w:r>
          </w:p>
          <w:p>
            <w:pPr>
              <w:autoSpaceDE w:val="0"/>
              <w:autoSpaceDN w:val="0"/>
              <w:adjustRightInd w:val="0"/>
              <w:snapToGrid w:val="0"/>
              <w:spacing w:line="360" w:lineRule="auto"/>
              <w:ind w:firstLine="480" w:firstLineChars="200"/>
              <w:jc w:val="left"/>
              <w:rPr>
                <w:sz w:val="24"/>
              </w:rPr>
            </w:pPr>
            <w:r>
              <w:rPr>
                <w:rFonts w:hint="eastAsia"/>
                <w:sz w:val="24"/>
              </w:rPr>
              <w:t>本项目涉及的风险物质为氯酸钠、盐酸（31%），根据《建设项目环境风险评价技术导则》，37%盐酸临界量为7</w:t>
            </w:r>
            <w:r>
              <w:rPr>
                <w:sz w:val="24"/>
              </w:rPr>
              <w:t>.5t</w:t>
            </w:r>
            <w:r>
              <w:rPr>
                <w:rFonts w:hint="eastAsia"/>
                <w:sz w:val="24"/>
              </w:rPr>
              <w:t>，本项目使用盐酸浓度31%，因此在Q值计算过程中需要进行折算，具体计算结果见下表。</w:t>
            </w:r>
          </w:p>
          <w:p>
            <w:pPr>
              <w:autoSpaceDE w:val="0"/>
              <w:autoSpaceDN w:val="0"/>
              <w:adjustRightInd w:val="0"/>
              <w:snapToGrid w:val="0"/>
              <w:spacing w:line="360" w:lineRule="auto"/>
              <w:jc w:val="center"/>
              <w:rPr>
                <w:rFonts w:hint="eastAsia"/>
                <w:b/>
                <w:bCs/>
                <w:sz w:val="24"/>
              </w:rPr>
            </w:pPr>
            <w:r>
              <w:rPr>
                <w:rFonts w:hint="eastAsia"/>
                <w:b/>
                <w:bCs/>
                <w:sz w:val="24"/>
              </w:rPr>
              <w:t>表4</w:t>
            </w:r>
            <w:r>
              <w:rPr>
                <w:b/>
                <w:bCs/>
                <w:sz w:val="24"/>
              </w:rPr>
              <w:t>-13  Q</w:t>
            </w:r>
            <w:r>
              <w:rPr>
                <w:rFonts w:hint="eastAsia"/>
                <w:b/>
                <w:bCs/>
                <w:sz w:val="24"/>
              </w:rPr>
              <w:t>值计算一览表</w:t>
            </w:r>
          </w:p>
          <w:tbl>
            <w:tblPr>
              <w:tblStyle w:val="39"/>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589"/>
              <w:gridCol w:w="1589"/>
              <w:gridCol w:w="1589"/>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89" w:type="dxa"/>
                  <w:shd w:val="clear" w:color="auto" w:fill="auto"/>
                  <w:noWrap w:val="0"/>
                  <w:vAlign w:val="top"/>
                </w:tcPr>
                <w:p>
                  <w:pPr>
                    <w:autoSpaceDE w:val="0"/>
                    <w:autoSpaceDN w:val="0"/>
                    <w:adjustRightInd w:val="0"/>
                    <w:snapToGrid w:val="0"/>
                    <w:jc w:val="center"/>
                    <w:rPr>
                      <w:rFonts w:hint="eastAsia"/>
                      <w:szCs w:val="21"/>
                    </w:rPr>
                  </w:pPr>
                  <w:r>
                    <w:rPr>
                      <w:rFonts w:hint="eastAsia"/>
                      <w:szCs w:val="21"/>
                    </w:rPr>
                    <w:t>物质名称</w:t>
                  </w:r>
                </w:p>
              </w:tc>
              <w:tc>
                <w:tcPr>
                  <w:tcW w:w="1589" w:type="dxa"/>
                  <w:shd w:val="clear" w:color="auto" w:fill="auto"/>
                  <w:noWrap w:val="0"/>
                  <w:vAlign w:val="top"/>
                </w:tcPr>
                <w:p>
                  <w:pPr>
                    <w:autoSpaceDE w:val="0"/>
                    <w:autoSpaceDN w:val="0"/>
                    <w:adjustRightInd w:val="0"/>
                    <w:snapToGrid w:val="0"/>
                    <w:jc w:val="center"/>
                    <w:rPr>
                      <w:rFonts w:hint="eastAsia"/>
                      <w:szCs w:val="21"/>
                    </w:rPr>
                  </w:pPr>
                  <w:r>
                    <w:rPr>
                      <w:rFonts w:hint="eastAsia"/>
                      <w:szCs w:val="21"/>
                    </w:rPr>
                    <w:t>CAS号</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在线量/t</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临界量/t</w:t>
                  </w:r>
                </w:p>
              </w:tc>
              <w:tc>
                <w:tcPr>
                  <w:tcW w:w="1590" w:type="dxa"/>
                  <w:shd w:val="clear" w:color="auto" w:fill="auto"/>
                  <w:noWrap w:val="0"/>
                  <w:vAlign w:val="top"/>
                </w:tcPr>
                <w:p>
                  <w:pPr>
                    <w:autoSpaceDE w:val="0"/>
                    <w:autoSpaceDN w:val="0"/>
                    <w:adjustRightInd w:val="0"/>
                    <w:snapToGrid w:val="0"/>
                    <w:jc w:val="center"/>
                    <w:rPr>
                      <w:szCs w:val="21"/>
                    </w:rPr>
                  </w:pPr>
                  <w:r>
                    <w:rPr>
                      <w:rFonts w:hint="eastAsia"/>
                      <w:szCs w:val="21"/>
                    </w:rPr>
                    <w:t>Qi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89" w:type="dxa"/>
                  <w:shd w:val="clear" w:color="auto" w:fill="auto"/>
                  <w:noWrap w:val="0"/>
                  <w:vAlign w:val="top"/>
                </w:tcPr>
                <w:p>
                  <w:pPr>
                    <w:autoSpaceDE w:val="0"/>
                    <w:autoSpaceDN w:val="0"/>
                    <w:adjustRightInd w:val="0"/>
                    <w:snapToGrid w:val="0"/>
                    <w:jc w:val="center"/>
                    <w:rPr>
                      <w:rFonts w:hint="eastAsia"/>
                      <w:szCs w:val="21"/>
                    </w:rPr>
                  </w:pPr>
                  <w:r>
                    <w:rPr>
                      <w:rFonts w:hint="eastAsia"/>
                      <w:szCs w:val="21"/>
                    </w:rPr>
                    <w:t>盐酸（37%）</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7647-01-0</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0.99</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7.5</w:t>
                  </w:r>
                </w:p>
              </w:tc>
              <w:tc>
                <w:tcPr>
                  <w:tcW w:w="1590" w:type="dxa"/>
                  <w:shd w:val="clear" w:color="auto" w:fill="auto"/>
                  <w:noWrap w:val="0"/>
                  <w:vAlign w:val="top"/>
                </w:tcPr>
                <w:p>
                  <w:pPr>
                    <w:autoSpaceDE w:val="0"/>
                    <w:autoSpaceDN w:val="0"/>
                    <w:adjustRightInd w:val="0"/>
                    <w:snapToGrid w:val="0"/>
                    <w:jc w:val="center"/>
                    <w:rPr>
                      <w:szCs w:val="21"/>
                    </w:rPr>
                  </w:pPr>
                  <w:r>
                    <w:rPr>
                      <w:rFonts w:hint="eastAsia"/>
                      <w:szCs w:val="21"/>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89" w:type="dxa"/>
                  <w:shd w:val="clear" w:color="auto" w:fill="auto"/>
                  <w:noWrap w:val="0"/>
                  <w:vAlign w:val="top"/>
                </w:tcPr>
                <w:p>
                  <w:pPr>
                    <w:autoSpaceDE w:val="0"/>
                    <w:autoSpaceDN w:val="0"/>
                    <w:adjustRightInd w:val="0"/>
                    <w:snapToGrid w:val="0"/>
                    <w:jc w:val="center"/>
                    <w:rPr>
                      <w:rFonts w:hint="eastAsia"/>
                      <w:szCs w:val="21"/>
                    </w:rPr>
                  </w:pPr>
                  <w:r>
                    <w:rPr>
                      <w:rFonts w:hint="eastAsia"/>
                      <w:szCs w:val="21"/>
                    </w:rPr>
                    <w:t>氯酸钠</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7775-09-9</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1.0</w:t>
                  </w:r>
                </w:p>
              </w:tc>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100</w:t>
                  </w:r>
                </w:p>
              </w:tc>
              <w:tc>
                <w:tcPr>
                  <w:tcW w:w="1590" w:type="dxa"/>
                  <w:shd w:val="clear" w:color="auto" w:fill="auto"/>
                  <w:noWrap w:val="0"/>
                  <w:vAlign w:val="top"/>
                </w:tcPr>
                <w:p>
                  <w:pPr>
                    <w:autoSpaceDE w:val="0"/>
                    <w:autoSpaceDN w:val="0"/>
                    <w:adjustRightInd w:val="0"/>
                    <w:snapToGrid w:val="0"/>
                    <w:jc w:val="center"/>
                    <w:rPr>
                      <w:szCs w:val="21"/>
                    </w:rPr>
                  </w:pPr>
                  <w:r>
                    <w:rPr>
                      <w:rFonts w:hint="eastAsia"/>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89" w:type="dxa"/>
                  <w:shd w:val="clear" w:color="auto" w:fill="auto"/>
                  <w:noWrap w:val="0"/>
                  <w:vAlign w:val="top"/>
                </w:tcPr>
                <w:p>
                  <w:pPr>
                    <w:autoSpaceDE w:val="0"/>
                    <w:autoSpaceDN w:val="0"/>
                    <w:adjustRightInd w:val="0"/>
                    <w:snapToGrid w:val="0"/>
                    <w:jc w:val="center"/>
                    <w:rPr>
                      <w:szCs w:val="21"/>
                    </w:rPr>
                  </w:pPr>
                  <w:r>
                    <w:rPr>
                      <w:rFonts w:hint="eastAsia"/>
                      <w:szCs w:val="21"/>
                    </w:rPr>
                    <w:t>总计Q</w:t>
                  </w:r>
                </w:p>
              </w:tc>
              <w:tc>
                <w:tcPr>
                  <w:tcW w:w="1589" w:type="dxa"/>
                  <w:shd w:val="clear" w:color="auto" w:fill="auto"/>
                  <w:noWrap w:val="0"/>
                  <w:vAlign w:val="top"/>
                </w:tcPr>
                <w:p>
                  <w:pPr>
                    <w:autoSpaceDE w:val="0"/>
                    <w:autoSpaceDN w:val="0"/>
                    <w:adjustRightInd w:val="0"/>
                    <w:snapToGrid w:val="0"/>
                    <w:jc w:val="center"/>
                    <w:rPr>
                      <w:rFonts w:hint="eastAsia"/>
                      <w:szCs w:val="21"/>
                    </w:rPr>
                  </w:pPr>
                </w:p>
              </w:tc>
              <w:tc>
                <w:tcPr>
                  <w:tcW w:w="1589" w:type="dxa"/>
                  <w:shd w:val="clear" w:color="auto" w:fill="auto"/>
                  <w:noWrap w:val="0"/>
                  <w:vAlign w:val="top"/>
                </w:tcPr>
                <w:p>
                  <w:pPr>
                    <w:autoSpaceDE w:val="0"/>
                    <w:autoSpaceDN w:val="0"/>
                    <w:adjustRightInd w:val="0"/>
                    <w:snapToGrid w:val="0"/>
                    <w:jc w:val="center"/>
                    <w:rPr>
                      <w:rFonts w:hint="eastAsia"/>
                      <w:szCs w:val="21"/>
                    </w:rPr>
                  </w:pPr>
                </w:p>
              </w:tc>
              <w:tc>
                <w:tcPr>
                  <w:tcW w:w="1589" w:type="dxa"/>
                  <w:shd w:val="clear" w:color="auto" w:fill="auto"/>
                  <w:noWrap w:val="0"/>
                  <w:vAlign w:val="top"/>
                </w:tcPr>
                <w:p>
                  <w:pPr>
                    <w:autoSpaceDE w:val="0"/>
                    <w:autoSpaceDN w:val="0"/>
                    <w:adjustRightInd w:val="0"/>
                    <w:snapToGrid w:val="0"/>
                    <w:jc w:val="center"/>
                    <w:rPr>
                      <w:rFonts w:hint="eastAsia"/>
                      <w:szCs w:val="21"/>
                    </w:rPr>
                  </w:pPr>
                </w:p>
              </w:tc>
              <w:tc>
                <w:tcPr>
                  <w:tcW w:w="1590" w:type="dxa"/>
                  <w:shd w:val="clear" w:color="auto" w:fill="auto"/>
                  <w:noWrap w:val="0"/>
                  <w:vAlign w:val="top"/>
                </w:tcPr>
                <w:p>
                  <w:pPr>
                    <w:autoSpaceDE w:val="0"/>
                    <w:autoSpaceDN w:val="0"/>
                    <w:adjustRightInd w:val="0"/>
                    <w:snapToGrid w:val="0"/>
                    <w:jc w:val="center"/>
                    <w:rPr>
                      <w:szCs w:val="21"/>
                    </w:rPr>
                  </w:pPr>
                  <w:r>
                    <w:rPr>
                      <w:rFonts w:hint="eastAsia"/>
                      <w:szCs w:val="21"/>
                    </w:rPr>
                    <w:t>0.14</w:t>
                  </w:r>
                </w:p>
              </w:tc>
            </w:tr>
          </w:tbl>
          <w:p>
            <w:pPr>
              <w:autoSpaceDE w:val="0"/>
              <w:autoSpaceDN w:val="0"/>
              <w:adjustRightInd w:val="0"/>
              <w:snapToGrid w:val="0"/>
              <w:spacing w:line="360" w:lineRule="auto"/>
              <w:ind w:firstLine="480" w:firstLineChars="200"/>
              <w:jc w:val="left"/>
              <w:rPr>
                <w:rFonts w:ascii="宋体"/>
                <w:sz w:val="24"/>
              </w:rPr>
            </w:pPr>
            <w:r>
              <w:rPr>
                <w:rFonts w:hint="eastAsia"/>
                <w:sz w:val="24"/>
              </w:rPr>
              <w:t>由上表可知，本项目</w:t>
            </w:r>
            <w:r>
              <w:rPr>
                <w:sz w:val="24"/>
              </w:rPr>
              <w:t>Q=</w:t>
            </w:r>
            <w:r>
              <w:rPr>
                <w:rFonts w:hint="eastAsia"/>
                <w:sz w:val="24"/>
              </w:rPr>
              <w:t>0.14＜</w:t>
            </w:r>
            <w:r>
              <w:rPr>
                <w:sz w:val="24"/>
              </w:rPr>
              <w:t>1</w:t>
            </w:r>
            <w:r>
              <w:rPr>
                <w:rFonts w:hint="eastAsia"/>
                <w:sz w:val="24"/>
              </w:rPr>
              <w:t>，因此本项目环境风险潜势为</w:t>
            </w:r>
            <w:r>
              <w:rPr>
                <w:rFonts w:hint="eastAsia" w:ascii="宋体"/>
                <w:sz w:val="24"/>
              </w:rPr>
              <w:t>Ⅰ</w:t>
            </w:r>
            <w:r>
              <w:rPr>
                <w:rFonts w:hint="eastAsia" w:ascii="宋体" w:hAnsi="宋体"/>
                <w:sz w:val="24"/>
              </w:rPr>
              <w:t>。</w:t>
            </w:r>
          </w:p>
          <w:p>
            <w:pPr>
              <w:autoSpaceDE w:val="0"/>
              <w:autoSpaceDN w:val="0"/>
              <w:adjustRightInd w:val="0"/>
              <w:snapToGrid w:val="0"/>
              <w:spacing w:line="360" w:lineRule="auto"/>
              <w:ind w:firstLine="480" w:firstLineChars="200"/>
              <w:jc w:val="left"/>
              <w:rPr>
                <w:sz w:val="24"/>
              </w:rPr>
            </w:pPr>
            <w:r>
              <w:rPr>
                <w:sz w:val="24"/>
              </w:rPr>
              <w:t>3</w:t>
            </w:r>
            <w:r>
              <w:rPr>
                <w:rFonts w:hint="eastAsia"/>
                <w:sz w:val="24"/>
              </w:rPr>
              <w:t>）评价等级</w:t>
            </w:r>
          </w:p>
          <w:p>
            <w:pPr>
              <w:autoSpaceDE w:val="0"/>
              <w:autoSpaceDN w:val="0"/>
              <w:adjustRightInd w:val="0"/>
              <w:snapToGrid w:val="0"/>
              <w:spacing w:line="360" w:lineRule="auto"/>
              <w:ind w:firstLine="480" w:firstLineChars="200"/>
              <w:jc w:val="left"/>
              <w:rPr>
                <w:sz w:val="24"/>
              </w:rPr>
            </w:pPr>
            <w:r>
              <w:rPr>
                <w:rFonts w:hint="eastAsia"/>
                <w:sz w:val="24"/>
              </w:rPr>
              <w:t>根据《建设项目环境风险评价技术导则》（</w:t>
            </w:r>
            <w:r>
              <w:rPr>
                <w:sz w:val="24"/>
              </w:rPr>
              <w:t>HJ169—2018</w:t>
            </w:r>
            <w:r>
              <w:rPr>
                <w:rFonts w:hint="eastAsia"/>
                <w:sz w:val="24"/>
              </w:rPr>
              <w:t>），本项目环境风险评价等级判断如下表所示：</w:t>
            </w:r>
          </w:p>
          <w:p>
            <w:pPr>
              <w:pStyle w:val="184"/>
              <w:autoSpaceDE w:val="0"/>
              <w:autoSpaceDN w:val="0"/>
              <w:rPr>
                <w:color w:val="auto"/>
              </w:rPr>
            </w:pPr>
            <w:r>
              <w:rPr>
                <w:rFonts w:hint="eastAsia"/>
                <w:color w:val="auto"/>
              </w:rPr>
              <w:t>表4-</w:t>
            </w:r>
            <w:r>
              <w:rPr>
                <w:color w:val="auto"/>
              </w:rPr>
              <w:t xml:space="preserve">14  </w:t>
            </w:r>
            <w:r>
              <w:rPr>
                <w:rFonts w:hint="eastAsia"/>
                <w:color w:val="auto"/>
              </w:rPr>
              <w:t>评价工作等级划分</w:t>
            </w:r>
          </w:p>
          <w:tbl>
            <w:tblPr>
              <w:tblStyle w:val="39"/>
              <w:tblW w:w="740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6"/>
              <w:gridCol w:w="1048"/>
              <w:gridCol w:w="1417"/>
              <w:gridCol w:w="1134"/>
              <w:gridCol w:w="19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56" w:hRule="atLeast"/>
                <w:jc w:val="center"/>
              </w:trPr>
              <w:tc>
                <w:tcPr>
                  <w:tcW w:w="1816" w:type="dxa"/>
                  <w:noWrap w:val="0"/>
                  <w:vAlign w:val="top"/>
                </w:tcPr>
                <w:p>
                  <w:pPr>
                    <w:pStyle w:val="182"/>
                    <w:wordWrap/>
                    <w:rPr>
                      <w:rFonts w:ascii="Times New Roman" w:hAnsi="Times New Roman"/>
                      <w:b/>
                    </w:rPr>
                  </w:pPr>
                  <w:r>
                    <w:rPr>
                      <w:rFonts w:ascii="Times New Roman"/>
                      <w:b/>
                    </w:rPr>
                    <w:t>环境风险潜势</w:t>
                  </w:r>
                </w:p>
              </w:tc>
              <w:tc>
                <w:tcPr>
                  <w:tcW w:w="1048" w:type="dxa"/>
                  <w:noWrap w:val="0"/>
                  <w:vAlign w:val="top"/>
                </w:tcPr>
                <w:p>
                  <w:pPr>
                    <w:pStyle w:val="182"/>
                    <w:wordWrap/>
                    <w:rPr>
                      <w:rFonts w:ascii="Times New Roman" w:hAnsi="Times New Roman"/>
                      <w:b/>
                    </w:rPr>
                  </w:pPr>
                  <w:r>
                    <w:rPr>
                      <w:rFonts w:ascii="Times New Roman" w:hAnsi="宋体"/>
                      <w:b/>
                    </w:rPr>
                    <w:t>Ⅳ</w:t>
                  </w:r>
                  <w:r>
                    <w:rPr>
                      <w:rFonts w:ascii="Times New Roman"/>
                      <w:b/>
                    </w:rPr>
                    <w:t>、</w:t>
                  </w:r>
                  <w:r>
                    <w:rPr>
                      <w:rFonts w:ascii="Times New Roman" w:hAnsi="宋体"/>
                      <w:b/>
                    </w:rPr>
                    <w:t>Ⅳ</w:t>
                  </w:r>
                  <w:r>
                    <w:rPr>
                      <w:rFonts w:ascii="Times New Roman" w:hAnsi="Times New Roman"/>
                      <w:b/>
                      <w:vertAlign w:val="superscript"/>
                    </w:rPr>
                    <w:t>+</w:t>
                  </w:r>
                </w:p>
              </w:tc>
              <w:tc>
                <w:tcPr>
                  <w:tcW w:w="1417" w:type="dxa"/>
                  <w:noWrap w:val="0"/>
                  <w:vAlign w:val="top"/>
                </w:tcPr>
                <w:p>
                  <w:pPr>
                    <w:pStyle w:val="182"/>
                    <w:wordWrap/>
                    <w:rPr>
                      <w:rFonts w:ascii="Times New Roman" w:hAnsi="Times New Roman"/>
                      <w:b/>
                    </w:rPr>
                  </w:pPr>
                  <w:r>
                    <w:rPr>
                      <w:rFonts w:ascii="Times New Roman" w:hAnsi="宋体"/>
                      <w:b/>
                    </w:rPr>
                    <w:t>Ⅲ</w:t>
                  </w:r>
                </w:p>
              </w:tc>
              <w:tc>
                <w:tcPr>
                  <w:tcW w:w="1134" w:type="dxa"/>
                  <w:noWrap w:val="0"/>
                  <w:vAlign w:val="top"/>
                </w:tcPr>
                <w:p>
                  <w:pPr>
                    <w:pStyle w:val="182"/>
                    <w:wordWrap/>
                    <w:rPr>
                      <w:rFonts w:ascii="Times New Roman" w:hAnsi="Times New Roman"/>
                      <w:b/>
                    </w:rPr>
                  </w:pPr>
                  <w:r>
                    <w:rPr>
                      <w:rFonts w:ascii="Times New Roman" w:hAnsi="宋体"/>
                      <w:b/>
                    </w:rPr>
                    <w:t>Ⅱ</w:t>
                  </w:r>
                </w:p>
              </w:tc>
              <w:tc>
                <w:tcPr>
                  <w:tcW w:w="1985" w:type="dxa"/>
                  <w:noWrap w:val="0"/>
                  <w:vAlign w:val="top"/>
                </w:tcPr>
                <w:p>
                  <w:pPr>
                    <w:pStyle w:val="182"/>
                    <w:wordWrap/>
                    <w:rPr>
                      <w:rFonts w:ascii="Times New Roman" w:hAnsi="Times New Roman"/>
                      <w:b/>
                    </w:rPr>
                  </w:pPr>
                  <w:r>
                    <w:rPr>
                      <w:rFonts w:ascii="Times New Roman" w:hAnsi="宋体"/>
                      <w:b/>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816" w:type="dxa"/>
                  <w:shd w:val="clear" w:color="auto" w:fill="auto"/>
                  <w:noWrap w:val="0"/>
                  <w:vAlign w:val="top"/>
                </w:tcPr>
                <w:p>
                  <w:pPr>
                    <w:pStyle w:val="182"/>
                    <w:wordWrap/>
                    <w:rPr>
                      <w:rFonts w:ascii="Times New Roman" w:hAnsi="Times New Roman"/>
                    </w:rPr>
                  </w:pPr>
                  <w:r>
                    <w:rPr>
                      <w:rFonts w:ascii="Times New Roman"/>
                    </w:rPr>
                    <w:t>评价工作等级</w:t>
                  </w:r>
                </w:p>
              </w:tc>
              <w:tc>
                <w:tcPr>
                  <w:tcW w:w="1048" w:type="dxa"/>
                  <w:shd w:val="clear" w:color="auto" w:fill="auto"/>
                  <w:noWrap w:val="0"/>
                  <w:vAlign w:val="top"/>
                </w:tcPr>
                <w:p>
                  <w:pPr>
                    <w:pStyle w:val="182"/>
                    <w:wordWrap/>
                    <w:rPr>
                      <w:rFonts w:ascii="Times New Roman" w:hAnsi="Times New Roman"/>
                    </w:rPr>
                  </w:pPr>
                  <w:r>
                    <w:rPr>
                      <w:rFonts w:ascii="Times New Roman"/>
                    </w:rPr>
                    <w:t>一</w:t>
                  </w:r>
                </w:p>
              </w:tc>
              <w:tc>
                <w:tcPr>
                  <w:tcW w:w="1417" w:type="dxa"/>
                  <w:shd w:val="clear" w:color="auto" w:fill="auto"/>
                  <w:noWrap w:val="0"/>
                  <w:vAlign w:val="top"/>
                </w:tcPr>
                <w:p>
                  <w:pPr>
                    <w:pStyle w:val="182"/>
                    <w:wordWrap/>
                    <w:rPr>
                      <w:rFonts w:ascii="Times New Roman" w:hAnsi="Times New Roman"/>
                    </w:rPr>
                  </w:pPr>
                  <w:r>
                    <w:rPr>
                      <w:rFonts w:ascii="Times New Roman"/>
                    </w:rPr>
                    <w:t>二</w:t>
                  </w:r>
                </w:p>
              </w:tc>
              <w:tc>
                <w:tcPr>
                  <w:tcW w:w="1134" w:type="dxa"/>
                  <w:shd w:val="clear" w:color="auto" w:fill="auto"/>
                  <w:noWrap w:val="0"/>
                  <w:vAlign w:val="top"/>
                </w:tcPr>
                <w:p>
                  <w:pPr>
                    <w:pStyle w:val="182"/>
                    <w:wordWrap/>
                    <w:rPr>
                      <w:rFonts w:ascii="Times New Roman" w:hAnsi="Times New Roman"/>
                    </w:rPr>
                  </w:pPr>
                  <w:r>
                    <w:rPr>
                      <w:rFonts w:ascii="Times New Roman"/>
                    </w:rPr>
                    <w:t>三</w:t>
                  </w:r>
                </w:p>
              </w:tc>
              <w:tc>
                <w:tcPr>
                  <w:tcW w:w="1985" w:type="dxa"/>
                  <w:shd w:val="clear" w:color="auto" w:fill="BFBFBF"/>
                  <w:noWrap w:val="0"/>
                  <w:vAlign w:val="top"/>
                </w:tcPr>
                <w:p>
                  <w:pPr>
                    <w:pStyle w:val="182"/>
                    <w:wordWrap/>
                    <w:rPr>
                      <w:rFonts w:ascii="Times New Roman" w:hAnsi="Times New Roman"/>
                    </w:rPr>
                  </w:pPr>
                  <w:r>
                    <w:rPr>
                      <w:rFonts w:ascii="Times New Roman"/>
                    </w:rPr>
                    <w:t>简单分析</w:t>
                  </w:r>
                </w:p>
              </w:tc>
            </w:tr>
          </w:tbl>
          <w:p>
            <w:pPr>
              <w:pStyle w:val="183"/>
              <w:wordWrap/>
              <w:autoSpaceDE w:val="0"/>
              <w:autoSpaceDN w:val="0"/>
              <w:rPr>
                <w:rFonts w:hint="eastAsia"/>
              </w:rPr>
            </w:pPr>
            <w:r>
              <w:rPr>
                <w:rFonts w:hint="eastAsia"/>
              </w:rPr>
              <w:t>根据上表可知，本项目环境风险评价等级为简单分析。</w:t>
            </w:r>
          </w:p>
          <w:p>
            <w:pPr>
              <w:pStyle w:val="183"/>
              <w:wordWrap/>
              <w:autoSpaceDE w:val="0"/>
              <w:autoSpaceDN w:val="0"/>
              <w:ind w:firstLine="482"/>
              <w:rPr>
                <w:rFonts w:hint="eastAsia"/>
                <w:b/>
              </w:rPr>
            </w:pPr>
            <w:r>
              <w:rPr>
                <w:rFonts w:hint="eastAsia"/>
                <w:b/>
              </w:rPr>
              <w:t>（2）环境敏感目标概况</w:t>
            </w:r>
          </w:p>
          <w:p>
            <w:pPr>
              <w:pStyle w:val="183"/>
              <w:wordWrap/>
              <w:autoSpaceDE w:val="0"/>
              <w:autoSpaceDN w:val="0"/>
              <w:rPr>
                <w:rFonts w:hint="eastAsia"/>
              </w:rPr>
            </w:pPr>
            <w:r>
              <w:rPr>
                <w:rFonts w:hint="eastAsia"/>
              </w:rPr>
              <w:t>本项目涉及的环境敏感目标见下表。</w:t>
            </w:r>
          </w:p>
          <w:p>
            <w:pPr>
              <w:pStyle w:val="184"/>
              <w:autoSpaceDE w:val="0"/>
              <w:autoSpaceDN w:val="0"/>
              <w:rPr>
                <w:rFonts w:hint="eastAsia"/>
                <w:color w:val="auto"/>
              </w:rPr>
            </w:pPr>
            <w:r>
              <w:rPr>
                <w:rFonts w:hint="eastAsia"/>
                <w:color w:val="auto"/>
              </w:rPr>
              <w:t>表4-</w:t>
            </w:r>
            <w:r>
              <w:rPr>
                <w:color w:val="auto"/>
              </w:rPr>
              <w:t>15</w:t>
            </w:r>
            <w:r>
              <w:rPr>
                <w:rFonts w:hint="eastAsia"/>
                <w:color w:val="auto"/>
              </w:rPr>
              <w:t xml:space="preserve">  环境敏感目标一览表</w:t>
            </w:r>
          </w:p>
          <w:tbl>
            <w:tblPr>
              <w:tblStyle w:val="39"/>
              <w:tblW w:w="76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840"/>
              <w:gridCol w:w="857"/>
              <w:gridCol w:w="1044"/>
              <w:gridCol w:w="18"/>
              <w:gridCol w:w="867"/>
              <w:gridCol w:w="1664"/>
              <w:gridCol w:w="1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noWrap w:val="0"/>
                  <w:vAlign w:val="center"/>
                </w:tcPr>
                <w:p>
                  <w:pPr>
                    <w:pStyle w:val="182"/>
                    <w:rPr>
                      <w:rFonts w:hint="eastAsia"/>
                      <w:b/>
                    </w:rPr>
                  </w:pPr>
                  <w:r>
                    <w:rPr>
                      <w:rFonts w:hint="eastAsia"/>
                      <w:b/>
                    </w:rPr>
                    <w:t>环境因素</w:t>
                  </w:r>
                </w:p>
              </w:tc>
              <w:tc>
                <w:tcPr>
                  <w:tcW w:w="1697" w:type="dxa"/>
                  <w:gridSpan w:val="2"/>
                  <w:noWrap w:val="0"/>
                  <w:vAlign w:val="center"/>
                </w:tcPr>
                <w:p>
                  <w:pPr>
                    <w:pStyle w:val="182"/>
                    <w:rPr>
                      <w:rFonts w:hint="eastAsia"/>
                      <w:b/>
                    </w:rPr>
                  </w:pPr>
                  <w:r>
                    <w:rPr>
                      <w:rFonts w:hint="eastAsia"/>
                      <w:b/>
                    </w:rPr>
                    <w:t>保护目标</w:t>
                  </w:r>
                </w:p>
              </w:tc>
              <w:tc>
                <w:tcPr>
                  <w:tcW w:w="1044" w:type="dxa"/>
                  <w:noWrap w:val="0"/>
                  <w:vAlign w:val="center"/>
                </w:tcPr>
                <w:p>
                  <w:pPr>
                    <w:pStyle w:val="182"/>
                    <w:rPr>
                      <w:rFonts w:hint="eastAsia"/>
                      <w:b/>
                    </w:rPr>
                  </w:pPr>
                  <w:r>
                    <w:rPr>
                      <w:rFonts w:hint="eastAsia"/>
                      <w:b/>
                    </w:rPr>
                    <w:t>人数/规模</w:t>
                  </w:r>
                </w:p>
              </w:tc>
              <w:tc>
                <w:tcPr>
                  <w:tcW w:w="885" w:type="dxa"/>
                  <w:gridSpan w:val="2"/>
                  <w:noWrap w:val="0"/>
                  <w:vAlign w:val="center"/>
                </w:tcPr>
                <w:p>
                  <w:pPr>
                    <w:pStyle w:val="182"/>
                    <w:rPr>
                      <w:rFonts w:hint="eastAsia"/>
                      <w:b/>
                    </w:rPr>
                  </w:pPr>
                  <w:r>
                    <w:rPr>
                      <w:rFonts w:hint="eastAsia"/>
                      <w:b/>
                    </w:rPr>
                    <w:t>方位</w:t>
                  </w:r>
                </w:p>
              </w:tc>
              <w:tc>
                <w:tcPr>
                  <w:tcW w:w="1664" w:type="dxa"/>
                  <w:noWrap w:val="0"/>
                  <w:vAlign w:val="center"/>
                </w:tcPr>
                <w:p>
                  <w:pPr>
                    <w:pStyle w:val="182"/>
                    <w:rPr>
                      <w:rFonts w:hint="eastAsia"/>
                      <w:b/>
                    </w:rPr>
                  </w:pPr>
                  <w:r>
                    <w:rPr>
                      <w:rFonts w:hint="eastAsia"/>
                      <w:b/>
                    </w:rPr>
                    <w:t>最近距离、高差、阻隔</w:t>
                  </w:r>
                </w:p>
              </w:tc>
              <w:tc>
                <w:tcPr>
                  <w:tcW w:w="1756" w:type="dxa"/>
                  <w:noWrap w:val="0"/>
                  <w:vAlign w:val="center"/>
                </w:tcPr>
                <w:p>
                  <w:pPr>
                    <w:pStyle w:val="182"/>
                    <w:rPr>
                      <w:rFonts w:hint="eastAsia"/>
                      <w:b/>
                    </w:rPr>
                  </w:pPr>
                  <w:r>
                    <w:rPr>
                      <w:rFonts w:hint="eastAsia"/>
                      <w:b/>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restart"/>
                  <w:noWrap w:val="0"/>
                  <w:vAlign w:val="center"/>
                </w:tcPr>
                <w:p>
                  <w:pPr>
                    <w:pStyle w:val="182"/>
                    <w:rPr>
                      <w:rFonts w:hint="eastAsia"/>
                    </w:rPr>
                  </w:pPr>
                  <w:r>
                    <w:rPr>
                      <w:rFonts w:hint="eastAsia"/>
                    </w:rPr>
                    <w:t>环境空气</w:t>
                  </w:r>
                </w:p>
              </w:tc>
              <w:tc>
                <w:tcPr>
                  <w:tcW w:w="840" w:type="dxa"/>
                  <w:noWrap w:val="0"/>
                  <w:vAlign w:val="center"/>
                </w:tcPr>
                <w:p>
                  <w:pPr>
                    <w:pStyle w:val="182"/>
                    <w:rPr>
                      <w:rFonts w:hint="eastAsia"/>
                    </w:rPr>
                  </w:pPr>
                  <w:r>
                    <w:rPr>
                      <w:rFonts w:hint="eastAsia"/>
                    </w:rPr>
                    <w:t>提水泵房</w:t>
                  </w: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t>10</w:t>
                  </w:r>
                  <w:r>
                    <w:rPr>
                      <w:rFonts w:hint="eastAsia"/>
                    </w:rPr>
                    <w:t>人</w:t>
                  </w:r>
                </w:p>
              </w:tc>
              <w:tc>
                <w:tcPr>
                  <w:tcW w:w="885" w:type="dxa"/>
                  <w:gridSpan w:val="2"/>
                  <w:noWrap w:val="0"/>
                  <w:vAlign w:val="center"/>
                </w:tcPr>
                <w:p>
                  <w:pPr>
                    <w:pStyle w:val="182"/>
                    <w:rPr>
                      <w:rFonts w:hint="eastAsia"/>
                    </w:rPr>
                  </w:pPr>
                  <w:r>
                    <w:rPr>
                      <w:rFonts w:hint="eastAsia"/>
                    </w:rPr>
                    <w:t>东</w:t>
                  </w:r>
                </w:p>
              </w:tc>
              <w:tc>
                <w:tcPr>
                  <w:tcW w:w="1664" w:type="dxa"/>
                  <w:noWrap w:val="0"/>
                  <w:vAlign w:val="center"/>
                </w:tcPr>
                <w:p>
                  <w:pPr>
                    <w:pStyle w:val="182"/>
                    <w:rPr>
                      <w:rFonts w:hint="eastAsia"/>
                    </w:rPr>
                  </w:pPr>
                  <w:r>
                    <w:t>105</w:t>
                  </w:r>
                  <w:r>
                    <w:rPr>
                      <w:rFonts w:hint="eastAsia"/>
                    </w:rPr>
                    <w:t>m，高差</w:t>
                  </w:r>
                  <w:r>
                    <w:t>+24</w:t>
                  </w:r>
                  <w:r>
                    <w:rPr>
                      <w:rFonts w:hint="eastAsia"/>
                    </w:rPr>
                    <w:t>m、有树木阻隔</w:t>
                  </w:r>
                </w:p>
              </w:tc>
              <w:tc>
                <w:tcPr>
                  <w:tcW w:w="1756" w:type="dxa"/>
                  <w:vMerge w:val="restart"/>
                  <w:noWrap w:val="0"/>
                  <w:vAlign w:val="center"/>
                </w:tcPr>
                <w:p>
                  <w:pPr>
                    <w:pStyle w:val="182"/>
                    <w:rPr>
                      <w:rFonts w:hint="eastAsia"/>
                    </w:rPr>
                  </w:pPr>
                  <w:r>
                    <w:rPr>
                      <w:rFonts w:hint="eastAsia"/>
                    </w:rPr>
                    <w:t xml:space="preserve">满足《环境空气质量标准》GB3095-2012中二级标准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restart"/>
                  <w:noWrap w:val="0"/>
                  <w:vAlign w:val="center"/>
                </w:tcPr>
                <w:p>
                  <w:pPr>
                    <w:pStyle w:val="182"/>
                    <w:rPr>
                      <w:rFonts w:hint="eastAsia"/>
                    </w:rPr>
                  </w:pPr>
                  <w:r>
                    <w:rPr>
                      <w:rFonts w:hint="eastAsia"/>
                    </w:rPr>
                    <w:t>原水管线</w:t>
                  </w:r>
                </w:p>
              </w:tc>
              <w:tc>
                <w:tcPr>
                  <w:tcW w:w="857" w:type="dxa"/>
                  <w:noWrap w:val="0"/>
                  <w:vAlign w:val="center"/>
                </w:tcPr>
                <w:p>
                  <w:pPr>
                    <w:pStyle w:val="182"/>
                    <w:rPr>
                      <w:rFonts w:hint="eastAsia"/>
                    </w:rPr>
                  </w:pPr>
                  <w:r>
                    <w:rPr>
                      <w:rFonts w:hint="eastAsia"/>
                    </w:rPr>
                    <w:t>火地铺住户</w:t>
                  </w:r>
                </w:p>
              </w:tc>
              <w:tc>
                <w:tcPr>
                  <w:tcW w:w="1044" w:type="dxa"/>
                  <w:noWrap w:val="0"/>
                  <w:vAlign w:val="center"/>
                </w:tcPr>
                <w:p>
                  <w:pPr>
                    <w:pStyle w:val="182"/>
                    <w:rPr>
                      <w:rFonts w:hint="eastAsia"/>
                    </w:rPr>
                  </w:pPr>
                  <w:r>
                    <w:rPr>
                      <w:rFonts w:hint="eastAsia"/>
                    </w:rPr>
                    <w:t>2</w:t>
                  </w:r>
                  <w:r>
                    <w:t>2</w:t>
                  </w:r>
                  <w:r>
                    <w:rPr>
                      <w:rFonts w:hint="eastAsia"/>
                    </w:rPr>
                    <w:t>人</w:t>
                  </w:r>
                </w:p>
              </w:tc>
              <w:tc>
                <w:tcPr>
                  <w:tcW w:w="885"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rPr>
                      <w:rFonts w:hint="eastAsia"/>
                    </w:rPr>
                    <w:t>3</w:t>
                  </w:r>
                  <w:r>
                    <w:t>m</w:t>
                  </w:r>
                  <w:r>
                    <w:rPr>
                      <w:rFonts w:hint="eastAsia"/>
                    </w:rPr>
                    <w:t>，高差0，无阻隔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见风垭住户</w:t>
                  </w:r>
                </w:p>
              </w:tc>
              <w:tc>
                <w:tcPr>
                  <w:tcW w:w="1044" w:type="dxa"/>
                  <w:noWrap w:val="0"/>
                  <w:vAlign w:val="center"/>
                </w:tcPr>
                <w:p>
                  <w:pPr>
                    <w:pStyle w:val="182"/>
                    <w:rPr>
                      <w:rFonts w:hint="eastAsia"/>
                    </w:rPr>
                  </w:pPr>
                  <w:r>
                    <w:rPr>
                      <w:rFonts w:hint="eastAsia"/>
                    </w:rPr>
                    <w:t>约1</w:t>
                  </w:r>
                  <w:r>
                    <w:t>22</w:t>
                  </w:r>
                  <w:r>
                    <w:rPr>
                      <w:rFonts w:hint="eastAsia"/>
                    </w:rPr>
                    <w:t>人</w:t>
                  </w:r>
                </w:p>
              </w:tc>
              <w:tc>
                <w:tcPr>
                  <w:tcW w:w="885"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桂花村住户</w:t>
                  </w:r>
                </w:p>
              </w:tc>
              <w:tc>
                <w:tcPr>
                  <w:tcW w:w="1044" w:type="dxa"/>
                  <w:noWrap w:val="0"/>
                  <w:vAlign w:val="center"/>
                </w:tcPr>
                <w:p>
                  <w:pPr>
                    <w:pStyle w:val="182"/>
                    <w:rPr>
                      <w:rFonts w:hint="eastAsia"/>
                    </w:rPr>
                  </w:pPr>
                  <w:r>
                    <w:rPr>
                      <w:rFonts w:hint="eastAsia"/>
                    </w:rPr>
                    <w:t>约2</w:t>
                  </w:r>
                  <w:r>
                    <w:t>10</w:t>
                  </w:r>
                  <w:r>
                    <w:rPr>
                      <w:rFonts w:hint="eastAsia"/>
                    </w:rPr>
                    <w:t>人</w:t>
                  </w:r>
                </w:p>
              </w:tc>
              <w:tc>
                <w:tcPr>
                  <w:tcW w:w="885" w:type="dxa"/>
                  <w:gridSpan w:val="2"/>
                  <w:noWrap w:val="0"/>
                  <w:vAlign w:val="center"/>
                </w:tcPr>
                <w:p>
                  <w:pPr>
                    <w:pStyle w:val="182"/>
                    <w:rPr>
                      <w:rFonts w:hint="eastAsia"/>
                    </w:rPr>
                  </w:pPr>
                  <w:r>
                    <w:rPr>
                      <w:rFonts w:hint="eastAsia"/>
                    </w:rPr>
                    <w:t>管道两侧</w:t>
                  </w:r>
                </w:p>
              </w:tc>
              <w:tc>
                <w:tcPr>
                  <w:tcW w:w="1664" w:type="dxa"/>
                  <w:noWrap w:val="0"/>
                  <w:vAlign w:val="center"/>
                </w:tcPr>
                <w:p>
                  <w:pPr>
                    <w:pStyle w:val="182"/>
                    <w:rPr>
                      <w:rFonts w:hint="eastAsia"/>
                    </w:rPr>
                  </w:pPr>
                  <w:r>
                    <w:t>3m</w:t>
                  </w:r>
                  <w:r>
                    <w:rPr>
                      <w:rFonts w:hint="eastAsia"/>
                    </w:rPr>
                    <w:t>，高差0，无阻隔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restart"/>
                  <w:noWrap w:val="0"/>
                  <w:vAlign w:val="center"/>
                </w:tcPr>
                <w:p>
                  <w:pPr>
                    <w:pStyle w:val="182"/>
                    <w:rPr>
                      <w:rFonts w:hint="eastAsia"/>
                    </w:rPr>
                  </w:pPr>
                  <w:r>
                    <w:rPr>
                      <w:rFonts w:hint="eastAsia"/>
                    </w:rPr>
                    <w:t>净水厂（含送水泵房）</w:t>
                  </w: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约3</w:t>
                  </w:r>
                  <w:r>
                    <w:t>5</w:t>
                  </w:r>
                  <w:r>
                    <w:rPr>
                      <w:rFonts w:hint="eastAsia"/>
                    </w:rPr>
                    <w:t>人</w:t>
                  </w:r>
                </w:p>
              </w:tc>
              <w:tc>
                <w:tcPr>
                  <w:tcW w:w="885" w:type="dxa"/>
                  <w:gridSpan w:val="2"/>
                  <w:noWrap w:val="0"/>
                  <w:vAlign w:val="center"/>
                </w:tcPr>
                <w:p>
                  <w:pPr>
                    <w:pStyle w:val="182"/>
                    <w:rPr>
                      <w:rFonts w:hint="eastAsia"/>
                    </w:rPr>
                  </w:pPr>
                  <w:r>
                    <w:rPr>
                      <w:rFonts w:hint="eastAsia"/>
                    </w:rPr>
                    <w:t>东面</w:t>
                  </w:r>
                </w:p>
              </w:tc>
              <w:tc>
                <w:tcPr>
                  <w:tcW w:w="1664" w:type="dxa"/>
                  <w:noWrap w:val="0"/>
                  <w:vAlign w:val="center"/>
                </w:tcPr>
                <w:p>
                  <w:pPr>
                    <w:pStyle w:val="182"/>
                    <w:rPr>
                      <w:rFonts w:hint="eastAsia"/>
                    </w:rPr>
                  </w:pPr>
                  <w:r>
                    <w:rPr>
                      <w:rFonts w:hint="eastAsia"/>
                    </w:rPr>
                    <w:t>1</w:t>
                  </w:r>
                  <w:r>
                    <w:t>02m</w:t>
                  </w:r>
                  <w:r>
                    <w:rPr>
                      <w:rFonts w:hint="eastAsia"/>
                    </w:rPr>
                    <w:t>，高差-</w:t>
                  </w:r>
                  <w:r>
                    <w:t>20m</w:t>
                  </w:r>
                  <w:r>
                    <w:rPr>
                      <w:rFonts w:hint="eastAsia"/>
                    </w:rPr>
                    <w:t>，树木阻隔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约4</w:t>
                  </w:r>
                  <w:r>
                    <w:t>2</w:t>
                  </w:r>
                  <w:r>
                    <w:rPr>
                      <w:rFonts w:hint="eastAsia"/>
                    </w:rPr>
                    <w:t>人</w:t>
                  </w:r>
                </w:p>
              </w:tc>
              <w:tc>
                <w:tcPr>
                  <w:tcW w:w="885" w:type="dxa"/>
                  <w:gridSpan w:val="2"/>
                  <w:noWrap w:val="0"/>
                  <w:vAlign w:val="center"/>
                </w:tcPr>
                <w:p>
                  <w:pPr>
                    <w:pStyle w:val="182"/>
                    <w:rPr>
                      <w:rFonts w:hint="eastAsia"/>
                    </w:rPr>
                  </w:pPr>
                  <w:r>
                    <w:rPr>
                      <w:rFonts w:hint="eastAsia"/>
                    </w:rPr>
                    <w:t>南面</w:t>
                  </w:r>
                </w:p>
              </w:tc>
              <w:tc>
                <w:tcPr>
                  <w:tcW w:w="1664" w:type="dxa"/>
                  <w:noWrap w:val="0"/>
                  <w:vAlign w:val="center"/>
                </w:tcPr>
                <w:p>
                  <w:pPr>
                    <w:pStyle w:val="182"/>
                    <w:rPr>
                      <w:rFonts w:hint="eastAsia"/>
                    </w:rPr>
                  </w:pPr>
                  <w:r>
                    <w:t>230m</w:t>
                  </w:r>
                  <w:r>
                    <w:rPr>
                      <w:rFonts w:hint="eastAsia"/>
                    </w:rPr>
                    <w:t>，高差-</w:t>
                  </w:r>
                  <w:r>
                    <w:t>20m</w:t>
                  </w:r>
                  <w:r>
                    <w:rPr>
                      <w:rFonts w:hint="eastAsia"/>
                    </w:rPr>
                    <w:t>，树木阻隔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约4</w:t>
                  </w:r>
                  <w:r>
                    <w:t>8</w:t>
                  </w:r>
                  <w:r>
                    <w:rPr>
                      <w:rFonts w:hint="eastAsia"/>
                    </w:rPr>
                    <w:t>人</w:t>
                  </w:r>
                </w:p>
              </w:tc>
              <w:tc>
                <w:tcPr>
                  <w:tcW w:w="885" w:type="dxa"/>
                  <w:gridSpan w:val="2"/>
                  <w:noWrap w:val="0"/>
                  <w:vAlign w:val="center"/>
                </w:tcPr>
                <w:p>
                  <w:pPr>
                    <w:pStyle w:val="182"/>
                    <w:rPr>
                      <w:rFonts w:hint="eastAsia"/>
                    </w:rPr>
                  </w:pPr>
                  <w:r>
                    <w:rPr>
                      <w:rFonts w:hint="eastAsia"/>
                    </w:rPr>
                    <w:t>西面</w:t>
                  </w:r>
                </w:p>
              </w:tc>
              <w:tc>
                <w:tcPr>
                  <w:tcW w:w="1664" w:type="dxa"/>
                  <w:noWrap w:val="0"/>
                  <w:vAlign w:val="center"/>
                </w:tcPr>
                <w:p>
                  <w:pPr>
                    <w:pStyle w:val="182"/>
                  </w:pPr>
                  <w:r>
                    <w:t>207m</w:t>
                  </w:r>
                  <w:r>
                    <w:rPr>
                      <w:rFonts w:hint="eastAsia"/>
                    </w:rPr>
                    <w:t>，高差-</w:t>
                  </w:r>
                  <w:r>
                    <w:t>9m</w:t>
                  </w:r>
                  <w:r>
                    <w:rPr>
                      <w:rFonts w:hint="eastAsia"/>
                    </w:rPr>
                    <w:t>，树木阻隔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5" w:type="dxa"/>
                  <w:vMerge w:val="continue"/>
                  <w:noWrap w:val="0"/>
                  <w:vAlign w:val="center"/>
                </w:tcPr>
                <w:p>
                  <w:pPr>
                    <w:pStyle w:val="182"/>
                    <w:rPr>
                      <w:rFonts w:hint="eastAsia"/>
                    </w:rPr>
                  </w:pPr>
                </w:p>
              </w:tc>
              <w:tc>
                <w:tcPr>
                  <w:tcW w:w="840" w:type="dxa"/>
                  <w:vMerge w:val="continue"/>
                  <w:noWrap w:val="0"/>
                  <w:vAlign w:val="center"/>
                </w:tcPr>
                <w:p>
                  <w:pPr>
                    <w:pStyle w:val="182"/>
                    <w:rPr>
                      <w:rFonts w:hint="eastAsia"/>
                    </w:rPr>
                  </w:pPr>
                </w:p>
              </w:tc>
              <w:tc>
                <w:tcPr>
                  <w:tcW w:w="857" w:type="dxa"/>
                  <w:noWrap w:val="0"/>
                  <w:vAlign w:val="center"/>
                </w:tcPr>
                <w:p>
                  <w:pPr>
                    <w:pStyle w:val="182"/>
                    <w:rPr>
                      <w:rFonts w:hint="eastAsia"/>
                    </w:rPr>
                  </w:pPr>
                  <w:r>
                    <w:rPr>
                      <w:rFonts w:hint="eastAsia"/>
                    </w:rPr>
                    <w:t>散居住户</w:t>
                  </w:r>
                </w:p>
              </w:tc>
              <w:tc>
                <w:tcPr>
                  <w:tcW w:w="1044" w:type="dxa"/>
                  <w:noWrap w:val="0"/>
                  <w:vAlign w:val="center"/>
                </w:tcPr>
                <w:p>
                  <w:pPr>
                    <w:pStyle w:val="182"/>
                    <w:rPr>
                      <w:rFonts w:hint="eastAsia"/>
                    </w:rPr>
                  </w:pPr>
                  <w:r>
                    <w:rPr>
                      <w:rFonts w:hint="eastAsia"/>
                    </w:rPr>
                    <w:t>约</w:t>
                  </w:r>
                  <w:r>
                    <w:t>68</w:t>
                  </w:r>
                  <w:r>
                    <w:rPr>
                      <w:rFonts w:hint="eastAsia"/>
                    </w:rPr>
                    <w:t>人</w:t>
                  </w:r>
                </w:p>
              </w:tc>
              <w:tc>
                <w:tcPr>
                  <w:tcW w:w="885" w:type="dxa"/>
                  <w:gridSpan w:val="2"/>
                  <w:noWrap w:val="0"/>
                  <w:vAlign w:val="center"/>
                </w:tcPr>
                <w:p>
                  <w:pPr>
                    <w:pStyle w:val="182"/>
                    <w:rPr>
                      <w:rFonts w:hint="eastAsia"/>
                    </w:rPr>
                  </w:pPr>
                  <w:r>
                    <w:rPr>
                      <w:rFonts w:hint="eastAsia"/>
                    </w:rPr>
                    <w:t>北</w:t>
                  </w:r>
                </w:p>
              </w:tc>
              <w:tc>
                <w:tcPr>
                  <w:tcW w:w="1664" w:type="dxa"/>
                  <w:noWrap w:val="0"/>
                  <w:vAlign w:val="center"/>
                </w:tcPr>
                <w:p>
                  <w:pPr>
                    <w:pStyle w:val="182"/>
                    <w:rPr>
                      <w:rFonts w:hint="eastAsia"/>
                    </w:rPr>
                  </w:pPr>
                  <w:r>
                    <w:t>190</w:t>
                  </w:r>
                  <w:r>
                    <w:rPr>
                      <w:rFonts w:hint="eastAsia"/>
                    </w:rPr>
                    <w:t>m，高差</w:t>
                  </w:r>
                  <w:r>
                    <w:t>+21</w:t>
                  </w:r>
                  <w:r>
                    <w:rPr>
                      <w:rFonts w:hint="eastAsia"/>
                    </w:rPr>
                    <w:t>m，树木阻隔</w:t>
                  </w:r>
                </w:p>
              </w:tc>
              <w:tc>
                <w:tcPr>
                  <w:tcW w:w="1756" w:type="dxa"/>
                  <w:vMerge w:val="continue"/>
                  <w:noWrap w:val="0"/>
                  <w:vAlign w:val="center"/>
                </w:tcPr>
                <w:p>
                  <w:pPr>
                    <w:pStyle w:val="182"/>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noWrap w:val="0"/>
                  <w:vAlign w:val="center"/>
                </w:tcPr>
                <w:p>
                  <w:pPr>
                    <w:pStyle w:val="182"/>
                    <w:rPr>
                      <w:rFonts w:hint="eastAsia"/>
                    </w:rPr>
                  </w:pPr>
                  <w:r>
                    <w:rPr>
                      <w:rFonts w:hint="eastAsia"/>
                    </w:rPr>
                    <w:t>地表水环境</w:t>
                  </w:r>
                </w:p>
              </w:tc>
              <w:tc>
                <w:tcPr>
                  <w:tcW w:w="1697" w:type="dxa"/>
                  <w:gridSpan w:val="2"/>
                  <w:noWrap w:val="0"/>
                  <w:vAlign w:val="center"/>
                </w:tcPr>
                <w:p>
                  <w:pPr>
                    <w:pStyle w:val="182"/>
                    <w:rPr>
                      <w:rFonts w:hint="eastAsia"/>
                    </w:rPr>
                  </w:pPr>
                  <w:r>
                    <w:rPr>
                      <w:rFonts w:hint="eastAsia"/>
                    </w:rPr>
                    <w:t>剑锋河</w:t>
                  </w:r>
                </w:p>
              </w:tc>
              <w:tc>
                <w:tcPr>
                  <w:tcW w:w="1044" w:type="dxa"/>
                  <w:noWrap w:val="0"/>
                  <w:vAlign w:val="center"/>
                </w:tcPr>
                <w:p>
                  <w:pPr>
                    <w:pStyle w:val="182"/>
                    <w:rPr>
                      <w:rFonts w:hint="eastAsia"/>
                    </w:rPr>
                  </w:pPr>
                  <w:r>
                    <w:rPr>
                      <w:rFonts w:hint="eastAsia"/>
                    </w:rPr>
                    <w:t>小河</w:t>
                  </w:r>
                </w:p>
              </w:tc>
              <w:tc>
                <w:tcPr>
                  <w:tcW w:w="885" w:type="dxa"/>
                  <w:gridSpan w:val="2"/>
                  <w:noWrap w:val="0"/>
                  <w:vAlign w:val="center"/>
                </w:tcPr>
                <w:p>
                  <w:pPr>
                    <w:pStyle w:val="182"/>
                    <w:rPr>
                      <w:rFonts w:hint="eastAsia"/>
                    </w:rPr>
                  </w:pPr>
                  <w:r>
                    <w:rPr>
                      <w:rFonts w:hint="eastAsia"/>
                    </w:rPr>
                    <w:t>净水厂东南侧</w:t>
                  </w:r>
                </w:p>
              </w:tc>
              <w:tc>
                <w:tcPr>
                  <w:tcW w:w="1664" w:type="dxa"/>
                  <w:noWrap w:val="0"/>
                  <w:vAlign w:val="center"/>
                </w:tcPr>
                <w:p>
                  <w:pPr>
                    <w:pStyle w:val="182"/>
                    <w:rPr>
                      <w:rFonts w:hint="eastAsia"/>
                    </w:rPr>
                  </w:pPr>
                  <w:r>
                    <w:t>610m</w:t>
                  </w:r>
                </w:p>
              </w:tc>
              <w:tc>
                <w:tcPr>
                  <w:tcW w:w="1756" w:type="dxa"/>
                  <w:noWrap w:val="0"/>
                  <w:vAlign w:val="center"/>
                </w:tcPr>
                <w:p>
                  <w:pPr>
                    <w:pStyle w:val="182"/>
                    <w:rPr>
                      <w:rFonts w:hint="eastAsia"/>
                    </w:rPr>
                  </w:pPr>
                  <w:r>
                    <w:rPr>
                      <w:rFonts w:hint="eastAsia"/>
                    </w:rPr>
                    <w:t>满足GB3838-2002中Ⅲ类标准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noWrap w:val="0"/>
                  <w:vAlign w:val="center"/>
                </w:tcPr>
                <w:p>
                  <w:pPr>
                    <w:pStyle w:val="182"/>
                    <w:rPr>
                      <w:rFonts w:hint="eastAsia"/>
                    </w:rPr>
                  </w:pPr>
                </w:p>
              </w:tc>
              <w:tc>
                <w:tcPr>
                  <w:tcW w:w="1697" w:type="dxa"/>
                  <w:gridSpan w:val="2"/>
                  <w:noWrap w:val="0"/>
                  <w:vAlign w:val="center"/>
                </w:tcPr>
                <w:p>
                  <w:pPr>
                    <w:pStyle w:val="182"/>
                    <w:rPr>
                      <w:rFonts w:hint="eastAsia"/>
                    </w:rPr>
                  </w:pPr>
                  <w:r>
                    <w:rPr>
                      <w:rFonts w:hint="eastAsia"/>
                    </w:rPr>
                    <w:t>王沟</w:t>
                  </w:r>
                </w:p>
              </w:tc>
              <w:tc>
                <w:tcPr>
                  <w:tcW w:w="1044" w:type="dxa"/>
                  <w:noWrap w:val="0"/>
                  <w:vAlign w:val="center"/>
                </w:tcPr>
                <w:p>
                  <w:pPr>
                    <w:pStyle w:val="182"/>
                    <w:rPr>
                      <w:rFonts w:hint="eastAsia"/>
                    </w:rPr>
                  </w:pPr>
                  <w:r>
                    <w:rPr>
                      <w:rFonts w:hint="eastAsia"/>
                    </w:rPr>
                    <w:t>小河</w:t>
                  </w:r>
                </w:p>
              </w:tc>
              <w:tc>
                <w:tcPr>
                  <w:tcW w:w="885" w:type="dxa"/>
                  <w:gridSpan w:val="2"/>
                  <w:noWrap w:val="0"/>
                  <w:vAlign w:val="center"/>
                </w:tcPr>
                <w:p>
                  <w:pPr>
                    <w:pStyle w:val="182"/>
                    <w:rPr>
                      <w:rFonts w:hint="eastAsia"/>
                    </w:rPr>
                  </w:pPr>
                  <w:r>
                    <w:rPr>
                      <w:rFonts w:hint="eastAsia"/>
                    </w:rPr>
                    <w:t>提水泵站东侧</w:t>
                  </w:r>
                </w:p>
              </w:tc>
              <w:tc>
                <w:tcPr>
                  <w:tcW w:w="1664" w:type="dxa"/>
                  <w:noWrap w:val="0"/>
                  <w:vAlign w:val="center"/>
                </w:tcPr>
                <w:p>
                  <w:pPr>
                    <w:pStyle w:val="182"/>
                  </w:pPr>
                  <w:r>
                    <w:rPr>
                      <w:rFonts w:hint="eastAsia"/>
                    </w:rPr>
                    <w:t>2</w:t>
                  </w:r>
                  <w:r>
                    <w:t>m</w:t>
                  </w:r>
                </w:p>
              </w:tc>
              <w:tc>
                <w:tcPr>
                  <w:tcW w:w="1756" w:type="dxa"/>
                  <w:noWrap w:val="0"/>
                  <w:vAlign w:val="center"/>
                </w:tcPr>
                <w:p>
                  <w:pPr>
                    <w:pStyle w:val="182"/>
                    <w:rPr>
                      <w:rFonts w:hint="eastAsia"/>
                    </w:rPr>
                  </w:pPr>
                  <w:r>
                    <w:rPr>
                      <w:rFonts w:hint="eastAsia"/>
                    </w:rPr>
                    <w:t>满足GB3838-2002中Ⅲ类标准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noWrap w:val="0"/>
                  <w:vAlign w:val="center"/>
                </w:tcPr>
                <w:p>
                  <w:pPr>
                    <w:pStyle w:val="182"/>
                    <w:rPr>
                      <w:rFonts w:hint="eastAsia"/>
                    </w:rPr>
                  </w:pPr>
                  <w:r>
                    <w:rPr>
                      <w:rFonts w:hint="eastAsia"/>
                    </w:rPr>
                    <w:t>地下水</w:t>
                  </w:r>
                </w:p>
              </w:tc>
              <w:tc>
                <w:tcPr>
                  <w:tcW w:w="2759" w:type="dxa"/>
                  <w:gridSpan w:val="4"/>
                  <w:noWrap w:val="0"/>
                  <w:vAlign w:val="center"/>
                </w:tcPr>
                <w:p>
                  <w:pPr>
                    <w:pStyle w:val="70"/>
                  </w:pPr>
                  <w:r>
                    <w:rPr>
                      <w:rFonts w:hint="eastAsia"/>
                    </w:rPr>
                    <w:t>地下水</w:t>
                  </w:r>
                </w:p>
              </w:tc>
              <w:tc>
                <w:tcPr>
                  <w:tcW w:w="2531" w:type="dxa"/>
                  <w:gridSpan w:val="2"/>
                  <w:noWrap w:val="0"/>
                  <w:vAlign w:val="center"/>
                </w:tcPr>
                <w:p>
                  <w:pPr>
                    <w:pStyle w:val="70"/>
                  </w:pPr>
                  <w:r>
                    <w:t>同一水文地质单元</w:t>
                  </w:r>
                </w:p>
              </w:tc>
              <w:tc>
                <w:tcPr>
                  <w:tcW w:w="1756" w:type="dxa"/>
                  <w:noWrap w:val="0"/>
                  <w:vAlign w:val="center"/>
                </w:tcPr>
                <w:p>
                  <w:pPr>
                    <w:pStyle w:val="182"/>
                    <w:rPr>
                      <w:rFonts w:hint="eastAsia"/>
                    </w:rPr>
                  </w:pPr>
                  <w:r>
                    <w:t>满足《地下水质量标准》</w:t>
                  </w:r>
                  <w:r>
                    <w:rPr>
                      <w:rFonts w:hint="eastAsia"/>
                    </w:rPr>
                    <w:t>（</w:t>
                  </w:r>
                  <w:r>
                    <w:t>GB/T14848-2017</w:t>
                  </w:r>
                  <w:r>
                    <w:rPr>
                      <w:rFonts w:ascii="宋体" w:hAnsi="宋体"/>
                    </w:rPr>
                    <w:t>）中</w:t>
                  </w:r>
                  <w:r>
                    <w:rPr>
                      <w:rFonts w:hint="eastAsia" w:ascii="宋体" w:hAnsi="宋体"/>
                    </w:rPr>
                    <w:t>Ⅲ</w:t>
                  </w:r>
                  <w:r>
                    <w:t>类标准</w:t>
                  </w:r>
                </w:p>
              </w:tc>
            </w:tr>
          </w:tbl>
          <w:p>
            <w:pPr>
              <w:pStyle w:val="183"/>
              <w:rPr>
                <w:bCs/>
              </w:rPr>
            </w:pPr>
            <w:r>
              <w:rPr>
                <w:rFonts w:hint="eastAsia"/>
                <w:bCs/>
              </w:rPr>
              <w:t>（3）</w:t>
            </w:r>
            <w:r>
              <w:rPr>
                <w:bCs/>
              </w:rPr>
              <w:t>环境风险识别</w:t>
            </w:r>
          </w:p>
          <w:p>
            <w:pPr>
              <w:pStyle w:val="183"/>
              <w:rPr>
                <w:rFonts w:hint="eastAsia"/>
              </w:rPr>
            </w:pPr>
            <w:r>
              <w:rPr>
                <w:rFonts w:hint="eastAsia"/>
              </w:rPr>
              <w:t>1</w:t>
            </w:r>
            <w:r>
              <w:t>）</w:t>
            </w:r>
            <w:r>
              <w:rPr>
                <w:rFonts w:hint="eastAsia"/>
              </w:rPr>
              <w:t>风险物质识别</w:t>
            </w:r>
          </w:p>
          <w:p>
            <w:pPr>
              <w:pStyle w:val="183"/>
              <w:rPr>
                <w:rFonts w:hint="eastAsia"/>
              </w:rPr>
            </w:pPr>
            <w:r>
              <w:rPr>
                <w:rFonts w:hint="eastAsia"/>
              </w:rPr>
              <w:t>本项目涉及风险物质为盐酸、氯酸钠，其理化性质及危险特性见下表。</w:t>
            </w:r>
          </w:p>
          <w:p>
            <w:pPr>
              <w:spacing w:line="360" w:lineRule="auto"/>
              <w:ind w:firstLine="482" w:firstLineChars="200"/>
              <w:jc w:val="center"/>
              <w:rPr>
                <w:b/>
                <w:bCs/>
                <w:szCs w:val="21"/>
              </w:rPr>
            </w:pPr>
            <w:r>
              <w:rPr>
                <w:rFonts w:hint="eastAsia"/>
                <w:b/>
                <w:bCs/>
                <w:szCs w:val="21"/>
              </w:rPr>
              <w:t>表</w:t>
            </w:r>
            <w:r>
              <w:rPr>
                <w:b/>
                <w:bCs/>
                <w:szCs w:val="21"/>
              </w:rPr>
              <w:t>4-16</w:t>
            </w:r>
            <w:r>
              <w:rPr>
                <w:rFonts w:hint="eastAsia"/>
                <w:b/>
                <w:bCs/>
                <w:szCs w:val="21"/>
              </w:rPr>
              <w:t xml:space="preserve"> 盐酸的理化性质</w:t>
            </w:r>
          </w:p>
          <w:tbl>
            <w:tblPr>
              <w:tblStyle w:val="39"/>
              <w:tblW w:w="77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1"/>
              <w:gridCol w:w="2490"/>
              <w:gridCol w:w="3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中文名：盐酸</w:t>
                  </w:r>
                </w:p>
              </w:tc>
              <w:tc>
                <w:tcPr>
                  <w:tcW w:w="5734" w:type="dxa"/>
                  <w:gridSpan w:val="2"/>
                  <w:shd w:val="clear" w:color="auto" w:fill="auto"/>
                  <w:noWrap w:val="0"/>
                  <w:vAlign w:val="center"/>
                </w:tcPr>
                <w:p>
                  <w:pPr>
                    <w:rPr>
                      <w:szCs w:val="21"/>
                    </w:rPr>
                  </w:pPr>
                  <w:r>
                    <w:rPr>
                      <w:rFonts w:hint="eastAsia"/>
                      <w:szCs w:val="21"/>
                    </w:rPr>
                    <w:t>英文名：Hydrochloric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分子式：HCl</w:t>
                  </w:r>
                </w:p>
              </w:tc>
              <w:tc>
                <w:tcPr>
                  <w:tcW w:w="2490" w:type="dxa"/>
                  <w:shd w:val="clear" w:color="auto" w:fill="auto"/>
                  <w:noWrap w:val="0"/>
                  <w:vAlign w:val="center"/>
                </w:tcPr>
                <w:p>
                  <w:pPr>
                    <w:rPr>
                      <w:szCs w:val="21"/>
                    </w:rPr>
                  </w:pPr>
                  <w:r>
                    <w:rPr>
                      <w:rFonts w:hint="eastAsia"/>
                      <w:szCs w:val="21"/>
                    </w:rPr>
                    <w:t>分子量：36.46</w:t>
                  </w:r>
                </w:p>
              </w:tc>
              <w:tc>
                <w:tcPr>
                  <w:tcW w:w="3244" w:type="dxa"/>
                  <w:shd w:val="clear" w:color="auto" w:fill="auto"/>
                  <w:noWrap w:val="0"/>
                  <w:vAlign w:val="center"/>
                </w:tcPr>
                <w:p>
                  <w:pPr>
                    <w:rPr>
                      <w:szCs w:val="21"/>
                    </w:rPr>
                  </w:pPr>
                  <w:r>
                    <w:rPr>
                      <w:rFonts w:hint="eastAsia"/>
                      <w:szCs w:val="21"/>
                    </w:rPr>
                    <w:t>CAS 号：7647-01-0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危规号：81013</w:t>
                  </w:r>
                </w:p>
              </w:tc>
              <w:tc>
                <w:tcPr>
                  <w:tcW w:w="2490" w:type="dxa"/>
                  <w:shd w:val="clear" w:color="auto" w:fill="auto"/>
                  <w:noWrap w:val="0"/>
                  <w:vAlign w:val="center"/>
                </w:tcPr>
                <w:p>
                  <w:pPr>
                    <w:rPr>
                      <w:szCs w:val="21"/>
                    </w:rPr>
                  </w:pPr>
                  <w:r>
                    <w:rPr>
                      <w:rFonts w:hint="eastAsia"/>
                      <w:szCs w:val="21"/>
                    </w:rPr>
                    <w:t>性状：无色或微黄色发烟液体，有刺鼻的酸味</w:t>
                  </w:r>
                </w:p>
              </w:tc>
              <w:tc>
                <w:tcPr>
                  <w:tcW w:w="3244" w:type="dxa"/>
                  <w:shd w:val="clear" w:color="auto" w:fill="auto"/>
                  <w:noWrap w:val="0"/>
                  <w:vAlign w:val="center"/>
                </w:tcPr>
                <w:p>
                  <w:pPr>
                    <w:rPr>
                      <w:szCs w:val="21"/>
                    </w:rPr>
                  </w:pPr>
                  <w:r>
                    <w:rPr>
                      <w:rFonts w:hint="eastAsia"/>
                      <w:szCs w:val="21"/>
                    </w:rPr>
                    <w:t>相对密度（水=1）：1.155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熔点（℃）：-114.8（纯）</w:t>
                  </w:r>
                </w:p>
              </w:tc>
              <w:tc>
                <w:tcPr>
                  <w:tcW w:w="2490" w:type="dxa"/>
                  <w:shd w:val="clear" w:color="auto" w:fill="auto"/>
                  <w:noWrap w:val="0"/>
                  <w:vAlign w:val="center"/>
                </w:tcPr>
                <w:p>
                  <w:pPr>
                    <w:rPr>
                      <w:szCs w:val="21"/>
                    </w:rPr>
                  </w:pPr>
                  <w:r>
                    <w:rPr>
                      <w:rFonts w:hint="eastAsia"/>
                      <w:szCs w:val="21"/>
                    </w:rPr>
                    <w:t>闪点（℃）：/</w:t>
                  </w:r>
                </w:p>
              </w:tc>
              <w:tc>
                <w:tcPr>
                  <w:tcW w:w="3244" w:type="dxa"/>
                  <w:shd w:val="clear" w:color="auto" w:fill="auto"/>
                  <w:noWrap w:val="0"/>
                  <w:vAlign w:val="center"/>
                </w:tcPr>
                <w:p>
                  <w:pPr>
                    <w:rPr>
                      <w:szCs w:val="21"/>
                    </w:rPr>
                  </w:pPr>
                  <w:r>
                    <w:rPr>
                      <w:rFonts w:hint="eastAsia"/>
                      <w:szCs w:val="21"/>
                    </w:rPr>
                    <w:t>沸点（℃）：108.6（20%）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溶解性：与水混溶，溶于碱液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燃烧性：/</w:t>
                  </w:r>
                </w:p>
              </w:tc>
              <w:tc>
                <w:tcPr>
                  <w:tcW w:w="5734" w:type="dxa"/>
                  <w:gridSpan w:val="2"/>
                  <w:shd w:val="clear" w:color="auto" w:fill="auto"/>
                  <w:noWrap w:val="0"/>
                  <w:vAlign w:val="center"/>
                </w:tcPr>
                <w:p>
                  <w:pPr>
                    <w:rPr>
                      <w:szCs w:val="21"/>
                    </w:rPr>
                  </w:pPr>
                  <w:r>
                    <w:rPr>
                      <w:rFonts w:hint="eastAsia"/>
                      <w:szCs w:val="21"/>
                    </w:rPr>
                    <w:t>燃烧分解物：/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危险特性：能与一些活性金属粉末发生反应，放出氢气。遇氰化物能产生剧毒的氰化氢气体。与碱发生中合反应，并放出大量的热。具有较强的腐蚀性。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灭火方法：本品不燃，无特殊燃爆特性。根据着火原因选择适当灭火剂灭火。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稳定性：稳定</w:t>
                  </w:r>
                </w:p>
              </w:tc>
              <w:tc>
                <w:tcPr>
                  <w:tcW w:w="5734" w:type="dxa"/>
                  <w:gridSpan w:val="2"/>
                  <w:shd w:val="clear" w:color="auto" w:fill="auto"/>
                  <w:noWrap w:val="0"/>
                  <w:vAlign w:val="center"/>
                </w:tcPr>
                <w:p>
                  <w:pPr>
                    <w:rPr>
                      <w:szCs w:val="21"/>
                    </w:rPr>
                  </w:pPr>
                  <w:r>
                    <w:rPr>
                      <w:rFonts w:hint="eastAsia"/>
                      <w:szCs w:val="21"/>
                    </w:rPr>
                    <w:t>禁忌物：碱类、胺类、碱金属。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急性毒性：兔经口 LD50(mg/kg):900，大鼠吸入 LC50(mg/m3): 3124ppm/1h。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生态毒性：半数致死浓度 LC50：0.282 mg/L/96h(鱼)。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5" w:type="dxa"/>
                  <w:gridSpan w:val="3"/>
                  <w:shd w:val="clear" w:color="auto" w:fill="auto"/>
                  <w:noWrap w:val="0"/>
                  <w:vAlign w:val="center"/>
                </w:tcPr>
                <w:p>
                  <w:pPr>
                    <w:rPr>
                      <w:szCs w:val="21"/>
                    </w:rPr>
                  </w:pPr>
                  <w:r>
                    <w:rPr>
                      <w:rFonts w:hint="eastAsia"/>
                      <w:szCs w:val="21"/>
                    </w:rPr>
                    <w:t>侵入途径：吸入、食入有害。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健康危害</w:t>
                  </w:r>
                </w:p>
              </w:tc>
              <w:tc>
                <w:tcPr>
                  <w:tcW w:w="5734" w:type="dxa"/>
                  <w:gridSpan w:val="2"/>
                  <w:shd w:val="clear" w:color="auto" w:fill="auto"/>
                  <w:noWrap w:val="0"/>
                  <w:vAlign w:val="center"/>
                </w:tcPr>
                <w:p>
                  <w:pPr>
                    <w:rPr>
                      <w:szCs w:val="21"/>
                    </w:rPr>
                  </w:pPr>
                  <w:r>
                    <w:rPr>
                      <w:rFonts w:hint="eastAsia"/>
                      <w:szCs w:val="21"/>
                    </w:rPr>
                    <w:t>接触其蒸气或烟雾，可引起急性中毒，出现眼结膜炎，鼻及口腔粘膜有烧灼感，鼻衄，齿龈出血，气管炎等。误服可引起消化道灼伤、溃疡形成，有可能引起胃穿孔、腹膜炎等。眼和皮肤接触可致灼伤。慢性影响长期接触，引起慢性鼻炎、慢性支气管炎、牙齿酸蚀症及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储运注意事项</w:t>
                  </w:r>
                </w:p>
              </w:tc>
              <w:tc>
                <w:tcPr>
                  <w:tcW w:w="5734" w:type="dxa"/>
                  <w:gridSpan w:val="2"/>
                  <w:shd w:val="clear" w:color="auto" w:fill="auto"/>
                  <w:noWrap w:val="0"/>
                  <w:vAlign w:val="center"/>
                </w:tcPr>
                <w:p>
                  <w:pPr>
                    <w:rPr>
                      <w:szCs w:val="21"/>
                    </w:rPr>
                  </w:pPr>
                  <w:r>
                    <w:rPr>
                      <w:rFonts w:hint="eastAsia"/>
                      <w:szCs w:val="21"/>
                    </w:rPr>
                    <w:t>储存于阴凉、通风的库房。保持容器密封。应与碱类、胺类、碱金属、易（可）燃物分开存放，切忌混储。配备相应品种和数量的消防器材。储区应备有合适的材料收容泄漏物。公路运输时要按规定路线行驶，禁止在居民区和人口稠密区停留。铁路运输时要禁止溜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1" w:type="dxa"/>
                  <w:shd w:val="clear" w:color="auto" w:fill="auto"/>
                  <w:noWrap w:val="0"/>
                  <w:vAlign w:val="center"/>
                </w:tcPr>
                <w:p>
                  <w:pPr>
                    <w:rPr>
                      <w:szCs w:val="21"/>
                    </w:rPr>
                  </w:pPr>
                  <w:r>
                    <w:rPr>
                      <w:rFonts w:hint="eastAsia"/>
                      <w:szCs w:val="21"/>
                    </w:rPr>
                    <w:t>应急处理</w:t>
                  </w:r>
                </w:p>
              </w:tc>
              <w:tc>
                <w:tcPr>
                  <w:tcW w:w="5734" w:type="dxa"/>
                  <w:gridSpan w:val="2"/>
                  <w:shd w:val="clear" w:color="auto" w:fill="auto"/>
                  <w:noWrap w:val="0"/>
                  <w:vAlign w:val="center"/>
                </w:tcPr>
                <w:p>
                  <w:pPr>
                    <w:rPr>
                      <w:szCs w:val="21"/>
                    </w:rPr>
                  </w:pPr>
                  <w:r>
                    <w:rPr>
                      <w:rFonts w:hint="eastAsia"/>
                      <w:szCs w:val="21"/>
                    </w:rPr>
                    <w:t>隔离泄漏污染区，限制出入。建议应急处理人员戴自给正压式呼吸器，穿防酸碱工作服。不要直接接触泄漏物。小量泄漏：用砂土、干燥石灰或苏打粉混合。也可以用大量水冲洗，洗水稀释后放入废水系统。大量泄漏：构筑围堤或挖坑收容。用耐腐蚀泵转移至槽车或专用收集器内，回收或运至废物处理场所处置。</w:t>
                  </w:r>
                </w:p>
              </w:tc>
            </w:tr>
          </w:tbl>
          <w:p>
            <w:pPr>
              <w:spacing w:line="360" w:lineRule="auto"/>
              <w:jc w:val="center"/>
              <w:rPr>
                <w:b/>
                <w:bCs/>
                <w:szCs w:val="21"/>
              </w:rPr>
            </w:pPr>
            <w:r>
              <w:rPr>
                <w:rFonts w:hint="eastAsia"/>
                <w:b/>
                <w:bCs/>
                <w:szCs w:val="21"/>
              </w:rPr>
              <w:t>表</w:t>
            </w:r>
            <w:r>
              <w:rPr>
                <w:b/>
                <w:bCs/>
                <w:szCs w:val="21"/>
              </w:rPr>
              <w:t>4-17</w:t>
            </w:r>
            <w:r>
              <w:rPr>
                <w:rFonts w:hint="eastAsia"/>
                <w:b/>
                <w:bCs/>
                <w:szCs w:val="21"/>
              </w:rPr>
              <w:t xml:space="preserve"> 亚氯酸钠的理化性质</w:t>
            </w:r>
          </w:p>
          <w:tbl>
            <w:tblPr>
              <w:tblStyle w:val="39"/>
              <w:tblW w:w="78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1"/>
              <w:gridCol w:w="2610"/>
              <w:gridCol w:w="3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中文名：氯酸钠</w:t>
                  </w:r>
                </w:p>
              </w:tc>
              <w:tc>
                <w:tcPr>
                  <w:tcW w:w="5854" w:type="dxa"/>
                  <w:gridSpan w:val="2"/>
                  <w:shd w:val="clear" w:color="auto" w:fill="auto"/>
                  <w:noWrap w:val="0"/>
                  <w:vAlign w:val="center"/>
                </w:tcPr>
                <w:p>
                  <w:pPr>
                    <w:rPr>
                      <w:rFonts w:hint="eastAsia"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分子式：NaClO3</w:t>
                  </w:r>
                </w:p>
              </w:tc>
              <w:tc>
                <w:tcPr>
                  <w:tcW w:w="2610" w:type="dxa"/>
                  <w:shd w:val="clear" w:color="auto" w:fill="auto"/>
                  <w:noWrap w:val="0"/>
                  <w:vAlign w:val="center"/>
                </w:tcPr>
                <w:p>
                  <w:pPr>
                    <w:rPr>
                      <w:rFonts w:hint="eastAsia" w:ascii="宋体" w:hAnsi="宋体" w:cs="宋体"/>
                      <w:szCs w:val="21"/>
                    </w:rPr>
                  </w:pPr>
                  <w:r>
                    <w:rPr>
                      <w:rFonts w:hint="eastAsia" w:ascii="宋体" w:hAnsi="宋体" w:cs="宋体"/>
                      <w:szCs w:val="21"/>
                    </w:rPr>
                    <w:t>分子量：106.45</w:t>
                  </w:r>
                </w:p>
              </w:tc>
              <w:tc>
                <w:tcPr>
                  <w:tcW w:w="3244" w:type="dxa"/>
                  <w:shd w:val="clear" w:color="auto" w:fill="auto"/>
                  <w:noWrap w:val="0"/>
                  <w:vAlign w:val="center"/>
                </w:tcPr>
                <w:p>
                  <w:pPr>
                    <w:rPr>
                      <w:rFonts w:hint="eastAsia" w:ascii="宋体" w:hAnsi="宋体" w:cs="宋体"/>
                      <w:szCs w:val="21"/>
                    </w:rPr>
                  </w:pPr>
                  <w:r>
                    <w:rPr>
                      <w:rFonts w:hint="eastAsia" w:ascii="宋体" w:hAnsi="宋体" w:cs="宋体"/>
                      <w:szCs w:val="21"/>
                    </w:rPr>
                    <w:t>CAS 号：</w:t>
                  </w:r>
                  <w:r>
                    <w:rPr>
                      <w:rFonts w:hint="eastAsia" w:ascii="宋体" w:hAnsi="宋体" w:cs="宋体"/>
                      <w:color w:val="000000"/>
                      <w:szCs w:val="21"/>
                      <w:shd w:val="clear" w:color="auto" w:fill="FFFFFF"/>
                    </w:rPr>
                    <w:t>7775-09-9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危规号：51030</w:t>
                  </w:r>
                </w:p>
              </w:tc>
              <w:tc>
                <w:tcPr>
                  <w:tcW w:w="2610" w:type="dxa"/>
                  <w:shd w:val="clear" w:color="auto" w:fill="auto"/>
                  <w:noWrap w:val="0"/>
                  <w:vAlign w:val="center"/>
                </w:tcPr>
                <w:p>
                  <w:pPr>
                    <w:rPr>
                      <w:rFonts w:hint="eastAsia" w:ascii="宋体" w:hAnsi="宋体" w:cs="宋体"/>
                      <w:szCs w:val="21"/>
                    </w:rPr>
                  </w:pPr>
                  <w:r>
                    <w:rPr>
                      <w:rFonts w:hint="eastAsia" w:ascii="宋体" w:hAnsi="宋体" w:cs="宋体"/>
                      <w:szCs w:val="21"/>
                    </w:rPr>
                    <w:t>性状：</w:t>
                  </w:r>
                  <w:r>
                    <w:rPr>
                      <w:rFonts w:hint="eastAsia" w:ascii="宋体" w:hAnsi="宋体" w:cs="宋体"/>
                      <w:color w:val="000000"/>
                      <w:szCs w:val="21"/>
                      <w:shd w:val="clear" w:color="auto" w:fill="FFFFFF"/>
                    </w:rPr>
                    <w:t>无色无臭结晶，味咸而凉，有潮解性。</w:t>
                  </w:r>
                </w:p>
              </w:tc>
              <w:tc>
                <w:tcPr>
                  <w:tcW w:w="3244" w:type="dxa"/>
                  <w:shd w:val="clear" w:color="auto" w:fill="auto"/>
                  <w:noWrap w:val="0"/>
                  <w:vAlign w:val="center"/>
                </w:tcPr>
                <w:p>
                  <w:pPr>
                    <w:rPr>
                      <w:rFonts w:hint="eastAsia" w:ascii="宋体" w:hAnsi="宋体" w:cs="宋体"/>
                      <w:szCs w:val="21"/>
                    </w:rPr>
                  </w:pPr>
                  <w:r>
                    <w:rPr>
                      <w:rFonts w:hint="eastAsia" w:ascii="宋体" w:hAnsi="宋体" w:cs="宋体"/>
                      <w:szCs w:val="21"/>
                    </w:rPr>
                    <w:t>相对密度（水=1）：2.49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熔点（℃）：248-261</w:t>
                  </w:r>
                </w:p>
              </w:tc>
              <w:tc>
                <w:tcPr>
                  <w:tcW w:w="2610" w:type="dxa"/>
                  <w:shd w:val="clear" w:color="auto" w:fill="auto"/>
                  <w:noWrap w:val="0"/>
                  <w:vAlign w:val="center"/>
                </w:tcPr>
                <w:p>
                  <w:pPr>
                    <w:rPr>
                      <w:rFonts w:hint="eastAsia" w:ascii="宋体" w:hAnsi="宋体" w:cs="宋体"/>
                      <w:szCs w:val="21"/>
                    </w:rPr>
                  </w:pPr>
                  <w:r>
                    <w:rPr>
                      <w:rFonts w:hint="eastAsia" w:ascii="宋体" w:hAnsi="宋体" w:cs="宋体"/>
                      <w:szCs w:val="21"/>
                    </w:rPr>
                    <w:t>闪点（℃）：/</w:t>
                  </w:r>
                </w:p>
              </w:tc>
              <w:tc>
                <w:tcPr>
                  <w:tcW w:w="3244" w:type="dxa"/>
                  <w:shd w:val="clear" w:color="auto" w:fill="auto"/>
                  <w:noWrap w:val="0"/>
                  <w:vAlign w:val="center"/>
                </w:tcPr>
                <w:p>
                  <w:pPr>
                    <w:rPr>
                      <w:rFonts w:hint="eastAsia" w:ascii="宋体" w:hAnsi="宋体" w:cs="宋体"/>
                      <w:szCs w:val="21"/>
                    </w:rPr>
                  </w:pPr>
                  <w:r>
                    <w:rPr>
                      <w:rFonts w:hint="eastAsia" w:ascii="宋体" w:hAnsi="宋体" w:cs="宋体"/>
                      <w:szCs w:val="21"/>
                    </w:rPr>
                    <w:t>沸点（℃）：分解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1" w:type="dxa"/>
                  <w:gridSpan w:val="3"/>
                  <w:shd w:val="clear" w:color="auto" w:fill="auto"/>
                  <w:noWrap w:val="0"/>
                  <w:vAlign w:val="center"/>
                </w:tcPr>
                <w:p>
                  <w:pPr>
                    <w:rPr>
                      <w:rFonts w:hint="eastAsia" w:ascii="宋体" w:hAnsi="宋体" w:cs="宋体"/>
                      <w:szCs w:val="21"/>
                    </w:rPr>
                  </w:pPr>
                  <w:r>
                    <w:rPr>
                      <w:rFonts w:hint="eastAsia" w:ascii="宋体" w:hAnsi="宋体" w:cs="宋体"/>
                      <w:szCs w:val="21"/>
                    </w:rPr>
                    <w:t>溶解性：</w:t>
                  </w:r>
                  <w:r>
                    <w:rPr>
                      <w:rFonts w:hint="eastAsia" w:ascii="宋体" w:hAnsi="宋体" w:cs="宋体"/>
                      <w:color w:val="000000"/>
                      <w:szCs w:val="21"/>
                      <w:shd w:val="clear" w:color="auto" w:fill="FFFFFF"/>
                    </w:rPr>
                    <w:t>易溶于水，微溶于乙醇。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燃烧性：/</w:t>
                  </w:r>
                </w:p>
              </w:tc>
              <w:tc>
                <w:tcPr>
                  <w:tcW w:w="5854" w:type="dxa"/>
                  <w:gridSpan w:val="2"/>
                  <w:shd w:val="clear" w:color="auto" w:fill="auto"/>
                  <w:noWrap w:val="0"/>
                  <w:vAlign w:val="center"/>
                </w:tcPr>
                <w:p>
                  <w:pPr>
                    <w:ind w:right="31" w:rightChars="13"/>
                    <w:rPr>
                      <w:rFonts w:hint="eastAsia" w:ascii="宋体" w:hAnsi="宋体" w:cs="宋体"/>
                      <w:szCs w:val="21"/>
                    </w:rPr>
                  </w:pPr>
                  <w:r>
                    <w:rPr>
                      <w:rFonts w:hint="eastAsia" w:ascii="宋体" w:hAnsi="宋体" w:cs="宋体"/>
                      <w:szCs w:val="21"/>
                    </w:rPr>
                    <w:t>燃爆危险：</w:t>
                  </w:r>
                  <w:r>
                    <w:rPr>
                      <w:rFonts w:hint="eastAsia" w:ascii="宋体" w:hAnsi="宋体" w:cs="宋体"/>
                      <w:color w:val="000000"/>
                      <w:szCs w:val="21"/>
                      <w:shd w:val="clear" w:color="auto" w:fill="FFFFFF"/>
                    </w:rPr>
                    <w:t>本品助燃，具刺激性。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1" w:type="dxa"/>
                  <w:gridSpan w:val="3"/>
                  <w:shd w:val="clear" w:color="auto" w:fill="auto"/>
                  <w:noWrap w:val="0"/>
                  <w:vAlign w:val="center"/>
                </w:tcPr>
                <w:p>
                  <w:pPr>
                    <w:rPr>
                      <w:rFonts w:hint="eastAsia" w:ascii="宋体" w:hAnsi="宋体" w:cs="宋体"/>
                      <w:szCs w:val="21"/>
                    </w:rPr>
                  </w:pPr>
                  <w:r>
                    <w:rPr>
                      <w:rFonts w:hint="eastAsia" w:ascii="宋体" w:hAnsi="宋体" w:cs="宋体"/>
                      <w:szCs w:val="21"/>
                    </w:rPr>
                    <w:t>危险特性：</w:t>
                  </w:r>
                  <w:r>
                    <w:rPr>
                      <w:rFonts w:hint="eastAsia" w:ascii="宋体" w:hAnsi="宋体" w:cs="宋体"/>
                      <w:color w:val="000000"/>
                      <w:szCs w:val="21"/>
                      <w:shd w:val="clear" w:color="auto" w:fill="FFFFFF"/>
                    </w:rPr>
                    <w:t>强氧化剂。受强热或与强酸接触时即发生爆炸。与还原剂、有机物、易燃物如硫、磷或金属粉末等混合可形成爆炸性混合物。急剧加热时可发生爆炸。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1" w:type="dxa"/>
                  <w:gridSpan w:val="3"/>
                  <w:shd w:val="clear" w:color="auto" w:fill="auto"/>
                  <w:noWrap w:val="0"/>
                  <w:vAlign w:val="center"/>
                </w:tcPr>
                <w:p>
                  <w:pPr>
                    <w:rPr>
                      <w:rFonts w:hint="eastAsia" w:ascii="宋体" w:hAnsi="宋体" w:cs="宋体"/>
                      <w:szCs w:val="21"/>
                    </w:rPr>
                  </w:pPr>
                  <w:r>
                    <w:rPr>
                      <w:rFonts w:hint="eastAsia" w:ascii="宋体" w:hAnsi="宋体" w:cs="宋体"/>
                      <w:szCs w:val="21"/>
                    </w:rPr>
                    <w:t>灭火方法：</w:t>
                  </w:r>
                  <w:r>
                    <w:rPr>
                      <w:rFonts w:hint="eastAsia" w:ascii="宋体" w:hAnsi="宋体" w:cs="宋体"/>
                      <w:color w:val="000000"/>
                      <w:szCs w:val="21"/>
                      <w:shd w:val="clear" w:color="auto" w:fill="FFFFFF"/>
                    </w:rPr>
                    <w:t>用大量水扑救，同时用干粉灭火剂闷熄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稳定性：/</w:t>
                  </w:r>
                </w:p>
              </w:tc>
              <w:tc>
                <w:tcPr>
                  <w:tcW w:w="5854" w:type="dxa"/>
                  <w:gridSpan w:val="2"/>
                  <w:shd w:val="clear" w:color="auto" w:fill="auto"/>
                  <w:noWrap w:val="0"/>
                  <w:vAlign w:val="center"/>
                </w:tcPr>
                <w:p>
                  <w:pPr>
                    <w:rPr>
                      <w:rFonts w:hint="eastAsia" w:ascii="宋体" w:hAnsi="宋体" w:cs="宋体"/>
                      <w:szCs w:val="21"/>
                    </w:rPr>
                  </w:pPr>
                  <w:r>
                    <w:rPr>
                      <w:rFonts w:hint="eastAsia" w:ascii="宋体" w:hAnsi="宋体" w:cs="宋体"/>
                      <w:szCs w:val="21"/>
                    </w:rPr>
                    <w:t>禁忌物：</w:t>
                  </w:r>
                  <w:r>
                    <w:rPr>
                      <w:rFonts w:hint="eastAsia" w:ascii="宋体" w:hAnsi="宋体" w:cs="宋体"/>
                      <w:color w:val="000000"/>
                      <w:szCs w:val="21"/>
                      <w:shd w:val="clear" w:color="auto" w:fill="FFFFFF"/>
                    </w:rPr>
                    <w:t>强还原剂、易燃或可燃物、醇类、强酸、硫、磷、铝。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1" w:type="dxa"/>
                  <w:gridSpan w:val="3"/>
                  <w:shd w:val="clear" w:color="auto" w:fill="auto"/>
                  <w:noWrap w:val="0"/>
                  <w:vAlign w:val="center"/>
                </w:tcPr>
                <w:p>
                  <w:pPr>
                    <w:rPr>
                      <w:rFonts w:hint="eastAsia" w:ascii="宋体" w:hAnsi="宋体" w:cs="宋体"/>
                      <w:szCs w:val="21"/>
                    </w:rPr>
                  </w:pPr>
                  <w:r>
                    <w:rPr>
                      <w:rFonts w:hint="eastAsia" w:ascii="宋体" w:hAnsi="宋体" w:cs="宋体"/>
                      <w:szCs w:val="21"/>
                    </w:rPr>
                    <w:t>急性毒性：</w:t>
                  </w:r>
                  <w:r>
                    <w:rPr>
                      <w:rFonts w:hint="eastAsia" w:ascii="宋体" w:hAnsi="宋体" w:cs="宋体"/>
                      <w:color w:val="000000"/>
                      <w:szCs w:val="21"/>
                      <w:shd w:val="clear" w:color="auto" w:fill="FFFFFF"/>
                    </w:rPr>
                    <w:t>LD50：1200 mg/kg(大鼠经口)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健康危害</w:t>
                  </w:r>
                </w:p>
              </w:tc>
              <w:tc>
                <w:tcPr>
                  <w:tcW w:w="5854" w:type="dxa"/>
                  <w:gridSpan w:val="2"/>
                  <w:shd w:val="clear" w:color="auto" w:fill="auto"/>
                  <w:noWrap w:val="0"/>
                  <w:vAlign w:val="center"/>
                </w:tcPr>
                <w:p>
                  <w:pPr>
                    <w:rPr>
                      <w:rFonts w:hint="eastAsia" w:ascii="宋体" w:hAnsi="宋体" w:cs="宋体"/>
                      <w:szCs w:val="21"/>
                    </w:rPr>
                  </w:pPr>
                  <w:r>
                    <w:rPr>
                      <w:rFonts w:hint="eastAsia" w:ascii="宋体" w:hAnsi="宋体" w:cs="宋体"/>
                      <w:color w:val="000000"/>
                      <w:szCs w:val="21"/>
                      <w:shd w:val="clear" w:color="auto" w:fill="FFFFFF"/>
                    </w:rPr>
                    <w:t>本品粉尘对呼吸道、眼及皮肤有刺激性。口服急性中毒，表现为高铁血红蛋白血症，胃肠炎，肝肾损伤，甚至发生窒息。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储运注意事项</w:t>
                  </w:r>
                </w:p>
              </w:tc>
              <w:tc>
                <w:tcPr>
                  <w:tcW w:w="5854" w:type="dxa"/>
                  <w:gridSpan w:val="2"/>
                  <w:shd w:val="clear" w:color="auto" w:fill="auto"/>
                  <w:noWrap w:val="0"/>
                  <w:vAlign w:val="center"/>
                </w:tcPr>
                <w:p>
                  <w:pPr>
                    <w:rPr>
                      <w:rFonts w:hint="eastAsia" w:ascii="宋体" w:hAnsi="宋体" w:cs="宋体"/>
                      <w:szCs w:val="21"/>
                    </w:rPr>
                  </w:pPr>
                  <w:r>
                    <w:rPr>
                      <w:rFonts w:hint="eastAsia" w:ascii="宋体" w:hAnsi="宋体" w:cs="宋体"/>
                      <w:color w:val="000000"/>
                      <w:szCs w:val="21"/>
                      <w:shd w:val="clear" w:color="auto" w:fill="FFFFFF"/>
                    </w:rPr>
                    <w:t>储存于阴凉、通风的库房。远离火种、热源。包装密封。应与易（可）燃物、还原剂、醇类等分开存放，切忌混储。储区应备有合适的材料收容泄漏物。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shd w:val="clear" w:color="auto" w:fill="auto"/>
                  <w:noWrap w:val="0"/>
                  <w:vAlign w:val="center"/>
                </w:tcPr>
                <w:p>
                  <w:pPr>
                    <w:rPr>
                      <w:rFonts w:hint="eastAsia" w:ascii="宋体" w:hAnsi="宋体" w:cs="宋体"/>
                      <w:szCs w:val="21"/>
                    </w:rPr>
                  </w:pPr>
                  <w:r>
                    <w:rPr>
                      <w:rFonts w:hint="eastAsia" w:ascii="宋体" w:hAnsi="宋体" w:cs="宋体"/>
                      <w:szCs w:val="21"/>
                    </w:rPr>
                    <w:t>应急处理</w:t>
                  </w:r>
                </w:p>
              </w:tc>
              <w:tc>
                <w:tcPr>
                  <w:tcW w:w="5854" w:type="dxa"/>
                  <w:gridSpan w:val="2"/>
                  <w:shd w:val="clear" w:color="auto" w:fill="auto"/>
                  <w:noWrap w:val="0"/>
                  <w:vAlign w:val="center"/>
                </w:tcPr>
                <w:p>
                  <w:pPr>
                    <w:rPr>
                      <w:rFonts w:hint="eastAsia" w:ascii="宋体" w:hAnsi="宋体" w:cs="宋体"/>
                      <w:szCs w:val="21"/>
                    </w:rPr>
                  </w:pPr>
                  <w:r>
                    <w:rPr>
                      <w:rFonts w:hint="eastAsia" w:ascii="宋体" w:hAnsi="宋体" w:cs="宋体"/>
                      <w:color w:val="000000"/>
                      <w:szCs w:val="21"/>
                      <w:shd w:val="clear" w:color="auto" w:fill="FFFFFF"/>
                    </w:rPr>
                    <w:t>隔离泄漏污染区，限制出入。建议应急处理人员戴防尘面具（全面罩），穿防毒服。不要直接接触泄漏物。勿使泄漏物与有机物、还原剂、易燃物接触。小量泄漏：避免扬尘，用洁净的铲子收集于干燥、洁净、有盖的容器中。大量泄漏：收集回收或运至废物处理场所处置。</w:t>
                  </w:r>
                  <w:r>
                    <w:rPr>
                      <w:rFonts w:hint="eastAsia" w:ascii="宋体" w:hAnsi="宋体" w:cs="宋体"/>
                      <w:szCs w:val="21"/>
                    </w:rPr>
                    <w:t>。</w:t>
                  </w:r>
                </w:p>
              </w:tc>
            </w:tr>
          </w:tbl>
          <w:p>
            <w:pPr>
              <w:spacing w:line="360" w:lineRule="auto"/>
              <w:ind w:firstLine="480" w:firstLineChars="200"/>
              <w:rPr>
                <w:sz w:val="24"/>
              </w:rPr>
            </w:pPr>
            <w:r>
              <w:rPr>
                <w:rFonts w:hint="eastAsia"/>
                <w:sz w:val="24"/>
              </w:rPr>
              <w:t>2）生产过程风险识别</w:t>
            </w:r>
          </w:p>
          <w:p>
            <w:pPr>
              <w:spacing w:line="360" w:lineRule="auto"/>
              <w:ind w:firstLine="480" w:firstLineChars="200"/>
              <w:rPr>
                <w:sz w:val="24"/>
              </w:rPr>
            </w:pPr>
            <w:r>
              <w:rPr>
                <w:rFonts w:hint="eastAsia"/>
                <w:sz w:val="24"/>
              </w:rPr>
              <w:t>项目在使用、储存盐酸和氯酸钠的过程中可能会发生泄露、火灾等环境风险事故，另外，废水设施运行过程中可能会发生泄露等环境风险事故，其识别如下表。</w:t>
            </w:r>
          </w:p>
          <w:p>
            <w:pPr>
              <w:spacing w:line="360" w:lineRule="auto"/>
              <w:jc w:val="center"/>
              <w:rPr>
                <w:b/>
                <w:bCs/>
                <w:szCs w:val="21"/>
              </w:rPr>
            </w:pPr>
            <w:r>
              <w:rPr>
                <w:rFonts w:hint="eastAsia"/>
                <w:b/>
                <w:bCs/>
                <w:szCs w:val="21"/>
              </w:rPr>
              <w:t>表</w:t>
            </w:r>
            <w:r>
              <w:rPr>
                <w:b/>
                <w:bCs/>
                <w:szCs w:val="21"/>
              </w:rPr>
              <w:t>4-18</w:t>
            </w:r>
            <w:r>
              <w:rPr>
                <w:rFonts w:hint="eastAsia"/>
                <w:b/>
                <w:bCs/>
                <w:szCs w:val="21"/>
              </w:rPr>
              <w:t xml:space="preserve"> 生产过程风险识别一览表</w:t>
            </w:r>
          </w:p>
          <w:tbl>
            <w:tblPr>
              <w:tblStyle w:val="39"/>
              <w:tblW w:w="81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773"/>
              <w:gridCol w:w="2222"/>
              <w:gridCol w:w="41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6" w:type="dxa"/>
                  <w:shd w:val="clear" w:color="auto" w:fill="auto"/>
                  <w:noWrap w:val="0"/>
                  <w:vAlign w:val="top"/>
                </w:tcPr>
                <w:p>
                  <w:pPr>
                    <w:snapToGrid w:val="0"/>
                    <w:jc w:val="center"/>
                    <w:rPr>
                      <w:b/>
                      <w:bCs/>
                      <w:szCs w:val="21"/>
                    </w:rPr>
                  </w:pPr>
                  <w:r>
                    <w:rPr>
                      <w:rFonts w:hint="eastAsia"/>
                      <w:b/>
                      <w:bCs/>
                      <w:szCs w:val="21"/>
                    </w:rPr>
                    <w:t>危险目标</w:t>
                  </w:r>
                </w:p>
              </w:tc>
              <w:tc>
                <w:tcPr>
                  <w:tcW w:w="773" w:type="dxa"/>
                  <w:shd w:val="clear" w:color="auto" w:fill="auto"/>
                  <w:noWrap w:val="0"/>
                  <w:vAlign w:val="top"/>
                </w:tcPr>
                <w:p>
                  <w:pPr>
                    <w:snapToGrid w:val="0"/>
                    <w:jc w:val="center"/>
                    <w:rPr>
                      <w:b/>
                      <w:bCs/>
                      <w:szCs w:val="21"/>
                    </w:rPr>
                  </w:pPr>
                  <w:r>
                    <w:rPr>
                      <w:rFonts w:hint="eastAsia"/>
                      <w:b/>
                      <w:bCs/>
                      <w:szCs w:val="21"/>
                    </w:rPr>
                    <w:t>事故类型</w:t>
                  </w:r>
                </w:p>
              </w:tc>
              <w:tc>
                <w:tcPr>
                  <w:tcW w:w="2222" w:type="dxa"/>
                  <w:shd w:val="clear" w:color="auto" w:fill="auto"/>
                  <w:noWrap w:val="0"/>
                  <w:vAlign w:val="top"/>
                </w:tcPr>
                <w:p>
                  <w:pPr>
                    <w:snapToGrid w:val="0"/>
                    <w:jc w:val="center"/>
                    <w:rPr>
                      <w:b/>
                      <w:bCs/>
                      <w:szCs w:val="21"/>
                    </w:rPr>
                  </w:pPr>
                  <w:r>
                    <w:rPr>
                      <w:rFonts w:hint="eastAsia"/>
                      <w:b/>
                      <w:bCs/>
                      <w:szCs w:val="21"/>
                    </w:rPr>
                    <w:t>事故引发可能原因及后果</w:t>
                  </w:r>
                </w:p>
              </w:tc>
              <w:tc>
                <w:tcPr>
                  <w:tcW w:w="4156" w:type="dxa"/>
                  <w:shd w:val="clear" w:color="auto" w:fill="auto"/>
                  <w:noWrap w:val="0"/>
                  <w:vAlign w:val="top"/>
                </w:tcPr>
                <w:p>
                  <w:pPr>
                    <w:snapToGrid w:val="0"/>
                    <w:jc w:val="center"/>
                    <w:rPr>
                      <w:b/>
                      <w:bCs/>
                      <w:szCs w:val="21"/>
                    </w:rPr>
                  </w:pPr>
                  <w:r>
                    <w:rPr>
                      <w:rFonts w:hint="eastAsia"/>
                      <w:b/>
                      <w:bCs/>
                      <w:szCs w:val="21"/>
                    </w:rPr>
                    <w:t>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6" w:type="dxa"/>
                  <w:shd w:val="clear" w:color="auto" w:fill="auto"/>
                  <w:noWrap w:val="0"/>
                  <w:vAlign w:val="top"/>
                </w:tcPr>
                <w:p>
                  <w:pPr>
                    <w:snapToGrid w:val="0"/>
                    <w:jc w:val="center"/>
                    <w:rPr>
                      <w:szCs w:val="21"/>
                    </w:rPr>
                  </w:pPr>
                  <w:r>
                    <w:rPr>
                      <w:rFonts w:hint="eastAsia"/>
                      <w:szCs w:val="21"/>
                    </w:rPr>
                    <w:t>投药室</w:t>
                  </w:r>
                </w:p>
              </w:tc>
              <w:tc>
                <w:tcPr>
                  <w:tcW w:w="773" w:type="dxa"/>
                  <w:shd w:val="clear" w:color="auto" w:fill="auto"/>
                  <w:noWrap w:val="0"/>
                  <w:vAlign w:val="top"/>
                </w:tcPr>
                <w:p>
                  <w:pPr>
                    <w:snapToGrid w:val="0"/>
                    <w:jc w:val="center"/>
                    <w:rPr>
                      <w:szCs w:val="21"/>
                    </w:rPr>
                  </w:pPr>
                  <w:r>
                    <w:rPr>
                      <w:rFonts w:hint="eastAsia"/>
                      <w:szCs w:val="21"/>
                    </w:rPr>
                    <w:t>泄露、火灾</w:t>
                  </w:r>
                </w:p>
              </w:tc>
              <w:tc>
                <w:tcPr>
                  <w:tcW w:w="2222" w:type="dxa"/>
                  <w:shd w:val="clear" w:color="auto" w:fill="auto"/>
                  <w:noWrap w:val="0"/>
                  <w:vAlign w:val="top"/>
                </w:tcPr>
                <w:p>
                  <w:pPr>
                    <w:snapToGrid w:val="0"/>
                    <w:jc w:val="center"/>
                    <w:rPr>
                      <w:szCs w:val="21"/>
                    </w:rPr>
                  </w:pPr>
                  <w:r>
                    <w:rPr>
                      <w:rFonts w:hint="eastAsia"/>
                      <w:szCs w:val="21"/>
                    </w:rPr>
                    <w:t>材料包装不严，设备故障造成原料泄露</w:t>
                  </w:r>
                </w:p>
              </w:tc>
              <w:tc>
                <w:tcPr>
                  <w:tcW w:w="4156" w:type="dxa"/>
                  <w:shd w:val="clear" w:color="auto" w:fill="auto"/>
                  <w:noWrap w:val="0"/>
                  <w:vAlign w:val="top"/>
                </w:tcPr>
                <w:p>
                  <w:pPr>
                    <w:snapToGrid w:val="0"/>
                    <w:jc w:val="center"/>
                    <w:rPr>
                      <w:szCs w:val="21"/>
                    </w:rPr>
                  </w:pPr>
                  <w:r>
                    <w:rPr>
                      <w:rFonts w:hint="eastAsia"/>
                      <w:szCs w:val="21"/>
                    </w:rPr>
                    <w:t>落实安全生产防范措施，防止泄漏、火灾事故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6" w:type="dxa"/>
                  <w:shd w:val="clear" w:color="auto" w:fill="auto"/>
                  <w:noWrap w:val="0"/>
                  <w:vAlign w:val="top"/>
                </w:tcPr>
                <w:p>
                  <w:pPr>
                    <w:snapToGrid w:val="0"/>
                    <w:jc w:val="center"/>
                    <w:rPr>
                      <w:szCs w:val="21"/>
                    </w:rPr>
                  </w:pPr>
                  <w:r>
                    <w:rPr>
                      <w:rFonts w:hint="eastAsia"/>
                      <w:szCs w:val="21"/>
                    </w:rPr>
                    <w:t>废水处理设施</w:t>
                  </w:r>
                </w:p>
              </w:tc>
              <w:tc>
                <w:tcPr>
                  <w:tcW w:w="773" w:type="dxa"/>
                  <w:shd w:val="clear" w:color="auto" w:fill="auto"/>
                  <w:noWrap w:val="0"/>
                  <w:vAlign w:val="top"/>
                </w:tcPr>
                <w:p>
                  <w:pPr>
                    <w:snapToGrid w:val="0"/>
                    <w:jc w:val="center"/>
                    <w:rPr>
                      <w:szCs w:val="21"/>
                    </w:rPr>
                  </w:pPr>
                  <w:r>
                    <w:rPr>
                      <w:rFonts w:hint="eastAsia"/>
                      <w:szCs w:val="21"/>
                    </w:rPr>
                    <w:t>泄露</w:t>
                  </w:r>
                </w:p>
              </w:tc>
              <w:tc>
                <w:tcPr>
                  <w:tcW w:w="2222" w:type="dxa"/>
                  <w:shd w:val="clear" w:color="auto" w:fill="auto"/>
                  <w:noWrap w:val="0"/>
                  <w:vAlign w:val="top"/>
                </w:tcPr>
                <w:p>
                  <w:pPr>
                    <w:snapToGrid w:val="0"/>
                    <w:jc w:val="center"/>
                    <w:rPr>
                      <w:szCs w:val="21"/>
                    </w:rPr>
                  </w:pPr>
                  <w:r>
                    <w:rPr>
                      <w:rFonts w:hint="eastAsia"/>
                      <w:szCs w:val="21"/>
                    </w:rPr>
                    <w:t>操作不当、废水处理机械故障或池体破损等</w:t>
                  </w:r>
                </w:p>
              </w:tc>
              <w:tc>
                <w:tcPr>
                  <w:tcW w:w="4156" w:type="dxa"/>
                  <w:shd w:val="clear" w:color="auto" w:fill="auto"/>
                  <w:noWrap w:val="0"/>
                  <w:vAlign w:val="top"/>
                </w:tcPr>
                <w:p>
                  <w:pPr>
                    <w:snapToGrid w:val="0"/>
                    <w:jc w:val="center"/>
                    <w:rPr>
                      <w:szCs w:val="21"/>
                    </w:rPr>
                  </w:pPr>
                  <w:r>
                    <w:rPr>
                      <w:rFonts w:hint="eastAsia"/>
                      <w:szCs w:val="21"/>
                    </w:rPr>
                    <w:t>落实安全生产防范措施，防止泄漏；本项目浓缩池与排泥池均为两座，当废水处理设施发生故障停运或出水不能达标时，废水进入另一座池子内存储，且停止排水工艺的生产</w:t>
                  </w:r>
                </w:p>
              </w:tc>
            </w:tr>
          </w:tbl>
          <w:p>
            <w:pPr>
              <w:pStyle w:val="183"/>
            </w:pPr>
          </w:p>
          <w:p>
            <w:pPr>
              <w:spacing w:line="360" w:lineRule="auto"/>
              <w:ind w:firstLine="482" w:firstLineChars="200"/>
              <w:rPr>
                <w:b/>
                <w:bCs/>
                <w:sz w:val="24"/>
              </w:rPr>
            </w:pPr>
            <w:r>
              <w:rPr>
                <w:rFonts w:hint="eastAsia"/>
                <w:b/>
                <w:bCs/>
                <w:sz w:val="24"/>
              </w:rPr>
              <w:t>（4）环境风险分析</w:t>
            </w:r>
          </w:p>
          <w:p>
            <w:pPr>
              <w:spacing w:line="360" w:lineRule="auto"/>
              <w:ind w:firstLine="480" w:firstLineChars="200"/>
              <w:rPr>
                <w:sz w:val="24"/>
              </w:rPr>
            </w:pPr>
            <w:r>
              <w:rPr>
                <w:rFonts w:hint="eastAsia"/>
                <w:sz w:val="24"/>
              </w:rPr>
              <w:t>根据项目使用的物质和生产过程风险识别可知，生产过程主要风险来自原料的泄漏和火灾事故；废水设施运行过程中可能会发生的泄露事故。原料泄漏遇火源发生火灾，污染物会在空气中迁移、或者进入水体；生产废水未经处理会直接排放进入地表水体等。</w:t>
            </w:r>
          </w:p>
          <w:p>
            <w:pPr>
              <w:spacing w:line="360" w:lineRule="auto"/>
              <w:ind w:firstLine="480" w:firstLineChars="200"/>
              <w:rPr>
                <w:sz w:val="24"/>
              </w:rPr>
            </w:pPr>
            <w:r>
              <w:rPr>
                <w:rFonts w:hint="eastAsia"/>
                <w:sz w:val="24"/>
              </w:rPr>
              <w:t>1）大气：发生火灾事故后，物质燃烧时产生的污染物会在短时间内浓度增加，对大气环境有一定的影响；火灾事故是短时间的，经大气扩散后对大气环境影响较小。</w:t>
            </w:r>
          </w:p>
          <w:p>
            <w:pPr>
              <w:spacing w:line="360" w:lineRule="auto"/>
              <w:ind w:firstLine="480" w:firstLineChars="200"/>
              <w:rPr>
                <w:sz w:val="24"/>
              </w:rPr>
            </w:pPr>
            <w:r>
              <w:rPr>
                <w:rFonts w:hint="eastAsia"/>
                <w:sz w:val="24"/>
              </w:rPr>
              <w:t>2）地表水：①物料泄漏进入环境后，如不及时实施有效措施，将对附近水体造成影响，污染附近水体。②自来水厂在生产自来水过程中，所产生的沉淀池排泥水及滤池反冲洗水未经处理直接排入周边地表水体，而沉淀池排泥水、滤池反冲洗水等存在一定量的污泥，不进行处理或是处理方式不当，将污染附近地表水体水质。</w:t>
            </w:r>
          </w:p>
          <w:p>
            <w:pPr>
              <w:spacing w:line="360" w:lineRule="auto"/>
              <w:ind w:firstLine="480" w:firstLineChars="200"/>
              <w:rPr>
                <w:sz w:val="24"/>
              </w:rPr>
            </w:pPr>
            <w:r>
              <w:rPr>
                <w:rFonts w:hint="eastAsia"/>
                <w:sz w:val="24"/>
              </w:rPr>
              <w:t>3）地下水：①各类原辅料，若贮存或使用不当，会导致泄漏而污染地下水，项目应做好道路、厂房应做好硬底化防渗措施，以防止地下水污染。②项目事故排水亦可能会通过厂区内地面下渗至地下含水层并向下游运移，对下游地下水环境敏感目标造成风险事故。</w:t>
            </w:r>
          </w:p>
          <w:p>
            <w:pPr>
              <w:spacing w:line="360" w:lineRule="auto"/>
              <w:ind w:firstLine="480" w:firstLineChars="200"/>
              <w:rPr>
                <w:sz w:val="24"/>
              </w:rPr>
            </w:pPr>
            <w:r>
              <w:rPr>
                <w:rFonts w:hint="eastAsia"/>
                <w:sz w:val="24"/>
              </w:rPr>
              <w:t>因此，本项目在加强管理和采取措施情况下，风险是可控的。</w:t>
            </w:r>
          </w:p>
          <w:p>
            <w:pPr>
              <w:pStyle w:val="183"/>
              <w:ind w:firstLine="482"/>
              <w:rPr>
                <w:b/>
              </w:rPr>
            </w:pPr>
            <w:r>
              <w:rPr>
                <w:rFonts w:hint="eastAsia"/>
                <w:b/>
              </w:rPr>
              <w:t>（2）</w:t>
            </w:r>
            <w:r>
              <w:rPr>
                <w:b/>
              </w:rPr>
              <w:t>风险防范措施</w:t>
            </w:r>
          </w:p>
          <w:p>
            <w:pPr>
              <w:spacing w:line="360" w:lineRule="auto"/>
              <w:ind w:firstLine="480" w:firstLineChars="200"/>
              <w:rPr>
                <w:sz w:val="24"/>
              </w:rPr>
            </w:pPr>
            <w:r>
              <w:rPr>
                <w:rFonts w:hint="eastAsia"/>
                <w:sz w:val="24"/>
              </w:rPr>
              <w:t>针对项目的风险事故成因，为了预防和减少事故风险，环评要求采取以下事故风险防范措施，并制定应急处理设施。</w:t>
            </w:r>
          </w:p>
          <w:p>
            <w:pPr>
              <w:spacing w:line="360" w:lineRule="auto"/>
              <w:ind w:firstLine="480" w:firstLineChars="200"/>
              <w:rPr>
                <w:sz w:val="24"/>
              </w:rPr>
            </w:pPr>
            <w:r>
              <w:rPr>
                <w:rFonts w:hint="eastAsia"/>
                <w:sz w:val="24"/>
              </w:rPr>
              <w:t>1）环境风险管理及减缓风险措施</w:t>
            </w:r>
          </w:p>
          <w:p>
            <w:pPr>
              <w:spacing w:line="360" w:lineRule="auto"/>
              <w:ind w:firstLine="480" w:firstLineChars="200"/>
              <w:rPr>
                <w:rFonts w:hint="eastAsia"/>
                <w:sz w:val="24"/>
              </w:rPr>
            </w:pPr>
            <w:r>
              <w:rPr>
                <w:rFonts w:hint="eastAsia"/>
                <w:sz w:val="24"/>
              </w:rPr>
              <w:t>①风险物质管理及措施：原辅料若贮存或使用不当，会导致泄漏而污染地下水。生产过程中使用的化学原辅料应按相关要求贮存，生产使用过程中做好防范措施，防止化学原料泄漏、下渗。为防止泄露物的下渗，厂区内道路、厂房应做好硬底化防渗措施。危险化学品按照相关储存规范存放，根据化学物质的性质，配置好雾状水、砂土等灭火剂。</w:t>
            </w:r>
          </w:p>
          <w:p>
            <w:pPr>
              <w:spacing w:line="360" w:lineRule="auto"/>
              <w:ind w:firstLine="480" w:firstLineChars="200"/>
              <w:rPr>
                <w:rFonts w:hint="eastAsia"/>
                <w:sz w:val="24"/>
              </w:rPr>
            </w:pPr>
            <w:r>
              <w:rPr>
                <w:rFonts w:hint="eastAsia"/>
                <w:sz w:val="24"/>
              </w:rPr>
              <w:t>氯酸钠：</w:t>
            </w:r>
          </w:p>
          <w:p>
            <w:pPr>
              <w:spacing w:line="360" w:lineRule="auto"/>
              <w:ind w:firstLine="480" w:firstLineChars="200"/>
              <w:rPr>
                <w:rFonts w:hint="eastAsia"/>
                <w:sz w:val="24"/>
              </w:rPr>
            </w:pPr>
            <w:r>
              <w:rPr>
                <w:rFonts w:hint="eastAsia"/>
                <w:sz w:val="24"/>
              </w:rPr>
              <w:t>储存措施：储存于阴凉、通风的库房。远离火种、热源。包装密封。应与易（可）燃物、还原剂、醇类等分开存放，切忌混储。储区应备有合适的材料收容泄漏物。</w:t>
            </w:r>
          </w:p>
          <w:p>
            <w:pPr>
              <w:spacing w:line="360" w:lineRule="auto"/>
              <w:ind w:firstLine="480" w:firstLineChars="200"/>
              <w:rPr>
                <w:rFonts w:hint="eastAsia"/>
                <w:sz w:val="24"/>
              </w:rPr>
            </w:pPr>
            <w:r>
              <w:rPr>
                <w:rFonts w:hint="eastAsia"/>
                <w:sz w:val="24"/>
              </w:rPr>
              <w:t>包装方法：装入二层纸袋或塑料袋，袋口扎紧，再装入厚度为0.7 毫米的钢桶内，容器口应密封牢固。每桶净重不超过50公斤；按零担运输时，钢桶外应再加透笼木箱；螺纹口玻璃瓶、塑料瓶或塑料袋外普通木箱。</w:t>
            </w:r>
          </w:p>
          <w:p>
            <w:pPr>
              <w:spacing w:line="360" w:lineRule="auto"/>
              <w:ind w:firstLine="480" w:firstLineChars="200"/>
              <w:rPr>
                <w:rFonts w:hint="eastAsia"/>
                <w:sz w:val="24"/>
              </w:rPr>
            </w:pPr>
            <w:r>
              <w:rPr>
                <w:rFonts w:hint="eastAsia"/>
                <w:sz w:val="24"/>
              </w:rPr>
              <w:t>运输注意事项：铁路运输时应严格按照铁道部《危险货物运输规则》中的危险货物配装表进行配装。运输时单独装运，运输过程中要确保容器不泄漏、不倒塌、不坠落、不损坏。运输时运输车辆应配备相应品种和数量的消防器材。严禁与酸类、易燃物、有机物、还原剂、自燃物品、遇湿易燃物品等并车混运。运输时车速不宜过快，不得强行超车。运输车辆装卸前后，均应彻底清扫、洗净，严禁混入有机物、易燃物等杂质。 </w:t>
            </w:r>
          </w:p>
          <w:p>
            <w:pPr>
              <w:spacing w:line="360" w:lineRule="auto"/>
              <w:ind w:firstLine="480" w:firstLineChars="200"/>
              <w:rPr>
                <w:rFonts w:hint="eastAsia"/>
                <w:sz w:val="24"/>
              </w:rPr>
            </w:pPr>
            <w:r>
              <w:rPr>
                <w:rFonts w:hint="eastAsia"/>
                <w:sz w:val="24"/>
              </w:rPr>
              <w:t>盐酸：</w:t>
            </w:r>
          </w:p>
          <w:p>
            <w:pPr>
              <w:spacing w:line="360" w:lineRule="auto"/>
              <w:ind w:firstLine="480" w:firstLineChars="200"/>
              <w:rPr>
                <w:sz w:val="24"/>
              </w:rPr>
            </w:pPr>
            <w:r>
              <w:rPr>
                <w:rFonts w:hint="eastAsia"/>
                <w:sz w:val="24"/>
              </w:rPr>
              <w:t>储存措施：储存于阴凉、通风的库房。保持容器密封。应与碱类、胺类、碱金属、易（可）燃物分开存放，切忌混储。配备相应品种和数量的消防器材。储区应备有合适的材料收容泄漏物。公路运输时要按规定路线行驶，禁止在居民区和人口稠密区停留。铁路运输时要禁止溜放。</w:t>
            </w:r>
          </w:p>
          <w:p>
            <w:pPr>
              <w:spacing w:line="360" w:lineRule="auto"/>
              <w:ind w:firstLine="480" w:firstLineChars="200"/>
              <w:rPr>
                <w:rFonts w:hint="eastAsia"/>
                <w:sz w:val="24"/>
              </w:rPr>
            </w:pPr>
            <w:r>
              <w:rPr>
                <w:rFonts w:hint="eastAsia"/>
                <w:sz w:val="24"/>
              </w:rPr>
              <w:t>包装方法：耐酸坛或陶瓷瓶外普通木箱或半花格木箱；玻璃瓶或塑料桶（罐）外普通木箱或半花格木箱；磨砂口玻璃瓶或螺纹口玻璃瓶外普通木箱；螺纹口玻璃瓶、铁盖压口玻璃瓶、塑料瓶或金属桶（罐）外普通木箱。</w:t>
            </w:r>
          </w:p>
          <w:p>
            <w:pPr>
              <w:spacing w:line="360" w:lineRule="auto"/>
              <w:ind w:firstLine="480" w:firstLineChars="200"/>
              <w:rPr>
                <w:sz w:val="24"/>
              </w:rPr>
            </w:pPr>
            <w:r>
              <w:rPr>
                <w:rFonts w:hint="eastAsia"/>
                <w:sz w:val="24"/>
              </w:rPr>
              <w:t>运输注意事项：本品铁路运输时限使用有像胶衬里钢制罐车或特制塑料企业自备罐车装运，装运前需报有关部门批准。铁路运输时应严格按照铁道部《危险货物运输规则》中的危险货物配装表进行配装。起运时包装要完整，装载应稳妥。运输过程中要确保容器不泄漏、不倒塌、不坠落、不损坏。严禁与碱类、胺类、碱金属、易燃物或可燃物、食用化学品等混装混运。运输时运输车辆应配备泄漏应急处理设备。运输途中应防曝晒、雨淋，防高温。公路运输时要按规定路线行驶，勿在居民区和人口稠密区停留。</w:t>
            </w:r>
            <w:r>
              <w:rPr>
                <w:rFonts w:ascii="微软雅黑" w:hAnsi="微软雅黑" w:eastAsia="微软雅黑" w:cs="微软雅黑"/>
                <w:color w:val="000000"/>
                <w:szCs w:val="21"/>
                <w:shd w:val="clear" w:color="auto" w:fill="FFFFFF"/>
              </w:rPr>
              <w:t> </w:t>
            </w:r>
          </w:p>
          <w:p>
            <w:pPr>
              <w:spacing w:line="360" w:lineRule="auto"/>
              <w:ind w:firstLine="480" w:firstLineChars="200"/>
              <w:rPr>
                <w:rFonts w:hint="eastAsia"/>
                <w:sz w:val="24"/>
              </w:rPr>
            </w:pPr>
            <w:r>
              <w:rPr>
                <w:rFonts w:hint="eastAsia"/>
                <w:sz w:val="24"/>
              </w:rPr>
              <w:t>②废水设施管理及措施：A、操作人员应严格按照操作规程进行操作，防止因检查不周或失误而造成事故。B、及时合理的调节运行工况，严禁超负荷运行。C、加强设备管理，认真做好设备、管道、阀门的检查工作，对存在安全隐患的设备、管道、阀门要及时进行修理或更换。D、若废水处理系统出现故障不能正常运行，事故池应有足够的容量，当出现事故时作为事故应急池。待污水设施维修完善，能够正常运行时，才将废水排入反应池，处理达标后方可外排。E、加强现场巡查，下雨地面水量较大时，重点检查有无管道泄漏、断裂情况。若发现问题，及时分析原因，找到渗漏点制定整改措施，尽快修改，确保雨污管的完整性。</w:t>
            </w:r>
          </w:p>
          <w:p>
            <w:pPr>
              <w:spacing w:line="360" w:lineRule="auto"/>
              <w:ind w:firstLine="480" w:firstLineChars="200"/>
              <w:rPr>
                <w:rFonts w:hint="eastAsia"/>
                <w:sz w:val="24"/>
              </w:rPr>
            </w:pPr>
            <w:r>
              <w:rPr>
                <w:rFonts w:hint="eastAsia"/>
                <w:sz w:val="24"/>
              </w:rPr>
              <w:t>在做好上述各项预防措施后，项目对环境的影响是可以接受的。</w:t>
            </w:r>
          </w:p>
          <w:p>
            <w:pPr>
              <w:spacing w:line="360" w:lineRule="auto"/>
              <w:ind w:firstLine="480" w:firstLineChars="200"/>
              <w:rPr>
                <w:sz w:val="24"/>
              </w:rPr>
            </w:pPr>
            <w:r>
              <w:rPr>
                <w:rFonts w:hint="eastAsia"/>
                <w:sz w:val="24"/>
              </w:rPr>
              <w:t>2）应急处理设施</w:t>
            </w:r>
          </w:p>
          <w:p>
            <w:pPr>
              <w:spacing w:line="360" w:lineRule="auto"/>
              <w:ind w:firstLine="480" w:firstLineChars="200"/>
              <w:rPr>
                <w:sz w:val="24"/>
              </w:rPr>
            </w:pPr>
            <w:r>
              <w:rPr>
                <w:rFonts w:hint="eastAsia"/>
                <w:sz w:val="24"/>
              </w:rPr>
              <w:t>事故发生时应迅速将危险区的人员撤离至安全区，生产员工须了解各类化学物质的危险性、健康毒害性及所采取的安全和健康防范措施。事故中心区域应严禁火种，同时采取切断电源、禁止车辆进入、立即在边界设置警戒线。建议应急处理人员戴防尘面具（全面罩），穿化学防护服。不要直接接触泄漏物。小量泄漏：用砂土、干燥石灰或苏打粉混合。或用清洁铲子收集于干燥洁净有盖的容器中，运至废物泄漏处理场所，回收后无害化处理。大量泄漏：构筑围堤或挖坑收容。用耐腐蚀泵转移至槽车或专用收集器内，回收或运至废物处理场所处置。</w:t>
            </w:r>
          </w:p>
          <w:p>
            <w:pPr>
              <w:spacing w:line="360" w:lineRule="auto"/>
              <w:ind w:firstLine="480" w:firstLineChars="200"/>
              <w:rPr>
                <w:sz w:val="24"/>
              </w:rPr>
            </w:pPr>
            <w:r>
              <w:rPr>
                <w:rFonts w:hint="eastAsia"/>
                <w:sz w:val="24"/>
              </w:rPr>
              <w:t>根据事故情况和事态发展，确定事故波及区域的范围、人员疏散和撤离地点、路线等建立处理紧急事故的组织机构，规范事故处理人员的职责、任务，建立通讯联络网，按照紧急事故汇报程序报告有关主管部门。</w:t>
            </w:r>
          </w:p>
          <w:p>
            <w:pPr>
              <w:pStyle w:val="183"/>
              <w:wordWrap/>
              <w:autoSpaceDE w:val="0"/>
              <w:autoSpaceDN w:val="0"/>
              <w:rPr>
                <w:rFonts w:hint="eastAsia"/>
              </w:rPr>
            </w:pPr>
            <w:r>
              <w:rPr>
                <w:rFonts w:hint="eastAsia"/>
              </w:rPr>
              <w:t>①本次环评要求和建议：</w:t>
            </w:r>
          </w:p>
          <w:p>
            <w:pPr>
              <w:pStyle w:val="183"/>
              <w:wordWrap/>
              <w:autoSpaceDE w:val="0"/>
              <w:autoSpaceDN w:val="0"/>
              <w:rPr>
                <w:rFonts w:hint="eastAsia"/>
              </w:rPr>
            </w:pPr>
            <w:r>
              <w:rPr>
                <w:rFonts w:hint="eastAsia"/>
              </w:rPr>
              <w:t>要求项目必须严格按照安评要求进行安全运营，落实单位安全生产制度和责任，建立健全安全、环境管理体系及高效的安全生产机构，一旦发生事故，要做到快速、高效、安全处置。项目必须在得到安监、环保管理部门许可后方可运营。</w:t>
            </w:r>
          </w:p>
          <w:p>
            <w:pPr>
              <w:pStyle w:val="183"/>
              <w:wordWrap/>
              <w:autoSpaceDE w:val="0"/>
              <w:autoSpaceDN w:val="0"/>
              <w:rPr>
                <w:rFonts w:hint="eastAsia"/>
              </w:rPr>
            </w:pPr>
            <w:r>
              <w:rPr>
                <w:rFonts w:hint="eastAsia"/>
              </w:rPr>
              <w:t>②应急预案</w:t>
            </w:r>
          </w:p>
          <w:p>
            <w:pPr>
              <w:pStyle w:val="183"/>
              <w:wordWrap/>
              <w:autoSpaceDE w:val="0"/>
              <w:autoSpaceDN w:val="0"/>
              <w:rPr>
                <w:rFonts w:hint="eastAsia"/>
              </w:rPr>
            </w:pPr>
            <w:r>
              <w:rPr>
                <w:rFonts w:hint="eastAsia"/>
              </w:rPr>
              <w:t>为了预防突发性的自然灾害、操作失控、污染事故、危险品大量泄漏等重、特大事故的发生，确保国家财产和人民生命的安全，在突发性事故发生时，能迅速、准确地处理和控制事故扩大，把事故损失及危害降到最小程度，有效地应急救援行动是唯一可以抵御事故灾害蔓延和减缓灾害后果的有力措施。</w:t>
            </w:r>
          </w:p>
          <w:p>
            <w:pPr>
              <w:pStyle w:val="13"/>
              <w:autoSpaceDE w:val="0"/>
              <w:autoSpaceDN w:val="0"/>
              <w:adjustRightInd w:val="0"/>
              <w:spacing w:before="0" w:after="0" w:line="360" w:lineRule="auto"/>
              <w:ind w:right="0" w:firstLine="480" w:firstLineChars="200"/>
              <w:rPr>
                <w:sz w:val="24"/>
              </w:rPr>
            </w:pPr>
            <w:r>
              <w:rPr>
                <w:rFonts w:hint="eastAsia"/>
                <w:sz w:val="24"/>
              </w:rPr>
              <w:t>一般应急预案应包括以下内容，见下表：</w:t>
            </w:r>
          </w:p>
          <w:p>
            <w:pPr>
              <w:pStyle w:val="13"/>
              <w:autoSpaceDE w:val="0"/>
              <w:autoSpaceDN w:val="0"/>
              <w:adjustRightInd w:val="0"/>
              <w:spacing w:before="0" w:after="0" w:line="360" w:lineRule="auto"/>
              <w:ind w:right="0" w:firstLine="480" w:firstLineChars="200"/>
              <w:rPr>
                <w:rFonts w:hint="eastAsia"/>
                <w:sz w:val="24"/>
              </w:rPr>
            </w:pPr>
          </w:p>
          <w:p>
            <w:pPr>
              <w:pStyle w:val="184"/>
              <w:autoSpaceDE w:val="0"/>
              <w:autoSpaceDN w:val="0"/>
              <w:rPr>
                <w:rFonts w:hint="eastAsia"/>
                <w:color w:val="auto"/>
              </w:rPr>
            </w:pPr>
            <w:r>
              <w:rPr>
                <w:rFonts w:hint="eastAsia"/>
                <w:color w:val="auto"/>
              </w:rPr>
              <w:t>表</w:t>
            </w:r>
            <w:r>
              <w:rPr>
                <w:color w:val="auto"/>
              </w:rPr>
              <w:t>4-19</w:t>
            </w:r>
            <w:r>
              <w:rPr>
                <w:rFonts w:hint="eastAsia"/>
                <w:color w:val="auto"/>
              </w:rPr>
              <w:t xml:space="preserve"> 一般应急预案内容</w:t>
            </w:r>
          </w:p>
          <w:tbl>
            <w:tblPr>
              <w:tblStyle w:val="39"/>
              <w:tblW w:w="791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2126"/>
              <w:gridCol w:w="50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19" w:type="dxa"/>
                  <w:noWrap w:val="0"/>
                  <w:vAlign w:val="center"/>
                </w:tcPr>
                <w:p>
                  <w:pPr>
                    <w:pStyle w:val="182"/>
                    <w:wordWrap/>
                    <w:rPr>
                      <w:rFonts w:hint="eastAsia"/>
                      <w:b/>
                    </w:rPr>
                  </w:pPr>
                  <w:r>
                    <w:rPr>
                      <w:rFonts w:hint="eastAsia"/>
                      <w:b/>
                    </w:rPr>
                    <w:t>序号</w:t>
                  </w:r>
                </w:p>
              </w:tc>
              <w:tc>
                <w:tcPr>
                  <w:tcW w:w="2126" w:type="dxa"/>
                  <w:noWrap w:val="0"/>
                  <w:vAlign w:val="center"/>
                </w:tcPr>
                <w:p>
                  <w:pPr>
                    <w:pStyle w:val="182"/>
                    <w:wordWrap/>
                    <w:rPr>
                      <w:rFonts w:hint="eastAsia"/>
                      <w:b/>
                    </w:rPr>
                  </w:pPr>
                  <w:r>
                    <w:rPr>
                      <w:rFonts w:hint="eastAsia"/>
                      <w:b/>
                    </w:rPr>
                    <w:t>项目</w:t>
                  </w:r>
                </w:p>
              </w:tc>
              <w:tc>
                <w:tcPr>
                  <w:tcW w:w="5069" w:type="dxa"/>
                  <w:noWrap w:val="0"/>
                  <w:vAlign w:val="center"/>
                </w:tcPr>
                <w:p>
                  <w:pPr>
                    <w:pStyle w:val="182"/>
                    <w:wordWrap/>
                    <w:rPr>
                      <w:rFonts w:hint="eastAsia"/>
                      <w:b/>
                    </w:rPr>
                  </w:pPr>
                  <w:r>
                    <w:rPr>
                      <w:rFonts w:hint="eastAsia"/>
                      <w:b/>
                    </w:rPr>
                    <w:t>内容及要求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9" w:type="dxa"/>
                  <w:noWrap w:val="0"/>
                  <w:vAlign w:val="center"/>
                </w:tcPr>
                <w:p>
                  <w:pPr>
                    <w:pStyle w:val="182"/>
                    <w:wordWrap/>
                    <w:rPr>
                      <w:rFonts w:hint="eastAsia"/>
                    </w:rPr>
                  </w:pPr>
                  <w:r>
                    <w:rPr>
                      <w:rFonts w:hint="eastAsia"/>
                    </w:rPr>
                    <w:t>1</w:t>
                  </w:r>
                </w:p>
              </w:tc>
              <w:tc>
                <w:tcPr>
                  <w:tcW w:w="2126" w:type="dxa"/>
                  <w:noWrap w:val="0"/>
                  <w:vAlign w:val="center"/>
                </w:tcPr>
                <w:p>
                  <w:pPr>
                    <w:pStyle w:val="182"/>
                    <w:wordWrap/>
                    <w:rPr>
                      <w:rFonts w:hint="eastAsia"/>
                    </w:rPr>
                  </w:pPr>
                  <w:r>
                    <w:rPr>
                      <w:rFonts w:hint="eastAsia"/>
                    </w:rPr>
                    <w:t>应急计划区</w:t>
                  </w:r>
                </w:p>
              </w:tc>
              <w:tc>
                <w:tcPr>
                  <w:tcW w:w="5069" w:type="dxa"/>
                  <w:noWrap w:val="0"/>
                  <w:vAlign w:val="center"/>
                </w:tcPr>
                <w:p>
                  <w:pPr>
                    <w:pStyle w:val="182"/>
                    <w:wordWrap/>
                    <w:rPr>
                      <w:rFonts w:hint="eastAsia"/>
                    </w:rPr>
                  </w:pPr>
                  <w:r>
                    <w:rPr>
                      <w:rFonts w:hint="eastAsia"/>
                    </w:rPr>
                    <w:t>危险目标：环境保护目标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19" w:type="dxa"/>
                  <w:noWrap w:val="0"/>
                  <w:vAlign w:val="center"/>
                </w:tcPr>
                <w:p>
                  <w:pPr>
                    <w:pStyle w:val="182"/>
                    <w:wordWrap/>
                    <w:rPr>
                      <w:rFonts w:hint="eastAsia"/>
                    </w:rPr>
                  </w:pPr>
                  <w:r>
                    <w:rPr>
                      <w:rFonts w:hint="eastAsia"/>
                    </w:rPr>
                    <w:t>2</w:t>
                  </w:r>
                </w:p>
              </w:tc>
              <w:tc>
                <w:tcPr>
                  <w:tcW w:w="2126" w:type="dxa"/>
                  <w:noWrap w:val="0"/>
                  <w:vAlign w:val="center"/>
                </w:tcPr>
                <w:p>
                  <w:pPr>
                    <w:pStyle w:val="182"/>
                    <w:wordWrap/>
                    <w:rPr>
                      <w:rFonts w:hint="eastAsia"/>
                    </w:rPr>
                  </w:pPr>
                  <w:r>
                    <w:rPr>
                      <w:rFonts w:hint="eastAsia"/>
                    </w:rPr>
                    <w:t>应急组织机构、人员</w:t>
                  </w:r>
                </w:p>
              </w:tc>
              <w:tc>
                <w:tcPr>
                  <w:tcW w:w="5069" w:type="dxa"/>
                  <w:noWrap w:val="0"/>
                  <w:vAlign w:val="center"/>
                </w:tcPr>
                <w:p>
                  <w:pPr>
                    <w:pStyle w:val="182"/>
                    <w:wordWrap/>
                    <w:rPr>
                      <w:rFonts w:hint="eastAsia"/>
                    </w:rPr>
                  </w:pPr>
                  <w:r>
                    <w:rPr>
                      <w:rFonts w:hint="eastAsia"/>
                    </w:rPr>
                    <w:t>工厂、地区应急组织机构、人员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19" w:type="dxa"/>
                  <w:noWrap w:val="0"/>
                  <w:vAlign w:val="center"/>
                </w:tcPr>
                <w:p>
                  <w:pPr>
                    <w:pStyle w:val="182"/>
                    <w:wordWrap/>
                    <w:rPr>
                      <w:rFonts w:hint="eastAsia"/>
                    </w:rPr>
                  </w:pPr>
                  <w:r>
                    <w:rPr>
                      <w:rFonts w:hint="eastAsia"/>
                    </w:rPr>
                    <w:t>3</w:t>
                  </w:r>
                </w:p>
              </w:tc>
              <w:tc>
                <w:tcPr>
                  <w:tcW w:w="2126" w:type="dxa"/>
                  <w:noWrap w:val="0"/>
                  <w:vAlign w:val="center"/>
                </w:tcPr>
                <w:p>
                  <w:pPr>
                    <w:pStyle w:val="182"/>
                    <w:wordWrap/>
                    <w:rPr>
                      <w:rFonts w:hint="eastAsia"/>
                    </w:rPr>
                  </w:pPr>
                  <w:r>
                    <w:rPr>
                      <w:rFonts w:hint="eastAsia"/>
                    </w:rPr>
                    <w:t>预案分级响应条件</w:t>
                  </w:r>
                </w:p>
              </w:tc>
              <w:tc>
                <w:tcPr>
                  <w:tcW w:w="5069" w:type="dxa"/>
                  <w:noWrap w:val="0"/>
                  <w:vAlign w:val="center"/>
                </w:tcPr>
                <w:p>
                  <w:pPr>
                    <w:pStyle w:val="182"/>
                    <w:wordWrap/>
                    <w:rPr>
                      <w:rFonts w:hint="eastAsia"/>
                    </w:rPr>
                  </w:pPr>
                  <w:r>
                    <w:rPr>
                      <w:rFonts w:hint="eastAsia"/>
                    </w:rPr>
                    <w:t>规定预案的级别及分级响应程序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19" w:type="dxa"/>
                  <w:noWrap w:val="0"/>
                  <w:vAlign w:val="center"/>
                </w:tcPr>
                <w:p>
                  <w:pPr>
                    <w:pStyle w:val="182"/>
                    <w:wordWrap/>
                    <w:rPr>
                      <w:rFonts w:hint="eastAsia"/>
                    </w:rPr>
                  </w:pPr>
                  <w:r>
                    <w:rPr>
                      <w:rFonts w:hint="eastAsia"/>
                    </w:rPr>
                    <w:t>4</w:t>
                  </w:r>
                </w:p>
              </w:tc>
              <w:tc>
                <w:tcPr>
                  <w:tcW w:w="2126" w:type="dxa"/>
                  <w:noWrap w:val="0"/>
                  <w:vAlign w:val="center"/>
                </w:tcPr>
                <w:p>
                  <w:pPr>
                    <w:pStyle w:val="182"/>
                    <w:wordWrap/>
                    <w:rPr>
                      <w:rFonts w:hint="eastAsia"/>
                    </w:rPr>
                  </w:pPr>
                  <w:r>
                    <w:rPr>
                      <w:rFonts w:hint="eastAsia"/>
                    </w:rPr>
                    <w:t>应急救援保障</w:t>
                  </w:r>
                </w:p>
              </w:tc>
              <w:tc>
                <w:tcPr>
                  <w:tcW w:w="5069" w:type="dxa"/>
                  <w:noWrap w:val="0"/>
                  <w:vAlign w:val="center"/>
                </w:tcPr>
                <w:p>
                  <w:pPr>
                    <w:pStyle w:val="182"/>
                    <w:wordWrap/>
                    <w:rPr>
                      <w:rFonts w:hint="eastAsia"/>
                    </w:rPr>
                  </w:pPr>
                  <w:r>
                    <w:rPr>
                      <w:rFonts w:hint="eastAsia"/>
                    </w:rPr>
                    <w:t>应急设施，设备和器材等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719" w:type="dxa"/>
                  <w:noWrap w:val="0"/>
                  <w:vAlign w:val="center"/>
                </w:tcPr>
                <w:p>
                  <w:pPr>
                    <w:pStyle w:val="182"/>
                    <w:wordWrap/>
                    <w:rPr>
                      <w:rFonts w:hint="eastAsia"/>
                    </w:rPr>
                  </w:pPr>
                  <w:r>
                    <w:rPr>
                      <w:rFonts w:hint="eastAsia"/>
                    </w:rPr>
                    <w:t>5</w:t>
                  </w:r>
                </w:p>
              </w:tc>
              <w:tc>
                <w:tcPr>
                  <w:tcW w:w="2126" w:type="dxa"/>
                  <w:noWrap w:val="0"/>
                  <w:vAlign w:val="center"/>
                </w:tcPr>
                <w:p>
                  <w:pPr>
                    <w:pStyle w:val="182"/>
                    <w:wordWrap/>
                    <w:rPr>
                      <w:rFonts w:hint="eastAsia"/>
                    </w:rPr>
                  </w:pPr>
                  <w:r>
                    <w:rPr>
                      <w:rFonts w:hint="eastAsia"/>
                    </w:rPr>
                    <w:t>报警、通讯联络方式</w:t>
                  </w:r>
                </w:p>
              </w:tc>
              <w:tc>
                <w:tcPr>
                  <w:tcW w:w="5069" w:type="dxa"/>
                  <w:noWrap w:val="0"/>
                  <w:vAlign w:val="center"/>
                </w:tcPr>
                <w:p>
                  <w:pPr>
                    <w:pStyle w:val="182"/>
                    <w:wordWrap/>
                    <w:rPr>
                      <w:rFonts w:hint="eastAsia"/>
                    </w:rPr>
                  </w:pPr>
                  <w:r>
                    <w:rPr>
                      <w:rFonts w:hint="eastAsia"/>
                    </w:rPr>
                    <w:t>规定应急状态下的报警通讯方式、通知方式和交通保障、管制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719" w:type="dxa"/>
                  <w:noWrap w:val="0"/>
                  <w:vAlign w:val="center"/>
                </w:tcPr>
                <w:p>
                  <w:pPr>
                    <w:pStyle w:val="182"/>
                    <w:wordWrap/>
                    <w:rPr>
                      <w:rFonts w:hint="eastAsia"/>
                    </w:rPr>
                  </w:pPr>
                  <w:r>
                    <w:rPr>
                      <w:rFonts w:hint="eastAsia"/>
                    </w:rPr>
                    <w:t>6</w:t>
                  </w:r>
                </w:p>
              </w:tc>
              <w:tc>
                <w:tcPr>
                  <w:tcW w:w="2126" w:type="dxa"/>
                  <w:noWrap w:val="0"/>
                  <w:vAlign w:val="center"/>
                </w:tcPr>
                <w:p>
                  <w:pPr>
                    <w:pStyle w:val="182"/>
                    <w:wordWrap/>
                    <w:rPr>
                      <w:rFonts w:hint="eastAsia"/>
                    </w:rPr>
                  </w:pPr>
                  <w:r>
                    <w:rPr>
                      <w:rFonts w:hint="eastAsia"/>
                    </w:rPr>
                    <w:t>应急环境监测、抢险、救援及控制措施</w:t>
                  </w:r>
                </w:p>
              </w:tc>
              <w:tc>
                <w:tcPr>
                  <w:tcW w:w="5069" w:type="dxa"/>
                  <w:noWrap w:val="0"/>
                  <w:vAlign w:val="center"/>
                </w:tcPr>
                <w:p>
                  <w:pPr>
                    <w:pStyle w:val="182"/>
                    <w:wordWrap/>
                    <w:rPr>
                      <w:rFonts w:hint="eastAsia"/>
                    </w:rPr>
                  </w:pPr>
                  <w:r>
                    <w:rPr>
                      <w:rFonts w:hint="eastAsia"/>
                    </w:rPr>
                    <w:t>有专业队伍负责对事故现场进行侦察监测，对事故性质、参数与后果进行评估，为指挥部门提供决策依据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719" w:type="dxa"/>
                  <w:noWrap w:val="0"/>
                  <w:vAlign w:val="center"/>
                </w:tcPr>
                <w:p>
                  <w:pPr>
                    <w:pStyle w:val="182"/>
                    <w:wordWrap/>
                    <w:rPr>
                      <w:rFonts w:hint="eastAsia"/>
                    </w:rPr>
                  </w:pPr>
                  <w:r>
                    <w:rPr>
                      <w:rFonts w:hint="eastAsia"/>
                    </w:rPr>
                    <w:t>7</w:t>
                  </w:r>
                </w:p>
              </w:tc>
              <w:tc>
                <w:tcPr>
                  <w:tcW w:w="2126" w:type="dxa"/>
                  <w:noWrap w:val="0"/>
                  <w:vAlign w:val="center"/>
                </w:tcPr>
                <w:p>
                  <w:pPr>
                    <w:pStyle w:val="182"/>
                    <w:wordWrap/>
                    <w:rPr>
                      <w:rFonts w:hint="eastAsia"/>
                    </w:rPr>
                  </w:pPr>
                  <w:r>
                    <w:rPr>
                      <w:rFonts w:hint="eastAsia"/>
                    </w:rPr>
                    <w:t>应急检测、防护措施、清除泄漏措施和器材</w:t>
                  </w:r>
                </w:p>
              </w:tc>
              <w:tc>
                <w:tcPr>
                  <w:tcW w:w="5069" w:type="dxa"/>
                  <w:noWrap w:val="0"/>
                  <w:vAlign w:val="center"/>
                </w:tcPr>
                <w:p>
                  <w:pPr>
                    <w:pStyle w:val="182"/>
                    <w:wordWrap/>
                    <w:rPr>
                      <w:rFonts w:hint="eastAsia"/>
                    </w:rPr>
                  </w:pPr>
                  <w:r>
                    <w:rPr>
                      <w:rFonts w:hint="eastAsia"/>
                    </w:rPr>
                    <w:t>事故现场、邻近区域、控制防火区域、控制和清除污染措施及相应设备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719" w:type="dxa"/>
                  <w:noWrap w:val="0"/>
                  <w:vAlign w:val="center"/>
                </w:tcPr>
                <w:p>
                  <w:pPr>
                    <w:pStyle w:val="182"/>
                    <w:wordWrap/>
                    <w:rPr>
                      <w:rFonts w:hint="eastAsia"/>
                    </w:rPr>
                  </w:pPr>
                  <w:r>
                    <w:rPr>
                      <w:rFonts w:hint="eastAsia"/>
                    </w:rPr>
                    <w:t>8</w:t>
                  </w:r>
                </w:p>
              </w:tc>
              <w:tc>
                <w:tcPr>
                  <w:tcW w:w="2126" w:type="dxa"/>
                  <w:noWrap w:val="0"/>
                  <w:vAlign w:val="center"/>
                </w:tcPr>
                <w:p>
                  <w:pPr>
                    <w:pStyle w:val="182"/>
                    <w:wordWrap/>
                    <w:rPr>
                      <w:rFonts w:hint="eastAsia"/>
                    </w:rPr>
                  </w:pPr>
                  <w:r>
                    <w:rPr>
                      <w:rFonts w:hint="eastAsia"/>
                    </w:rPr>
                    <w:t>人员紧急撤离、疏散，应急剂量控制、撤离组织计划</w:t>
                  </w:r>
                </w:p>
              </w:tc>
              <w:tc>
                <w:tcPr>
                  <w:tcW w:w="5069" w:type="dxa"/>
                  <w:noWrap w:val="0"/>
                  <w:vAlign w:val="center"/>
                </w:tcPr>
                <w:p>
                  <w:pPr>
                    <w:pStyle w:val="182"/>
                    <w:wordWrap/>
                    <w:rPr>
                      <w:rFonts w:hint="eastAsia"/>
                    </w:rPr>
                  </w:pPr>
                  <w:r>
                    <w:rPr>
                      <w:rFonts w:hint="eastAsia"/>
                    </w:rPr>
                    <w:t>事故现场、工厂邻近区、受事故影响的区域人员及公众对毒物应急剂量控制规定，撤离组织计划和救护、医疗救护与公众健康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719" w:type="dxa"/>
                  <w:noWrap w:val="0"/>
                  <w:vAlign w:val="center"/>
                </w:tcPr>
                <w:p>
                  <w:pPr>
                    <w:pStyle w:val="182"/>
                    <w:wordWrap/>
                    <w:rPr>
                      <w:rFonts w:hint="eastAsia"/>
                    </w:rPr>
                  </w:pPr>
                  <w:r>
                    <w:rPr>
                      <w:rFonts w:hint="eastAsia"/>
                    </w:rPr>
                    <w:t>9</w:t>
                  </w:r>
                </w:p>
              </w:tc>
              <w:tc>
                <w:tcPr>
                  <w:tcW w:w="2126" w:type="dxa"/>
                  <w:noWrap w:val="0"/>
                  <w:vAlign w:val="center"/>
                </w:tcPr>
                <w:p>
                  <w:pPr>
                    <w:pStyle w:val="182"/>
                    <w:wordWrap/>
                    <w:rPr>
                      <w:rFonts w:hint="eastAsia"/>
                    </w:rPr>
                  </w:pPr>
                  <w:r>
                    <w:rPr>
                      <w:rFonts w:hint="eastAsia"/>
                    </w:rPr>
                    <w:t>事故应急救援关闭程序与恢复措施</w:t>
                  </w:r>
                </w:p>
              </w:tc>
              <w:tc>
                <w:tcPr>
                  <w:tcW w:w="5069" w:type="dxa"/>
                  <w:noWrap w:val="0"/>
                  <w:vAlign w:val="center"/>
                </w:tcPr>
                <w:p>
                  <w:pPr>
                    <w:pStyle w:val="182"/>
                    <w:wordWrap/>
                    <w:rPr>
                      <w:rFonts w:hint="eastAsia"/>
                    </w:rPr>
                  </w:pPr>
                  <w:r>
                    <w:rPr>
                      <w:rFonts w:hint="eastAsia"/>
                    </w:rPr>
                    <w:t>规定应急状态终止程序</w:t>
                  </w:r>
                </w:p>
                <w:p>
                  <w:pPr>
                    <w:pStyle w:val="182"/>
                    <w:wordWrap/>
                    <w:rPr>
                      <w:rFonts w:hint="eastAsia"/>
                    </w:rPr>
                  </w:pPr>
                  <w:r>
                    <w:rPr>
                      <w:rFonts w:hint="eastAsia"/>
                    </w:rPr>
                    <w:t>事故现场善后处理，恢复措施</w:t>
                  </w:r>
                </w:p>
                <w:p>
                  <w:pPr>
                    <w:pStyle w:val="182"/>
                    <w:wordWrap/>
                    <w:rPr>
                      <w:rFonts w:hint="eastAsia"/>
                    </w:rPr>
                  </w:pPr>
                  <w:r>
                    <w:rPr>
                      <w:rFonts w:hint="eastAsia"/>
                    </w:rPr>
                    <w:t>邻近区域解除事故警戒及善后恢复措施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19" w:type="dxa"/>
                  <w:noWrap w:val="0"/>
                  <w:vAlign w:val="center"/>
                </w:tcPr>
                <w:p>
                  <w:pPr>
                    <w:pStyle w:val="182"/>
                    <w:wordWrap/>
                    <w:rPr>
                      <w:rFonts w:hint="eastAsia"/>
                    </w:rPr>
                  </w:pPr>
                  <w:r>
                    <w:rPr>
                      <w:rFonts w:hint="eastAsia"/>
                    </w:rPr>
                    <w:t>10</w:t>
                  </w:r>
                </w:p>
              </w:tc>
              <w:tc>
                <w:tcPr>
                  <w:tcW w:w="2126" w:type="dxa"/>
                  <w:noWrap w:val="0"/>
                  <w:vAlign w:val="center"/>
                </w:tcPr>
                <w:p>
                  <w:pPr>
                    <w:pStyle w:val="182"/>
                    <w:wordWrap/>
                    <w:rPr>
                      <w:rFonts w:hint="eastAsia"/>
                    </w:rPr>
                  </w:pPr>
                  <w:r>
                    <w:rPr>
                      <w:rFonts w:hint="eastAsia"/>
                    </w:rPr>
                    <w:t>应急培训计划</w:t>
                  </w:r>
                </w:p>
              </w:tc>
              <w:tc>
                <w:tcPr>
                  <w:tcW w:w="5069" w:type="dxa"/>
                  <w:noWrap w:val="0"/>
                  <w:vAlign w:val="center"/>
                </w:tcPr>
                <w:p>
                  <w:pPr>
                    <w:pStyle w:val="182"/>
                    <w:wordWrap/>
                    <w:rPr>
                      <w:rFonts w:hint="eastAsia"/>
                    </w:rPr>
                  </w:pPr>
                  <w:r>
                    <w:rPr>
                      <w:rFonts w:hint="eastAsia"/>
                    </w:rPr>
                    <w:t>应急计划制定后，平时安排人员培训与演练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719" w:type="dxa"/>
                  <w:noWrap w:val="0"/>
                  <w:vAlign w:val="center"/>
                </w:tcPr>
                <w:p>
                  <w:pPr>
                    <w:pStyle w:val="182"/>
                    <w:wordWrap/>
                    <w:rPr>
                      <w:rFonts w:hint="eastAsia"/>
                    </w:rPr>
                  </w:pPr>
                  <w:r>
                    <w:rPr>
                      <w:rFonts w:hint="eastAsia"/>
                    </w:rPr>
                    <w:t>11</w:t>
                  </w:r>
                </w:p>
              </w:tc>
              <w:tc>
                <w:tcPr>
                  <w:tcW w:w="2126" w:type="dxa"/>
                  <w:noWrap w:val="0"/>
                  <w:vAlign w:val="center"/>
                </w:tcPr>
                <w:p>
                  <w:pPr>
                    <w:pStyle w:val="182"/>
                    <w:wordWrap/>
                    <w:rPr>
                      <w:rFonts w:hint="eastAsia"/>
                    </w:rPr>
                  </w:pPr>
                  <w:r>
                    <w:rPr>
                      <w:rFonts w:hint="eastAsia"/>
                    </w:rPr>
                    <w:t>公共教育和信息</w:t>
                  </w:r>
                </w:p>
              </w:tc>
              <w:tc>
                <w:tcPr>
                  <w:tcW w:w="5069" w:type="dxa"/>
                  <w:noWrap w:val="0"/>
                  <w:vAlign w:val="center"/>
                </w:tcPr>
                <w:p>
                  <w:pPr>
                    <w:pStyle w:val="182"/>
                    <w:wordWrap/>
                    <w:rPr>
                      <w:rFonts w:hint="eastAsia"/>
                    </w:rPr>
                  </w:pPr>
                  <w:r>
                    <w:rPr>
                      <w:rFonts w:hint="eastAsia"/>
                    </w:rPr>
                    <w:t>对工厂邻近地区开展公众教育、培训和发布有关信息</w:t>
                  </w:r>
                </w:p>
              </w:tc>
            </w:tr>
          </w:tbl>
          <w:p>
            <w:pPr>
              <w:autoSpaceDE w:val="0"/>
              <w:autoSpaceDN w:val="0"/>
              <w:spacing w:line="360" w:lineRule="auto"/>
              <w:ind w:left="82" w:leftChars="34" w:firstLine="480" w:firstLineChars="200"/>
              <w:rPr>
                <w:sz w:val="24"/>
              </w:rPr>
            </w:pPr>
            <w:r>
              <w:rPr>
                <w:rFonts w:hint="eastAsia" w:ascii="宋体" w:hAnsi="宋体"/>
                <w:sz w:val="24"/>
              </w:rPr>
              <w:t>结合项目特点，项目还存在</w:t>
            </w:r>
            <w:r>
              <w:rPr>
                <w:rFonts w:hint="eastAsia"/>
                <w:sz w:val="24"/>
              </w:rPr>
              <w:t>一定环境风险问题，针对该问题环评要求：发生风险事故时，项目应立即停止运营，迅速消除风险事故。</w:t>
            </w:r>
          </w:p>
          <w:p>
            <w:pPr>
              <w:pStyle w:val="13"/>
              <w:autoSpaceDE w:val="0"/>
              <w:autoSpaceDN w:val="0"/>
              <w:adjustRightInd w:val="0"/>
              <w:spacing w:before="0" w:after="0" w:line="360" w:lineRule="auto"/>
              <w:ind w:right="0" w:firstLine="482" w:firstLineChars="200"/>
              <w:rPr>
                <w:rFonts w:hint="eastAsia"/>
                <w:b/>
                <w:sz w:val="24"/>
              </w:rPr>
            </w:pPr>
            <w:r>
              <w:rPr>
                <w:rFonts w:hint="eastAsia"/>
                <w:b/>
                <w:sz w:val="24"/>
              </w:rPr>
              <w:t>（6）环境风险评价结论</w:t>
            </w:r>
          </w:p>
          <w:p>
            <w:pPr>
              <w:pStyle w:val="13"/>
              <w:autoSpaceDE w:val="0"/>
              <w:autoSpaceDN w:val="0"/>
              <w:adjustRightInd w:val="0"/>
              <w:spacing w:before="0" w:after="0" w:line="360" w:lineRule="auto"/>
              <w:ind w:right="0" w:firstLine="480" w:firstLineChars="200"/>
              <w:rPr>
                <w:sz w:val="24"/>
              </w:rPr>
            </w:pPr>
            <w:r>
              <w:rPr>
                <w:rFonts w:hint="eastAsia"/>
                <w:sz w:val="24"/>
              </w:rPr>
              <w:t>综上所述，项目运营过程中风险是存在的，但只要加强管理，建立健全相应的风险防范措施、应急措施，并在设计、施工、管理及运行中认真落实安全评估报告提出的措施和相关安全管理规定、环境风险评价中提出的措施和相关环保规定，在得到安监、环保管理部门许可后再运营，其上述环境风险可控。</w:t>
            </w:r>
          </w:p>
          <w:p>
            <w:pPr>
              <w:pStyle w:val="183"/>
              <w:ind w:firstLine="482"/>
              <w:rPr>
                <w:rFonts w:hint="eastAsia"/>
                <w:b/>
              </w:rPr>
            </w:pPr>
            <w:r>
              <w:rPr>
                <w:rFonts w:hint="eastAsia"/>
                <w:b/>
              </w:rPr>
              <w:t>8、项目环保治理投资估算</w:t>
            </w:r>
          </w:p>
          <w:p>
            <w:pPr>
              <w:pStyle w:val="187"/>
            </w:pPr>
            <w:r>
              <w:t>本项目建设总投资</w:t>
            </w:r>
            <w:r>
              <w:rPr>
                <w:rFonts w:hint="eastAsia"/>
              </w:rPr>
              <w:t>42744.66</w:t>
            </w:r>
            <w:r>
              <w:t>万元，项目环保投资预计为71万元，占项目总投资的0.17%，项目环保设施及投资详见</w:t>
            </w:r>
            <w:r>
              <w:rPr>
                <w:rFonts w:hint="eastAsia"/>
              </w:rPr>
              <w:t>下表</w:t>
            </w:r>
            <w:r>
              <w:t>。</w:t>
            </w:r>
          </w:p>
          <w:p>
            <w:pPr>
              <w:pStyle w:val="188"/>
              <w:spacing w:line="240" w:lineRule="auto"/>
              <w:rPr>
                <w:sz w:val="24"/>
                <w:szCs w:val="24"/>
              </w:rPr>
            </w:pPr>
            <w:r>
              <w:rPr>
                <w:sz w:val="24"/>
                <w:szCs w:val="24"/>
              </w:rPr>
              <w:t>表</w:t>
            </w:r>
            <w:r>
              <w:rPr>
                <w:rFonts w:hint="eastAsia"/>
                <w:sz w:val="24"/>
                <w:szCs w:val="24"/>
              </w:rPr>
              <w:t>4</w:t>
            </w:r>
            <w:r>
              <w:rPr>
                <w:sz w:val="24"/>
                <w:szCs w:val="24"/>
              </w:rPr>
              <w:t>-20  项目环保投资一览表  单位：万元</w:t>
            </w:r>
          </w:p>
          <w:tbl>
            <w:tblPr>
              <w:tblStyle w:val="39"/>
              <w:tblpPr w:leftFromText="180" w:rightFromText="180" w:vertAnchor="text" w:horzAnchor="page" w:tblpXSpec="center" w:tblpY="468"/>
              <w:tblOverlap w:val="never"/>
              <w:tblW w:w="467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834"/>
              <w:gridCol w:w="2009"/>
              <w:gridCol w:w="3760"/>
              <w:gridCol w:w="82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noWrap w:val="0"/>
                  <w:vAlign w:val="center"/>
                </w:tcPr>
                <w:p>
                  <w:pPr>
                    <w:jc w:val="center"/>
                    <w:rPr>
                      <w:b/>
                      <w:bCs/>
                      <w:szCs w:val="21"/>
                    </w:rPr>
                  </w:pPr>
                  <w:r>
                    <w:rPr>
                      <w:b/>
                      <w:bCs/>
                      <w:szCs w:val="21"/>
                    </w:rPr>
                    <w:t>污染源</w:t>
                  </w:r>
                </w:p>
              </w:tc>
              <w:tc>
                <w:tcPr>
                  <w:tcW w:w="1352" w:type="pct"/>
                  <w:noWrap w:val="0"/>
                  <w:vAlign w:val="center"/>
                </w:tcPr>
                <w:p>
                  <w:pPr>
                    <w:jc w:val="center"/>
                    <w:rPr>
                      <w:b/>
                      <w:bCs/>
                      <w:szCs w:val="21"/>
                    </w:rPr>
                  </w:pPr>
                  <w:r>
                    <w:rPr>
                      <w:b/>
                      <w:bCs/>
                      <w:szCs w:val="21"/>
                    </w:rPr>
                    <w:t>污染物名称</w:t>
                  </w:r>
                </w:p>
              </w:tc>
              <w:tc>
                <w:tcPr>
                  <w:tcW w:w="2528" w:type="pct"/>
                  <w:noWrap w:val="0"/>
                  <w:vAlign w:val="center"/>
                </w:tcPr>
                <w:p>
                  <w:pPr>
                    <w:jc w:val="center"/>
                    <w:rPr>
                      <w:b/>
                      <w:bCs/>
                      <w:szCs w:val="21"/>
                    </w:rPr>
                  </w:pPr>
                  <w:r>
                    <w:rPr>
                      <w:b/>
                      <w:bCs/>
                      <w:szCs w:val="21"/>
                    </w:rPr>
                    <w:t>治理措施</w:t>
                  </w:r>
                </w:p>
              </w:tc>
              <w:tc>
                <w:tcPr>
                  <w:tcW w:w="557" w:type="pct"/>
                  <w:noWrap w:val="0"/>
                  <w:vAlign w:val="center"/>
                </w:tcPr>
                <w:p>
                  <w:pPr>
                    <w:jc w:val="center"/>
                    <w:rPr>
                      <w:b/>
                      <w:bCs/>
                      <w:szCs w:val="21"/>
                    </w:rPr>
                  </w:pPr>
                  <w:r>
                    <w:rPr>
                      <w:b/>
                      <w:bCs/>
                      <w:szCs w:val="21"/>
                    </w:rPr>
                    <w:t>投资</w:t>
                  </w:r>
                </w:p>
                <w:p>
                  <w:pPr>
                    <w:jc w:val="center"/>
                    <w:rPr>
                      <w:b/>
                      <w:bCs/>
                      <w:szCs w:val="21"/>
                    </w:rPr>
                  </w:pPr>
                  <w:r>
                    <w:rPr>
                      <w:b/>
                      <w:bCs/>
                      <w:szCs w:val="21"/>
                    </w:rPr>
                    <w:t>(万元)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vMerge w:val="restart"/>
                  <w:noWrap w:val="0"/>
                  <w:vAlign w:val="center"/>
                </w:tcPr>
                <w:p>
                  <w:pPr>
                    <w:jc w:val="center"/>
                    <w:rPr>
                      <w:szCs w:val="21"/>
                    </w:rPr>
                  </w:pPr>
                  <w:r>
                    <w:rPr>
                      <w:szCs w:val="21"/>
                    </w:rPr>
                    <w:t>废水</w:t>
                  </w:r>
                </w:p>
              </w:tc>
              <w:tc>
                <w:tcPr>
                  <w:tcW w:w="1352" w:type="pct"/>
                  <w:noWrap w:val="0"/>
                  <w:vAlign w:val="center"/>
                </w:tcPr>
                <w:p>
                  <w:pPr>
                    <w:jc w:val="center"/>
                    <w:rPr>
                      <w:szCs w:val="21"/>
                    </w:rPr>
                  </w:pPr>
                  <w:r>
                    <w:rPr>
                      <w:szCs w:val="21"/>
                    </w:rPr>
                    <w:t>生活污水</w:t>
                  </w:r>
                </w:p>
              </w:tc>
              <w:tc>
                <w:tcPr>
                  <w:tcW w:w="2528" w:type="pct"/>
                  <w:tcBorders>
                    <w:bottom w:val="single" w:color="auto" w:sz="4" w:space="0"/>
                  </w:tcBorders>
                  <w:noWrap w:val="0"/>
                  <w:vAlign w:val="center"/>
                </w:tcPr>
                <w:p>
                  <w:pPr>
                    <w:jc w:val="center"/>
                    <w:rPr>
                      <w:szCs w:val="21"/>
                    </w:rPr>
                  </w:pPr>
                  <w:r>
                    <w:rPr>
                      <w:rFonts w:hint="eastAsia"/>
                      <w:szCs w:val="21"/>
                    </w:rPr>
                    <w:t>隔油池+化粪池（5m3）</w:t>
                  </w:r>
                </w:p>
              </w:tc>
              <w:tc>
                <w:tcPr>
                  <w:tcW w:w="557" w:type="pct"/>
                  <w:tcBorders>
                    <w:bottom w:val="single" w:color="auto" w:sz="4" w:space="0"/>
                  </w:tcBorders>
                  <w:noWrap w:val="0"/>
                  <w:vAlign w:val="center"/>
                </w:tcPr>
                <w:p>
                  <w:pPr>
                    <w:jc w:val="center"/>
                    <w:rPr>
                      <w:szCs w:val="21"/>
                    </w:rPr>
                  </w:pPr>
                  <w:r>
                    <w:rPr>
                      <w:szCs w:val="21"/>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vMerge w:val="continue"/>
                  <w:noWrap w:val="0"/>
                  <w:vAlign w:val="center"/>
                </w:tcPr>
                <w:p>
                  <w:pPr>
                    <w:jc w:val="center"/>
                    <w:rPr>
                      <w:szCs w:val="21"/>
                    </w:rPr>
                  </w:pPr>
                </w:p>
              </w:tc>
              <w:tc>
                <w:tcPr>
                  <w:tcW w:w="1352" w:type="pct"/>
                  <w:noWrap w:val="0"/>
                  <w:vAlign w:val="center"/>
                </w:tcPr>
                <w:p>
                  <w:pPr>
                    <w:jc w:val="center"/>
                    <w:rPr>
                      <w:szCs w:val="21"/>
                    </w:rPr>
                  </w:pPr>
                  <w:r>
                    <w:rPr>
                      <w:rFonts w:hint="eastAsia"/>
                      <w:szCs w:val="21"/>
                    </w:rPr>
                    <w:t>排泥水、污泥脱水废水</w:t>
                  </w:r>
                </w:p>
              </w:tc>
              <w:tc>
                <w:tcPr>
                  <w:tcW w:w="2528" w:type="pct"/>
                  <w:tcBorders>
                    <w:top w:val="single" w:color="auto" w:sz="4" w:space="0"/>
                    <w:bottom w:val="single" w:color="auto" w:sz="4" w:space="0"/>
                  </w:tcBorders>
                  <w:noWrap w:val="0"/>
                  <w:vAlign w:val="center"/>
                </w:tcPr>
                <w:p>
                  <w:pPr>
                    <w:jc w:val="center"/>
                    <w:rPr>
                      <w:szCs w:val="21"/>
                    </w:rPr>
                  </w:pPr>
                  <w:r>
                    <w:rPr>
                      <w:rFonts w:hint="eastAsia"/>
                      <w:szCs w:val="21"/>
                    </w:rPr>
                    <w:t>地埋式污水处理设施</w:t>
                  </w:r>
                </w:p>
                <w:p>
                  <w:pPr>
                    <w:jc w:val="center"/>
                    <w:rPr>
                      <w:szCs w:val="21"/>
                    </w:rPr>
                  </w:pPr>
                  <w:r>
                    <w:rPr>
                      <w:szCs w:val="21"/>
                    </w:rPr>
                    <w:t>处理能力≥</w:t>
                  </w:r>
                  <w:r>
                    <w:rPr>
                      <w:rFonts w:hint="eastAsia"/>
                      <w:szCs w:val="21"/>
                    </w:rPr>
                    <w:t>40</w:t>
                  </w:r>
                  <w:r>
                    <w:rPr>
                      <w:szCs w:val="21"/>
                    </w:rPr>
                    <w:t>m³/d</w:t>
                  </w:r>
                </w:p>
              </w:tc>
              <w:tc>
                <w:tcPr>
                  <w:tcW w:w="557" w:type="pct"/>
                  <w:tcBorders>
                    <w:top w:val="single" w:color="auto" w:sz="4" w:space="0"/>
                    <w:bottom w:val="single" w:color="auto" w:sz="4" w:space="0"/>
                  </w:tcBorders>
                  <w:noWrap w:val="0"/>
                  <w:vAlign w:val="center"/>
                </w:tcPr>
                <w:p>
                  <w:pPr>
                    <w:jc w:val="center"/>
                    <w:rPr>
                      <w:szCs w:val="21"/>
                    </w:rPr>
                  </w:pPr>
                  <w:r>
                    <w:rPr>
                      <w:rFonts w:hint="eastAsia"/>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noWrap w:val="0"/>
                  <w:vAlign w:val="center"/>
                </w:tcPr>
                <w:p>
                  <w:pPr>
                    <w:jc w:val="center"/>
                    <w:rPr>
                      <w:rFonts w:hint="eastAsia"/>
                      <w:szCs w:val="21"/>
                    </w:rPr>
                  </w:pPr>
                  <w:r>
                    <w:rPr>
                      <w:rFonts w:hint="eastAsia"/>
                      <w:szCs w:val="21"/>
                    </w:rPr>
                    <w:t>废气</w:t>
                  </w:r>
                </w:p>
              </w:tc>
              <w:tc>
                <w:tcPr>
                  <w:tcW w:w="1352" w:type="pct"/>
                  <w:noWrap w:val="0"/>
                  <w:vAlign w:val="center"/>
                </w:tcPr>
                <w:p>
                  <w:pPr>
                    <w:jc w:val="center"/>
                    <w:rPr>
                      <w:szCs w:val="21"/>
                    </w:rPr>
                  </w:pPr>
                  <w:r>
                    <w:rPr>
                      <w:rFonts w:hint="eastAsia"/>
                      <w:szCs w:val="21"/>
                    </w:rPr>
                    <w:t>食堂油烟</w:t>
                  </w:r>
                </w:p>
              </w:tc>
              <w:tc>
                <w:tcPr>
                  <w:tcW w:w="2528" w:type="pct"/>
                  <w:tcBorders>
                    <w:top w:val="single" w:color="auto" w:sz="4" w:space="0"/>
                    <w:bottom w:val="single" w:color="auto" w:sz="4" w:space="0"/>
                  </w:tcBorders>
                  <w:noWrap w:val="0"/>
                  <w:vAlign w:val="center"/>
                </w:tcPr>
                <w:p>
                  <w:pPr>
                    <w:jc w:val="center"/>
                    <w:rPr>
                      <w:rFonts w:hint="eastAsia"/>
                      <w:szCs w:val="21"/>
                    </w:rPr>
                  </w:pPr>
                  <w:r>
                    <w:rPr>
                      <w:rFonts w:hint="eastAsia"/>
                      <w:szCs w:val="21"/>
                    </w:rPr>
                    <w:t>油烟净化器</w:t>
                  </w:r>
                </w:p>
              </w:tc>
              <w:tc>
                <w:tcPr>
                  <w:tcW w:w="557" w:type="pct"/>
                  <w:tcBorders>
                    <w:top w:val="single" w:color="auto" w:sz="4" w:space="0"/>
                    <w:bottom w:val="single" w:color="auto" w:sz="4" w:space="0"/>
                  </w:tcBorders>
                  <w:noWrap w:val="0"/>
                  <w:vAlign w:val="center"/>
                </w:tcPr>
                <w:p>
                  <w:pPr>
                    <w:jc w:val="center"/>
                    <w:rPr>
                      <w:szCs w:val="21"/>
                    </w:rPr>
                  </w:pPr>
                  <w:r>
                    <w:rPr>
                      <w:rFonts w:hint="eastAsia"/>
                      <w:szCs w:val="21"/>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561" w:type="pct"/>
                  <w:noWrap w:val="0"/>
                  <w:vAlign w:val="center"/>
                </w:tcPr>
                <w:p>
                  <w:pPr>
                    <w:jc w:val="center"/>
                    <w:rPr>
                      <w:szCs w:val="21"/>
                    </w:rPr>
                  </w:pPr>
                  <w:r>
                    <w:rPr>
                      <w:szCs w:val="21"/>
                    </w:rPr>
                    <w:t>噪声</w:t>
                  </w:r>
                </w:p>
              </w:tc>
              <w:tc>
                <w:tcPr>
                  <w:tcW w:w="1352" w:type="pct"/>
                  <w:noWrap w:val="0"/>
                  <w:vAlign w:val="center"/>
                </w:tcPr>
                <w:p>
                  <w:pPr>
                    <w:jc w:val="center"/>
                    <w:rPr>
                      <w:szCs w:val="21"/>
                    </w:rPr>
                  </w:pPr>
                  <w:r>
                    <w:rPr>
                      <w:szCs w:val="21"/>
                    </w:rPr>
                    <w:t>机械噪声</w:t>
                  </w:r>
                </w:p>
              </w:tc>
              <w:tc>
                <w:tcPr>
                  <w:tcW w:w="2528" w:type="pct"/>
                  <w:tcBorders>
                    <w:top w:val="single" w:color="auto" w:sz="4" w:space="0"/>
                  </w:tcBorders>
                  <w:noWrap w:val="0"/>
                  <w:vAlign w:val="center"/>
                </w:tcPr>
                <w:p>
                  <w:pPr>
                    <w:jc w:val="center"/>
                    <w:rPr>
                      <w:szCs w:val="21"/>
                    </w:rPr>
                  </w:pPr>
                  <w:r>
                    <w:rPr>
                      <w:szCs w:val="21"/>
                    </w:rPr>
                    <w:t>厂房隔声、减振装置</w:t>
                  </w:r>
                </w:p>
              </w:tc>
              <w:tc>
                <w:tcPr>
                  <w:tcW w:w="557" w:type="pct"/>
                  <w:tcBorders>
                    <w:top w:val="single" w:color="auto" w:sz="4" w:space="0"/>
                  </w:tcBorders>
                  <w:noWrap w:val="0"/>
                  <w:vAlign w:val="center"/>
                </w:tcPr>
                <w:p>
                  <w:pPr>
                    <w:jc w:val="center"/>
                    <w:rPr>
                      <w:rFonts w:hint="eastAsia"/>
                      <w:szCs w:val="21"/>
                    </w:rPr>
                  </w:pPr>
                  <w:r>
                    <w:rPr>
                      <w:rFonts w:hint="eastAsia"/>
                      <w:szCs w:val="21"/>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56" w:hRule="atLeast"/>
                <w:jc w:val="center"/>
              </w:trPr>
              <w:tc>
                <w:tcPr>
                  <w:tcW w:w="561" w:type="pct"/>
                  <w:vMerge w:val="restart"/>
                  <w:noWrap w:val="0"/>
                  <w:vAlign w:val="center"/>
                </w:tcPr>
                <w:p>
                  <w:pPr>
                    <w:jc w:val="center"/>
                    <w:rPr>
                      <w:szCs w:val="21"/>
                    </w:rPr>
                  </w:pPr>
                  <w:r>
                    <w:rPr>
                      <w:szCs w:val="21"/>
                    </w:rPr>
                    <w:t>固废</w:t>
                  </w:r>
                </w:p>
              </w:tc>
              <w:tc>
                <w:tcPr>
                  <w:tcW w:w="1352" w:type="pct"/>
                  <w:noWrap w:val="0"/>
                  <w:vAlign w:val="center"/>
                </w:tcPr>
                <w:p>
                  <w:pPr>
                    <w:jc w:val="center"/>
                    <w:rPr>
                      <w:szCs w:val="21"/>
                    </w:rPr>
                  </w:pPr>
                  <w:r>
                    <w:rPr>
                      <w:szCs w:val="21"/>
                    </w:rPr>
                    <w:t>生活垃圾</w:t>
                  </w:r>
                </w:p>
              </w:tc>
              <w:tc>
                <w:tcPr>
                  <w:tcW w:w="2528" w:type="pct"/>
                  <w:noWrap w:val="0"/>
                  <w:vAlign w:val="center"/>
                </w:tcPr>
                <w:p>
                  <w:pPr>
                    <w:jc w:val="center"/>
                    <w:rPr>
                      <w:szCs w:val="21"/>
                    </w:rPr>
                  </w:pPr>
                  <w:r>
                    <w:rPr>
                      <w:szCs w:val="21"/>
                    </w:rPr>
                    <w:t>由环卫部门统一处理</w:t>
                  </w:r>
                </w:p>
              </w:tc>
              <w:tc>
                <w:tcPr>
                  <w:tcW w:w="557" w:type="pct"/>
                  <w:noWrap w:val="0"/>
                  <w:vAlign w:val="center"/>
                </w:tcPr>
                <w:p>
                  <w:pPr>
                    <w:jc w:val="center"/>
                    <w:rPr>
                      <w:szCs w:val="21"/>
                    </w:rPr>
                  </w:pPr>
                  <w:r>
                    <w:rPr>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6" w:hRule="atLeast"/>
                <w:jc w:val="center"/>
              </w:trPr>
              <w:tc>
                <w:tcPr>
                  <w:tcW w:w="561" w:type="pct"/>
                  <w:vMerge w:val="continue"/>
                  <w:noWrap w:val="0"/>
                  <w:vAlign w:val="center"/>
                </w:tcPr>
                <w:p>
                  <w:pPr>
                    <w:jc w:val="center"/>
                    <w:rPr>
                      <w:szCs w:val="21"/>
                    </w:rPr>
                  </w:pPr>
                </w:p>
              </w:tc>
              <w:tc>
                <w:tcPr>
                  <w:tcW w:w="1352" w:type="pct"/>
                  <w:noWrap w:val="0"/>
                  <w:vAlign w:val="center"/>
                </w:tcPr>
                <w:p>
                  <w:pPr>
                    <w:jc w:val="center"/>
                    <w:rPr>
                      <w:szCs w:val="21"/>
                    </w:rPr>
                  </w:pPr>
                  <w:r>
                    <w:rPr>
                      <w:rFonts w:hint="eastAsia"/>
                      <w:szCs w:val="21"/>
                    </w:rPr>
                    <w:t>污泥</w:t>
                  </w:r>
                </w:p>
              </w:tc>
              <w:tc>
                <w:tcPr>
                  <w:tcW w:w="2528" w:type="pct"/>
                  <w:noWrap w:val="0"/>
                  <w:vAlign w:val="center"/>
                </w:tcPr>
                <w:p>
                  <w:pPr>
                    <w:jc w:val="center"/>
                    <w:rPr>
                      <w:szCs w:val="21"/>
                    </w:rPr>
                  </w:pPr>
                  <w:r>
                    <w:rPr>
                      <w:rFonts w:hint="eastAsia"/>
                      <w:szCs w:val="21"/>
                    </w:rPr>
                    <w:t>经脱水后送至垃圾填埋场填埋处理</w:t>
                  </w:r>
                </w:p>
              </w:tc>
              <w:tc>
                <w:tcPr>
                  <w:tcW w:w="557" w:type="pct"/>
                  <w:noWrap w:val="0"/>
                  <w:vAlign w:val="center"/>
                </w:tcPr>
                <w:p>
                  <w:pPr>
                    <w:jc w:val="center"/>
                    <w:rPr>
                      <w:rFonts w:hint="eastAsia"/>
                      <w:szCs w:val="21"/>
                    </w:rPr>
                  </w:pPr>
                  <w:r>
                    <w:rPr>
                      <w:rFonts w:hint="eastAsia"/>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noWrap w:val="0"/>
                  <w:vAlign w:val="center"/>
                </w:tcPr>
                <w:p>
                  <w:pPr>
                    <w:jc w:val="center"/>
                    <w:rPr>
                      <w:szCs w:val="21"/>
                    </w:rPr>
                  </w:pPr>
                  <w:r>
                    <w:rPr>
                      <w:szCs w:val="21"/>
                    </w:rPr>
                    <w:t>风险应急</w:t>
                  </w:r>
                </w:p>
              </w:tc>
              <w:tc>
                <w:tcPr>
                  <w:tcW w:w="1352" w:type="pct"/>
                  <w:noWrap w:val="0"/>
                  <w:vAlign w:val="center"/>
                </w:tcPr>
                <w:p>
                  <w:pPr>
                    <w:jc w:val="center"/>
                    <w:rPr>
                      <w:szCs w:val="21"/>
                    </w:rPr>
                  </w:pPr>
                </w:p>
              </w:tc>
              <w:tc>
                <w:tcPr>
                  <w:tcW w:w="2528" w:type="pct"/>
                  <w:noWrap w:val="0"/>
                  <w:vAlign w:val="center"/>
                </w:tcPr>
                <w:p>
                  <w:pPr>
                    <w:jc w:val="center"/>
                    <w:rPr>
                      <w:szCs w:val="21"/>
                    </w:rPr>
                  </w:pPr>
                  <w:r>
                    <w:rPr>
                      <w:szCs w:val="21"/>
                    </w:rPr>
                    <w:t>设置消火栓、灭火器等消防措施</w:t>
                  </w:r>
                </w:p>
              </w:tc>
              <w:tc>
                <w:tcPr>
                  <w:tcW w:w="557" w:type="pct"/>
                  <w:noWrap w:val="0"/>
                  <w:vAlign w:val="center"/>
                </w:tcPr>
                <w:p>
                  <w:pPr>
                    <w:jc w:val="center"/>
                    <w:rPr>
                      <w:szCs w:val="21"/>
                    </w:rPr>
                  </w:pPr>
                  <w:r>
                    <w:rPr>
                      <w:szCs w:val="21"/>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61" w:type="pct"/>
                  <w:noWrap w:val="0"/>
                  <w:vAlign w:val="center"/>
                </w:tcPr>
                <w:p>
                  <w:pPr>
                    <w:jc w:val="center"/>
                    <w:rPr>
                      <w:szCs w:val="21"/>
                    </w:rPr>
                  </w:pPr>
                </w:p>
              </w:tc>
              <w:tc>
                <w:tcPr>
                  <w:tcW w:w="3881" w:type="pct"/>
                  <w:gridSpan w:val="2"/>
                  <w:noWrap w:val="0"/>
                  <w:vAlign w:val="center"/>
                </w:tcPr>
                <w:p>
                  <w:pPr>
                    <w:jc w:val="center"/>
                    <w:rPr>
                      <w:szCs w:val="21"/>
                    </w:rPr>
                  </w:pPr>
                  <w:r>
                    <w:rPr>
                      <w:szCs w:val="21"/>
                    </w:rPr>
                    <w:t>合  计</w:t>
                  </w:r>
                </w:p>
              </w:tc>
              <w:tc>
                <w:tcPr>
                  <w:tcW w:w="557" w:type="pct"/>
                  <w:noWrap w:val="0"/>
                  <w:vAlign w:val="center"/>
                </w:tcPr>
                <w:p>
                  <w:pPr>
                    <w:jc w:val="center"/>
                    <w:rPr>
                      <w:szCs w:val="21"/>
                    </w:rPr>
                  </w:pPr>
                  <w:r>
                    <w:rPr>
                      <w:szCs w:val="21"/>
                    </w:rPr>
                    <w:t>71</w:t>
                  </w:r>
                </w:p>
              </w:tc>
            </w:tr>
          </w:tbl>
          <w:p>
            <w:pPr>
              <w:spacing w:line="360" w:lineRule="auto"/>
              <w:ind w:firstLine="482" w:firstLineChars="200"/>
              <w:rPr>
                <w:rFonts w:hint="eastAsia" w:hAnsi="宋体" w:cs="宋体"/>
                <w:b/>
                <w:sz w:val="24"/>
              </w:rPr>
            </w:pPr>
            <w:r>
              <w:rPr>
                <w:rFonts w:hint="eastAsia" w:hAnsi="宋体" w:cs="宋体"/>
                <w:b/>
                <w:sz w:val="24"/>
              </w:rPr>
              <w:t>9、环境保护竣工验收</w:t>
            </w:r>
          </w:p>
          <w:p>
            <w:pPr>
              <w:widowControl/>
              <w:spacing w:line="360" w:lineRule="auto"/>
              <w:ind w:firstLine="480" w:firstLineChars="200"/>
              <w:jc w:val="left"/>
              <w:rPr>
                <w:rStyle w:val="186"/>
                <w:rFonts w:hint="eastAsia"/>
              </w:rPr>
            </w:pPr>
            <w:r>
              <w:rPr>
                <w:rStyle w:val="186"/>
                <w:rFonts w:hint="eastAsia"/>
              </w:rPr>
              <w:t>该项目所有环保设施均应与主体工程同时设计、同时施工、同时投产，根据《建设项目环境保护管理条例》（国令第682号）以及《建设项目竣工环境保护验收暂行办法》（国环规环评[2017]4号），建设单位是建设项目竣工环境保护验收的责任主体，应当按照《建设项目竣工环境保护验收暂行办法》（国环规环评[2017]4号）、《排污单位自行监测技术指南 总则》( HJ 819-2017)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验收报告分为验收监测（调查）报告、验收意见和其他需要说明的事项等三项内容。</w:t>
            </w:r>
          </w:p>
          <w:p>
            <w:pPr>
              <w:widowControl/>
              <w:spacing w:line="360" w:lineRule="auto"/>
              <w:ind w:firstLine="480" w:firstLineChars="200"/>
              <w:jc w:val="left"/>
              <w:rPr>
                <w:rFonts w:hint="eastAsia" w:hAnsi="宋体" w:cs="宋体"/>
                <w:kern w:val="0"/>
                <w:sz w:val="24"/>
                <w:lang w:bidi="ar"/>
              </w:rPr>
            </w:pPr>
            <w:r>
              <w:rPr>
                <w:rStyle w:val="186"/>
                <w:rFonts w:hint="eastAsia"/>
              </w:rPr>
              <w:t>验收的程序和要求：建设项目竣工后，建设单位应当如实查验、监测、记载建设项目环境保护设施的建设和调试情况，编制验收监测（调查）报告，建设单位不具备编制验收</w:t>
            </w:r>
            <w:r>
              <w:rPr>
                <w:rFonts w:hint="eastAsia" w:hAnsi="宋体" w:cs="宋体"/>
                <w:kern w:val="0"/>
                <w:sz w:val="24"/>
                <w:lang w:bidi="ar"/>
              </w:rPr>
              <w:t>监测（调查）报告能力的，可委托有能力的技术机构编制。建设单位和受委托的技术机构之间的权利和义务关系，以及受委托的技术机构应当承担的责任，可以通过合同形式约定。环境保护设施是指防治环境污染和生态破坏所需的装置、设备、监测手段和工程设施等。</w:t>
            </w:r>
          </w:p>
          <w:p>
            <w:pPr>
              <w:widowControl/>
              <w:spacing w:line="360" w:lineRule="auto"/>
              <w:ind w:firstLine="480" w:firstLineChars="200"/>
              <w:jc w:val="left"/>
              <w:rPr>
                <w:rFonts w:hint="eastAsia" w:hAnsi="宋体" w:cs="宋体"/>
                <w:kern w:val="0"/>
                <w:sz w:val="24"/>
                <w:lang w:bidi="ar"/>
              </w:rPr>
            </w:pPr>
            <w:r>
              <w:rPr>
                <w:rFonts w:hint="eastAsia" w:hAnsi="宋体" w:cs="宋体"/>
                <w:kern w:val="0"/>
                <w:sz w:val="24"/>
                <w:lang w:bidi="ar"/>
              </w:rPr>
              <w:t>验收工作组及验收意见：由设计单位、施工单位、环境影响报告书（表）编制机构、验收监测（调查）编制机构等单位代表和专业技术专家组成，代表范围和人数自定。验收监测（调查）报告编制完成后，建设单位应当根据验收监测（调查）报告结论，逐一检查是否存在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pPr>
              <w:widowControl/>
              <w:spacing w:line="360" w:lineRule="auto"/>
              <w:ind w:firstLine="480" w:firstLineChars="200"/>
              <w:jc w:val="left"/>
              <w:rPr>
                <w:rFonts w:hint="eastAsia" w:hAnsi="宋体" w:cs="宋体"/>
                <w:kern w:val="0"/>
                <w:sz w:val="24"/>
                <w:lang w:bidi="ar"/>
              </w:rPr>
            </w:pPr>
            <w:r>
              <w:rPr>
                <w:rFonts w:hint="eastAsia" w:hAnsi="宋体" w:cs="宋体"/>
                <w:kern w:val="0"/>
                <w:sz w:val="24"/>
                <w:lang w:bidi="ar"/>
              </w:rPr>
              <w:t>验收公示：除按照国家规定需要保密的情形外，建设单位应当通过其网站或其他便于公众知晓的方式，向社会公开下列信息：</w:t>
            </w:r>
          </w:p>
          <w:p>
            <w:pPr>
              <w:widowControl/>
              <w:spacing w:line="360" w:lineRule="auto"/>
              <w:ind w:firstLine="480" w:firstLineChars="200"/>
              <w:jc w:val="left"/>
              <w:rPr>
                <w:rFonts w:hint="eastAsia" w:hAnsi="宋体" w:cs="宋体"/>
                <w:kern w:val="0"/>
                <w:sz w:val="24"/>
                <w:lang w:bidi="ar"/>
              </w:rPr>
            </w:pPr>
            <w:r>
              <w:rPr>
                <w:rFonts w:hint="eastAsia" w:hAnsi="宋体" w:cs="宋体"/>
                <w:kern w:val="0"/>
                <w:sz w:val="24"/>
                <w:lang w:bidi="ar"/>
              </w:rPr>
              <w:t>（一）建设项目配套建设的环境保护设的环境保护设施竣工后，公开竣工日期；</w:t>
            </w:r>
          </w:p>
          <w:p>
            <w:pPr>
              <w:widowControl/>
              <w:spacing w:line="360" w:lineRule="auto"/>
              <w:ind w:firstLine="480" w:firstLineChars="200"/>
              <w:jc w:val="left"/>
              <w:rPr>
                <w:rFonts w:hint="eastAsia" w:hAnsi="宋体" w:cs="宋体"/>
                <w:kern w:val="0"/>
                <w:sz w:val="24"/>
                <w:lang w:bidi="ar"/>
              </w:rPr>
            </w:pPr>
            <w:r>
              <w:rPr>
                <w:rFonts w:hint="eastAsia" w:hAnsi="宋体" w:cs="宋体"/>
                <w:kern w:val="0"/>
                <w:sz w:val="24"/>
                <w:lang w:bidi="ar"/>
              </w:rPr>
              <w:t>（二）对建设项目配套建设的环境保护设施进行调试前，公开调试的起止日期；</w:t>
            </w:r>
          </w:p>
          <w:p>
            <w:pPr>
              <w:widowControl/>
              <w:spacing w:line="360" w:lineRule="auto"/>
              <w:ind w:firstLine="480" w:firstLineChars="200"/>
              <w:jc w:val="left"/>
              <w:rPr>
                <w:rFonts w:hint="eastAsia"/>
                <w:sz w:val="24"/>
              </w:rPr>
            </w:pPr>
            <w:r>
              <w:rPr>
                <w:rFonts w:hint="eastAsia" w:hAnsi="宋体" w:cs="宋体"/>
                <w:kern w:val="0"/>
                <w:sz w:val="24"/>
                <w:lang w:bidi="ar"/>
              </w:rPr>
              <w:t>（三）验收报告编制完成后的5个工作日内，公开验收报告，公示的期限不得少于20个工作日。建设单位公开上述信息的同时，应当向所在地县级以上环境保护主管部门报送相关信息，并接受监督检查。除需要取得排污许可证的水和大气污染防治设施外，其他环境保护设施的验收期限一般不超过3个月；需要对该类环境保护设施进行调试或者整改的，验收期限可以适当延长，但最长不超过12个月。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r>
              <w:rPr>
                <w:rFonts w:hint="eastAsia" w:hAnsi="宋体" w:cs="宋体"/>
                <w:sz w:val="24"/>
              </w:rPr>
              <w:t>项</w:t>
            </w:r>
            <w:r>
              <w:rPr>
                <w:rFonts w:hint="eastAsia" w:hAnsi="宋体" w:cs="宋体"/>
                <w:kern w:val="0"/>
                <w:sz w:val="24"/>
                <w:lang w:bidi="ar"/>
              </w:rPr>
              <w:t>目竣工验收内容及要求见下表。</w:t>
            </w:r>
          </w:p>
          <w:p>
            <w:pPr>
              <w:pStyle w:val="188"/>
              <w:spacing w:line="240" w:lineRule="auto"/>
              <w:rPr>
                <w:rFonts w:hint="eastAsia"/>
              </w:rPr>
            </w:pPr>
            <w:r>
              <w:rPr>
                <w:rFonts w:hint="eastAsia"/>
                <w:sz w:val="24"/>
                <w:szCs w:val="24"/>
              </w:rPr>
              <w:t>表4-</w:t>
            </w:r>
            <w:r>
              <w:rPr>
                <w:sz w:val="24"/>
                <w:szCs w:val="24"/>
              </w:rPr>
              <w:t>21</w:t>
            </w:r>
            <w:r>
              <w:rPr>
                <w:rFonts w:hint="eastAsia"/>
                <w:sz w:val="24"/>
                <w:szCs w:val="24"/>
              </w:rPr>
              <w:t xml:space="preserve"> 环保设施竣工验收要求表</w:t>
            </w:r>
          </w:p>
          <w:tbl>
            <w:tblPr>
              <w:tblStyle w:val="39"/>
              <w:tblW w:w="79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866"/>
              <w:gridCol w:w="2636"/>
              <w:gridCol w:w="1720"/>
              <w:gridCol w:w="1263"/>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95" w:type="dxa"/>
                  <w:gridSpan w:val="2"/>
                  <w:noWrap w:val="0"/>
                  <w:vAlign w:val="center"/>
                </w:tcPr>
                <w:p>
                  <w:pPr>
                    <w:jc w:val="center"/>
                    <w:rPr>
                      <w:rFonts w:hint="eastAsia" w:hAnsi="宋体" w:cs="宋体"/>
                      <w:b/>
                      <w:szCs w:val="21"/>
                    </w:rPr>
                  </w:pPr>
                  <w:r>
                    <w:rPr>
                      <w:rFonts w:hint="eastAsia" w:hAnsi="宋体" w:cs="宋体"/>
                      <w:b/>
                      <w:szCs w:val="21"/>
                    </w:rPr>
                    <w:t>验收项目</w:t>
                  </w:r>
                </w:p>
              </w:tc>
              <w:tc>
                <w:tcPr>
                  <w:tcW w:w="2636" w:type="dxa"/>
                  <w:noWrap w:val="0"/>
                  <w:vAlign w:val="center"/>
                </w:tcPr>
                <w:p>
                  <w:pPr>
                    <w:ind w:left="480" w:leftChars="200"/>
                    <w:jc w:val="center"/>
                    <w:rPr>
                      <w:rFonts w:hint="eastAsia" w:hAnsi="宋体" w:cs="宋体"/>
                      <w:b/>
                      <w:szCs w:val="21"/>
                    </w:rPr>
                  </w:pPr>
                  <w:r>
                    <w:rPr>
                      <w:rFonts w:hint="eastAsia" w:hAnsi="宋体" w:cs="宋体"/>
                      <w:b/>
                      <w:szCs w:val="21"/>
                    </w:rPr>
                    <w:t>验收内容</w:t>
                  </w:r>
                </w:p>
              </w:tc>
              <w:tc>
                <w:tcPr>
                  <w:tcW w:w="1720" w:type="dxa"/>
                  <w:noWrap w:val="0"/>
                  <w:vAlign w:val="center"/>
                </w:tcPr>
                <w:p>
                  <w:pPr>
                    <w:jc w:val="center"/>
                    <w:rPr>
                      <w:rFonts w:hint="eastAsia" w:hAnsi="宋体" w:cs="宋体"/>
                      <w:b/>
                      <w:szCs w:val="21"/>
                    </w:rPr>
                  </w:pPr>
                  <w:r>
                    <w:rPr>
                      <w:rFonts w:hint="eastAsia" w:hAnsi="宋体" w:cs="宋体"/>
                      <w:b/>
                      <w:szCs w:val="21"/>
                    </w:rPr>
                    <w:t>验收标准</w:t>
                  </w:r>
                </w:p>
              </w:tc>
              <w:tc>
                <w:tcPr>
                  <w:tcW w:w="1263" w:type="dxa"/>
                  <w:noWrap w:val="0"/>
                  <w:vAlign w:val="center"/>
                </w:tcPr>
                <w:p>
                  <w:pPr>
                    <w:pStyle w:val="90"/>
                    <w:spacing w:line="240" w:lineRule="auto"/>
                    <w:rPr>
                      <w:rFonts w:hint="eastAsia" w:hAnsi="宋体" w:cs="宋体"/>
                      <w:sz w:val="21"/>
                      <w:szCs w:val="21"/>
                    </w:rPr>
                  </w:pPr>
                  <w:r>
                    <w:rPr>
                      <w:rFonts w:hint="eastAsia" w:hAnsi="宋体" w:cs="宋体"/>
                      <w:bCs/>
                      <w:sz w:val="21"/>
                      <w:szCs w:val="21"/>
                    </w:rPr>
                    <w:t>浓度限值</w:t>
                  </w:r>
                </w:p>
              </w:tc>
              <w:tc>
                <w:tcPr>
                  <w:tcW w:w="886" w:type="dxa"/>
                  <w:noWrap w:val="0"/>
                  <w:vAlign w:val="center"/>
                </w:tcPr>
                <w:p>
                  <w:pPr>
                    <w:pStyle w:val="90"/>
                    <w:spacing w:line="240" w:lineRule="auto"/>
                    <w:rPr>
                      <w:rFonts w:hint="eastAsia" w:hAnsi="宋体" w:cs="宋体"/>
                      <w:sz w:val="21"/>
                      <w:szCs w:val="21"/>
                    </w:rPr>
                  </w:pPr>
                  <w:r>
                    <w:rPr>
                      <w:rFonts w:hint="eastAsia" w:hAnsi="宋体" w:cs="宋体"/>
                      <w:bCs/>
                      <w:sz w:val="21"/>
                      <w:szCs w:val="21"/>
                    </w:rPr>
                    <w:t>总量指标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529" w:type="dxa"/>
                  <w:noWrap w:val="0"/>
                  <w:vAlign w:val="center"/>
                </w:tcPr>
                <w:p>
                  <w:pPr>
                    <w:jc w:val="center"/>
                    <w:rPr>
                      <w:rFonts w:hint="eastAsia" w:hAnsi="宋体" w:cs="宋体"/>
                      <w:szCs w:val="21"/>
                    </w:rPr>
                  </w:pPr>
                  <w:r>
                    <w:rPr>
                      <w:rFonts w:hint="eastAsia" w:hAnsi="宋体" w:cs="宋体"/>
                      <w:szCs w:val="21"/>
                    </w:rPr>
                    <w:t>废气</w:t>
                  </w:r>
                </w:p>
              </w:tc>
              <w:tc>
                <w:tcPr>
                  <w:tcW w:w="866" w:type="dxa"/>
                  <w:noWrap w:val="0"/>
                  <w:vAlign w:val="center"/>
                </w:tcPr>
                <w:p>
                  <w:pPr>
                    <w:pStyle w:val="70"/>
                  </w:pPr>
                  <w:r>
                    <w:rPr>
                      <w:rFonts w:hint="eastAsia"/>
                    </w:rPr>
                    <w:t>食堂油烟</w:t>
                  </w:r>
                </w:p>
              </w:tc>
              <w:tc>
                <w:tcPr>
                  <w:tcW w:w="2636" w:type="dxa"/>
                  <w:noWrap w:val="0"/>
                  <w:vAlign w:val="center"/>
                </w:tcPr>
                <w:p>
                  <w:pPr>
                    <w:pStyle w:val="70"/>
                  </w:pPr>
                  <w:r>
                    <w:rPr>
                      <w:rFonts w:hint="eastAsia"/>
                    </w:rPr>
                    <w:t>设置抽油烟机</w:t>
                  </w:r>
                </w:p>
              </w:tc>
              <w:tc>
                <w:tcPr>
                  <w:tcW w:w="1720" w:type="dxa"/>
                  <w:noWrap w:val="0"/>
                  <w:vAlign w:val="center"/>
                </w:tcPr>
                <w:p>
                  <w:pPr>
                    <w:pStyle w:val="70"/>
                  </w:pPr>
                  <w:r>
                    <w:rPr>
                      <w:rFonts w:hint="eastAsia" w:hAnsi="宋体" w:cs="宋体"/>
                    </w:rPr>
                    <w:t>《饮食业油烟排放标准（试行）》（GB18483-2001）</w:t>
                  </w:r>
                </w:p>
              </w:tc>
              <w:tc>
                <w:tcPr>
                  <w:tcW w:w="1263" w:type="dxa"/>
                  <w:noWrap w:val="0"/>
                  <w:vAlign w:val="center"/>
                </w:tcPr>
                <w:p>
                  <w:pPr>
                    <w:pStyle w:val="70"/>
                  </w:pPr>
                  <w:r>
                    <w:t>≤2.0mg/m</w:t>
                  </w:r>
                  <w:r>
                    <w:rPr>
                      <w:vertAlign w:val="superscript"/>
                    </w:rPr>
                    <w:t>3</w:t>
                  </w:r>
                </w:p>
              </w:tc>
              <w:tc>
                <w:tcPr>
                  <w:tcW w:w="886" w:type="dxa"/>
                  <w:noWrap w:val="0"/>
                  <w:vAlign w:val="center"/>
                </w:tcPr>
                <w:p>
                  <w:pPr>
                    <w:jc w:val="center"/>
                    <w:rPr>
                      <w:rFonts w:hint="eastAsia" w:hAnsi="宋体" w:cs="宋体"/>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529" w:type="dxa"/>
                  <w:vMerge w:val="restart"/>
                  <w:noWrap w:val="0"/>
                  <w:vAlign w:val="center"/>
                </w:tcPr>
                <w:p>
                  <w:pPr>
                    <w:jc w:val="center"/>
                    <w:rPr>
                      <w:rFonts w:hint="eastAsia" w:hAnsi="宋体" w:cs="宋体"/>
                      <w:szCs w:val="21"/>
                    </w:rPr>
                  </w:pPr>
                  <w:r>
                    <w:rPr>
                      <w:rFonts w:hint="eastAsia" w:hAnsi="宋体" w:cs="宋体"/>
                      <w:szCs w:val="21"/>
                    </w:rPr>
                    <w:t>废水</w:t>
                  </w:r>
                </w:p>
              </w:tc>
              <w:tc>
                <w:tcPr>
                  <w:tcW w:w="866" w:type="dxa"/>
                  <w:noWrap w:val="0"/>
                  <w:vAlign w:val="center"/>
                </w:tcPr>
                <w:p>
                  <w:pPr>
                    <w:adjustRightInd w:val="0"/>
                    <w:jc w:val="center"/>
                    <w:rPr>
                      <w:rFonts w:hint="eastAsia" w:hAnsi="宋体" w:cs="宋体"/>
                      <w:szCs w:val="21"/>
                    </w:rPr>
                  </w:pPr>
                  <w:r>
                    <w:rPr>
                      <w:rFonts w:hint="eastAsia" w:hAnsi="宋体" w:cs="宋体"/>
                      <w:szCs w:val="21"/>
                    </w:rPr>
                    <w:t>生活污水</w:t>
                  </w:r>
                </w:p>
              </w:tc>
              <w:tc>
                <w:tcPr>
                  <w:tcW w:w="2636" w:type="dxa"/>
                  <w:noWrap w:val="0"/>
                  <w:vAlign w:val="center"/>
                </w:tcPr>
                <w:p>
                  <w:pPr>
                    <w:pStyle w:val="70"/>
                  </w:pPr>
                  <w:r>
                    <w:rPr>
                      <w:rFonts w:hint="eastAsia"/>
                    </w:rPr>
                    <w:t>隔油池+化粪池（5m</w:t>
                  </w:r>
                  <w:r>
                    <w:rPr>
                      <w:rFonts w:hint="eastAsia"/>
                      <w:vertAlign w:val="superscript"/>
                    </w:rPr>
                    <w:t>3</w:t>
                  </w:r>
                  <w:r>
                    <w:rPr>
                      <w:rFonts w:hint="eastAsia"/>
                    </w:rPr>
                    <w:t>）</w:t>
                  </w:r>
                </w:p>
              </w:tc>
              <w:tc>
                <w:tcPr>
                  <w:tcW w:w="1720" w:type="dxa"/>
                  <w:noWrap w:val="0"/>
                  <w:vAlign w:val="center"/>
                </w:tcPr>
                <w:p>
                  <w:pPr>
                    <w:pStyle w:val="70"/>
                    <w:rPr>
                      <w:rFonts w:hint="eastAsia"/>
                    </w:rPr>
                  </w:pPr>
                  <w:r>
                    <w:rPr>
                      <w:rFonts w:hint="eastAsia"/>
                    </w:rPr>
                    <w:t>用于周边农肥，不外排</w:t>
                  </w:r>
                </w:p>
              </w:tc>
              <w:tc>
                <w:tcPr>
                  <w:tcW w:w="1263" w:type="dxa"/>
                  <w:noWrap w:val="0"/>
                  <w:vAlign w:val="center"/>
                </w:tcPr>
                <w:p>
                  <w:pPr>
                    <w:jc w:val="center"/>
                    <w:rPr>
                      <w:rFonts w:hint="eastAsia" w:hAnsi="宋体" w:cs="宋体"/>
                      <w:szCs w:val="21"/>
                    </w:rPr>
                  </w:pPr>
                  <w:r>
                    <w:rPr>
                      <w:rFonts w:hint="eastAsia" w:hAnsi="宋体" w:cs="宋体"/>
                      <w:szCs w:val="21"/>
                    </w:rPr>
                    <w:t>/</w:t>
                  </w:r>
                </w:p>
              </w:tc>
              <w:tc>
                <w:tcPr>
                  <w:tcW w:w="886" w:type="dxa"/>
                  <w:noWrap w:val="0"/>
                  <w:vAlign w:val="center"/>
                </w:tcPr>
                <w:p>
                  <w:pPr>
                    <w:jc w:val="center"/>
                    <w:rPr>
                      <w:rFonts w:hint="eastAsia" w:hAnsi="宋体" w:cs="宋体"/>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529" w:type="dxa"/>
                  <w:vMerge w:val="continue"/>
                  <w:noWrap w:val="0"/>
                  <w:vAlign w:val="center"/>
                </w:tcPr>
                <w:p>
                  <w:pPr>
                    <w:jc w:val="center"/>
                    <w:rPr>
                      <w:rFonts w:hint="eastAsia" w:hAnsi="宋体" w:cs="宋体"/>
                      <w:szCs w:val="21"/>
                    </w:rPr>
                  </w:pPr>
                </w:p>
              </w:tc>
              <w:tc>
                <w:tcPr>
                  <w:tcW w:w="866" w:type="dxa"/>
                  <w:noWrap w:val="0"/>
                  <w:vAlign w:val="center"/>
                </w:tcPr>
                <w:p>
                  <w:pPr>
                    <w:adjustRightInd w:val="0"/>
                    <w:jc w:val="center"/>
                    <w:rPr>
                      <w:rFonts w:hAnsi="宋体" w:cs="宋体"/>
                      <w:szCs w:val="21"/>
                    </w:rPr>
                  </w:pPr>
                  <w:r>
                    <w:rPr>
                      <w:rFonts w:hint="eastAsia" w:hAnsi="宋体" w:cs="宋体"/>
                      <w:szCs w:val="21"/>
                    </w:rPr>
                    <w:t>排泥水、污泥脱水废水</w:t>
                  </w:r>
                </w:p>
              </w:tc>
              <w:tc>
                <w:tcPr>
                  <w:tcW w:w="2636" w:type="dxa"/>
                  <w:noWrap w:val="0"/>
                  <w:vAlign w:val="center"/>
                </w:tcPr>
                <w:p>
                  <w:pPr>
                    <w:pStyle w:val="70"/>
                  </w:pPr>
                  <w:r>
                    <w:rPr>
                      <w:rFonts w:hint="eastAsia"/>
                    </w:rPr>
                    <w:t>污水处理设施</w:t>
                  </w:r>
                </w:p>
              </w:tc>
              <w:tc>
                <w:tcPr>
                  <w:tcW w:w="1720" w:type="dxa"/>
                  <w:noWrap w:val="0"/>
                  <w:vAlign w:val="center"/>
                </w:tcPr>
                <w:p>
                  <w:pPr>
                    <w:pStyle w:val="70"/>
                  </w:pPr>
                  <w:r>
                    <w:rPr>
                      <w:rFonts w:hint="eastAsia"/>
                    </w:rPr>
                    <w:t>《污水综合排放标准》（GB8978-1996）中三级标准</w:t>
                  </w:r>
                </w:p>
              </w:tc>
              <w:tc>
                <w:tcPr>
                  <w:tcW w:w="1263" w:type="dxa"/>
                  <w:noWrap w:val="0"/>
                  <w:vAlign w:val="center"/>
                </w:tcPr>
                <w:p>
                  <w:pPr>
                    <w:jc w:val="center"/>
                    <w:rPr>
                      <w:rFonts w:hint="eastAsia" w:hAnsi="宋体" w:cs="宋体"/>
                      <w:szCs w:val="21"/>
                    </w:rPr>
                  </w:pPr>
                  <w:r>
                    <w:rPr>
                      <w:rFonts w:hint="eastAsia" w:hAnsi="宋体" w:cs="宋体"/>
                      <w:szCs w:val="21"/>
                    </w:rPr>
                    <w:t>COD：500；S</w:t>
                  </w:r>
                  <w:r>
                    <w:rPr>
                      <w:rFonts w:hAnsi="宋体" w:cs="宋体"/>
                      <w:szCs w:val="21"/>
                    </w:rPr>
                    <w:t>S</w:t>
                  </w:r>
                  <w:r>
                    <w:rPr>
                      <w:rFonts w:hint="eastAsia" w:hAnsi="宋体" w:cs="宋体"/>
                      <w:szCs w:val="21"/>
                    </w:rPr>
                    <w:t>：4</w:t>
                  </w:r>
                  <w:r>
                    <w:rPr>
                      <w:rFonts w:hAnsi="宋体" w:cs="宋体"/>
                      <w:szCs w:val="21"/>
                    </w:rPr>
                    <w:t>00</w:t>
                  </w:r>
                </w:p>
              </w:tc>
              <w:tc>
                <w:tcPr>
                  <w:tcW w:w="886" w:type="dxa"/>
                  <w:noWrap w:val="0"/>
                  <w:vAlign w:val="center"/>
                </w:tcPr>
                <w:p>
                  <w:pPr>
                    <w:jc w:val="center"/>
                    <w:rPr>
                      <w:rFonts w:hint="eastAsia" w:hAnsi="宋体" w:cs="宋体"/>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529" w:type="dxa"/>
                  <w:noWrap w:val="0"/>
                  <w:vAlign w:val="center"/>
                </w:tcPr>
                <w:p>
                  <w:pPr>
                    <w:jc w:val="center"/>
                    <w:rPr>
                      <w:rFonts w:hint="eastAsia" w:hAnsi="宋体" w:cs="宋体"/>
                      <w:szCs w:val="21"/>
                    </w:rPr>
                  </w:pPr>
                  <w:r>
                    <w:rPr>
                      <w:rFonts w:hint="eastAsia" w:hAnsi="宋体" w:cs="宋体"/>
                      <w:szCs w:val="21"/>
                    </w:rPr>
                    <w:t>噪声</w:t>
                  </w:r>
                </w:p>
              </w:tc>
              <w:tc>
                <w:tcPr>
                  <w:tcW w:w="866" w:type="dxa"/>
                  <w:noWrap w:val="0"/>
                  <w:vAlign w:val="center"/>
                </w:tcPr>
                <w:p>
                  <w:pPr>
                    <w:jc w:val="center"/>
                    <w:rPr>
                      <w:rFonts w:hint="eastAsia" w:hAnsi="宋体" w:cs="宋体"/>
                      <w:szCs w:val="21"/>
                    </w:rPr>
                  </w:pPr>
                  <w:r>
                    <w:rPr>
                      <w:rFonts w:hint="eastAsia" w:hAnsi="宋体" w:cs="宋体"/>
                      <w:szCs w:val="21"/>
                    </w:rPr>
                    <w:t>设备运行噪声</w:t>
                  </w:r>
                </w:p>
              </w:tc>
              <w:tc>
                <w:tcPr>
                  <w:tcW w:w="2636" w:type="dxa"/>
                  <w:noWrap w:val="0"/>
                  <w:vAlign w:val="center"/>
                </w:tcPr>
                <w:p>
                  <w:pPr>
                    <w:adjustRightInd w:val="0"/>
                    <w:snapToGrid w:val="0"/>
                    <w:spacing w:line="240" w:lineRule="atLeast"/>
                    <w:jc w:val="center"/>
                    <w:rPr>
                      <w:rFonts w:hint="eastAsia" w:hAnsi="宋体" w:cs="宋体"/>
                      <w:szCs w:val="21"/>
                    </w:rPr>
                  </w:pPr>
                  <w:r>
                    <w:rPr>
                      <w:rFonts w:hint="eastAsia" w:hAnsi="宋体" w:cs="宋体"/>
                      <w:szCs w:val="21"/>
                    </w:rPr>
                    <w:t xml:space="preserve">厂房隔声、基础减震， </w:t>
                  </w:r>
                </w:p>
              </w:tc>
              <w:tc>
                <w:tcPr>
                  <w:tcW w:w="1720" w:type="dxa"/>
                  <w:noWrap w:val="0"/>
                  <w:vAlign w:val="center"/>
                </w:tcPr>
                <w:p>
                  <w:pPr>
                    <w:jc w:val="center"/>
                    <w:rPr>
                      <w:rFonts w:hint="eastAsia" w:hAnsi="宋体" w:cs="宋体"/>
                      <w:szCs w:val="21"/>
                    </w:rPr>
                  </w:pPr>
                  <w:r>
                    <w:rPr>
                      <w:rFonts w:hint="eastAsia" w:hAnsi="宋体" w:cs="宋体"/>
                      <w:szCs w:val="21"/>
                    </w:rPr>
                    <w:t>《工业企业厂界噪声排放标准》(GB12348-2008)二类标准</w:t>
                  </w:r>
                </w:p>
              </w:tc>
              <w:tc>
                <w:tcPr>
                  <w:tcW w:w="1263" w:type="dxa"/>
                  <w:noWrap w:val="0"/>
                  <w:vAlign w:val="center"/>
                </w:tcPr>
                <w:p>
                  <w:pPr>
                    <w:jc w:val="center"/>
                    <w:rPr>
                      <w:rFonts w:hint="eastAsia" w:hAnsi="宋体" w:cs="宋体"/>
                      <w:szCs w:val="21"/>
                    </w:rPr>
                  </w:pPr>
                  <w:r>
                    <w:rPr>
                      <w:rFonts w:hint="eastAsia" w:hAnsi="宋体" w:cs="宋体"/>
                      <w:szCs w:val="21"/>
                    </w:rPr>
                    <w:t>昼间：6</w:t>
                  </w:r>
                  <w:r>
                    <w:rPr>
                      <w:rFonts w:hAnsi="宋体" w:cs="宋体"/>
                      <w:szCs w:val="21"/>
                    </w:rPr>
                    <w:t>0</w:t>
                  </w:r>
                  <w:r>
                    <w:rPr>
                      <w:rFonts w:hint="eastAsia" w:hAnsi="宋体" w:cs="宋体"/>
                      <w:szCs w:val="21"/>
                    </w:rPr>
                    <w:t>；夜间：5</w:t>
                  </w:r>
                  <w:r>
                    <w:rPr>
                      <w:rFonts w:hAnsi="宋体" w:cs="宋体"/>
                      <w:szCs w:val="21"/>
                    </w:rPr>
                    <w:t>0</w:t>
                  </w:r>
                </w:p>
              </w:tc>
              <w:tc>
                <w:tcPr>
                  <w:tcW w:w="886" w:type="dxa"/>
                  <w:noWrap w:val="0"/>
                  <w:vAlign w:val="center"/>
                </w:tcPr>
                <w:p>
                  <w:pPr>
                    <w:jc w:val="center"/>
                    <w:rPr>
                      <w:rFonts w:hint="eastAsia" w:hAnsi="宋体" w:cs="宋体"/>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529" w:type="dxa"/>
                  <w:vMerge w:val="restart"/>
                  <w:noWrap w:val="0"/>
                  <w:vAlign w:val="center"/>
                </w:tcPr>
                <w:p>
                  <w:pPr>
                    <w:jc w:val="center"/>
                    <w:rPr>
                      <w:rFonts w:hint="eastAsia" w:hAnsi="宋体" w:cs="宋体"/>
                      <w:szCs w:val="21"/>
                    </w:rPr>
                  </w:pPr>
                  <w:r>
                    <w:rPr>
                      <w:rFonts w:hint="eastAsia" w:hAnsi="宋体" w:cs="宋体"/>
                      <w:szCs w:val="21"/>
                    </w:rPr>
                    <w:t>固体废物</w:t>
                  </w:r>
                </w:p>
              </w:tc>
              <w:tc>
                <w:tcPr>
                  <w:tcW w:w="866" w:type="dxa"/>
                  <w:noWrap w:val="0"/>
                  <w:vAlign w:val="center"/>
                </w:tcPr>
                <w:p>
                  <w:pPr>
                    <w:tabs>
                      <w:tab w:val="right" w:leader="dot" w:pos="8834"/>
                    </w:tabs>
                    <w:jc w:val="center"/>
                    <w:rPr>
                      <w:rFonts w:hAnsi="宋体" w:cs="宋体"/>
                      <w:szCs w:val="21"/>
                    </w:rPr>
                  </w:pPr>
                  <w:r>
                    <w:rPr>
                      <w:rFonts w:hint="eastAsia" w:hAnsi="宋体" w:cs="宋体"/>
                      <w:szCs w:val="21"/>
                    </w:rPr>
                    <w:t>脱水泥饼</w:t>
                  </w:r>
                </w:p>
              </w:tc>
              <w:tc>
                <w:tcPr>
                  <w:tcW w:w="2636" w:type="dxa"/>
                  <w:noWrap w:val="0"/>
                  <w:vAlign w:val="center"/>
                </w:tcPr>
                <w:p>
                  <w:pPr>
                    <w:tabs>
                      <w:tab w:val="right" w:leader="dot" w:pos="8834"/>
                    </w:tabs>
                    <w:jc w:val="center"/>
                    <w:rPr>
                      <w:rFonts w:hAnsi="宋体" w:cs="宋体"/>
                      <w:szCs w:val="21"/>
                    </w:rPr>
                  </w:pPr>
                  <w:r>
                    <w:rPr>
                      <w:rFonts w:hint="eastAsia"/>
                    </w:rPr>
                    <w:t>送垃圾填埋场填埋处理</w:t>
                  </w:r>
                </w:p>
              </w:tc>
              <w:tc>
                <w:tcPr>
                  <w:tcW w:w="1720" w:type="dxa"/>
                  <w:noWrap w:val="0"/>
                  <w:vAlign w:val="center"/>
                </w:tcPr>
                <w:p>
                  <w:pPr>
                    <w:jc w:val="center"/>
                    <w:rPr>
                      <w:rFonts w:hint="eastAsia" w:hAnsi="宋体" w:cs="宋体"/>
                      <w:szCs w:val="21"/>
                    </w:rPr>
                  </w:pPr>
                  <w:r>
                    <w:rPr>
                      <w:rFonts w:hint="eastAsia" w:hAnsi="宋体" w:cs="宋体"/>
                      <w:szCs w:val="21"/>
                    </w:rPr>
                    <w:t>/</w:t>
                  </w:r>
                </w:p>
              </w:tc>
              <w:tc>
                <w:tcPr>
                  <w:tcW w:w="1263" w:type="dxa"/>
                  <w:noWrap w:val="0"/>
                  <w:vAlign w:val="center"/>
                </w:tcPr>
                <w:p>
                  <w:pPr>
                    <w:jc w:val="center"/>
                    <w:rPr>
                      <w:rFonts w:hint="eastAsia" w:hAnsi="宋体" w:cs="宋体"/>
                      <w:szCs w:val="21"/>
                    </w:rPr>
                  </w:pPr>
                  <w:r>
                    <w:rPr>
                      <w:rFonts w:hint="eastAsia" w:hAnsi="宋体" w:cs="宋体"/>
                      <w:szCs w:val="21"/>
                    </w:rPr>
                    <w:t>/</w:t>
                  </w:r>
                </w:p>
              </w:tc>
              <w:tc>
                <w:tcPr>
                  <w:tcW w:w="886" w:type="dxa"/>
                  <w:noWrap w:val="0"/>
                  <w:vAlign w:val="center"/>
                </w:tcPr>
                <w:p>
                  <w:pPr>
                    <w:ind w:left="480" w:leftChars="200"/>
                    <w:jc w:val="center"/>
                    <w:rPr>
                      <w:rFonts w:hint="eastAsia" w:hAnsi="宋体" w:cs="宋体"/>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529" w:type="dxa"/>
                  <w:vMerge w:val="continue"/>
                  <w:noWrap w:val="0"/>
                  <w:vAlign w:val="center"/>
                </w:tcPr>
                <w:p>
                  <w:pPr>
                    <w:jc w:val="center"/>
                    <w:rPr>
                      <w:szCs w:val="21"/>
                    </w:rPr>
                  </w:pPr>
                </w:p>
              </w:tc>
              <w:tc>
                <w:tcPr>
                  <w:tcW w:w="866" w:type="dxa"/>
                  <w:noWrap w:val="0"/>
                  <w:vAlign w:val="center"/>
                </w:tcPr>
                <w:p>
                  <w:pPr>
                    <w:tabs>
                      <w:tab w:val="right" w:leader="dot" w:pos="8834"/>
                    </w:tabs>
                    <w:jc w:val="center"/>
                    <w:rPr>
                      <w:rFonts w:hint="eastAsia" w:hAnsi="宋体" w:cs="宋体"/>
                      <w:bCs/>
                      <w:szCs w:val="21"/>
                    </w:rPr>
                  </w:pPr>
                  <w:r>
                    <w:rPr>
                      <w:rFonts w:hint="eastAsia"/>
                      <w:szCs w:val="21"/>
                    </w:rPr>
                    <w:t>生活垃圾</w:t>
                  </w:r>
                </w:p>
              </w:tc>
              <w:tc>
                <w:tcPr>
                  <w:tcW w:w="2636" w:type="dxa"/>
                  <w:noWrap w:val="0"/>
                  <w:vAlign w:val="center"/>
                </w:tcPr>
                <w:p>
                  <w:pPr>
                    <w:tabs>
                      <w:tab w:val="right" w:leader="dot" w:pos="8834"/>
                    </w:tabs>
                    <w:jc w:val="center"/>
                    <w:rPr>
                      <w:rFonts w:hint="eastAsia" w:hAnsi="宋体" w:cs="宋体"/>
                      <w:bCs/>
                      <w:szCs w:val="21"/>
                    </w:rPr>
                  </w:pPr>
                  <w:r>
                    <w:rPr>
                      <w:rFonts w:hint="eastAsia"/>
                      <w:szCs w:val="21"/>
                    </w:rPr>
                    <w:t>交由环卫部门进行处理</w:t>
                  </w:r>
                </w:p>
              </w:tc>
              <w:tc>
                <w:tcPr>
                  <w:tcW w:w="1720" w:type="dxa"/>
                  <w:noWrap w:val="0"/>
                  <w:vAlign w:val="center"/>
                </w:tcPr>
                <w:p>
                  <w:pPr>
                    <w:jc w:val="center"/>
                    <w:rPr>
                      <w:rFonts w:hint="eastAsia" w:hAnsi="宋体" w:cs="宋体"/>
                      <w:bCs/>
                      <w:szCs w:val="21"/>
                    </w:rPr>
                  </w:pPr>
                  <w:r>
                    <w:rPr>
                      <w:rFonts w:hint="eastAsia" w:hAnsi="宋体" w:cs="宋体"/>
                      <w:szCs w:val="21"/>
                    </w:rPr>
                    <w:t>/</w:t>
                  </w:r>
                </w:p>
              </w:tc>
              <w:tc>
                <w:tcPr>
                  <w:tcW w:w="1263" w:type="dxa"/>
                  <w:noWrap w:val="0"/>
                  <w:vAlign w:val="center"/>
                </w:tcPr>
                <w:p>
                  <w:pPr>
                    <w:jc w:val="center"/>
                    <w:rPr>
                      <w:rFonts w:hint="eastAsia" w:hAnsi="宋体" w:cs="宋体"/>
                      <w:bCs/>
                      <w:szCs w:val="21"/>
                    </w:rPr>
                  </w:pPr>
                  <w:r>
                    <w:rPr>
                      <w:rFonts w:hint="eastAsia" w:hAnsi="宋体" w:cs="宋体"/>
                      <w:szCs w:val="21"/>
                    </w:rPr>
                    <w:t>/</w:t>
                  </w:r>
                </w:p>
              </w:tc>
              <w:tc>
                <w:tcPr>
                  <w:tcW w:w="886" w:type="dxa"/>
                  <w:noWrap w:val="0"/>
                  <w:vAlign w:val="center"/>
                </w:tcPr>
                <w:p>
                  <w:pPr>
                    <w:ind w:left="480" w:leftChars="200"/>
                    <w:jc w:val="center"/>
                    <w:rPr>
                      <w:rFonts w:hint="eastAsia" w:hAnsi="宋体" w:cs="宋体"/>
                      <w:bCs/>
                      <w:szCs w:val="21"/>
                    </w:rPr>
                  </w:pPr>
                  <w:r>
                    <w:rPr>
                      <w:rFonts w:hint="eastAsia"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900" w:type="dxa"/>
                  <w:gridSpan w:val="6"/>
                  <w:noWrap w:val="0"/>
                  <w:vAlign w:val="center"/>
                </w:tcPr>
                <w:p>
                  <w:pPr>
                    <w:ind w:left="480" w:leftChars="200"/>
                    <w:jc w:val="center"/>
                    <w:rPr>
                      <w:rFonts w:hint="eastAsia" w:hAnsi="宋体" w:cs="宋体"/>
                      <w:szCs w:val="21"/>
                    </w:rPr>
                  </w:pPr>
                  <w:r>
                    <w:rPr>
                      <w:rFonts w:hint="eastAsia" w:hAnsi="宋体" w:cs="宋体"/>
                      <w:szCs w:val="21"/>
                    </w:rPr>
                    <w:t>按要求提交该项目竣工环境保护验收监测报告表</w:t>
                  </w:r>
                </w:p>
              </w:tc>
            </w:tr>
          </w:tbl>
          <w:p>
            <w:pPr>
              <w:pStyle w:val="183"/>
            </w:pPr>
          </w:p>
        </w:tc>
      </w:tr>
    </w:tbl>
    <w:p>
      <w:pPr>
        <w:adjustRightInd w:val="0"/>
        <w:snapToGrid w:val="0"/>
        <w:spacing w:line="360" w:lineRule="auto"/>
        <w:rPr>
          <w:rFonts w:hint="eastAsia" w:ascii="宋体" w:cs="宋体"/>
          <w:b/>
          <w:kern w:val="0"/>
          <w:sz w:val="28"/>
          <w:szCs w:val="28"/>
        </w:rPr>
        <w:sectPr>
          <w:pgSz w:w="11907" w:h="16840"/>
          <w:pgMar w:top="1797" w:right="1440" w:bottom="1797" w:left="1440" w:header="851" w:footer="851" w:gutter="0"/>
          <w:cols w:space="720" w:num="1"/>
          <w:docGrid w:linePitch="312" w:charSpace="0"/>
        </w:sectPr>
      </w:pPr>
    </w:p>
    <w:p>
      <w:pPr>
        <w:pStyle w:val="34"/>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13" w:name="_Hlk54167917"/>
      <w:r>
        <w:rPr>
          <w:rFonts w:hint="eastAsia" w:ascii="黑体" w:hAnsi="黑体" w:eastAsia="黑体"/>
          <w:snapToGrid w:val="0"/>
          <w:sz w:val="30"/>
          <w:szCs w:val="30"/>
        </w:rPr>
        <w:t>环境保护措施监督检查清单</w:t>
      </w:r>
      <w:bookmarkEnd w:id="13"/>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701"/>
        <w:gridCol w:w="1134"/>
        <w:gridCol w:w="2551"/>
        <w:gridCol w:w="18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tcBorders>
              <w:tl2br w:val="single" w:color="auto" w:sz="4" w:space="0"/>
            </w:tcBorders>
            <w:noWrap w:val="0"/>
            <w:vAlign w:val="top"/>
          </w:tcPr>
          <w:p>
            <w:pPr>
              <w:adjustRightInd w:val="0"/>
              <w:snapToGrid w:val="0"/>
              <w:ind w:firstLine="840"/>
              <w:rPr>
                <w:rFonts w:hint="eastAsia" w:ascii="宋体" w:hAnsi="宋体" w:cs="宋体"/>
                <w:szCs w:val="21"/>
              </w:rPr>
            </w:pPr>
            <w:r>
              <w:rPr>
                <w:rFonts w:hint="eastAsia" w:ascii="宋体" w:hAnsi="宋体" w:cs="宋体"/>
                <w:szCs w:val="21"/>
              </w:rPr>
              <w:t>内容</w:t>
            </w:r>
          </w:p>
          <w:p>
            <w:pPr>
              <w:adjustRightInd w:val="0"/>
              <w:snapToGrid w:val="0"/>
              <w:rPr>
                <w:rFonts w:hint="eastAsia" w:ascii="宋体" w:hAnsi="宋体" w:cs="宋体"/>
                <w:szCs w:val="21"/>
              </w:rPr>
            </w:pPr>
            <w:r>
              <w:rPr>
                <w:rFonts w:hint="eastAsia" w:ascii="宋体" w:hAnsi="宋体" w:cs="宋体"/>
                <w:szCs w:val="21"/>
              </w:rPr>
              <w:t>要素</w:t>
            </w:r>
          </w:p>
        </w:tc>
        <w:tc>
          <w:tcPr>
            <w:tcW w:w="170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排放口(编号、</w:t>
            </w:r>
          </w:p>
          <w:p>
            <w:pPr>
              <w:adjustRightInd w:val="0"/>
              <w:snapToGrid w:val="0"/>
              <w:jc w:val="center"/>
              <w:rPr>
                <w:rFonts w:hint="eastAsia" w:ascii="宋体" w:hAnsi="宋体" w:cs="宋体"/>
                <w:szCs w:val="21"/>
              </w:rPr>
            </w:pPr>
            <w:r>
              <w:rPr>
                <w:rFonts w:hint="eastAsia" w:ascii="宋体" w:hAnsi="宋体" w:cs="宋体"/>
                <w:szCs w:val="21"/>
              </w:rPr>
              <w:t>名称)/污染源</w:t>
            </w:r>
          </w:p>
        </w:tc>
        <w:tc>
          <w:tcPr>
            <w:tcW w:w="113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污染物项目</w:t>
            </w:r>
          </w:p>
        </w:tc>
        <w:tc>
          <w:tcPr>
            <w:tcW w:w="25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环境保护措施</w:t>
            </w:r>
          </w:p>
        </w:tc>
        <w:tc>
          <w:tcPr>
            <w:tcW w:w="187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大气环境</w:t>
            </w:r>
          </w:p>
        </w:tc>
        <w:tc>
          <w:tcPr>
            <w:tcW w:w="1701" w:type="dxa"/>
            <w:noWrap w:val="0"/>
            <w:vAlign w:val="center"/>
          </w:tcPr>
          <w:p>
            <w:pPr>
              <w:pStyle w:val="70"/>
            </w:pPr>
            <w:r>
              <w:rPr>
                <w:rFonts w:hint="eastAsia"/>
              </w:rPr>
              <w:t>盐酸储罐</w:t>
            </w:r>
          </w:p>
        </w:tc>
        <w:tc>
          <w:tcPr>
            <w:tcW w:w="113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氯化氢</w:t>
            </w:r>
          </w:p>
        </w:tc>
        <w:tc>
          <w:tcPr>
            <w:tcW w:w="2551" w:type="dxa"/>
            <w:noWrap w:val="0"/>
            <w:vAlign w:val="center"/>
          </w:tcPr>
          <w:p>
            <w:pPr>
              <w:pStyle w:val="70"/>
            </w:pPr>
            <w:r>
              <w:rPr>
                <w:rFonts w:hint="eastAsia"/>
              </w:rPr>
              <w:t>加强通风</w:t>
            </w:r>
          </w:p>
        </w:tc>
        <w:tc>
          <w:tcPr>
            <w:tcW w:w="1876" w:type="dxa"/>
            <w:noWrap w:val="0"/>
            <w:vAlign w:val="center"/>
          </w:tcPr>
          <w:p>
            <w:pPr>
              <w:pStyle w:val="182"/>
              <w:rPr>
                <w:rFonts w:hint="eastAsia"/>
              </w:rPr>
            </w:pPr>
            <w:r>
              <w:t>《大气污染物综合排放标准》（GB16297-1996）无组织排放标准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vMerge w:val="continue"/>
            <w:noWrap w:val="0"/>
            <w:vAlign w:val="center"/>
          </w:tcPr>
          <w:p>
            <w:pPr>
              <w:adjustRightInd w:val="0"/>
              <w:snapToGrid w:val="0"/>
              <w:jc w:val="center"/>
              <w:rPr>
                <w:rFonts w:hint="eastAsia" w:ascii="宋体" w:hAnsi="宋体" w:cs="宋体"/>
                <w:szCs w:val="21"/>
              </w:rPr>
            </w:pPr>
          </w:p>
        </w:tc>
        <w:tc>
          <w:tcPr>
            <w:tcW w:w="1701" w:type="dxa"/>
            <w:noWrap w:val="0"/>
            <w:vAlign w:val="center"/>
          </w:tcPr>
          <w:p>
            <w:pPr>
              <w:pStyle w:val="70"/>
            </w:pPr>
            <w:r>
              <w:rPr>
                <w:rFonts w:hint="eastAsia"/>
              </w:rPr>
              <w:t>食堂油烟</w:t>
            </w:r>
          </w:p>
        </w:tc>
        <w:tc>
          <w:tcPr>
            <w:tcW w:w="113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油烟</w:t>
            </w:r>
          </w:p>
        </w:tc>
        <w:tc>
          <w:tcPr>
            <w:tcW w:w="2551" w:type="dxa"/>
            <w:noWrap w:val="0"/>
            <w:vAlign w:val="center"/>
          </w:tcPr>
          <w:p>
            <w:pPr>
              <w:pStyle w:val="70"/>
            </w:pPr>
            <w:r>
              <w:rPr>
                <w:rFonts w:hint="eastAsia"/>
              </w:rPr>
              <w:t>设置抽油烟机</w:t>
            </w:r>
          </w:p>
        </w:tc>
        <w:tc>
          <w:tcPr>
            <w:tcW w:w="1876" w:type="dxa"/>
            <w:noWrap w:val="0"/>
            <w:vAlign w:val="center"/>
          </w:tcPr>
          <w:p>
            <w:pPr>
              <w:pStyle w:val="182"/>
              <w:rPr>
                <w:rFonts w:hint="eastAsia"/>
              </w:rPr>
            </w:pPr>
            <w:r>
              <w:rPr>
                <w:rFonts w:hint="eastAsia"/>
              </w:rPr>
              <w:t>《饮食业油烟排放标准（试行）》（GB18483-2001）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地表水环境</w:t>
            </w:r>
          </w:p>
        </w:tc>
        <w:tc>
          <w:tcPr>
            <w:tcW w:w="1701" w:type="dxa"/>
            <w:noWrap w:val="0"/>
            <w:vAlign w:val="center"/>
          </w:tcPr>
          <w:p>
            <w:pPr>
              <w:adjustRightInd w:val="0"/>
              <w:snapToGrid w:val="0"/>
              <w:jc w:val="center"/>
              <w:rPr>
                <w:rFonts w:ascii="宋体" w:hAnsi="宋体" w:cs="宋体"/>
                <w:szCs w:val="21"/>
              </w:rPr>
            </w:pPr>
            <w:r>
              <w:rPr>
                <w:rFonts w:hint="eastAsia" w:ascii="宋体" w:hAnsi="宋体" w:cs="宋体"/>
                <w:szCs w:val="21"/>
              </w:rPr>
              <w:t>排泥水、污泥脱水废水</w:t>
            </w:r>
          </w:p>
        </w:tc>
        <w:tc>
          <w:tcPr>
            <w:tcW w:w="1134" w:type="dxa"/>
            <w:noWrap w:val="0"/>
            <w:vAlign w:val="center"/>
          </w:tcPr>
          <w:p>
            <w:pPr>
              <w:pStyle w:val="182"/>
              <w:rPr>
                <w:rFonts w:hint="eastAsia"/>
              </w:rPr>
            </w:pPr>
            <w:r>
              <w:t>COD</w:t>
            </w:r>
            <w:r>
              <w:rPr>
                <w:vertAlign w:val="subscript"/>
              </w:rPr>
              <w:t>Cr</w:t>
            </w:r>
            <w:r>
              <w:t>、SS</w:t>
            </w:r>
          </w:p>
        </w:tc>
        <w:tc>
          <w:tcPr>
            <w:tcW w:w="2551" w:type="dxa"/>
            <w:noWrap w:val="0"/>
            <w:vAlign w:val="center"/>
          </w:tcPr>
          <w:p>
            <w:pPr>
              <w:pStyle w:val="182"/>
              <w:rPr>
                <w:rFonts w:ascii="宋体" w:hAnsi="宋体" w:cs="宋体"/>
              </w:rPr>
            </w:pPr>
            <w:r>
              <w:rPr>
                <w:rFonts w:hint="eastAsia" w:ascii="宋体" w:hAnsi="宋体" w:cs="宋体"/>
              </w:rPr>
              <w:t>污水处理设施处理后排入土主镇污水处理厂</w:t>
            </w:r>
          </w:p>
        </w:tc>
        <w:tc>
          <w:tcPr>
            <w:tcW w:w="1876" w:type="dxa"/>
            <w:vMerge w:val="restart"/>
            <w:noWrap w:val="0"/>
            <w:vAlign w:val="center"/>
          </w:tcPr>
          <w:p>
            <w:pPr>
              <w:pStyle w:val="182"/>
              <w:rPr>
                <w:rFonts w:hint="eastAsia"/>
              </w:rPr>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vMerge w:val="continue"/>
            <w:noWrap w:val="0"/>
            <w:vAlign w:val="center"/>
          </w:tcPr>
          <w:p>
            <w:pPr>
              <w:adjustRightInd w:val="0"/>
              <w:snapToGrid w:val="0"/>
              <w:jc w:val="center"/>
              <w:rPr>
                <w:rFonts w:hint="eastAsia" w:ascii="宋体" w:hAnsi="宋体" w:cs="宋体"/>
                <w:szCs w:val="21"/>
              </w:rPr>
            </w:pPr>
          </w:p>
        </w:tc>
        <w:tc>
          <w:tcPr>
            <w:tcW w:w="170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生活污水</w:t>
            </w:r>
          </w:p>
        </w:tc>
        <w:tc>
          <w:tcPr>
            <w:tcW w:w="1134" w:type="dxa"/>
            <w:noWrap w:val="0"/>
            <w:vAlign w:val="center"/>
          </w:tcPr>
          <w:p>
            <w:pPr>
              <w:pStyle w:val="182"/>
              <w:rPr>
                <w:rFonts w:hint="eastAsia" w:ascii="宋体" w:hAnsi="宋体" w:cs="宋体"/>
              </w:rPr>
            </w:pPr>
            <w:r>
              <w:t>COD</w:t>
            </w:r>
            <w:r>
              <w:rPr>
                <w:vertAlign w:val="subscript"/>
              </w:rPr>
              <w:t>Cr</w:t>
            </w:r>
            <w:r>
              <w:t>、BOD</w:t>
            </w:r>
            <w:r>
              <w:rPr>
                <w:vertAlign w:val="subscript"/>
              </w:rPr>
              <w:t>5</w:t>
            </w:r>
            <w:r>
              <w:t>、SS、NH</w:t>
            </w:r>
            <w:r>
              <w:rPr>
                <w:vertAlign w:val="subscript"/>
              </w:rPr>
              <w:t>3</w:t>
            </w:r>
            <w:r>
              <w:t>-N</w:t>
            </w:r>
          </w:p>
        </w:tc>
        <w:tc>
          <w:tcPr>
            <w:tcW w:w="25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食堂废水先经隔油池处理后与其他生活污水一起进入化粪池处理，用于周边农田农肥</w:t>
            </w:r>
          </w:p>
        </w:tc>
        <w:tc>
          <w:tcPr>
            <w:tcW w:w="1876"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声环境</w:t>
            </w:r>
          </w:p>
        </w:tc>
        <w:tc>
          <w:tcPr>
            <w:tcW w:w="170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生产车间</w:t>
            </w:r>
          </w:p>
        </w:tc>
        <w:tc>
          <w:tcPr>
            <w:tcW w:w="113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设备噪声</w:t>
            </w:r>
          </w:p>
        </w:tc>
        <w:tc>
          <w:tcPr>
            <w:tcW w:w="2551" w:type="dxa"/>
            <w:noWrap w:val="0"/>
            <w:vAlign w:val="center"/>
          </w:tcPr>
          <w:p>
            <w:pPr>
              <w:pStyle w:val="182"/>
              <w:rPr>
                <w:rFonts w:hint="eastAsia" w:ascii="宋体"/>
              </w:rPr>
            </w:pPr>
            <w:r>
              <w:rPr>
                <w:rFonts w:hint="eastAsia"/>
              </w:rPr>
              <w:t>夜间不生产，厂房隔声、基础减震</w:t>
            </w:r>
            <w:r>
              <w:rPr>
                <w:rFonts w:hint="eastAsia" w:ascii="宋体"/>
              </w:rPr>
              <w:t xml:space="preserve"> </w:t>
            </w:r>
          </w:p>
        </w:tc>
        <w:tc>
          <w:tcPr>
            <w:tcW w:w="1876" w:type="dxa"/>
            <w:noWrap w:val="0"/>
            <w:vAlign w:val="center"/>
          </w:tcPr>
          <w:p>
            <w:pPr>
              <w:pStyle w:val="182"/>
              <w:rPr>
                <w:rFonts w:hint="eastAsia"/>
              </w:rPr>
            </w:pPr>
            <w:r>
              <w:rPr>
                <w:rFonts w:hint="eastAsia"/>
              </w:rPr>
              <w:t>《声环境质量标准》（GB3096－2008）2类标准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电磁辐射</w:t>
            </w:r>
          </w:p>
        </w:tc>
        <w:tc>
          <w:tcPr>
            <w:tcW w:w="170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c>
          <w:tcPr>
            <w:tcW w:w="113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c>
          <w:tcPr>
            <w:tcW w:w="25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c>
          <w:tcPr>
            <w:tcW w:w="187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固体废物</w:t>
            </w:r>
          </w:p>
        </w:tc>
        <w:tc>
          <w:tcPr>
            <w:tcW w:w="7262" w:type="dxa"/>
            <w:gridSpan w:val="4"/>
            <w:noWrap w:val="0"/>
            <w:vAlign w:val="center"/>
          </w:tcPr>
          <w:p>
            <w:pPr>
              <w:pStyle w:val="182"/>
              <w:rPr>
                <w:rFonts w:hint="eastAsia" w:ascii="宋体" w:hAnsi="宋体" w:cs="宋体"/>
              </w:rPr>
            </w:pPr>
            <w:r>
              <w:rPr>
                <w:rFonts w:hint="eastAsia"/>
              </w:rPr>
              <w:t>脱水污泥：送垃圾填埋场填埋；生活垃圾：收集后交由当地环卫部门统一处理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土壤及地下水</w:t>
            </w:r>
          </w:p>
          <w:p>
            <w:pPr>
              <w:adjustRightInd w:val="0"/>
              <w:snapToGrid w:val="0"/>
              <w:jc w:val="center"/>
              <w:rPr>
                <w:rFonts w:hint="eastAsia" w:ascii="宋体" w:hAnsi="宋体" w:cs="宋体"/>
                <w:szCs w:val="21"/>
              </w:rPr>
            </w:pPr>
            <w:r>
              <w:rPr>
                <w:rFonts w:hint="eastAsia" w:ascii="宋体" w:hAnsi="宋体" w:cs="宋体"/>
                <w:szCs w:val="21"/>
              </w:rPr>
              <w:t>污染防治措施</w:t>
            </w:r>
          </w:p>
        </w:tc>
        <w:tc>
          <w:tcPr>
            <w:tcW w:w="7262"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生态保护措施</w:t>
            </w:r>
          </w:p>
        </w:tc>
        <w:tc>
          <w:tcPr>
            <w:tcW w:w="7262"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环境风险</w:t>
            </w:r>
          </w:p>
          <w:p>
            <w:pPr>
              <w:adjustRightInd w:val="0"/>
              <w:snapToGrid w:val="0"/>
              <w:jc w:val="center"/>
              <w:rPr>
                <w:rFonts w:hint="eastAsia" w:ascii="宋体" w:hAnsi="宋体" w:cs="宋体"/>
                <w:spacing w:val="-8"/>
                <w:szCs w:val="21"/>
              </w:rPr>
            </w:pPr>
            <w:r>
              <w:rPr>
                <w:rFonts w:hint="eastAsia" w:ascii="宋体" w:hAnsi="宋体" w:cs="宋体"/>
                <w:spacing w:val="-8"/>
                <w:szCs w:val="21"/>
              </w:rPr>
              <w:t>防范措施</w:t>
            </w:r>
          </w:p>
        </w:tc>
        <w:tc>
          <w:tcPr>
            <w:tcW w:w="7262"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其他环境</w:t>
            </w:r>
          </w:p>
          <w:p>
            <w:pPr>
              <w:adjustRightInd w:val="0"/>
              <w:snapToGrid w:val="0"/>
              <w:jc w:val="center"/>
              <w:rPr>
                <w:rFonts w:hint="eastAsia" w:ascii="宋体" w:hAnsi="宋体" w:cs="宋体"/>
                <w:spacing w:val="-8"/>
                <w:szCs w:val="21"/>
              </w:rPr>
            </w:pPr>
            <w:r>
              <w:rPr>
                <w:rFonts w:hint="eastAsia" w:ascii="宋体" w:hAnsi="宋体" w:cs="宋体"/>
                <w:spacing w:val="-8"/>
                <w:szCs w:val="21"/>
              </w:rPr>
              <w:t>管理要求</w:t>
            </w:r>
          </w:p>
        </w:tc>
        <w:tc>
          <w:tcPr>
            <w:tcW w:w="7262"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w:t>
            </w:r>
          </w:p>
        </w:tc>
      </w:tr>
    </w:tbl>
    <w:p>
      <w:pPr>
        <w:pStyle w:val="34"/>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pStyle w:val="173"/>
              <w:spacing w:line="360" w:lineRule="auto"/>
              <w:ind w:firstLine="480"/>
              <w:rPr>
                <w:b/>
                <w:color w:val="auto"/>
              </w:rPr>
            </w:pPr>
            <w:r>
              <w:rPr>
                <w:rFonts w:hint="eastAsia"/>
                <w:color w:val="auto"/>
              </w:rPr>
              <w:t>评价认为，乐山浩淼生态环境工程有限公司投资建设的“乐山市市中区岷东片区水资源配置工程”符合国家产业政策，选址合理；区域环境质量总体上能达到环境标准要求；项目选址与总图布置合理，采用的污染防治措施经济技术可行。在确保项目“三废”污染源达标排放，并严格执行“三同时”制度，落实设计和环评报告表中提出的各项环保治理措施并确保环保设施正常运转的前提下，污染物的排放能满足所执行的环境标准和总量控制要求，不会改变环评区域现有功能的。</w:t>
            </w:r>
            <w:r>
              <w:rPr>
                <w:rFonts w:hint="eastAsia"/>
                <w:b/>
                <w:color w:val="auto"/>
              </w:rPr>
              <w:t>从环保的角度出发，本项目建设是可行的。</w:t>
            </w: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482"/>
              <w:rPr>
                <w:rFonts w:hint="eastAsia"/>
                <w:b/>
                <w:color w:val="auto"/>
              </w:rPr>
            </w:pPr>
          </w:p>
          <w:p>
            <w:pPr>
              <w:pStyle w:val="173"/>
              <w:spacing w:line="360" w:lineRule="auto"/>
              <w:ind w:firstLine="0" w:firstLineChars="0"/>
              <w:rPr>
                <w:rFonts w:hint="eastAsia" w:ascii="宋体" w:cs="宋体"/>
                <w:color w:val="auto"/>
              </w:rPr>
            </w:pPr>
          </w:p>
        </w:tc>
      </w:tr>
    </w:tbl>
    <w:p>
      <w:pPr>
        <w:rPr>
          <w:rFonts w:ascii="宋体"/>
        </w:rPr>
        <w:sectPr>
          <w:pgSz w:w="11906" w:h="16838"/>
          <w:pgMar w:top="1797" w:right="1440" w:bottom="1797" w:left="1440" w:header="851" w:footer="851" w:gutter="0"/>
          <w:cols w:space="720" w:num="1"/>
          <w:docGrid w:linePitch="312" w:charSpace="0"/>
        </w:sectPr>
      </w:pPr>
    </w:p>
    <w:p>
      <w:pPr>
        <w:pStyle w:val="34"/>
        <w:adjustRightInd w:val="0"/>
        <w:snapToGrid w:val="0"/>
        <w:spacing w:before="0" w:beforeAutospacing="0" w:after="0" w:afterAutospacing="0" w:line="648"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34"/>
        <w:adjustRightInd w:val="0"/>
        <w:snapToGrid w:val="0"/>
        <w:spacing w:before="0" w:beforeAutospacing="0" w:after="0" w:afterAutospacing="0" w:line="552"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39"/>
        <w:tblW w:w="1363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417"/>
        <w:gridCol w:w="1701"/>
        <w:gridCol w:w="1276"/>
        <w:gridCol w:w="1701"/>
        <w:gridCol w:w="1559"/>
        <w:gridCol w:w="1761"/>
        <w:gridCol w:w="1641"/>
        <w:gridCol w:w="1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62" w:type="dxa"/>
            <w:tcBorders>
              <w:tl2br w:val="single" w:color="auto" w:sz="4" w:space="0"/>
            </w:tcBorders>
            <w:noWrap w:val="0"/>
            <w:tcMar>
              <w:left w:w="28" w:type="dxa"/>
              <w:right w:w="28" w:type="dxa"/>
            </w:tcMar>
            <w:vAlign w:val="center"/>
          </w:tcPr>
          <w:p>
            <w:pPr>
              <w:pStyle w:val="91"/>
              <w:spacing w:beforeLines="0" w:afterLines="0" w:line="240" w:lineRule="auto"/>
              <w:jc w:val="right"/>
              <w:rPr>
                <w:rFonts w:hint="eastAsia" w:ascii="黑体" w:hAnsi="黑体" w:eastAsia="黑体" w:cs="宋体"/>
                <w:snapToGrid w:val="0"/>
                <w:spacing w:val="-6"/>
                <w:kern w:val="21"/>
                <w:szCs w:val="21"/>
              </w:rPr>
            </w:pPr>
            <w:r>
              <w:rPr>
                <w:rFonts w:hint="eastAsia" w:ascii="黑体" w:hAnsi="黑体" w:eastAsia="黑体" w:cs="宋体"/>
                <w:snapToGrid w:val="0"/>
                <w:spacing w:val="-6"/>
                <w:kern w:val="21"/>
                <w:szCs w:val="21"/>
              </w:rPr>
              <w:t>项目</w:t>
            </w:r>
          </w:p>
          <w:p>
            <w:pPr>
              <w:pStyle w:val="91"/>
              <w:spacing w:beforeLines="0" w:afterLines="0" w:line="240" w:lineRule="auto"/>
              <w:jc w:val="left"/>
              <w:rPr>
                <w:rFonts w:hint="eastAsia" w:ascii="黑体" w:hAnsi="黑体" w:eastAsia="黑体" w:cs="宋体"/>
                <w:snapToGrid w:val="0"/>
                <w:spacing w:val="-6"/>
                <w:kern w:val="21"/>
                <w:szCs w:val="21"/>
              </w:rPr>
            </w:pPr>
            <w:r>
              <w:rPr>
                <w:rFonts w:hint="eastAsia" w:ascii="黑体" w:hAnsi="黑体" w:eastAsia="黑体" w:cs="宋体"/>
                <w:snapToGrid w:val="0"/>
                <w:spacing w:val="-6"/>
                <w:kern w:val="21"/>
                <w:szCs w:val="21"/>
              </w:rPr>
              <w:t>分类</w:t>
            </w:r>
          </w:p>
        </w:tc>
        <w:tc>
          <w:tcPr>
            <w:tcW w:w="1417" w:type="dxa"/>
            <w:noWrap w:val="0"/>
            <w:tcMar>
              <w:left w:w="28" w:type="dxa"/>
              <w:right w:w="28" w:type="dxa"/>
            </w:tcMar>
            <w:vAlign w:val="center"/>
          </w:tcPr>
          <w:p>
            <w:pPr>
              <w:pStyle w:val="91"/>
              <w:spacing w:beforeLines="0" w:afterLines="0" w:line="240" w:lineRule="auto"/>
              <w:rPr>
                <w:rFonts w:hint="eastAsia" w:ascii="黑体" w:hAnsi="黑体" w:eastAsia="黑体" w:cs="宋体"/>
                <w:snapToGrid w:val="0"/>
                <w:spacing w:val="-6"/>
                <w:kern w:val="21"/>
                <w:szCs w:val="21"/>
              </w:rPr>
            </w:pPr>
            <w:r>
              <w:rPr>
                <w:rFonts w:hint="eastAsia" w:ascii="黑体" w:hAnsi="黑体" w:eastAsia="黑体" w:cs="宋体"/>
                <w:snapToGrid w:val="0"/>
                <w:spacing w:val="-6"/>
                <w:kern w:val="21"/>
                <w:szCs w:val="21"/>
              </w:rPr>
              <w:t>污染物名称</w:t>
            </w:r>
          </w:p>
        </w:tc>
        <w:tc>
          <w:tcPr>
            <w:tcW w:w="1701" w:type="dxa"/>
            <w:noWrap w:val="0"/>
            <w:tcMar>
              <w:left w:w="28" w:type="dxa"/>
              <w:right w:w="28" w:type="dxa"/>
            </w:tcMar>
            <w:vAlign w:val="center"/>
          </w:tcPr>
          <w:p>
            <w:pPr>
              <w:pStyle w:val="91"/>
              <w:spacing w:beforeLines="0" w:afterLines="0" w:line="240" w:lineRule="auto"/>
              <w:rPr>
                <w:rFonts w:hint="eastAsia" w:ascii="黑体" w:hAnsi="黑体" w:eastAsia="黑体"/>
                <w:snapToGrid w:val="0"/>
                <w:spacing w:val="-6"/>
                <w:kern w:val="21"/>
                <w:szCs w:val="21"/>
              </w:rPr>
            </w:pPr>
            <w:r>
              <w:rPr>
                <w:rFonts w:ascii="黑体" w:hAnsi="黑体" w:eastAsia="黑体"/>
                <w:snapToGrid w:val="0"/>
                <w:spacing w:val="-6"/>
                <w:kern w:val="21"/>
                <w:szCs w:val="21"/>
              </w:rPr>
              <w:t>现有工程</w:t>
            </w:r>
          </w:p>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排放量（固</w:t>
            </w:r>
            <w:r>
              <w:rPr>
                <w:rFonts w:hint="eastAsia" w:ascii="黑体" w:hAnsi="黑体" w:eastAsia="黑体"/>
                <w:snapToGrid w:val="0"/>
                <w:spacing w:val="-6"/>
                <w:kern w:val="21"/>
                <w:szCs w:val="21"/>
              </w:rPr>
              <w:t>体</w:t>
            </w:r>
            <w:r>
              <w:rPr>
                <w:rFonts w:ascii="黑体" w:hAnsi="黑体" w:eastAsia="黑体"/>
                <w:snapToGrid w:val="0"/>
                <w:spacing w:val="-6"/>
                <w:kern w:val="21"/>
                <w:szCs w:val="21"/>
              </w:rPr>
              <w:t>废</w:t>
            </w:r>
            <w:r>
              <w:rPr>
                <w:rFonts w:hint="eastAsia" w:ascii="黑体" w:hAnsi="黑体" w:eastAsia="黑体"/>
                <w:snapToGrid w:val="0"/>
                <w:spacing w:val="-6"/>
                <w:kern w:val="21"/>
                <w:szCs w:val="21"/>
              </w:rPr>
              <w:t>物</w:t>
            </w:r>
            <w:r>
              <w:rPr>
                <w:rFonts w:ascii="黑体" w:hAnsi="黑体" w:eastAsia="黑体"/>
                <w:snapToGrid w:val="0"/>
                <w:spacing w:val="-6"/>
                <w:kern w:val="21"/>
                <w:szCs w:val="21"/>
              </w:rPr>
              <w:t>产生量）</w:t>
            </w:r>
            <w:r>
              <w:rPr>
                <w:rFonts w:ascii="黑体" w:hAnsi="黑体" w:eastAsia="黑体"/>
                <w:snapToGrid w:val="0"/>
                <w:spacing w:val="-6"/>
                <w:kern w:val="21"/>
                <w:szCs w:val="21"/>
              </w:rPr>
              <w:fldChar w:fldCharType="begin"/>
            </w:r>
            <w:r>
              <w:rPr>
                <w:rFonts w:ascii="黑体" w:hAnsi="黑体" w:eastAsia="黑体"/>
                <w:snapToGrid w:val="0"/>
                <w:spacing w:val="-6"/>
                <w:kern w:val="21"/>
                <w:szCs w:val="21"/>
              </w:rPr>
              <w:instrText xml:space="preserve"> = 1 \* GB3 \* MERGEFORMAT </w:instrText>
            </w:r>
            <w:r>
              <w:rPr>
                <w:rFonts w:ascii="黑体" w:hAnsi="黑体" w:eastAsia="黑体"/>
                <w:snapToGrid w:val="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spacing w:val="-6"/>
                <w:kern w:val="21"/>
                <w:szCs w:val="21"/>
              </w:rPr>
              <w:fldChar w:fldCharType="end"/>
            </w:r>
          </w:p>
        </w:tc>
        <w:tc>
          <w:tcPr>
            <w:tcW w:w="1276" w:type="dxa"/>
            <w:noWrap w:val="0"/>
            <w:tcMar>
              <w:left w:w="28" w:type="dxa"/>
              <w:right w:w="28" w:type="dxa"/>
            </w:tcMar>
            <w:vAlign w:val="center"/>
          </w:tcPr>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现有工程</w:t>
            </w:r>
          </w:p>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许可排放量</w:t>
            </w:r>
          </w:p>
          <w:p>
            <w:pPr>
              <w:pStyle w:val="91"/>
              <w:spacing w:beforeLines="0" w:afterLines="0"/>
              <w:rPr>
                <w:rFonts w:ascii="黑体" w:hAnsi="黑体" w:eastAsia="黑体"/>
                <w:snapToGrid w:val="0"/>
                <w:spacing w:val="-6"/>
                <w:kern w:val="21"/>
                <w:szCs w:val="21"/>
              </w:rPr>
            </w:pPr>
            <w:r>
              <w:rPr>
                <w:rFonts w:ascii="黑体" w:hAnsi="黑体" w:eastAsia="黑体"/>
                <w:snapToGrid w:val="0"/>
                <w:spacing w:val="-6"/>
                <w:kern w:val="21"/>
                <w:szCs w:val="21"/>
              </w:rPr>
              <w:fldChar w:fldCharType="begin"/>
            </w:r>
            <w:r>
              <w:rPr>
                <w:rFonts w:ascii="黑体" w:hAnsi="黑体" w:eastAsia="黑体"/>
                <w:snapToGrid w:val="0"/>
                <w:spacing w:val="-6"/>
                <w:kern w:val="21"/>
                <w:szCs w:val="21"/>
              </w:rPr>
              <w:instrText xml:space="preserve"> = 2 \* GB3 \* MERGEFORMAT </w:instrText>
            </w:r>
            <w:r>
              <w:rPr>
                <w:rFonts w:ascii="黑体" w:hAnsi="黑体" w:eastAsia="黑体"/>
                <w:snapToGrid w:val="0"/>
                <w:spacing w:val="-6"/>
                <w:kern w:val="21"/>
                <w:szCs w:val="21"/>
              </w:rPr>
              <w:fldChar w:fldCharType="separate"/>
            </w:r>
            <w:r>
              <w:rPr>
                <w:rFonts w:hint="eastAsia" w:ascii="黑体" w:hAnsi="黑体" w:eastAsia="黑体" w:cs="宋体"/>
                <w:snapToGrid w:val="0"/>
                <w:spacing w:val="-6"/>
                <w:kern w:val="21"/>
                <w:szCs w:val="21"/>
              </w:rPr>
              <w:t>②</w:t>
            </w:r>
            <w:r>
              <w:rPr>
                <w:rFonts w:ascii="黑体" w:hAnsi="黑体" w:eastAsia="黑体"/>
                <w:snapToGrid w:val="0"/>
                <w:spacing w:val="-6"/>
                <w:kern w:val="21"/>
                <w:szCs w:val="21"/>
              </w:rPr>
              <w:fldChar w:fldCharType="end"/>
            </w:r>
          </w:p>
        </w:tc>
        <w:tc>
          <w:tcPr>
            <w:tcW w:w="1701" w:type="dxa"/>
            <w:noWrap w:val="0"/>
            <w:tcMar>
              <w:left w:w="28" w:type="dxa"/>
              <w:right w:w="28" w:type="dxa"/>
            </w:tcMar>
            <w:vAlign w:val="center"/>
          </w:tcPr>
          <w:p>
            <w:pPr>
              <w:pStyle w:val="91"/>
              <w:spacing w:beforeLines="0" w:afterLines="0" w:line="240" w:lineRule="auto"/>
              <w:rPr>
                <w:rFonts w:hint="eastAsia" w:ascii="黑体" w:hAnsi="黑体" w:eastAsia="黑体"/>
                <w:snapToGrid w:val="0"/>
                <w:spacing w:val="-6"/>
                <w:kern w:val="21"/>
                <w:szCs w:val="21"/>
              </w:rPr>
            </w:pPr>
            <w:r>
              <w:rPr>
                <w:rFonts w:ascii="黑体" w:hAnsi="黑体" w:eastAsia="黑体"/>
                <w:snapToGrid w:val="0"/>
                <w:spacing w:val="-6"/>
                <w:kern w:val="21"/>
                <w:szCs w:val="21"/>
              </w:rPr>
              <w:t>在建工程</w:t>
            </w:r>
          </w:p>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排放量（固</w:t>
            </w:r>
            <w:r>
              <w:rPr>
                <w:rFonts w:hint="eastAsia" w:ascii="黑体" w:hAnsi="黑体" w:eastAsia="黑体"/>
                <w:snapToGrid w:val="0"/>
                <w:spacing w:val="-6"/>
                <w:kern w:val="21"/>
                <w:szCs w:val="21"/>
              </w:rPr>
              <w:t>体</w:t>
            </w:r>
            <w:r>
              <w:rPr>
                <w:rFonts w:ascii="黑体" w:hAnsi="黑体" w:eastAsia="黑体"/>
                <w:snapToGrid w:val="0"/>
                <w:spacing w:val="-6"/>
                <w:kern w:val="21"/>
                <w:szCs w:val="21"/>
              </w:rPr>
              <w:t>废</w:t>
            </w:r>
            <w:r>
              <w:rPr>
                <w:rFonts w:hint="eastAsia" w:ascii="黑体" w:hAnsi="黑体" w:eastAsia="黑体"/>
                <w:snapToGrid w:val="0"/>
                <w:spacing w:val="-6"/>
                <w:kern w:val="21"/>
                <w:szCs w:val="21"/>
              </w:rPr>
              <w:t>物</w:t>
            </w:r>
            <w:r>
              <w:rPr>
                <w:rFonts w:ascii="黑体" w:hAnsi="黑体" w:eastAsia="黑体"/>
                <w:snapToGrid w:val="0"/>
                <w:spacing w:val="-6"/>
                <w:kern w:val="21"/>
                <w:szCs w:val="21"/>
              </w:rPr>
              <w:t>产生量）</w:t>
            </w:r>
            <w:r>
              <w:rPr>
                <w:rFonts w:ascii="黑体" w:hAnsi="黑体" w:eastAsia="黑体"/>
                <w:snapToGrid w:val="0"/>
                <w:spacing w:val="-6"/>
                <w:kern w:val="21"/>
                <w:szCs w:val="21"/>
              </w:rPr>
              <w:fldChar w:fldCharType="begin"/>
            </w:r>
            <w:r>
              <w:rPr>
                <w:rFonts w:ascii="黑体" w:hAnsi="黑体" w:eastAsia="黑体"/>
                <w:snapToGrid w:val="0"/>
                <w:spacing w:val="-6"/>
                <w:kern w:val="21"/>
                <w:szCs w:val="21"/>
              </w:rPr>
              <w:instrText xml:space="preserve"> = 3 \* GB3 \* MERGEFORMAT </w:instrText>
            </w:r>
            <w:r>
              <w:rPr>
                <w:rFonts w:ascii="黑体" w:hAnsi="黑体" w:eastAsia="黑体"/>
                <w:snapToGrid w:val="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spacing w:val="-6"/>
                <w:kern w:val="21"/>
                <w:szCs w:val="21"/>
              </w:rPr>
              <w:fldChar w:fldCharType="end"/>
            </w:r>
          </w:p>
        </w:tc>
        <w:tc>
          <w:tcPr>
            <w:tcW w:w="1559" w:type="dxa"/>
            <w:noWrap w:val="0"/>
            <w:tcMar>
              <w:left w:w="28" w:type="dxa"/>
              <w:right w:w="28" w:type="dxa"/>
            </w:tcMar>
            <w:vAlign w:val="center"/>
          </w:tcPr>
          <w:p>
            <w:pPr>
              <w:pStyle w:val="91"/>
              <w:spacing w:beforeLines="0" w:afterLines="0" w:line="240" w:lineRule="auto"/>
              <w:rPr>
                <w:rFonts w:hint="eastAsia" w:ascii="黑体" w:hAnsi="黑体" w:eastAsia="黑体"/>
                <w:snapToGrid w:val="0"/>
                <w:spacing w:val="-6"/>
                <w:kern w:val="21"/>
                <w:szCs w:val="21"/>
              </w:rPr>
            </w:pPr>
            <w:r>
              <w:rPr>
                <w:rFonts w:ascii="黑体" w:hAnsi="黑体" w:eastAsia="黑体"/>
                <w:snapToGrid w:val="0"/>
                <w:spacing w:val="-6"/>
                <w:kern w:val="21"/>
                <w:szCs w:val="21"/>
              </w:rPr>
              <w:t>本项目</w:t>
            </w:r>
          </w:p>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排放量（固</w:t>
            </w:r>
            <w:r>
              <w:rPr>
                <w:rFonts w:hint="eastAsia" w:ascii="黑体" w:hAnsi="黑体" w:eastAsia="黑体"/>
                <w:snapToGrid w:val="0"/>
                <w:spacing w:val="-6"/>
                <w:kern w:val="21"/>
                <w:szCs w:val="21"/>
              </w:rPr>
              <w:t>体</w:t>
            </w:r>
            <w:r>
              <w:rPr>
                <w:rFonts w:ascii="黑体" w:hAnsi="黑体" w:eastAsia="黑体"/>
                <w:snapToGrid w:val="0"/>
                <w:spacing w:val="-6"/>
                <w:kern w:val="21"/>
                <w:szCs w:val="21"/>
              </w:rPr>
              <w:t>废</w:t>
            </w:r>
            <w:r>
              <w:rPr>
                <w:rFonts w:hint="eastAsia" w:ascii="黑体" w:hAnsi="黑体" w:eastAsia="黑体"/>
                <w:snapToGrid w:val="0"/>
                <w:spacing w:val="-6"/>
                <w:kern w:val="21"/>
                <w:szCs w:val="21"/>
              </w:rPr>
              <w:t>物</w:t>
            </w:r>
            <w:r>
              <w:rPr>
                <w:rFonts w:ascii="黑体" w:hAnsi="黑体" w:eastAsia="黑体"/>
                <w:snapToGrid w:val="0"/>
                <w:spacing w:val="-6"/>
                <w:kern w:val="21"/>
                <w:szCs w:val="21"/>
              </w:rPr>
              <w:t>产生量）</w:t>
            </w:r>
            <w:r>
              <w:rPr>
                <w:rFonts w:ascii="黑体" w:hAnsi="黑体" w:eastAsia="黑体"/>
                <w:snapToGrid w:val="0"/>
                <w:spacing w:val="-6"/>
                <w:kern w:val="21"/>
                <w:szCs w:val="21"/>
              </w:rPr>
              <w:fldChar w:fldCharType="begin"/>
            </w:r>
            <w:r>
              <w:rPr>
                <w:rFonts w:ascii="黑体" w:hAnsi="黑体" w:eastAsia="黑体"/>
                <w:snapToGrid w:val="0"/>
                <w:spacing w:val="-6"/>
                <w:kern w:val="21"/>
                <w:szCs w:val="21"/>
              </w:rPr>
              <w:instrText xml:space="preserve"> = 4 \* GB3 \* MERGEFORMAT </w:instrText>
            </w:r>
            <w:r>
              <w:rPr>
                <w:rFonts w:ascii="黑体" w:hAnsi="黑体" w:eastAsia="黑体"/>
                <w:snapToGrid w:val="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spacing w:val="-6"/>
                <w:kern w:val="21"/>
                <w:szCs w:val="21"/>
              </w:rPr>
              <w:fldChar w:fldCharType="end"/>
            </w:r>
          </w:p>
        </w:tc>
        <w:tc>
          <w:tcPr>
            <w:tcW w:w="1761" w:type="dxa"/>
            <w:noWrap w:val="0"/>
            <w:tcMar>
              <w:left w:w="28" w:type="dxa"/>
              <w:right w:w="28" w:type="dxa"/>
            </w:tcMar>
            <w:vAlign w:val="center"/>
          </w:tcPr>
          <w:p>
            <w:pPr>
              <w:pStyle w:val="91"/>
              <w:spacing w:beforeLines="0" w:afterLines="0" w:line="240" w:lineRule="auto"/>
              <w:rPr>
                <w:rFonts w:hint="eastAsia" w:ascii="黑体" w:hAnsi="黑体" w:eastAsia="黑体"/>
                <w:snapToGrid w:val="0"/>
                <w:spacing w:val="-16"/>
                <w:kern w:val="21"/>
                <w:szCs w:val="21"/>
              </w:rPr>
            </w:pPr>
            <w:r>
              <w:rPr>
                <w:rFonts w:ascii="黑体" w:hAnsi="黑体" w:eastAsia="黑体"/>
                <w:snapToGrid w:val="0"/>
                <w:spacing w:val="-16"/>
                <w:kern w:val="21"/>
                <w:szCs w:val="21"/>
              </w:rPr>
              <w:t>以新带老削减量</w:t>
            </w:r>
          </w:p>
          <w:p>
            <w:pPr>
              <w:pStyle w:val="91"/>
              <w:spacing w:beforeLines="0" w:afterLines="0" w:line="240" w:lineRule="auto"/>
              <w:rPr>
                <w:rFonts w:ascii="黑体" w:hAnsi="黑体" w:eastAsia="黑体"/>
                <w:snapToGrid w:val="0"/>
                <w:spacing w:val="-16"/>
                <w:kern w:val="21"/>
                <w:szCs w:val="21"/>
              </w:rPr>
            </w:pPr>
            <w:r>
              <w:rPr>
                <w:rFonts w:ascii="黑体" w:hAnsi="黑体" w:eastAsia="黑体"/>
                <w:snapToGrid w:val="0"/>
                <w:spacing w:val="-16"/>
                <w:kern w:val="21"/>
                <w:szCs w:val="21"/>
              </w:rPr>
              <w:t>（新建项目不填）</w:t>
            </w:r>
            <w:r>
              <w:rPr>
                <w:rFonts w:ascii="黑体" w:hAnsi="黑体" w:eastAsia="黑体"/>
                <w:snapToGrid w:val="0"/>
                <w:spacing w:val="-16"/>
                <w:kern w:val="21"/>
                <w:szCs w:val="21"/>
              </w:rPr>
              <w:fldChar w:fldCharType="begin"/>
            </w:r>
            <w:r>
              <w:rPr>
                <w:rFonts w:ascii="黑体" w:hAnsi="黑体" w:eastAsia="黑体"/>
                <w:snapToGrid w:val="0"/>
                <w:spacing w:val="-16"/>
                <w:kern w:val="21"/>
                <w:szCs w:val="21"/>
              </w:rPr>
              <w:instrText xml:space="preserve"> = 5 \* GB3 \* MERGEFORMAT </w:instrText>
            </w:r>
            <w:r>
              <w:rPr>
                <w:rFonts w:ascii="黑体" w:hAnsi="黑体" w:eastAsia="黑体"/>
                <w:snapToGrid w:val="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spacing w:val="-16"/>
                <w:kern w:val="21"/>
                <w:szCs w:val="21"/>
              </w:rPr>
              <w:fldChar w:fldCharType="end"/>
            </w:r>
          </w:p>
        </w:tc>
        <w:tc>
          <w:tcPr>
            <w:tcW w:w="1641" w:type="dxa"/>
            <w:noWrap w:val="0"/>
            <w:tcMar>
              <w:left w:w="28" w:type="dxa"/>
              <w:right w:w="28" w:type="dxa"/>
            </w:tcMar>
            <w:vAlign w:val="center"/>
          </w:tcPr>
          <w:p>
            <w:pPr>
              <w:pStyle w:val="91"/>
              <w:spacing w:beforeLines="0" w:afterLines="0" w:line="240" w:lineRule="auto"/>
              <w:rPr>
                <w:rFonts w:hint="eastAsia" w:ascii="黑体" w:hAnsi="黑体" w:eastAsia="黑体"/>
                <w:snapToGrid w:val="0"/>
                <w:spacing w:val="-16"/>
                <w:kern w:val="21"/>
                <w:szCs w:val="21"/>
              </w:rPr>
            </w:pPr>
            <w:r>
              <w:rPr>
                <w:rFonts w:ascii="黑体" w:hAnsi="黑体" w:eastAsia="黑体"/>
                <w:snapToGrid w:val="0"/>
                <w:spacing w:val="-16"/>
                <w:kern w:val="21"/>
                <w:szCs w:val="21"/>
              </w:rPr>
              <w:t>本项目建成后</w:t>
            </w:r>
          </w:p>
          <w:p>
            <w:pPr>
              <w:pStyle w:val="91"/>
              <w:spacing w:beforeLines="0" w:afterLines="0" w:line="240" w:lineRule="auto"/>
              <w:rPr>
                <w:rFonts w:ascii="黑体" w:hAnsi="黑体" w:eastAsia="黑体"/>
                <w:snapToGrid w:val="0"/>
                <w:spacing w:val="-16"/>
                <w:kern w:val="21"/>
                <w:szCs w:val="21"/>
              </w:rPr>
            </w:pPr>
            <w:r>
              <w:rPr>
                <w:rFonts w:hint="eastAsia" w:ascii="黑体" w:hAnsi="黑体" w:eastAsia="黑体"/>
                <w:snapToGrid w:val="0"/>
                <w:spacing w:val="-16"/>
                <w:kern w:val="21"/>
                <w:szCs w:val="21"/>
              </w:rPr>
              <w:t>全厂</w:t>
            </w:r>
            <w:r>
              <w:rPr>
                <w:rFonts w:ascii="黑体" w:hAnsi="黑体" w:eastAsia="黑体"/>
                <w:snapToGrid w:val="0"/>
                <w:spacing w:val="-16"/>
                <w:kern w:val="21"/>
                <w:szCs w:val="21"/>
              </w:rPr>
              <w:t>排放量（固</w:t>
            </w:r>
            <w:r>
              <w:rPr>
                <w:rFonts w:hint="eastAsia" w:ascii="黑体" w:hAnsi="黑体" w:eastAsia="黑体"/>
                <w:snapToGrid w:val="0"/>
                <w:spacing w:val="-16"/>
                <w:kern w:val="21"/>
                <w:szCs w:val="21"/>
              </w:rPr>
              <w:t>体</w:t>
            </w:r>
            <w:r>
              <w:rPr>
                <w:rFonts w:ascii="黑体" w:hAnsi="黑体" w:eastAsia="黑体"/>
                <w:snapToGrid w:val="0"/>
                <w:spacing w:val="-16"/>
                <w:kern w:val="21"/>
                <w:szCs w:val="21"/>
              </w:rPr>
              <w:t>废</w:t>
            </w:r>
            <w:r>
              <w:rPr>
                <w:rFonts w:hint="eastAsia" w:ascii="黑体" w:hAnsi="黑体" w:eastAsia="黑体"/>
                <w:snapToGrid w:val="0"/>
                <w:spacing w:val="-16"/>
                <w:kern w:val="21"/>
                <w:szCs w:val="21"/>
              </w:rPr>
              <w:t>物</w:t>
            </w:r>
            <w:r>
              <w:rPr>
                <w:rFonts w:ascii="黑体" w:hAnsi="黑体" w:eastAsia="黑体"/>
                <w:snapToGrid w:val="0"/>
                <w:spacing w:val="-16"/>
                <w:kern w:val="21"/>
                <w:szCs w:val="21"/>
              </w:rPr>
              <w:t>产生量）</w:t>
            </w:r>
            <w:r>
              <w:rPr>
                <w:rFonts w:ascii="黑体" w:hAnsi="黑体" w:eastAsia="黑体"/>
                <w:snapToGrid w:val="0"/>
                <w:spacing w:val="-16"/>
                <w:kern w:val="21"/>
                <w:szCs w:val="21"/>
              </w:rPr>
              <w:fldChar w:fldCharType="begin"/>
            </w:r>
            <w:r>
              <w:rPr>
                <w:rFonts w:ascii="黑体" w:hAnsi="黑体" w:eastAsia="黑体"/>
                <w:snapToGrid w:val="0"/>
                <w:spacing w:val="-16"/>
                <w:kern w:val="21"/>
                <w:szCs w:val="21"/>
              </w:rPr>
              <w:instrText xml:space="preserve"> = 6 \* GB3 \* MERGEFORMAT </w:instrText>
            </w:r>
            <w:r>
              <w:rPr>
                <w:rFonts w:ascii="黑体" w:hAnsi="黑体" w:eastAsia="黑体"/>
                <w:snapToGrid w:val="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spacing w:val="-16"/>
                <w:kern w:val="21"/>
                <w:szCs w:val="21"/>
              </w:rPr>
              <w:fldChar w:fldCharType="end"/>
            </w:r>
          </w:p>
        </w:tc>
        <w:tc>
          <w:tcPr>
            <w:tcW w:w="1418" w:type="dxa"/>
            <w:noWrap w:val="0"/>
            <w:tcMar>
              <w:left w:w="28" w:type="dxa"/>
              <w:right w:w="28" w:type="dxa"/>
            </w:tcMar>
            <w:vAlign w:val="center"/>
          </w:tcPr>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t>变化量</w:t>
            </w:r>
          </w:p>
          <w:p>
            <w:pPr>
              <w:pStyle w:val="91"/>
              <w:spacing w:beforeLines="0" w:afterLines="0" w:line="240" w:lineRule="auto"/>
              <w:rPr>
                <w:rFonts w:ascii="黑体" w:hAnsi="黑体" w:eastAsia="黑体"/>
                <w:snapToGrid w:val="0"/>
                <w:spacing w:val="-6"/>
                <w:kern w:val="21"/>
                <w:szCs w:val="21"/>
              </w:rPr>
            </w:pPr>
            <w:r>
              <w:rPr>
                <w:rFonts w:ascii="黑体" w:hAnsi="黑体" w:eastAsia="黑体"/>
                <w:snapToGrid w:val="0"/>
                <w:spacing w:val="-6"/>
                <w:kern w:val="21"/>
                <w:szCs w:val="21"/>
              </w:rPr>
              <w:fldChar w:fldCharType="begin"/>
            </w:r>
            <w:r>
              <w:rPr>
                <w:rFonts w:ascii="黑体" w:hAnsi="黑体" w:eastAsia="黑体"/>
                <w:snapToGrid w:val="0"/>
                <w:spacing w:val="-6"/>
                <w:kern w:val="21"/>
                <w:szCs w:val="21"/>
              </w:rPr>
              <w:instrText xml:space="preserve"> = 7 \* GB3 \* MERGEFORMAT </w:instrText>
            </w:r>
            <w:r>
              <w:rPr>
                <w:rFonts w:ascii="黑体" w:hAnsi="黑体" w:eastAsia="黑体"/>
                <w:snapToGrid w:val="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废气</w:t>
            </w:r>
          </w:p>
        </w:tc>
        <w:tc>
          <w:tcPr>
            <w:tcW w:w="1417"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氯化氢</w:t>
            </w:r>
            <w:r>
              <w:rPr>
                <w:rFonts w:hint="eastAsia"/>
                <w:snapToGrid w:val="0"/>
                <w:kern w:val="21"/>
              </w:rPr>
              <w:t>t/a</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182"/>
              <w:rPr>
                <w:snapToGrid w:val="0"/>
                <w:kern w:val="21"/>
              </w:rPr>
            </w:pPr>
            <w:r>
              <w:rPr>
                <w:snapToGrid w:val="0"/>
                <w:kern w:val="21"/>
              </w:rPr>
              <w:t>0.001</w:t>
            </w:r>
          </w:p>
        </w:tc>
        <w:tc>
          <w:tcPr>
            <w:tcW w:w="176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183"/>
              <w:rPr>
                <w:snapToGrid w:val="0"/>
                <w:kern w:val="21"/>
              </w:rPr>
            </w:pPr>
            <w:r>
              <w:rPr>
                <w:snapToGrid w:val="0"/>
                <w:kern w:val="21"/>
              </w:rPr>
              <w:t>0.001</w:t>
            </w:r>
          </w:p>
        </w:tc>
        <w:tc>
          <w:tcPr>
            <w:tcW w:w="1418" w:type="dxa"/>
            <w:noWrap w:val="0"/>
            <w:vAlign w:val="center"/>
          </w:tcPr>
          <w:p>
            <w:pPr>
              <w:pStyle w:val="91"/>
              <w:spacing w:beforeLines="0" w:afterLines="0" w:line="240" w:lineRule="auto"/>
              <w:rPr>
                <w:rFonts w:hAnsi="宋体" w:cs="宋体"/>
                <w:snapToGrid w:val="0"/>
                <w:kern w:val="21"/>
                <w:szCs w:val="21"/>
              </w:rPr>
            </w:pPr>
            <w:r>
              <w:rPr>
                <w:rFonts w:hAnsi="宋体" w:cs="宋体"/>
                <w:snapToGrid w:val="0"/>
                <w:kern w:val="21"/>
                <w:szCs w:val="21"/>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restart"/>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废水</w:t>
            </w:r>
          </w:p>
        </w:tc>
        <w:tc>
          <w:tcPr>
            <w:tcW w:w="1417"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排水量</w:t>
            </w:r>
            <w:r>
              <w:rPr>
                <w:rFonts w:hAnsi="宋体" w:cs="宋体"/>
                <w:snapToGrid w:val="0"/>
                <w:kern w:val="21"/>
                <w:szCs w:val="21"/>
              </w:rPr>
              <w:t>m</w:t>
            </w:r>
            <w:r>
              <w:rPr>
                <w:rFonts w:hAnsi="宋体" w:cs="宋体"/>
                <w:snapToGrid w:val="0"/>
                <w:kern w:val="21"/>
                <w:szCs w:val="21"/>
                <w:vertAlign w:val="superscript"/>
              </w:rPr>
              <w:t>3</w:t>
            </w:r>
            <w:r>
              <w:rPr>
                <w:rFonts w:hint="eastAsia" w:hAnsi="宋体" w:cs="宋体"/>
                <w:snapToGrid w:val="0"/>
                <w:kern w:val="21"/>
                <w:szCs w:val="21"/>
              </w:rPr>
              <w:t>/a</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91"/>
              <w:spacing w:beforeLines="0" w:afterLines="0" w:line="240" w:lineRule="auto"/>
              <w:rPr>
                <w:rFonts w:hAnsi="宋体" w:cs="宋体"/>
                <w:snapToGrid w:val="0"/>
                <w:kern w:val="21"/>
                <w:szCs w:val="21"/>
              </w:rPr>
            </w:pPr>
            <w:r>
              <w:rPr>
                <w:rFonts w:hAnsi="宋体" w:cs="宋体"/>
                <w:snapToGrid w:val="0"/>
                <w:kern w:val="21"/>
                <w:szCs w:val="21"/>
              </w:rPr>
              <w:t>13003.1</w:t>
            </w:r>
          </w:p>
        </w:tc>
        <w:tc>
          <w:tcPr>
            <w:tcW w:w="176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91"/>
              <w:spacing w:beforeLines="0" w:afterLines="0" w:line="240" w:lineRule="auto"/>
              <w:rPr>
                <w:rFonts w:hAnsi="宋体" w:cs="宋体"/>
                <w:snapToGrid w:val="0"/>
                <w:kern w:val="21"/>
                <w:szCs w:val="21"/>
              </w:rPr>
            </w:pPr>
            <w:r>
              <w:rPr>
                <w:rFonts w:hAnsi="宋体" w:cs="宋体"/>
                <w:snapToGrid w:val="0"/>
                <w:kern w:val="21"/>
                <w:szCs w:val="21"/>
              </w:rPr>
              <w:t>13003.1</w:t>
            </w:r>
          </w:p>
        </w:tc>
        <w:tc>
          <w:tcPr>
            <w:tcW w:w="1418" w:type="dxa"/>
            <w:noWrap w:val="0"/>
            <w:vAlign w:val="center"/>
          </w:tcPr>
          <w:p>
            <w:pPr>
              <w:pStyle w:val="91"/>
              <w:spacing w:beforeLines="0" w:afterLines="0" w:line="240" w:lineRule="auto"/>
              <w:rPr>
                <w:rFonts w:hAnsi="宋体" w:cs="宋体"/>
                <w:snapToGrid w:val="0"/>
                <w:kern w:val="21"/>
                <w:szCs w:val="21"/>
              </w:rPr>
            </w:pPr>
            <w:r>
              <w:rPr>
                <w:rFonts w:hAnsi="宋体" w:cs="宋体"/>
                <w:snapToGrid w:val="0"/>
                <w:kern w:val="21"/>
                <w:szCs w:val="21"/>
              </w:rPr>
              <w:t>13003.1</w:t>
            </w:r>
            <w:r>
              <w:rPr>
                <w:rFonts w:hint="eastAsia"/>
                <w:snapToGrid w:val="0"/>
                <w:kern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continue"/>
            <w:noWrap w:val="0"/>
            <w:vAlign w:val="center"/>
          </w:tcPr>
          <w:p>
            <w:pPr>
              <w:pStyle w:val="91"/>
              <w:spacing w:beforeLines="0" w:afterLines="0" w:line="240" w:lineRule="auto"/>
              <w:rPr>
                <w:rFonts w:hint="eastAsia" w:hAnsi="宋体" w:cs="宋体"/>
                <w:snapToGrid w:val="0"/>
                <w:kern w:val="21"/>
                <w:szCs w:val="21"/>
              </w:rPr>
            </w:pPr>
          </w:p>
        </w:tc>
        <w:tc>
          <w:tcPr>
            <w:tcW w:w="1417"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C</w:t>
            </w:r>
            <w:r>
              <w:rPr>
                <w:rFonts w:hAnsi="宋体" w:cs="宋体"/>
                <w:snapToGrid w:val="0"/>
                <w:kern w:val="21"/>
                <w:szCs w:val="21"/>
              </w:rPr>
              <w:t xml:space="preserve">OD </w:t>
            </w:r>
            <w:r>
              <w:rPr>
                <w:rFonts w:hint="eastAsia"/>
                <w:snapToGrid w:val="0"/>
                <w:kern w:val="21"/>
              </w:rPr>
              <w:t>t/a</w:t>
            </w:r>
          </w:p>
        </w:tc>
        <w:tc>
          <w:tcPr>
            <w:tcW w:w="170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1</w:t>
            </w:r>
            <w:r>
              <w:rPr>
                <w:rFonts w:hAnsi="宋体" w:cs="宋体"/>
                <w:snapToGrid w:val="0"/>
                <w:kern w:val="21"/>
                <w:szCs w:val="21"/>
              </w:rPr>
              <w:t>.3</w:t>
            </w:r>
            <w:r>
              <w:rPr>
                <w:rFonts w:hint="eastAsia"/>
                <w:snapToGrid w:val="0"/>
                <w:kern w:val="21"/>
              </w:rPr>
              <w:t xml:space="preserve"> </w:t>
            </w:r>
          </w:p>
        </w:tc>
        <w:tc>
          <w:tcPr>
            <w:tcW w:w="176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1</w:t>
            </w:r>
            <w:r>
              <w:rPr>
                <w:rFonts w:hAnsi="宋体" w:cs="宋体"/>
                <w:snapToGrid w:val="0"/>
                <w:kern w:val="21"/>
                <w:szCs w:val="21"/>
              </w:rPr>
              <w:t>.3</w:t>
            </w:r>
            <w:r>
              <w:rPr>
                <w:rFonts w:hint="eastAsia"/>
                <w:snapToGrid w:val="0"/>
                <w:kern w:val="21"/>
              </w:rPr>
              <w:t xml:space="preserve"> </w:t>
            </w:r>
          </w:p>
        </w:tc>
        <w:tc>
          <w:tcPr>
            <w:tcW w:w="1418"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1</w:t>
            </w:r>
            <w:r>
              <w:rPr>
                <w:rFonts w:hAnsi="宋体" w:cs="宋体"/>
                <w:snapToGrid w:val="0"/>
                <w:kern w:val="21"/>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continue"/>
            <w:noWrap w:val="0"/>
            <w:vAlign w:val="center"/>
          </w:tcPr>
          <w:p>
            <w:pPr>
              <w:pStyle w:val="91"/>
              <w:spacing w:beforeLines="0" w:afterLines="0" w:line="240" w:lineRule="auto"/>
              <w:rPr>
                <w:rFonts w:hint="eastAsia" w:hAnsi="宋体" w:cs="宋体"/>
                <w:snapToGrid w:val="0"/>
                <w:kern w:val="21"/>
                <w:szCs w:val="21"/>
              </w:rPr>
            </w:pPr>
          </w:p>
        </w:tc>
        <w:tc>
          <w:tcPr>
            <w:tcW w:w="1417"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S</w:t>
            </w:r>
            <w:r>
              <w:rPr>
                <w:rFonts w:hAnsi="宋体" w:cs="宋体"/>
                <w:snapToGrid w:val="0"/>
                <w:kern w:val="21"/>
                <w:szCs w:val="21"/>
              </w:rPr>
              <w:t xml:space="preserve">S </w:t>
            </w:r>
            <w:r>
              <w:rPr>
                <w:rFonts w:hint="eastAsia"/>
                <w:snapToGrid w:val="0"/>
                <w:kern w:val="21"/>
              </w:rPr>
              <w:t>t/a</w:t>
            </w:r>
          </w:p>
        </w:tc>
        <w:tc>
          <w:tcPr>
            <w:tcW w:w="170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0</w:t>
            </w:r>
            <w:r>
              <w:rPr>
                <w:rFonts w:hAnsi="宋体" w:cs="宋体"/>
                <w:snapToGrid w:val="0"/>
                <w:kern w:val="21"/>
                <w:szCs w:val="21"/>
              </w:rPr>
              <w:t>.91</w:t>
            </w:r>
            <w:r>
              <w:rPr>
                <w:rFonts w:hint="eastAsia"/>
                <w:snapToGrid w:val="0"/>
                <w:kern w:val="21"/>
              </w:rPr>
              <w:t xml:space="preserve"> </w:t>
            </w:r>
          </w:p>
        </w:tc>
        <w:tc>
          <w:tcPr>
            <w:tcW w:w="176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0</w:t>
            </w:r>
            <w:r>
              <w:rPr>
                <w:rFonts w:hAnsi="宋体" w:cs="宋体"/>
                <w:snapToGrid w:val="0"/>
                <w:kern w:val="21"/>
                <w:szCs w:val="21"/>
              </w:rPr>
              <w:t>.91</w:t>
            </w:r>
          </w:p>
        </w:tc>
        <w:tc>
          <w:tcPr>
            <w:tcW w:w="1418" w:type="dxa"/>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0</w:t>
            </w:r>
            <w:r>
              <w:rPr>
                <w:rFonts w:hAnsi="宋体" w:cs="宋体"/>
                <w:snapToGrid w:val="0"/>
                <w:kern w:val="21"/>
                <w:szCs w:val="21"/>
              </w:rPr>
              <w:t>.91</w:t>
            </w:r>
            <w:r>
              <w:rPr>
                <w:rFonts w:hint="eastAsia"/>
                <w:snapToGrid w:val="0"/>
                <w:kern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restart"/>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一般工业</w:t>
            </w:r>
          </w:p>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固体废物</w:t>
            </w:r>
          </w:p>
        </w:tc>
        <w:tc>
          <w:tcPr>
            <w:tcW w:w="1417"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生活垃圾</w:t>
            </w:r>
            <w:r>
              <w:rPr>
                <w:rFonts w:hint="eastAsia"/>
                <w:snapToGrid w:val="0"/>
                <w:kern w:val="21"/>
              </w:rPr>
              <w:t>t/a</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182"/>
              <w:rPr>
                <w:snapToGrid w:val="0"/>
                <w:kern w:val="21"/>
              </w:rPr>
            </w:pPr>
            <w:r>
              <w:rPr>
                <w:snapToGrid w:val="0"/>
                <w:kern w:val="21"/>
              </w:rPr>
              <w:t>6.205</w:t>
            </w:r>
          </w:p>
        </w:tc>
        <w:tc>
          <w:tcPr>
            <w:tcW w:w="176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182"/>
              <w:rPr>
                <w:snapToGrid w:val="0"/>
                <w:kern w:val="21"/>
              </w:rPr>
            </w:pPr>
            <w:r>
              <w:rPr>
                <w:snapToGrid w:val="0"/>
                <w:kern w:val="21"/>
              </w:rPr>
              <w:t>6.205</w:t>
            </w:r>
          </w:p>
        </w:tc>
        <w:tc>
          <w:tcPr>
            <w:tcW w:w="1418"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continue"/>
            <w:noWrap w:val="0"/>
            <w:vAlign w:val="center"/>
          </w:tcPr>
          <w:p>
            <w:pPr>
              <w:pStyle w:val="91"/>
              <w:spacing w:beforeLines="0" w:afterLines="0" w:line="240" w:lineRule="auto"/>
              <w:rPr>
                <w:rFonts w:hAnsi="宋体" w:cs="宋体"/>
                <w:snapToGrid w:val="0"/>
                <w:kern w:val="21"/>
                <w:szCs w:val="21"/>
              </w:rPr>
            </w:pPr>
          </w:p>
        </w:tc>
        <w:tc>
          <w:tcPr>
            <w:tcW w:w="1417"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淤泥</w:t>
            </w:r>
            <w:r>
              <w:rPr>
                <w:rFonts w:hint="eastAsia"/>
                <w:snapToGrid w:val="0"/>
                <w:kern w:val="21"/>
              </w:rPr>
              <w:t>t/a</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276"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70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559" w:type="dxa"/>
            <w:noWrap w:val="0"/>
            <w:vAlign w:val="center"/>
          </w:tcPr>
          <w:p>
            <w:pPr>
              <w:pStyle w:val="182"/>
              <w:rPr>
                <w:snapToGrid w:val="0"/>
                <w:kern w:val="21"/>
              </w:rPr>
            </w:pPr>
            <w:r>
              <w:rPr>
                <w:snapToGrid w:val="0"/>
                <w:kern w:val="21"/>
              </w:rPr>
              <w:t>136.5</w:t>
            </w:r>
          </w:p>
        </w:tc>
        <w:tc>
          <w:tcPr>
            <w:tcW w:w="1761"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c>
          <w:tcPr>
            <w:tcW w:w="1641" w:type="dxa"/>
            <w:noWrap w:val="0"/>
            <w:vAlign w:val="center"/>
          </w:tcPr>
          <w:p>
            <w:pPr>
              <w:pStyle w:val="182"/>
              <w:rPr>
                <w:rFonts w:hAnsi="宋体" w:cs="宋体"/>
                <w:snapToGrid w:val="0"/>
                <w:kern w:val="21"/>
              </w:rPr>
            </w:pPr>
            <w:r>
              <w:rPr>
                <w:snapToGrid w:val="0"/>
                <w:kern w:val="21"/>
              </w:rPr>
              <w:t>136.5</w:t>
            </w:r>
          </w:p>
        </w:tc>
        <w:tc>
          <w:tcPr>
            <w:tcW w:w="1418" w:type="dxa"/>
            <w:noWrap w:val="0"/>
            <w:vAlign w:val="center"/>
          </w:tcPr>
          <w:p>
            <w:pPr>
              <w:pStyle w:val="91"/>
              <w:spacing w:beforeLines="0" w:afterLines="0" w:line="240" w:lineRule="auto"/>
              <w:rPr>
                <w:rFonts w:hAnsi="宋体" w:cs="宋体"/>
                <w:snapToGrid w:val="0"/>
                <w:kern w:val="21"/>
                <w:szCs w:val="21"/>
              </w:rPr>
            </w:pPr>
            <w:r>
              <w:rPr>
                <w:rFonts w:hint="eastAsia" w:hAnsi="宋体" w:cs="宋体"/>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restart"/>
            <w:noWrap w:val="0"/>
            <w:vAlign w:val="center"/>
          </w:tcPr>
          <w:p>
            <w:pPr>
              <w:pStyle w:val="91"/>
              <w:spacing w:beforeLines="0" w:afterLines="0" w:line="240" w:lineRule="auto"/>
              <w:rPr>
                <w:rFonts w:hint="eastAsia" w:hAnsi="宋体" w:cs="宋体"/>
                <w:snapToGrid w:val="0"/>
                <w:kern w:val="21"/>
                <w:szCs w:val="21"/>
              </w:rPr>
            </w:pPr>
            <w:r>
              <w:rPr>
                <w:rFonts w:hint="eastAsia" w:hAnsi="宋体" w:cs="宋体"/>
                <w:snapToGrid w:val="0"/>
                <w:kern w:val="21"/>
                <w:szCs w:val="21"/>
              </w:rPr>
              <w:t>危险废物</w:t>
            </w:r>
          </w:p>
        </w:tc>
        <w:tc>
          <w:tcPr>
            <w:tcW w:w="1417" w:type="dxa"/>
            <w:noWrap w:val="0"/>
            <w:vAlign w:val="center"/>
          </w:tcPr>
          <w:p>
            <w:pPr>
              <w:pStyle w:val="91"/>
              <w:spacing w:beforeLines="0" w:afterLines="0" w:line="240" w:lineRule="auto"/>
              <w:rPr>
                <w:rFonts w:hint="eastAsia" w:hAnsi="宋体" w:cs="宋体"/>
                <w:snapToGrid w:val="0"/>
                <w:kern w:val="21"/>
                <w:szCs w:val="21"/>
              </w:rPr>
            </w:pPr>
          </w:p>
        </w:tc>
        <w:tc>
          <w:tcPr>
            <w:tcW w:w="1701" w:type="dxa"/>
            <w:noWrap w:val="0"/>
            <w:vAlign w:val="center"/>
          </w:tcPr>
          <w:p>
            <w:pPr>
              <w:pStyle w:val="91"/>
              <w:spacing w:beforeLines="0" w:afterLines="0" w:line="240" w:lineRule="auto"/>
              <w:rPr>
                <w:rFonts w:hAnsi="宋体" w:cs="宋体"/>
                <w:snapToGrid w:val="0"/>
                <w:kern w:val="21"/>
                <w:szCs w:val="21"/>
              </w:rPr>
            </w:pPr>
          </w:p>
        </w:tc>
        <w:tc>
          <w:tcPr>
            <w:tcW w:w="1276" w:type="dxa"/>
            <w:noWrap w:val="0"/>
            <w:vAlign w:val="center"/>
          </w:tcPr>
          <w:p>
            <w:pPr>
              <w:pStyle w:val="91"/>
              <w:spacing w:beforeLines="0" w:afterLines="0" w:line="240" w:lineRule="auto"/>
              <w:rPr>
                <w:rFonts w:hAnsi="宋体" w:cs="宋体"/>
                <w:snapToGrid w:val="0"/>
                <w:kern w:val="21"/>
                <w:szCs w:val="21"/>
              </w:rPr>
            </w:pPr>
          </w:p>
        </w:tc>
        <w:tc>
          <w:tcPr>
            <w:tcW w:w="1701" w:type="dxa"/>
            <w:noWrap w:val="0"/>
            <w:vAlign w:val="center"/>
          </w:tcPr>
          <w:p>
            <w:pPr>
              <w:pStyle w:val="91"/>
              <w:spacing w:beforeLines="0" w:afterLines="0" w:line="240" w:lineRule="auto"/>
              <w:rPr>
                <w:rFonts w:hAnsi="宋体" w:cs="宋体"/>
                <w:snapToGrid w:val="0"/>
                <w:kern w:val="21"/>
                <w:szCs w:val="21"/>
              </w:rPr>
            </w:pPr>
          </w:p>
        </w:tc>
        <w:tc>
          <w:tcPr>
            <w:tcW w:w="1559" w:type="dxa"/>
            <w:noWrap w:val="0"/>
            <w:vAlign w:val="center"/>
          </w:tcPr>
          <w:p>
            <w:pPr>
              <w:pStyle w:val="182"/>
              <w:rPr>
                <w:snapToGrid w:val="0"/>
                <w:kern w:val="21"/>
              </w:rPr>
            </w:pPr>
          </w:p>
        </w:tc>
        <w:tc>
          <w:tcPr>
            <w:tcW w:w="1761" w:type="dxa"/>
            <w:noWrap w:val="0"/>
            <w:vAlign w:val="center"/>
          </w:tcPr>
          <w:p>
            <w:pPr>
              <w:pStyle w:val="91"/>
              <w:spacing w:beforeLines="0" w:afterLines="0" w:line="240" w:lineRule="auto"/>
              <w:rPr>
                <w:rFonts w:hAnsi="宋体" w:cs="宋体"/>
                <w:snapToGrid w:val="0"/>
                <w:kern w:val="21"/>
                <w:szCs w:val="21"/>
              </w:rPr>
            </w:pPr>
          </w:p>
        </w:tc>
        <w:tc>
          <w:tcPr>
            <w:tcW w:w="1641" w:type="dxa"/>
            <w:noWrap w:val="0"/>
            <w:vAlign w:val="center"/>
          </w:tcPr>
          <w:p>
            <w:pPr>
              <w:pStyle w:val="182"/>
              <w:rPr>
                <w:snapToGrid w:val="0"/>
                <w:kern w:val="21"/>
              </w:rPr>
            </w:pPr>
          </w:p>
        </w:tc>
        <w:tc>
          <w:tcPr>
            <w:tcW w:w="1418" w:type="dxa"/>
            <w:noWrap w:val="0"/>
            <w:vAlign w:val="center"/>
          </w:tcPr>
          <w:p>
            <w:pPr>
              <w:pStyle w:val="91"/>
              <w:spacing w:beforeLines="0" w:afterLines="0" w:line="240" w:lineRule="auto"/>
              <w:rPr>
                <w:rFonts w:hAnsi="宋体" w:cs="宋体"/>
                <w:snapToGrid w:val="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62" w:type="dxa"/>
            <w:vMerge w:val="continue"/>
            <w:noWrap w:val="0"/>
            <w:vAlign w:val="center"/>
          </w:tcPr>
          <w:p>
            <w:pPr>
              <w:pStyle w:val="91"/>
              <w:spacing w:beforeLines="0" w:afterLines="0" w:line="240" w:lineRule="auto"/>
              <w:rPr>
                <w:rFonts w:hAnsi="宋体" w:cs="宋体"/>
                <w:snapToGrid w:val="0"/>
                <w:kern w:val="21"/>
                <w:szCs w:val="21"/>
              </w:rPr>
            </w:pPr>
          </w:p>
        </w:tc>
        <w:tc>
          <w:tcPr>
            <w:tcW w:w="1417" w:type="dxa"/>
            <w:noWrap w:val="0"/>
            <w:vAlign w:val="center"/>
          </w:tcPr>
          <w:p>
            <w:pPr>
              <w:pStyle w:val="91"/>
              <w:spacing w:beforeLines="0" w:afterLines="0" w:line="240" w:lineRule="auto"/>
              <w:rPr>
                <w:rFonts w:hint="eastAsia" w:hAnsi="宋体" w:cs="宋体"/>
                <w:snapToGrid w:val="0"/>
                <w:kern w:val="21"/>
                <w:szCs w:val="21"/>
              </w:rPr>
            </w:pPr>
          </w:p>
        </w:tc>
        <w:tc>
          <w:tcPr>
            <w:tcW w:w="1701" w:type="dxa"/>
            <w:noWrap w:val="0"/>
            <w:vAlign w:val="center"/>
          </w:tcPr>
          <w:p>
            <w:pPr>
              <w:pStyle w:val="91"/>
              <w:spacing w:beforeLines="0" w:afterLines="0" w:line="240" w:lineRule="auto"/>
              <w:rPr>
                <w:rFonts w:hAnsi="宋体" w:cs="宋体"/>
                <w:snapToGrid w:val="0"/>
                <w:kern w:val="21"/>
                <w:szCs w:val="21"/>
              </w:rPr>
            </w:pPr>
          </w:p>
        </w:tc>
        <w:tc>
          <w:tcPr>
            <w:tcW w:w="1276" w:type="dxa"/>
            <w:noWrap w:val="0"/>
            <w:vAlign w:val="center"/>
          </w:tcPr>
          <w:p>
            <w:pPr>
              <w:pStyle w:val="91"/>
              <w:spacing w:beforeLines="0" w:afterLines="0" w:line="240" w:lineRule="auto"/>
              <w:rPr>
                <w:rFonts w:hAnsi="宋体" w:cs="宋体"/>
                <w:snapToGrid w:val="0"/>
                <w:kern w:val="21"/>
                <w:szCs w:val="21"/>
              </w:rPr>
            </w:pPr>
          </w:p>
        </w:tc>
        <w:tc>
          <w:tcPr>
            <w:tcW w:w="1701" w:type="dxa"/>
            <w:noWrap w:val="0"/>
            <w:vAlign w:val="center"/>
          </w:tcPr>
          <w:p>
            <w:pPr>
              <w:pStyle w:val="91"/>
              <w:spacing w:beforeLines="0" w:afterLines="0" w:line="240" w:lineRule="auto"/>
              <w:rPr>
                <w:rFonts w:hAnsi="宋体" w:cs="宋体"/>
                <w:snapToGrid w:val="0"/>
                <w:kern w:val="21"/>
                <w:szCs w:val="21"/>
              </w:rPr>
            </w:pPr>
          </w:p>
        </w:tc>
        <w:tc>
          <w:tcPr>
            <w:tcW w:w="1559" w:type="dxa"/>
            <w:noWrap w:val="0"/>
            <w:vAlign w:val="center"/>
          </w:tcPr>
          <w:p>
            <w:pPr>
              <w:pStyle w:val="91"/>
              <w:spacing w:beforeLines="0" w:afterLines="0" w:line="240" w:lineRule="auto"/>
              <w:rPr>
                <w:rFonts w:hAnsi="宋体" w:cs="宋体"/>
                <w:snapToGrid w:val="0"/>
                <w:kern w:val="21"/>
                <w:szCs w:val="21"/>
              </w:rPr>
            </w:pPr>
          </w:p>
        </w:tc>
        <w:tc>
          <w:tcPr>
            <w:tcW w:w="1761" w:type="dxa"/>
            <w:noWrap w:val="0"/>
            <w:vAlign w:val="center"/>
          </w:tcPr>
          <w:p>
            <w:pPr>
              <w:pStyle w:val="91"/>
              <w:spacing w:beforeLines="0" w:afterLines="0" w:line="240" w:lineRule="auto"/>
              <w:rPr>
                <w:rFonts w:hAnsi="宋体" w:cs="宋体"/>
                <w:snapToGrid w:val="0"/>
                <w:kern w:val="21"/>
                <w:szCs w:val="21"/>
              </w:rPr>
            </w:pPr>
          </w:p>
        </w:tc>
        <w:tc>
          <w:tcPr>
            <w:tcW w:w="1641" w:type="dxa"/>
            <w:noWrap w:val="0"/>
            <w:vAlign w:val="center"/>
          </w:tcPr>
          <w:p>
            <w:pPr>
              <w:pStyle w:val="91"/>
              <w:spacing w:beforeLines="0" w:afterLines="0" w:line="240" w:lineRule="auto"/>
              <w:rPr>
                <w:rFonts w:hAnsi="宋体" w:cs="宋体"/>
                <w:snapToGrid w:val="0"/>
                <w:kern w:val="21"/>
                <w:szCs w:val="21"/>
              </w:rPr>
            </w:pPr>
          </w:p>
        </w:tc>
        <w:tc>
          <w:tcPr>
            <w:tcW w:w="1418" w:type="dxa"/>
            <w:noWrap w:val="0"/>
            <w:vAlign w:val="center"/>
          </w:tcPr>
          <w:p>
            <w:pPr>
              <w:pStyle w:val="91"/>
              <w:spacing w:beforeLines="0" w:afterLines="0" w:line="240" w:lineRule="auto"/>
              <w:rPr>
                <w:rFonts w:hAnsi="宋体" w:cs="宋体"/>
                <w:snapToGrid w:val="0"/>
                <w:kern w:val="21"/>
                <w:szCs w:val="21"/>
              </w:rPr>
            </w:pPr>
          </w:p>
        </w:tc>
      </w:tr>
    </w:tbl>
    <w:p>
      <w:pPr>
        <w:pStyle w:val="91"/>
        <w:spacing w:before="192" w:beforeLines="80" w:after="24"/>
        <w:jc w:val="left"/>
        <w:rPr>
          <w:rFonts w:hint="eastAsia" w:eastAsia="黑体"/>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Pr>
        <w:pStyle w:val="30"/>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pStyle w:val="4"/>
        <w:rPr>
          <w:rFonts w:hint="eastAsia"/>
        </w:rPr>
      </w:pPr>
    </w:p>
    <w:p>
      <w:pPr>
        <w:rPr>
          <w:rFonts w:hint="eastAsia"/>
        </w:rPr>
      </w:pPr>
    </w:p>
    <w:p>
      <w:pPr>
        <w:rPr>
          <w:rFonts w:hint="eastAsia" w:ascii="仿宋_GB2312" w:hAnsi="仿宋_GB2312" w:eastAsia="仿宋_GB2312" w:cs="仿宋_GB2312"/>
          <w:color w:val="000000"/>
          <w:sz w:val="36"/>
          <w:szCs w:val="36"/>
        </w:rPr>
      </w:pPr>
      <w:bookmarkStart w:id="14" w:name="_Hlk57883707"/>
    </w:p>
    <w:p>
      <w:pPr>
        <w:rPr>
          <w:rFonts w:ascii="仿宋_GB2312" w:hAnsi="仿宋_GB2312" w:eastAsia="仿宋_GB2312" w:cs="仿宋_GB2312"/>
          <w:color w:val="000000"/>
          <w:sz w:val="36"/>
          <w:szCs w:val="36"/>
        </w:rPr>
      </w:pPr>
    </w:p>
    <w:p>
      <w:pPr>
        <w:rPr>
          <w:rFonts w:ascii="仿宋_GB2312" w:hAnsi="仿宋_GB2312" w:eastAsia="仿宋_GB2312" w:cs="仿宋_GB2312"/>
          <w:color w:val="000000"/>
          <w:sz w:val="36"/>
          <w:szCs w:val="36"/>
        </w:rPr>
      </w:pPr>
    </w:p>
    <w:p>
      <w:pPr>
        <w:rPr>
          <w:rFonts w:ascii="仿宋_GB2312" w:hAnsi="仿宋_GB2312" w:eastAsia="仿宋_GB2312" w:cs="仿宋_GB2312"/>
          <w:color w:val="000000"/>
          <w:sz w:val="36"/>
          <w:szCs w:val="36"/>
        </w:rPr>
      </w:pPr>
    </w:p>
    <w:bookmarkEnd w:id="14"/>
    <w:p>
      <w:pPr>
        <w:adjustRightInd w:val="0"/>
        <w:snapToGrid w:val="0"/>
        <w:jc w:val="center"/>
        <w:outlineLvl w:val="0"/>
        <w:rPr>
          <w:rFonts w:hint="eastAsia" w:ascii="方正小标宋_GBK" w:eastAsia="方正小标宋_GBK"/>
          <w:bCs/>
          <w:color w:val="000000"/>
          <w:sz w:val="72"/>
          <w:szCs w:val="72"/>
        </w:rPr>
      </w:pPr>
      <w:r>
        <w:rPr>
          <w:rFonts w:hint="eastAsia" w:ascii="方正小标宋_GBK" w:eastAsia="方正小标宋_GBK"/>
          <w:bCs/>
          <w:color w:val="000000"/>
          <w:sz w:val="72"/>
          <w:szCs w:val="72"/>
        </w:rPr>
        <w:t>建设项目环境影响报告表</w:t>
      </w:r>
    </w:p>
    <w:p>
      <w:pPr>
        <w:adjustRightInd w:val="0"/>
        <w:snapToGrid w:val="0"/>
        <w:spacing w:before="192" w:beforeLines="80"/>
        <w:jc w:val="center"/>
        <w:rPr>
          <w:rFonts w:hint="eastAsia" w:ascii="楷体_GB2312" w:eastAsia="楷体_GB2312"/>
          <w:bCs/>
          <w:color w:val="000000"/>
          <w:sz w:val="48"/>
          <w:szCs w:val="48"/>
        </w:rPr>
      </w:pPr>
      <w:r>
        <w:rPr>
          <w:rFonts w:hint="eastAsia" w:ascii="楷体_GB2312" w:eastAsia="楷体_GB2312"/>
          <w:bCs/>
          <w:color w:val="000000"/>
          <w:sz w:val="48"/>
          <w:szCs w:val="48"/>
        </w:rPr>
        <w:t>（生态影响类）</w:t>
      </w:r>
    </w:p>
    <w:p>
      <w:pPr>
        <w:adjustRightInd w:val="0"/>
        <w:snapToGrid w:val="0"/>
        <w:spacing w:line="288" w:lineRule="auto"/>
        <w:jc w:val="center"/>
        <w:rPr>
          <w:rFonts w:ascii="华文仿宋" w:hAnsi="华文仿宋" w:eastAsia="华文仿宋" w:cs="华文仿宋"/>
          <w:color w:val="000000"/>
          <w:kern w:val="44"/>
          <w:sz w:val="44"/>
          <w:szCs w:val="44"/>
        </w:rPr>
      </w:pPr>
      <w:bookmarkStart w:id="15" w:name="_Hlk57883728"/>
    </w:p>
    <w:p>
      <w:pPr>
        <w:jc w:val="center"/>
        <w:rPr>
          <w:rFonts w:eastAsia="仿宋"/>
          <w:color w:val="000000"/>
          <w:sz w:val="52"/>
          <w:szCs w:val="52"/>
        </w:rPr>
      </w:pPr>
    </w:p>
    <w:p>
      <w:pPr>
        <w:ind w:firstLine="1040"/>
        <w:rPr>
          <w:rFonts w:eastAsia="仿宋"/>
          <w:color w:val="000000"/>
          <w:sz w:val="44"/>
          <w:szCs w:val="44"/>
        </w:rPr>
      </w:pPr>
    </w:p>
    <w:p>
      <w:pPr>
        <w:ind w:firstLine="1040"/>
        <w:rPr>
          <w:rFonts w:eastAsia="仿宋"/>
          <w:color w:val="000000"/>
          <w:sz w:val="44"/>
          <w:szCs w:val="44"/>
        </w:rPr>
      </w:pPr>
    </w:p>
    <w:p>
      <w:pPr>
        <w:ind w:firstLine="1040"/>
        <w:rPr>
          <w:rFonts w:eastAsia="仿宋"/>
          <w:color w:val="000000"/>
          <w:sz w:val="44"/>
          <w:szCs w:val="44"/>
        </w:rPr>
      </w:pPr>
    </w:p>
    <w:p>
      <w:pPr>
        <w:ind w:firstLine="1040"/>
        <w:rPr>
          <w:rFonts w:eastAsia="仿宋"/>
          <w:color w:val="000000"/>
          <w:sz w:val="44"/>
          <w:szCs w:val="44"/>
        </w:rPr>
      </w:pPr>
    </w:p>
    <w:bookmarkEnd w:id="15"/>
    <w:p>
      <w:pPr>
        <w:adjustRightInd w:val="0"/>
        <w:snapToGrid w:val="0"/>
        <w:spacing w:line="288" w:lineRule="auto"/>
        <w:ind w:left="2210" w:leftChars="171" w:hanging="1800" w:hangingChars="500"/>
        <w:rPr>
          <w:rFonts w:ascii="仿宋_GB2312" w:eastAsia="仿宋_GB2312"/>
          <w:color w:val="000000"/>
          <w:sz w:val="36"/>
          <w:szCs w:val="36"/>
        </w:rPr>
      </w:pPr>
      <w:r>
        <w:rPr>
          <w:rFonts w:hint="eastAsia" w:ascii="仿宋_GB2312" w:eastAsia="仿宋_GB2312"/>
          <w:color w:val="000000"/>
          <w:sz w:val="36"/>
          <w:szCs w:val="36"/>
        </w:rPr>
        <w:t>项目名称：</w:t>
      </w:r>
      <w:r>
        <w:rPr>
          <w:rFonts w:hint="eastAsia" w:ascii="仿宋_GB2312" w:eastAsia="仿宋_GB2312"/>
          <w:sz w:val="36"/>
          <w:szCs w:val="36"/>
          <w:u w:val="single"/>
        </w:rPr>
        <w:t>乐山市市中区</w:t>
      </w:r>
      <w:r>
        <w:rPr>
          <w:rFonts w:hint="eastAsia" w:ascii="仿宋_GB2312" w:eastAsia="仿宋_GB2312"/>
          <w:sz w:val="36"/>
          <w:szCs w:val="36"/>
          <w:u w:val="single"/>
          <w:lang w:eastAsia="zh-CN"/>
        </w:rPr>
        <w:t>引水工程建设项目（二期工程）—</w:t>
      </w:r>
      <w:r>
        <w:rPr>
          <w:rFonts w:hint="eastAsia" w:ascii="仿宋_GB2312" w:eastAsia="仿宋_GB2312"/>
          <w:sz w:val="36"/>
          <w:szCs w:val="36"/>
          <w:u w:val="single"/>
        </w:rPr>
        <w:t>高中水库灌区2023-2025年续建配套与节水改造项目</w:t>
      </w:r>
      <w:r>
        <w:rPr>
          <w:rFonts w:hint="eastAsia" w:ascii="仿宋_GB2312" w:eastAsia="仿宋_GB2312"/>
          <w:sz w:val="36"/>
          <w:szCs w:val="36"/>
          <w:u w:val="single"/>
          <w:lang w:val="en-US" w:eastAsia="zh-CN"/>
        </w:rPr>
        <w:t xml:space="preserve">                </w:t>
      </w:r>
      <w:r>
        <w:rPr>
          <w:rFonts w:hint="eastAsia" w:ascii="仿宋_GB2312" w:eastAsia="仿宋_GB2312"/>
          <w:sz w:val="36"/>
          <w:szCs w:val="36"/>
          <w:u w:val="single"/>
        </w:rPr>
        <w:t xml:space="preserve">         </w:t>
      </w:r>
    </w:p>
    <w:p>
      <w:pPr>
        <w:adjustRightInd w:val="0"/>
        <w:snapToGrid w:val="0"/>
        <w:spacing w:line="288" w:lineRule="auto"/>
        <w:ind w:firstLine="360" w:firstLineChars="100"/>
        <w:rPr>
          <w:rFonts w:ascii="仿宋_GB2312" w:eastAsia="仿宋_GB2312"/>
          <w:color w:val="000000"/>
          <w:sz w:val="36"/>
          <w:szCs w:val="36"/>
          <w:u w:val="single"/>
        </w:rPr>
      </w:pPr>
      <w:r>
        <w:rPr>
          <w:rFonts w:hint="eastAsia" w:ascii="仿宋_GB2312" w:eastAsia="仿宋_GB2312"/>
          <w:color w:val="000000"/>
          <w:sz w:val="36"/>
          <w:szCs w:val="36"/>
        </w:rPr>
        <w:t>建设单位：</w:t>
      </w:r>
      <w:r>
        <w:rPr>
          <w:rFonts w:hint="eastAsia"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hint="eastAsia" w:ascii="仿宋_GB2312" w:eastAsia="仿宋_GB2312"/>
          <w:sz w:val="36"/>
          <w:szCs w:val="36"/>
          <w:u w:val="single"/>
        </w:rPr>
        <w:t xml:space="preserve">   </w:t>
      </w:r>
      <w:r>
        <w:rPr>
          <w:rFonts w:hint="eastAsia" w:ascii="仿宋_GB2312" w:eastAsia="仿宋_GB2312"/>
          <w:color w:val="000000"/>
          <w:sz w:val="36"/>
          <w:szCs w:val="36"/>
          <w:u w:val="single"/>
          <w:lang w:eastAsia="zh-CN"/>
        </w:rPr>
        <w:t>乐山浩淼生态环境工程有限公司</w:t>
      </w:r>
      <w:r>
        <w:rPr>
          <w:rFonts w:hint="eastAsia" w:ascii="仿宋_GB2312" w:eastAsia="仿宋_GB2312"/>
          <w:sz w:val="36"/>
          <w:szCs w:val="36"/>
          <w:u w:val="single"/>
        </w:rPr>
        <w:t xml:space="preserve">    </w:t>
      </w:r>
    </w:p>
    <w:p>
      <w:pPr>
        <w:adjustRightInd w:val="0"/>
        <w:snapToGrid w:val="0"/>
        <w:spacing w:line="288" w:lineRule="auto"/>
        <w:ind w:firstLine="360" w:firstLineChars="100"/>
        <w:rPr>
          <w:rFonts w:hint="eastAsia" w:ascii="仿宋_GB2312" w:eastAsia="仿宋_GB2312"/>
          <w:color w:val="000000"/>
          <w:sz w:val="36"/>
          <w:szCs w:val="36"/>
          <w:u w:val="single"/>
        </w:rPr>
      </w:pPr>
      <w:r>
        <w:rPr>
          <w:rFonts w:hint="eastAsia" w:ascii="仿宋_GB2312" w:eastAsia="仿宋_GB2312"/>
          <w:color w:val="000000"/>
          <w:sz w:val="36"/>
          <w:szCs w:val="36"/>
        </w:rPr>
        <w:t>编制日期：</w:t>
      </w:r>
      <w:r>
        <w:rPr>
          <w:rFonts w:hint="eastAsia" w:ascii="仿宋_GB2312" w:eastAsia="仿宋_GB2312"/>
          <w:color w:val="000000"/>
          <w:sz w:val="36"/>
          <w:szCs w:val="36"/>
          <w:u w:val="single"/>
        </w:rPr>
        <w:t xml:space="preserve">     </w:t>
      </w:r>
      <w:r>
        <w:rPr>
          <w:rFonts w:hint="eastAsia" w:ascii="仿宋_GB2312" w:eastAsia="仿宋_GB2312"/>
          <w:color w:val="000000"/>
          <w:sz w:val="36"/>
          <w:szCs w:val="36"/>
          <w:u w:val="single"/>
          <w:lang w:val="en-US" w:eastAsia="zh-CN"/>
        </w:rPr>
        <w:t xml:space="preserve"> </w:t>
      </w:r>
      <w:r>
        <w:rPr>
          <w:rFonts w:hint="eastAsia" w:ascii="仿宋_GB2312" w:eastAsia="仿宋_GB2312"/>
          <w:color w:val="000000"/>
          <w:sz w:val="36"/>
          <w:szCs w:val="36"/>
          <w:u w:val="single"/>
        </w:rPr>
        <w:t xml:space="preserve"> </w:t>
      </w:r>
      <w:r>
        <w:rPr>
          <w:rFonts w:hint="eastAsia" w:ascii="仿宋_GB2312" w:eastAsia="仿宋_GB2312"/>
          <w:color w:val="000000"/>
          <w:sz w:val="36"/>
          <w:szCs w:val="36"/>
          <w:u w:val="single"/>
          <w:lang w:val="en-US" w:eastAsia="zh-CN"/>
        </w:rPr>
        <w:t xml:space="preserve"> </w:t>
      </w:r>
      <w:r>
        <w:rPr>
          <w:rFonts w:hint="eastAsia" w:ascii="仿宋_GB2312" w:eastAsia="仿宋_GB2312"/>
          <w:color w:val="000000"/>
          <w:sz w:val="36"/>
          <w:szCs w:val="36"/>
          <w:u w:val="single"/>
        </w:rPr>
        <w:t xml:space="preserve">  </w:t>
      </w:r>
      <w:r>
        <w:rPr>
          <w:rFonts w:eastAsia="仿宋_GB2312"/>
          <w:color w:val="000000"/>
          <w:sz w:val="36"/>
          <w:szCs w:val="36"/>
          <w:u w:val="single"/>
        </w:rPr>
        <w:t xml:space="preserve"> 二〇二</w:t>
      </w:r>
      <w:r>
        <w:rPr>
          <w:rFonts w:hint="eastAsia" w:eastAsia="仿宋_GB2312"/>
          <w:color w:val="000000"/>
          <w:sz w:val="36"/>
          <w:szCs w:val="36"/>
          <w:u w:val="single"/>
        </w:rPr>
        <w:t>二</w:t>
      </w:r>
      <w:r>
        <w:rPr>
          <w:rFonts w:eastAsia="仿宋_GB2312"/>
          <w:color w:val="000000"/>
          <w:sz w:val="36"/>
          <w:szCs w:val="36"/>
          <w:u w:val="single"/>
        </w:rPr>
        <w:t>年</w:t>
      </w:r>
      <w:r>
        <w:rPr>
          <w:rFonts w:hint="eastAsia" w:eastAsia="仿宋_GB2312"/>
          <w:color w:val="000000"/>
          <w:sz w:val="36"/>
          <w:szCs w:val="36"/>
          <w:u w:val="single"/>
        </w:rPr>
        <w:t>十一</w:t>
      </w:r>
      <w:r>
        <w:rPr>
          <w:rFonts w:eastAsia="仿宋_GB2312"/>
          <w:color w:val="000000"/>
          <w:sz w:val="36"/>
          <w:szCs w:val="36"/>
          <w:u w:val="single"/>
        </w:rPr>
        <w:t>月</w:t>
      </w:r>
      <w:r>
        <w:rPr>
          <w:rFonts w:ascii="仿宋_GB2312" w:eastAsia="仿宋_GB2312"/>
          <w:color w:val="000000"/>
          <w:sz w:val="36"/>
          <w:szCs w:val="36"/>
          <w:u w:val="single"/>
        </w:rPr>
        <w:t xml:space="preserve">  </w:t>
      </w:r>
      <w:r>
        <w:rPr>
          <w:rFonts w:hint="eastAsia" w:ascii="仿宋_GB2312" w:eastAsia="仿宋_GB2312"/>
          <w:color w:val="000000"/>
          <w:sz w:val="36"/>
          <w:szCs w:val="36"/>
          <w:u w:val="single"/>
        </w:rPr>
        <w:t xml:space="preserve">   </w:t>
      </w:r>
      <w:r>
        <w:rPr>
          <w:rFonts w:hint="eastAsia" w:ascii="仿宋_GB2312" w:eastAsia="仿宋_GB2312"/>
          <w:color w:val="000000"/>
          <w:sz w:val="36"/>
          <w:szCs w:val="36"/>
          <w:u w:val="single"/>
          <w:lang w:val="en-US" w:eastAsia="zh-CN"/>
        </w:rPr>
        <w:t xml:space="preserve">  </w:t>
      </w:r>
      <w:r>
        <w:rPr>
          <w:rFonts w:hint="eastAsia" w:ascii="仿宋_GB2312" w:eastAsia="仿宋_GB2312"/>
          <w:color w:val="000000"/>
          <w:sz w:val="36"/>
          <w:szCs w:val="36"/>
          <w:u w:val="single"/>
        </w:rPr>
        <w:t xml:space="preserve"> </w:t>
      </w:r>
      <w:r>
        <w:rPr>
          <w:rFonts w:ascii="仿宋_GB2312" w:eastAsia="仿宋_GB2312"/>
          <w:color w:val="000000"/>
          <w:sz w:val="36"/>
          <w:szCs w:val="36"/>
          <w:u w:val="single"/>
        </w:rPr>
        <w:t xml:space="preserve">  </w:t>
      </w:r>
    </w:p>
    <w:p>
      <w:pPr>
        <w:adjustRightInd w:val="0"/>
        <w:snapToGrid w:val="0"/>
        <w:spacing w:line="288" w:lineRule="auto"/>
        <w:ind w:firstLine="1040"/>
        <w:rPr>
          <w:rFonts w:ascii="仿宋_GB2312" w:eastAsia="仿宋_GB2312"/>
          <w:color w:val="000000"/>
          <w:sz w:val="36"/>
          <w:szCs w:val="36"/>
          <w:u w:val="single"/>
        </w:rPr>
      </w:pPr>
    </w:p>
    <w:p>
      <w:pPr>
        <w:adjustRightInd w:val="0"/>
        <w:snapToGrid w:val="0"/>
        <w:spacing w:line="288" w:lineRule="auto"/>
        <w:ind w:firstLine="1040"/>
        <w:rPr>
          <w:rFonts w:hint="eastAsia" w:ascii="仿宋_GB2312" w:eastAsia="仿宋_GB2312"/>
          <w:color w:val="000000"/>
          <w:sz w:val="36"/>
          <w:szCs w:val="36"/>
        </w:rPr>
      </w:pPr>
    </w:p>
    <w:p>
      <w:pPr>
        <w:adjustRightInd w:val="0"/>
        <w:snapToGrid w:val="0"/>
        <w:spacing w:line="288" w:lineRule="auto"/>
        <w:rPr>
          <w:rFonts w:hint="eastAsia" w:ascii="楷体_GB2312" w:eastAsia="楷体_GB2312"/>
          <w:color w:val="000000"/>
          <w:sz w:val="36"/>
          <w:szCs w:val="36"/>
        </w:rPr>
      </w:pPr>
    </w:p>
    <w:p>
      <w:pPr>
        <w:adjustRightInd w:val="0"/>
        <w:snapToGrid w:val="0"/>
        <w:spacing w:line="288" w:lineRule="auto"/>
        <w:ind w:firstLine="1040"/>
        <w:rPr>
          <w:rFonts w:hint="eastAsia" w:ascii="楷体_GB2312" w:eastAsia="楷体_GB2312"/>
          <w:color w:val="000000"/>
          <w:sz w:val="36"/>
          <w:szCs w:val="36"/>
        </w:rPr>
      </w:pPr>
    </w:p>
    <w:p>
      <w:pPr>
        <w:adjustRightInd w:val="0"/>
        <w:snapToGrid w:val="0"/>
        <w:spacing w:line="288" w:lineRule="auto"/>
        <w:ind w:firstLine="1040"/>
        <w:jc w:val="center"/>
        <w:rPr>
          <w:rFonts w:ascii="仿宋_GB2312" w:eastAsia="仿宋_GB2312"/>
          <w:color w:val="000000"/>
          <w:sz w:val="36"/>
          <w:szCs w:val="36"/>
        </w:rPr>
        <w:sectPr>
          <w:footerReference r:id="rId6" w:type="default"/>
          <w:footerReference r:id="rId7"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rFonts w:hint="eastAsia" w:ascii="仿宋_GB2312" w:eastAsia="仿宋_GB2312"/>
          <w:color w:val="000000"/>
          <w:sz w:val="36"/>
          <w:szCs w:val="36"/>
        </w:rPr>
        <w:t>中华人民共和国生态环境部制</w:t>
      </w:r>
    </w:p>
    <w:p>
      <w:pPr>
        <w:pStyle w:val="17"/>
        <w:rPr>
          <w:color w:val="000000"/>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pPr>
        <w:pStyle w:val="3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一、建设项目基本情况</w:t>
      </w:r>
    </w:p>
    <w:tbl>
      <w:tblPr>
        <w:tblStyle w:val="39"/>
        <w:tblW w:w="89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13" w:type="dxa"/>
          <w:bottom w:w="0" w:type="dxa"/>
          <w:right w:w="113" w:type="dxa"/>
        </w:tblCellMar>
      </w:tblPr>
      <w:tblGrid>
        <w:gridCol w:w="1004"/>
        <w:gridCol w:w="3060"/>
        <w:gridCol w:w="1470"/>
        <w:gridCol w:w="34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598"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建设项目名称</w:t>
            </w:r>
          </w:p>
        </w:tc>
        <w:tc>
          <w:tcPr>
            <w:tcW w:w="7969" w:type="dxa"/>
            <w:gridSpan w:val="3"/>
            <w:noWrap w:val="0"/>
            <w:vAlign w:val="center"/>
          </w:tcPr>
          <w:p>
            <w:pPr>
              <w:adjustRightInd w:val="0"/>
              <w:snapToGrid w:val="0"/>
              <w:jc w:val="center"/>
              <w:rPr>
                <w:rFonts w:hint="eastAsia" w:ascii="宋体" w:hAnsi="宋体" w:cs="宋体"/>
                <w:color w:val="000000"/>
                <w:sz w:val="24"/>
              </w:rPr>
            </w:pPr>
            <w:r>
              <w:rPr>
                <w:rFonts w:hint="eastAsia" w:ascii="Times New Roman" w:hAnsi="Times New Roman"/>
                <w:sz w:val="24"/>
              </w:rPr>
              <w:t>乐山市市中区</w:t>
            </w:r>
            <w:r>
              <w:rPr>
                <w:rFonts w:hint="eastAsia" w:ascii="Times New Roman" w:hAnsi="Times New Roman"/>
                <w:sz w:val="24"/>
                <w:lang w:eastAsia="zh-CN"/>
              </w:rPr>
              <w:t>引水工程建设项目（二期工程）—</w:t>
            </w:r>
            <w:r>
              <w:rPr>
                <w:rFonts w:hint="eastAsia" w:ascii="Times New Roman" w:hAnsi="Times New Roman"/>
                <w:sz w:val="24"/>
              </w:rPr>
              <w:t>高中水库灌区2023-2025年续建配套与节水改造项目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144"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项目代码</w:t>
            </w:r>
          </w:p>
        </w:tc>
        <w:tc>
          <w:tcPr>
            <w:tcW w:w="7969" w:type="dxa"/>
            <w:gridSpan w:val="3"/>
            <w:noWrap w:val="0"/>
            <w:vAlign w:val="center"/>
          </w:tcPr>
          <w:p>
            <w:pPr>
              <w:adjustRightInd w:val="0"/>
              <w:snapToGrid w:val="0"/>
              <w:jc w:val="center"/>
              <w:rPr>
                <w:rFonts w:ascii="宋体" w:hAnsi="宋体" w:cs="宋体"/>
                <w:color w:val="000000"/>
                <w:sz w:val="24"/>
              </w:rPr>
            </w:pPr>
            <w:r>
              <w:rPr>
                <w:rFonts w:hint="eastAsia" w:ascii="Times New Roman" w:hAnsi="Times New Roman"/>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121"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建设单位联系人</w:t>
            </w:r>
          </w:p>
        </w:tc>
        <w:tc>
          <w:tcPr>
            <w:tcW w:w="3060" w:type="dxa"/>
            <w:noWrap w:val="0"/>
            <w:vAlign w:val="center"/>
          </w:tcPr>
          <w:p>
            <w:pPr>
              <w:adjustRightInd w:val="0"/>
              <w:snapToGrid w:val="0"/>
              <w:jc w:val="center"/>
              <w:rPr>
                <w:rFonts w:hint="eastAsia" w:ascii="宋体" w:hAnsi="宋体" w:cs="宋体"/>
                <w:color w:val="000000"/>
                <w:sz w:val="24"/>
              </w:rPr>
            </w:pPr>
            <w:r>
              <w:rPr>
                <w:rFonts w:hint="eastAsia" w:ascii="宋体" w:hAnsi="宋体" w:cs="宋体"/>
                <w:color w:val="000000"/>
                <w:sz w:val="24"/>
              </w:rPr>
              <w:t>黄智</w:t>
            </w:r>
          </w:p>
        </w:tc>
        <w:tc>
          <w:tcPr>
            <w:tcW w:w="1470"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联系方式</w:t>
            </w:r>
          </w:p>
        </w:tc>
        <w:tc>
          <w:tcPr>
            <w:tcW w:w="3439" w:type="dxa"/>
            <w:noWrap w:val="0"/>
            <w:vAlign w:val="center"/>
          </w:tcPr>
          <w:p>
            <w:pPr>
              <w:adjustRightInd w:val="0"/>
              <w:snapToGrid w:val="0"/>
              <w:jc w:val="center"/>
              <w:rPr>
                <w:rFonts w:ascii="Times New Roman" w:hAnsi="Times New Roman"/>
                <w:sz w:val="24"/>
              </w:rPr>
            </w:pPr>
            <w:r>
              <w:rPr>
                <w:rFonts w:hint="eastAsia" w:ascii="Times New Roman" w:hAnsi="Times New Roman"/>
                <w:sz w:val="24"/>
              </w:rPr>
              <w:t>15082211178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362"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建设地点</w:t>
            </w:r>
          </w:p>
        </w:tc>
        <w:tc>
          <w:tcPr>
            <w:tcW w:w="7969" w:type="dxa"/>
            <w:gridSpan w:val="3"/>
            <w:noWrap w:val="0"/>
            <w:vAlign w:val="center"/>
          </w:tcPr>
          <w:p>
            <w:pPr>
              <w:widowControl/>
              <w:jc w:val="center"/>
              <w:rPr>
                <w:rFonts w:ascii="宋体" w:hAnsi="宋体" w:cs="宋体"/>
                <w:color w:val="000000"/>
                <w:sz w:val="24"/>
              </w:rPr>
            </w:pPr>
            <w:r>
              <w:rPr>
                <w:rFonts w:hint="eastAsia" w:ascii="Times New Roman" w:hAnsi="Times New Roman"/>
                <w:sz w:val="24"/>
              </w:rPr>
              <w:t>乐山市市中</w:t>
            </w:r>
            <w:r>
              <w:rPr>
                <w:rFonts w:ascii="Times New Roman" w:hAnsi="Times New Roman"/>
                <w:sz w:val="24"/>
              </w:rPr>
              <w:t>区白马镇、青平镇、茅桥镇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355"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地理坐标</w:t>
            </w:r>
          </w:p>
        </w:tc>
        <w:tc>
          <w:tcPr>
            <w:tcW w:w="7969" w:type="dxa"/>
            <w:gridSpan w:val="3"/>
            <w:noWrap w:val="0"/>
            <w:vAlign w:val="center"/>
          </w:tcPr>
          <w:p>
            <w:pPr>
              <w:adjustRightInd w:val="0"/>
              <w:snapToGrid w:val="0"/>
              <w:jc w:val="center"/>
              <w:rPr>
                <w:rFonts w:ascii="Times New Roman" w:hAnsi="Times New Roman"/>
                <w:sz w:val="24"/>
              </w:rPr>
            </w:pPr>
            <w:r>
              <w:rPr>
                <w:rFonts w:hint="eastAsia" w:ascii="Times New Roman" w:hAnsi="Times New Roman"/>
                <w:sz w:val="24"/>
              </w:rPr>
              <w:t>新建青白渠管道</w:t>
            </w:r>
            <w:r>
              <w:rPr>
                <w:rFonts w:ascii="Times New Roman" w:hAnsi="Times New Roman"/>
                <w:sz w:val="24"/>
              </w:rPr>
              <w:t>起点坐标：10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54</w:t>
            </w:r>
            <w:r>
              <w:rPr>
                <w:rFonts w:ascii="Times New Roman" w:hAnsi="Times New Roman"/>
                <w:sz w:val="24"/>
              </w:rPr>
              <w:t>′</w:t>
            </w:r>
            <w:r>
              <w:rPr>
                <w:rFonts w:hint="eastAsia" w:ascii="Times New Roman" w:hAnsi="Times New Roman"/>
                <w:sz w:val="24"/>
                <w:lang w:val="en-US" w:eastAsia="zh-CN"/>
              </w:rPr>
              <w:t>29.451</w:t>
            </w:r>
            <w:r>
              <w:rPr>
                <w:rFonts w:ascii="Times New Roman" w:hAnsi="Times New Roman"/>
                <w:sz w:val="24"/>
              </w:rPr>
              <w:t>″，29°</w:t>
            </w:r>
            <w:r>
              <w:rPr>
                <w:rFonts w:hint="eastAsia" w:ascii="Times New Roman" w:hAnsi="Times New Roman"/>
                <w:sz w:val="24"/>
                <w:lang w:val="en-US" w:eastAsia="zh-CN"/>
              </w:rPr>
              <w:t>38</w:t>
            </w:r>
            <w:r>
              <w:rPr>
                <w:rFonts w:ascii="Times New Roman" w:hAnsi="Times New Roman"/>
                <w:sz w:val="24"/>
              </w:rPr>
              <w:t>′</w:t>
            </w:r>
            <w:r>
              <w:rPr>
                <w:rFonts w:hint="eastAsia" w:ascii="Times New Roman" w:hAnsi="Times New Roman"/>
                <w:sz w:val="24"/>
                <w:lang w:val="en-US" w:eastAsia="zh-CN"/>
              </w:rPr>
              <w:t>12.749</w:t>
            </w:r>
            <w:r>
              <w:rPr>
                <w:rFonts w:ascii="Times New Roman" w:hAnsi="Times New Roman"/>
                <w:sz w:val="24"/>
              </w:rPr>
              <w:t>″；</w:t>
            </w:r>
          </w:p>
          <w:p>
            <w:pPr>
              <w:adjustRightInd w:val="0"/>
              <w:snapToGrid w:val="0"/>
              <w:jc w:val="center"/>
              <w:rPr>
                <w:rFonts w:ascii="Times New Roman" w:hAnsi="Times New Roman"/>
                <w:sz w:val="24"/>
              </w:rPr>
            </w:pPr>
            <w:r>
              <w:rPr>
                <w:rFonts w:hint="eastAsia" w:ascii="Times New Roman" w:hAnsi="Times New Roman"/>
                <w:sz w:val="24"/>
                <w:lang w:val="en-US" w:eastAsia="zh-CN"/>
              </w:rPr>
              <w:t xml:space="preserve">            </w:t>
            </w:r>
            <w:r>
              <w:rPr>
                <w:rFonts w:ascii="Times New Roman" w:hAnsi="Times New Roman"/>
                <w:sz w:val="24"/>
              </w:rPr>
              <w:t>终点坐标：10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58</w:t>
            </w:r>
            <w:r>
              <w:rPr>
                <w:rFonts w:ascii="Times New Roman" w:hAnsi="Times New Roman"/>
                <w:sz w:val="24"/>
              </w:rPr>
              <w:t>′</w:t>
            </w:r>
            <w:r>
              <w:rPr>
                <w:rFonts w:hint="eastAsia" w:ascii="Times New Roman" w:hAnsi="Times New Roman"/>
                <w:sz w:val="24"/>
                <w:lang w:val="en-US" w:eastAsia="zh-CN"/>
              </w:rPr>
              <w:t>21.230</w:t>
            </w:r>
            <w:r>
              <w:rPr>
                <w:rFonts w:ascii="Times New Roman" w:hAnsi="Times New Roman"/>
                <w:sz w:val="24"/>
              </w:rPr>
              <w:t>″，29°3</w:t>
            </w:r>
            <w:r>
              <w:rPr>
                <w:rFonts w:hint="eastAsia" w:ascii="Times New Roman" w:hAnsi="Times New Roman"/>
                <w:sz w:val="24"/>
                <w:lang w:val="en-US" w:eastAsia="zh-CN"/>
              </w:rPr>
              <w:t>8</w:t>
            </w:r>
            <w:r>
              <w:rPr>
                <w:rFonts w:ascii="Times New Roman" w:hAnsi="Times New Roman"/>
                <w:sz w:val="24"/>
              </w:rPr>
              <w:t>′</w:t>
            </w:r>
            <w:r>
              <w:rPr>
                <w:rFonts w:hint="eastAsia" w:ascii="Times New Roman" w:hAnsi="Times New Roman"/>
                <w:sz w:val="24"/>
                <w:lang w:val="en-US" w:eastAsia="zh-CN"/>
              </w:rPr>
              <w:t>56.552</w:t>
            </w:r>
            <w:r>
              <w:rPr>
                <w:rFonts w:ascii="Times New Roman" w:hAnsi="Times New Roman"/>
                <w:sz w:val="24"/>
              </w:rPr>
              <w:t>″</w:t>
            </w:r>
          </w:p>
          <w:p>
            <w:pPr>
              <w:adjustRightInd w:val="0"/>
              <w:snapToGrid w:val="0"/>
              <w:jc w:val="center"/>
              <w:rPr>
                <w:rFonts w:ascii="Times New Roman" w:hAnsi="Times New Roman"/>
                <w:sz w:val="24"/>
              </w:rPr>
            </w:pPr>
            <w:r>
              <w:rPr>
                <w:rFonts w:hint="eastAsia" w:ascii="Times New Roman" w:hAnsi="Times New Roman"/>
                <w:sz w:val="24"/>
              </w:rPr>
              <w:t>整治右干渠</w:t>
            </w:r>
            <w:r>
              <w:rPr>
                <w:rFonts w:ascii="Times New Roman" w:hAnsi="Times New Roman"/>
                <w:sz w:val="24"/>
              </w:rPr>
              <w:t>起点坐标：10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53</w:t>
            </w:r>
            <w:r>
              <w:rPr>
                <w:rFonts w:ascii="Times New Roman" w:hAnsi="Times New Roman"/>
                <w:sz w:val="24"/>
              </w:rPr>
              <w:t>′</w:t>
            </w:r>
            <w:r>
              <w:rPr>
                <w:rFonts w:hint="eastAsia" w:ascii="Times New Roman" w:hAnsi="Times New Roman"/>
                <w:sz w:val="24"/>
                <w:lang w:val="en-US" w:eastAsia="zh-CN"/>
              </w:rPr>
              <w:t>4.581</w:t>
            </w:r>
            <w:r>
              <w:rPr>
                <w:rFonts w:ascii="Times New Roman" w:hAnsi="Times New Roman"/>
                <w:sz w:val="24"/>
              </w:rPr>
              <w:t>″，29°</w:t>
            </w:r>
            <w:r>
              <w:rPr>
                <w:rFonts w:hint="eastAsia" w:ascii="Times New Roman" w:hAnsi="Times New Roman"/>
                <w:sz w:val="24"/>
                <w:lang w:val="en-US" w:eastAsia="zh-CN"/>
              </w:rPr>
              <w:t>31</w:t>
            </w:r>
            <w:r>
              <w:rPr>
                <w:rFonts w:ascii="Times New Roman" w:hAnsi="Times New Roman"/>
                <w:sz w:val="24"/>
              </w:rPr>
              <w:t>′</w:t>
            </w:r>
            <w:r>
              <w:rPr>
                <w:rFonts w:hint="eastAsia" w:ascii="Times New Roman" w:hAnsi="Times New Roman"/>
                <w:sz w:val="24"/>
                <w:lang w:val="en-US" w:eastAsia="zh-CN"/>
              </w:rPr>
              <w:t>10.362</w:t>
            </w:r>
            <w:r>
              <w:rPr>
                <w:rFonts w:ascii="Times New Roman" w:hAnsi="Times New Roman"/>
                <w:sz w:val="24"/>
              </w:rPr>
              <w:t>″；</w:t>
            </w:r>
          </w:p>
          <w:p>
            <w:pPr>
              <w:adjustRightInd w:val="0"/>
              <w:snapToGrid w:val="0"/>
              <w:jc w:val="center"/>
              <w:rPr>
                <w:rFonts w:ascii="Times New Roman" w:hAnsi="Times New Roman"/>
                <w:sz w:val="24"/>
              </w:rPr>
            </w:pPr>
            <w:r>
              <w:rPr>
                <w:rFonts w:hint="eastAsia" w:ascii="Times New Roman" w:hAnsi="Times New Roman"/>
                <w:sz w:val="24"/>
                <w:lang w:val="en-US" w:eastAsia="zh-CN"/>
              </w:rPr>
              <w:t xml:space="preserve">         </w:t>
            </w:r>
            <w:r>
              <w:rPr>
                <w:rFonts w:ascii="Times New Roman" w:hAnsi="Times New Roman"/>
                <w:sz w:val="24"/>
              </w:rPr>
              <w:t>终点坐标：</w:t>
            </w:r>
            <w:r>
              <w:rPr>
                <w:rFonts w:hint="eastAsia" w:ascii="Times New Roman" w:hAnsi="Times New Roman"/>
                <w:sz w:val="24"/>
                <w:lang w:val="en-US" w:eastAsia="zh-CN"/>
              </w:rPr>
              <w:t>103</w:t>
            </w:r>
            <w:r>
              <w:rPr>
                <w:rFonts w:ascii="Times New Roman" w:hAnsi="Times New Roman"/>
                <w:sz w:val="24"/>
              </w:rPr>
              <w:t>°</w:t>
            </w:r>
            <w:r>
              <w:rPr>
                <w:rFonts w:hint="eastAsia" w:ascii="Times New Roman" w:hAnsi="Times New Roman"/>
                <w:sz w:val="24"/>
                <w:lang w:val="en-US" w:eastAsia="zh-CN"/>
              </w:rPr>
              <w:t>53</w:t>
            </w:r>
            <w:r>
              <w:rPr>
                <w:rFonts w:ascii="Times New Roman" w:hAnsi="Times New Roman"/>
                <w:sz w:val="24"/>
              </w:rPr>
              <w:t>′</w:t>
            </w:r>
            <w:r>
              <w:rPr>
                <w:rFonts w:hint="eastAsia" w:ascii="Times New Roman" w:hAnsi="Times New Roman"/>
                <w:sz w:val="24"/>
                <w:lang w:val="en-US" w:eastAsia="zh-CN"/>
              </w:rPr>
              <w:t>23.490</w:t>
            </w:r>
            <w:r>
              <w:rPr>
                <w:rFonts w:ascii="Times New Roman" w:hAnsi="Times New Roman"/>
                <w:sz w:val="24"/>
              </w:rPr>
              <w:t>″，29°3</w:t>
            </w:r>
            <w:r>
              <w:rPr>
                <w:rFonts w:hint="eastAsia" w:ascii="Times New Roman" w:hAnsi="Times New Roman"/>
                <w:sz w:val="24"/>
                <w:lang w:val="en-US" w:eastAsia="zh-CN"/>
              </w:rPr>
              <w:t>0</w:t>
            </w:r>
            <w:r>
              <w:rPr>
                <w:rFonts w:ascii="Times New Roman" w:hAnsi="Times New Roman"/>
                <w:sz w:val="24"/>
              </w:rPr>
              <w:t>′</w:t>
            </w:r>
            <w:r>
              <w:rPr>
                <w:rFonts w:hint="eastAsia" w:ascii="Times New Roman" w:hAnsi="Times New Roman"/>
                <w:sz w:val="24"/>
                <w:lang w:val="en-US" w:eastAsia="zh-CN"/>
              </w:rPr>
              <w:t>34.125</w:t>
            </w:r>
            <w:r>
              <w:rPr>
                <w:rFonts w:ascii="Times New Roman" w:hAnsi="Times New Roman"/>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715"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建设项目</w:t>
            </w:r>
          </w:p>
          <w:p>
            <w:pPr>
              <w:adjustRightInd w:val="0"/>
              <w:snapToGrid w:val="0"/>
              <w:jc w:val="center"/>
              <w:rPr>
                <w:rFonts w:ascii="宋体" w:hAnsi="宋体" w:cs="宋体"/>
                <w:color w:val="000000"/>
                <w:sz w:val="24"/>
              </w:rPr>
            </w:pPr>
            <w:r>
              <w:rPr>
                <w:rFonts w:hint="eastAsia" w:ascii="宋体" w:hAnsi="宋体" w:cs="宋体"/>
                <w:color w:val="000000"/>
                <w:sz w:val="24"/>
              </w:rPr>
              <w:t>行业类别</w:t>
            </w:r>
          </w:p>
        </w:tc>
        <w:tc>
          <w:tcPr>
            <w:tcW w:w="3060" w:type="dxa"/>
            <w:noWrap w:val="0"/>
            <w:vAlign w:val="center"/>
          </w:tcPr>
          <w:p>
            <w:pPr>
              <w:adjustRightInd w:val="0"/>
              <w:snapToGrid w:val="0"/>
              <w:jc w:val="center"/>
              <w:rPr>
                <w:rFonts w:hint="eastAsia" w:ascii="宋体" w:hAnsi="宋体" w:cs="宋体"/>
                <w:color w:val="000000"/>
                <w:sz w:val="24"/>
              </w:rPr>
            </w:pPr>
            <w:r>
              <w:rPr>
                <w:rFonts w:hint="eastAsia" w:ascii="宋体" w:hAnsi="宋体" w:cs="宋体"/>
                <w:color w:val="000000"/>
                <w:sz w:val="24"/>
              </w:rPr>
              <w:t xml:space="preserve">五十一、水利 </w:t>
            </w:r>
            <w:r>
              <w:rPr>
                <w:rFonts w:hint="eastAsia" w:ascii="Times New Roman" w:hAnsi="Times New Roman"/>
                <w:sz w:val="24"/>
              </w:rPr>
              <w:t>125</w:t>
            </w:r>
            <w:r>
              <w:rPr>
                <w:rFonts w:hint="eastAsia" w:ascii="宋体" w:hAnsi="宋体" w:cs="宋体"/>
                <w:color w:val="000000"/>
                <w:sz w:val="24"/>
              </w:rPr>
              <w:t xml:space="preserve"> 灌区工程（不含水源工程的）-其他；</w:t>
            </w:r>
            <w:r>
              <w:rPr>
                <w:rFonts w:hint="eastAsia" w:ascii="Times New Roman" w:hAnsi="Times New Roman"/>
                <w:sz w:val="24"/>
              </w:rPr>
              <w:t xml:space="preserve">126 </w:t>
            </w:r>
            <w:r>
              <w:rPr>
                <w:rFonts w:hint="eastAsia" w:ascii="宋体" w:hAnsi="宋体" w:cs="宋体"/>
                <w:color w:val="000000"/>
                <w:sz w:val="24"/>
              </w:rPr>
              <w:t>引水工程-其他</w:t>
            </w:r>
          </w:p>
        </w:tc>
        <w:tc>
          <w:tcPr>
            <w:tcW w:w="1470" w:type="dxa"/>
            <w:noWrap w:val="0"/>
            <w:vAlign w:val="center"/>
          </w:tcPr>
          <w:p>
            <w:pPr>
              <w:adjustRightInd w:val="0"/>
              <w:snapToGrid w:val="0"/>
              <w:jc w:val="center"/>
              <w:rPr>
                <w:color w:val="000000"/>
                <w:sz w:val="24"/>
              </w:rPr>
            </w:pPr>
            <w:r>
              <w:rPr>
                <w:rFonts w:hAnsi="宋体"/>
                <w:color w:val="000000"/>
                <w:sz w:val="24"/>
              </w:rPr>
              <w:t>用地（用海）面积（</w:t>
            </w:r>
            <w:r>
              <w:rPr>
                <w:color w:val="000000"/>
                <w:sz w:val="24"/>
              </w:rPr>
              <w:t>m</w:t>
            </w:r>
            <w:r>
              <w:rPr>
                <w:color w:val="000000"/>
                <w:sz w:val="24"/>
                <w:vertAlign w:val="superscript"/>
              </w:rPr>
              <w:t>2</w:t>
            </w:r>
            <w:r>
              <w:rPr>
                <w:rFonts w:hAnsi="宋体"/>
                <w:color w:val="000000"/>
                <w:sz w:val="24"/>
              </w:rPr>
              <w:t>）</w:t>
            </w:r>
            <w:r>
              <w:rPr>
                <w:color w:val="000000"/>
                <w:sz w:val="24"/>
              </w:rPr>
              <w:t>/</w:t>
            </w:r>
            <w:r>
              <w:rPr>
                <w:rFonts w:hAnsi="宋体"/>
                <w:color w:val="000000"/>
                <w:sz w:val="24"/>
              </w:rPr>
              <w:t>长度（</w:t>
            </w:r>
            <w:r>
              <w:rPr>
                <w:color w:val="000000"/>
                <w:sz w:val="24"/>
              </w:rPr>
              <w:t>km</w:t>
            </w:r>
            <w:r>
              <w:rPr>
                <w:rFonts w:hAnsi="宋体"/>
                <w:color w:val="000000"/>
                <w:sz w:val="24"/>
              </w:rPr>
              <w:t>）</w:t>
            </w:r>
          </w:p>
        </w:tc>
        <w:tc>
          <w:tcPr>
            <w:tcW w:w="3439" w:type="dxa"/>
            <w:noWrap w:val="0"/>
            <w:vAlign w:val="center"/>
          </w:tcPr>
          <w:p>
            <w:pPr>
              <w:adjustRightInd w:val="0"/>
              <w:snapToGrid w:val="0"/>
              <w:jc w:val="center"/>
              <w:rPr>
                <w:rFonts w:ascii="Times New Roman" w:hAnsi="Times New Roman"/>
                <w:sz w:val="24"/>
              </w:rPr>
            </w:pPr>
            <w:r>
              <w:rPr>
                <w:rFonts w:hint="eastAsia" w:ascii="Times New Roman" w:hAnsi="Times New Roman"/>
                <w:sz w:val="24"/>
              </w:rPr>
              <w:t>新建青白渠管道12.8km</w:t>
            </w:r>
            <w:r>
              <w:rPr>
                <w:rFonts w:hint="eastAsia"/>
                <w:color w:val="000000"/>
                <w:sz w:val="24"/>
              </w:rPr>
              <w:t>；</w:t>
            </w:r>
          </w:p>
          <w:p>
            <w:pPr>
              <w:adjustRightInd w:val="0"/>
              <w:snapToGrid w:val="0"/>
              <w:jc w:val="center"/>
              <w:rPr>
                <w:rFonts w:hint="eastAsia"/>
                <w:color w:val="000000"/>
                <w:sz w:val="24"/>
              </w:rPr>
            </w:pPr>
            <w:r>
              <w:rPr>
                <w:rFonts w:hint="eastAsia"/>
                <w:color w:val="000000"/>
                <w:sz w:val="24"/>
              </w:rPr>
              <w:t>整治右干渠1.803km；</w:t>
            </w:r>
          </w:p>
          <w:p>
            <w:pPr>
              <w:adjustRightInd w:val="0"/>
              <w:snapToGrid w:val="0"/>
              <w:jc w:val="center"/>
              <w:rPr>
                <w:color w:val="000000"/>
                <w:sz w:val="24"/>
              </w:rPr>
            </w:pPr>
            <w:r>
              <w:rPr>
                <w:rFonts w:hint="eastAsia"/>
                <w:color w:val="000000"/>
                <w:sz w:val="24"/>
              </w:rPr>
              <w:t>整治灌区渠系建筑物，管理房维修750m</w:t>
            </w:r>
            <w:r>
              <w:rPr>
                <w:rFonts w:hint="eastAsia"/>
                <w:color w:val="000000"/>
                <w:sz w:val="24"/>
                <w:vertAlign w:val="superscript"/>
              </w:rPr>
              <w:t>2</w:t>
            </w:r>
            <w:r>
              <w:rPr>
                <w:rFonts w:hint="eastAsia"/>
                <w:color w:val="000000"/>
                <w:sz w:val="24"/>
              </w:rPr>
              <w:t>，进库公路4km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建设性质</w:t>
            </w:r>
          </w:p>
        </w:tc>
        <w:tc>
          <w:tcPr>
            <w:tcW w:w="3060" w:type="dxa"/>
            <w:noWrap w:val="0"/>
            <w:vAlign w:val="center"/>
          </w:tcPr>
          <w:p>
            <w:pPr>
              <w:adjustRightInd w:val="0"/>
              <w:snapToGrid w:val="0"/>
              <w:jc w:val="left"/>
              <w:rPr>
                <w:rFonts w:ascii="宋体" w:hAnsi="宋体" w:cs="宋体"/>
                <w:color w:val="000000"/>
                <w:sz w:val="24"/>
              </w:rPr>
            </w:pPr>
            <w:r>
              <w:rPr>
                <w:rFonts w:hint="eastAsia" w:ascii="宋体" w:hAnsi="宋体" w:cs="宋体"/>
                <w:color w:val="000000"/>
                <w:sz w:val="24"/>
              </w:rPr>
              <w:sym w:font="Wingdings 2" w:char="0052"/>
            </w:r>
            <w:r>
              <w:rPr>
                <w:rFonts w:hint="eastAsia" w:ascii="宋体" w:hAnsi="宋体" w:cs="宋体"/>
                <w:color w:val="000000"/>
                <w:sz w:val="24"/>
              </w:rPr>
              <w:t>新建（迁建）</w:t>
            </w:r>
          </w:p>
          <w:p>
            <w:pPr>
              <w:adjustRightInd w:val="0"/>
              <w:snapToGrid w:val="0"/>
              <w:jc w:val="left"/>
              <w:rPr>
                <w:rFonts w:ascii="宋体" w:hAnsi="宋体" w:cs="宋体"/>
                <w:color w:val="000000"/>
                <w:sz w:val="24"/>
              </w:rPr>
            </w:pPr>
            <w:r>
              <w:rPr>
                <w:rFonts w:hint="eastAsia" w:ascii="宋体" w:hAnsi="宋体" w:cs="宋体"/>
                <w:color w:val="000000"/>
                <w:sz w:val="24"/>
              </w:rPr>
              <w:sym w:font="Wingdings 2" w:char="00A3"/>
            </w:r>
            <w:r>
              <w:rPr>
                <w:rFonts w:hint="eastAsia" w:ascii="宋体" w:hAnsi="宋体" w:cs="宋体"/>
                <w:color w:val="000000"/>
                <w:sz w:val="24"/>
              </w:rPr>
              <w:t>改建</w:t>
            </w:r>
          </w:p>
          <w:p>
            <w:pPr>
              <w:adjustRightInd w:val="0"/>
              <w:snapToGrid w:val="0"/>
              <w:jc w:val="left"/>
              <w:rPr>
                <w:rFonts w:ascii="宋体" w:hAnsi="宋体" w:cs="宋体"/>
                <w:color w:val="000000"/>
                <w:sz w:val="24"/>
              </w:rPr>
            </w:pPr>
            <w:r>
              <w:rPr>
                <w:rFonts w:hint="eastAsia" w:ascii="宋体" w:hAnsi="宋体" w:cs="宋体"/>
                <w:color w:val="000000"/>
                <w:sz w:val="24"/>
              </w:rPr>
              <w:sym w:font="Wingdings 2" w:char="00A3"/>
            </w:r>
            <w:r>
              <w:rPr>
                <w:rFonts w:hint="eastAsia" w:ascii="宋体" w:hAnsi="宋体" w:cs="宋体"/>
                <w:color w:val="000000"/>
                <w:sz w:val="24"/>
              </w:rPr>
              <w:t>扩建</w:t>
            </w:r>
          </w:p>
          <w:p>
            <w:pPr>
              <w:adjustRightInd w:val="0"/>
              <w:snapToGrid w:val="0"/>
              <w:jc w:val="left"/>
              <w:rPr>
                <w:rFonts w:ascii="宋体" w:hAnsi="宋体" w:cs="宋体"/>
                <w:color w:val="000000"/>
                <w:sz w:val="24"/>
              </w:rPr>
            </w:pPr>
            <w:r>
              <w:rPr>
                <w:rFonts w:hint="eastAsia" w:ascii="宋体" w:hAnsi="宋体" w:cs="宋体"/>
                <w:color w:val="000000"/>
                <w:sz w:val="24"/>
              </w:rPr>
              <w:t>□技术改造</w:t>
            </w:r>
          </w:p>
        </w:tc>
        <w:tc>
          <w:tcPr>
            <w:tcW w:w="1470"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建设项目</w:t>
            </w:r>
          </w:p>
          <w:p>
            <w:pPr>
              <w:adjustRightInd w:val="0"/>
              <w:snapToGrid w:val="0"/>
              <w:jc w:val="center"/>
              <w:rPr>
                <w:rFonts w:ascii="宋体" w:hAnsi="宋体" w:cs="宋体"/>
                <w:color w:val="000000"/>
                <w:sz w:val="24"/>
              </w:rPr>
            </w:pPr>
            <w:r>
              <w:rPr>
                <w:rFonts w:hint="eastAsia" w:ascii="宋体" w:hAnsi="宋体" w:cs="宋体"/>
                <w:color w:val="000000"/>
                <w:sz w:val="24"/>
              </w:rPr>
              <w:t>申报情形</w:t>
            </w:r>
          </w:p>
        </w:tc>
        <w:tc>
          <w:tcPr>
            <w:tcW w:w="3439" w:type="dxa"/>
            <w:noWrap w:val="0"/>
            <w:vAlign w:val="center"/>
          </w:tcPr>
          <w:p>
            <w:pPr>
              <w:adjustRightInd w:val="0"/>
              <w:snapToGrid w:val="0"/>
              <w:jc w:val="left"/>
              <w:rPr>
                <w:rFonts w:ascii="宋体" w:hAnsi="宋体" w:cs="宋体"/>
                <w:color w:val="000000"/>
                <w:sz w:val="24"/>
              </w:rPr>
            </w:pPr>
            <w:r>
              <w:rPr>
                <w:rFonts w:hint="eastAsia" w:ascii="宋体" w:hAnsi="宋体" w:cs="宋体"/>
                <w:color w:val="000000"/>
                <w:sz w:val="24"/>
              </w:rPr>
              <w:sym w:font="Wingdings 2" w:char="0052"/>
            </w:r>
            <w:r>
              <w:rPr>
                <w:rFonts w:hint="eastAsia" w:ascii="宋体" w:hAnsi="宋体" w:cs="宋体"/>
                <w:color w:val="000000"/>
                <w:sz w:val="24"/>
              </w:rPr>
              <w:t>首次申报项目</w:t>
            </w:r>
          </w:p>
          <w:p>
            <w:pPr>
              <w:adjustRightInd w:val="0"/>
              <w:snapToGrid w:val="0"/>
              <w:jc w:val="left"/>
              <w:rPr>
                <w:rFonts w:ascii="宋体" w:hAnsi="宋体" w:cs="宋体"/>
                <w:color w:val="000000"/>
                <w:sz w:val="24"/>
              </w:rPr>
            </w:pPr>
            <w:r>
              <w:rPr>
                <w:rFonts w:hint="eastAsia" w:ascii="宋体" w:hAnsi="宋体" w:cs="宋体"/>
                <w:color w:val="000000"/>
                <w:sz w:val="24"/>
              </w:rPr>
              <w:t>□不予批准后再次申报项目</w:t>
            </w:r>
          </w:p>
          <w:p>
            <w:pPr>
              <w:adjustRightInd w:val="0"/>
              <w:snapToGrid w:val="0"/>
              <w:jc w:val="left"/>
              <w:rPr>
                <w:rFonts w:ascii="宋体" w:hAnsi="宋体" w:cs="宋体"/>
                <w:color w:val="000000"/>
                <w:sz w:val="24"/>
              </w:rPr>
            </w:pPr>
            <w:r>
              <w:rPr>
                <w:rFonts w:hint="eastAsia" w:ascii="宋体" w:hAnsi="宋体" w:cs="宋体"/>
                <w:color w:val="000000"/>
                <w:sz w:val="24"/>
              </w:rPr>
              <w:t>□超五年重新审核项目</w:t>
            </w:r>
          </w:p>
          <w:p>
            <w:pPr>
              <w:adjustRightInd w:val="0"/>
              <w:snapToGrid w:val="0"/>
              <w:rPr>
                <w:rFonts w:ascii="宋体" w:hAnsi="宋体" w:cs="宋体"/>
                <w:color w:val="000000"/>
                <w:sz w:val="24"/>
              </w:rPr>
            </w:pPr>
            <w:r>
              <w:rPr>
                <w:rFonts w:hint="eastAsia" w:ascii="宋体" w:hAnsi="宋体" w:cs="宋体"/>
                <w:color w:val="000000"/>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762"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项目审批（核准</w:t>
            </w:r>
            <w:r>
              <w:rPr>
                <w:rFonts w:ascii="宋体" w:hAnsi="宋体" w:cs="宋体"/>
                <w:color w:val="000000"/>
                <w:sz w:val="24"/>
              </w:rPr>
              <w:t>/</w:t>
            </w:r>
            <w:r>
              <w:rPr>
                <w:rFonts w:hint="eastAsia" w:ascii="宋体" w:hAnsi="宋体" w:cs="宋体"/>
                <w:color w:val="000000"/>
                <w:sz w:val="24"/>
              </w:rPr>
              <w:t>备案）部门（选填）</w:t>
            </w:r>
          </w:p>
        </w:tc>
        <w:tc>
          <w:tcPr>
            <w:tcW w:w="3060"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w:t>
            </w:r>
          </w:p>
        </w:tc>
        <w:tc>
          <w:tcPr>
            <w:tcW w:w="1470"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项目审批（核准</w:t>
            </w:r>
            <w:r>
              <w:rPr>
                <w:rFonts w:ascii="宋体" w:hAnsi="宋体" w:cs="宋体"/>
                <w:color w:val="000000"/>
                <w:sz w:val="24"/>
              </w:rPr>
              <w:t>/</w:t>
            </w:r>
            <w:r>
              <w:rPr>
                <w:rFonts w:hint="eastAsia" w:ascii="宋体" w:hAnsi="宋体" w:cs="宋体"/>
                <w:color w:val="000000"/>
                <w:sz w:val="24"/>
              </w:rPr>
              <w:t>备案）文号（选填）</w:t>
            </w:r>
          </w:p>
        </w:tc>
        <w:tc>
          <w:tcPr>
            <w:tcW w:w="3439"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355"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总投资（万元）</w:t>
            </w:r>
          </w:p>
        </w:tc>
        <w:tc>
          <w:tcPr>
            <w:tcW w:w="3060" w:type="dxa"/>
            <w:noWrap w:val="0"/>
            <w:vAlign w:val="center"/>
          </w:tcPr>
          <w:p>
            <w:pPr>
              <w:widowControl/>
              <w:jc w:val="center"/>
              <w:rPr>
                <w:color w:val="000000"/>
                <w:sz w:val="24"/>
              </w:rPr>
            </w:pPr>
            <w:r>
              <w:rPr>
                <w:rFonts w:hint="eastAsia"/>
                <w:color w:val="000000"/>
                <w:sz w:val="24"/>
              </w:rPr>
              <w:t>6253.62</w:t>
            </w:r>
          </w:p>
        </w:tc>
        <w:tc>
          <w:tcPr>
            <w:tcW w:w="1470" w:type="dxa"/>
            <w:noWrap w:val="0"/>
            <w:tcMar>
              <w:top w:w="16" w:type="dxa"/>
              <w:left w:w="16" w:type="dxa"/>
              <w:right w:w="16" w:type="dxa"/>
            </w:tcMar>
            <w:vAlign w:val="center"/>
          </w:tcPr>
          <w:p>
            <w:pPr>
              <w:adjustRightInd w:val="0"/>
              <w:snapToGrid w:val="0"/>
              <w:jc w:val="center"/>
              <w:rPr>
                <w:color w:val="000000"/>
                <w:sz w:val="24"/>
              </w:rPr>
            </w:pPr>
            <w:r>
              <w:rPr>
                <w:rFonts w:hAnsi="宋体"/>
                <w:color w:val="000000"/>
                <w:sz w:val="24"/>
              </w:rPr>
              <w:t>环保投资（万元）</w:t>
            </w:r>
          </w:p>
        </w:tc>
        <w:tc>
          <w:tcPr>
            <w:tcW w:w="3439" w:type="dxa"/>
            <w:noWrap w:val="0"/>
            <w:vAlign w:val="center"/>
          </w:tcPr>
          <w:p>
            <w:pPr>
              <w:pStyle w:val="2"/>
              <w:outlineLvl w:val="1"/>
              <w:rPr>
                <w:rFonts w:hint="eastAsia" w:eastAsia="宋体"/>
                <w:lang w:val="en-US" w:eastAsia="zh-CN"/>
              </w:rPr>
            </w:pPr>
            <w:r>
              <w:rPr>
                <w:rFonts w:ascii="Times New Roman" w:hAnsi="Times New Roman"/>
                <w:b w:val="0"/>
                <w:bCs w:val="0"/>
              </w:rPr>
              <w:t>13</w:t>
            </w:r>
            <w:r>
              <w:rPr>
                <w:rFonts w:hint="eastAsia" w:ascii="Times New Roman" w:hAnsi="Times New Roman"/>
                <w:b w:val="0"/>
                <w:bCs w:val="0"/>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364"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环保投资占比（</w:t>
            </w:r>
            <w:r>
              <w:rPr>
                <w:rFonts w:ascii="宋体" w:hAnsi="宋体" w:cs="宋体"/>
                <w:color w:val="000000"/>
                <w:sz w:val="24"/>
              </w:rPr>
              <w:t>%</w:t>
            </w:r>
            <w:r>
              <w:rPr>
                <w:rFonts w:hint="eastAsia" w:ascii="宋体" w:hAnsi="宋体" w:cs="宋体"/>
                <w:color w:val="000000"/>
                <w:sz w:val="24"/>
              </w:rPr>
              <w:t>）</w:t>
            </w:r>
          </w:p>
        </w:tc>
        <w:tc>
          <w:tcPr>
            <w:tcW w:w="3060" w:type="dxa"/>
            <w:noWrap w:val="0"/>
            <w:vAlign w:val="center"/>
          </w:tcPr>
          <w:p>
            <w:pPr>
              <w:adjustRightInd w:val="0"/>
              <w:snapToGrid w:val="0"/>
              <w:jc w:val="center"/>
              <w:rPr>
                <w:rFonts w:hint="default" w:ascii="Times New Roman" w:hAnsi="Times New Roman" w:eastAsia="宋体"/>
                <w:color w:val="000000"/>
                <w:sz w:val="24"/>
                <w:lang w:val="en-US" w:eastAsia="zh-CN"/>
              </w:rPr>
            </w:pPr>
            <w:r>
              <w:rPr>
                <w:rFonts w:hint="eastAsia" w:ascii="Times New Roman" w:hAnsi="Times New Roman"/>
                <w:color w:val="000000"/>
                <w:sz w:val="24"/>
              </w:rPr>
              <w:t>2.</w:t>
            </w:r>
            <w:r>
              <w:rPr>
                <w:rFonts w:hint="eastAsia" w:ascii="Times New Roman" w:hAnsi="Times New Roman"/>
                <w:color w:val="000000"/>
                <w:sz w:val="24"/>
                <w:lang w:val="en-US" w:eastAsia="zh-CN"/>
              </w:rPr>
              <w:t>22</w:t>
            </w:r>
          </w:p>
        </w:tc>
        <w:tc>
          <w:tcPr>
            <w:tcW w:w="1470" w:type="dxa"/>
            <w:noWrap w:val="0"/>
            <w:tcMar>
              <w:top w:w="16" w:type="dxa"/>
              <w:left w:w="16" w:type="dxa"/>
              <w:right w:w="16" w:type="dxa"/>
            </w:tcMar>
            <w:vAlign w:val="center"/>
          </w:tcPr>
          <w:p>
            <w:pPr>
              <w:adjustRightInd w:val="0"/>
              <w:snapToGrid w:val="0"/>
              <w:jc w:val="center"/>
              <w:rPr>
                <w:color w:val="000000"/>
                <w:sz w:val="24"/>
              </w:rPr>
            </w:pPr>
            <w:r>
              <w:rPr>
                <w:rFonts w:hAnsi="宋体"/>
                <w:color w:val="000000"/>
                <w:sz w:val="24"/>
              </w:rPr>
              <w:t>施工工期</w:t>
            </w:r>
          </w:p>
        </w:tc>
        <w:tc>
          <w:tcPr>
            <w:tcW w:w="3439" w:type="dxa"/>
            <w:noWrap w:val="0"/>
            <w:vAlign w:val="center"/>
          </w:tcPr>
          <w:p>
            <w:pPr>
              <w:adjustRightInd w:val="0"/>
              <w:snapToGrid w:val="0"/>
              <w:jc w:val="center"/>
              <w:rPr>
                <w:color w:val="000000"/>
                <w:sz w:val="24"/>
              </w:rPr>
            </w:pPr>
            <w:r>
              <w:rPr>
                <w:rFonts w:hint="eastAsia" w:hAnsi="宋体"/>
                <w:color w:val="000000"/>
                <w:sz w:val="24"/>
              </w:rPr>
              <w:t>19</w:t>
            </w:r>
            <w:r>
              <w:rPr>
                <w:rFonts w:hAnsi="宋体"/>
                <w:color w:val="000000"/>
                <w:sz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482" w:hRule="atLeast"/>
          <w:jc w:val="center"/>
        </w:trPr>
        <w:tc>
          <w:tcPr>
            <w:tcW w:w="1004" w:type="dxa"/>
            <w:noWrap w:val="0"/>
            <w:tcMar>
              <w:top w:w="16" w:type="dxa"/>
              <w:left w:w="16" w:type="dxa"/>
              <w:right w:w="16" w:type="dxa"/>
            </w:tcMar>
            <w:vAlign w:val="center"/>
          </w:tcPr>
          <w:p>
            <w:pPr>
              <w:adjustRightInd w:val="0"/>
              <w:snapToGrid w:val="0"/>
              <w:jc w:val="center"/>
              <w:rPr>
                <w:rFonts w:ascii="宋体" w:hAnsi="宋体" w:cs="宋体"/>
                <w:color w:val="000000"/>
                <w:sz w:val="24"/>
              </w:rPr>
            </w:pPr>
            <w:r>
              <w:rPr>
                <w:rFonts w:hint="eastAsia" w:ascii="宋体" w:hAnsi="宋体" w:cs="宋体"/>
                <w:color w:val="000000"/>
                <w:sz w:val="24"/>
              </w:rPr>
              <w:t>是否开工建设</w:t>
            </w:r>
          </w:p>
        </w:tc>
        <w:tc>
          <w:tcPr>
            <w:tcW w:w="7969" w:type="dxa"/>
            <w:gridSpan w:val="3"/>
            <w:noWrap w:val="0"/>
            <w:vAlign w:val="center"/>
          </w:tcPr>
          <w:p>
            <w:pPr>
              <w:adjustRightInd w:val="0"/>
              <w:snapToGrid w:val="0"/>
              <w:ind w:firstLine="105"/>
              <w:jc w:val="center"/>
              <w:rPr>
                <w:rFonts w:ascii="宋体" w:hAnsi="宋体" w:cs="宋体"/>
                <w:color w:val="000000"/>
                <w:sz w:val="24"/>
              </w:rPr>
            </w:pPr>
            <w:r>
              <w:rPr>
                <w:rFonts w:hint="eastAsia" w:ascii="宋体" w:hAnsi="宋体" w:cs="宋体"/>
                <w:color w:val="000000"/>
                <w:sz w:val="24"/>
              </w:rPr>
              <w:sym w:font="Wingdings 2" w:char="0052"/>
            </w:r>
            <w:r>
              <w:rPr>
                <w:rFonts w:hint="eastAsia" w:ascii="宋体" w:hAnsi="宋体" w:cs="宋体"/>
                <w:color w:val="000000"/>
                <w:sz w:val="24"/>
              </w:rPr>
              <w:t>否</w:t>
            </w:r>
          </w:p>
          <w:p>
            <w:pPr>
              <w:adjustRightInd w:val="0"/>
              <w:snapToGrid w:val="0"/>
              <w:ind w:firstLine="92"/>
              <w:jc w:val="center"/>
              <w:rPr>
                <w:rFonts w:ascii="宋体" w:hAnsi="宋体" w:cs="宋体"/>
                <w:color w:val="000000"/>
                <w:sz w:val="24"/>
              </w:rPr>
            </w:pPr>
            <w:r>
              <w:rPr>
                <w:rFonts w:hint="eastAsia" w:ascii="宋体" w:hAnsi="宋体" w:cs="宋体"/>
                <w:color w:val="000000"/>
                <w:sz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8705" w:hRule="atLeast"/>
          <w:jc w:val="center"/>
        </w:trPr>
        <w:tc>
          <w:tcPr>
            <w:tcW w:w="1004" w:type="dxa"/>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kern w:val="0"/>
                <w:sz w:val="24"/>
              </w:rPr>
              <w:t>专项评价设置情况</w:t>
            </w:r>
          </w:p>
        </w:tc>
        <w:tc>
          <w:tcPr>
            <w:tcW w:w="7969" w:type="dxa"/>
            <w:gridSpan w:val="3"/>
            <w:noWrap w:val="0"/>
            <w:tcMar>
              <w:top w:w="16" w:type="dxa"/>
              <w:left w:w="16" w:type="dxa"/>
              <w:right w:w="16" w:type="dxa"/>
            </w:tcMar>
            <w:vAlign w:val="center"/>
          </w:tcPr>
          <w:p>
            <w:pPr>
              <w:autoSpaceDE w:val="0"/>
              <w:autoSpaceDN w:val="0"/>
              <w:adjustRightInd w:val="0"/>
              <w:snapToGrid w:val="0"/>
              <w:spacing w:line="360" w:lineRule="auto"/>
              <w:ind w:firstLine="480" w:firstLineChars="200"/>
              <w:rPr>
                <w:rFonts w:hint="eastAsia" w:ascii="宋体" w:hAnsi="宋体" w:cs="宋体"/>
                <w:color w:val="000000"/>
                <w:kern w:val="0"/>
                <w:sz w:val="24"/>
              </w:rPr>
            </w:pPr>
            <w:r>
              <w:rPr>
                <w:rFonts w:hint="eastAsia" w:ascii="宋体" w:hAnsi="宋体" w:cs="宋体"/>
                <w:color w:val="000000"/>
                <w:kern w:val="0"/>
                <w:sz w:val="24"/>
              </w:rPr>
              <w:t>依据《建设项目环境影响报告表编制技术指南 生态影响类》专项评价设置原则表，项目无需进行专项评价。</w:t>
            </w:r>
          </w:p>
          <w:tbl>
            <w:tblPr>
              <w:tblStyle w:val="39"/>
              <w:tblpPr w:leftFromText="180" w:rightFromText="180" w:vertAnchor="text" w:horzAnchor="page" w:tblpXSpec="center" w:tblpY="62"/>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2"/>
              <w:gridCol w:w="5011"/>
              <w:gridCol w:w="1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专项评价类别</w:t>
                  </w:r>
                </w:p>
              </w:tc>
              <w:tc>
                <w:tcPr>
                  <w:tcW w:w="5011"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设置原则</w:t>
                  </w:r>
                </w:p>
              </w:tc>
              <w:tc>
                <w:tcPr>
                  <w:tcW w:w="1726"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8"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地表水</w:t>
                  </w:r>
                </w:p>
              </w:tc>
              <w:tc>
                <w:tcPr>
                  <w:tcW w:w="5011" w:type="dxa"/>
                  <w:noWrap w:val="0"/>
                  <w:vAlign w:val="center"/>
                </w:tcPr>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水力发电：引水式发电、涉及调峰发电的项目；</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人工湖、人工湿地：全部；</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水库：全部；</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引水工程：全部(配套的管线工程等除外)；</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防洪除涝工程：包含水库的项目；</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河湖整治：涉及清淤且底泥存在重金属污染的项目</w:t>
                  </w:r>
                </w:p>
              </w:tc>
              <w:tc>
                <w:tcPr>
                  <w:tcW w:w="1726" w:type="dxa"/>
                  <w:noWrap w:val="0"/>
                  <w:vAlign w:val="center"/>
                </w:tcPr>
                <w:p>
                  <w:pPr>
                    <w:autoSpaceDE w:val="0"/>
                    <w:autoSpaceDN w:val="0"/>
                    <w:adjustRightInd w:val="0"/>
                    <w:snapToGrid w:val="0"/>
                    <w:jc w:val="center"/>
                    <w:rPr>
                      <w:rFonts w:hint="eastAsia" w:ascii="宋体" w:hAnsi="宋体" w:cs="宋体"/>
                      <w:color w:val="FF0000"/>
                      <w:kern w:val="0"/>
                      <w:szCs w:val="21"/>
                      <w:lang w:val="en"/>
                    </w:rPr>
                  </w:pPr>
                  <w:r>
                    <w:rPr>
                      <w:rFonts w:hint="eastAsia" w:ascii="宋体" w:hAnsi="宋体" w:cs="宋体"/>
                      <w:color w:val="000000"/>
                      <w:kern w:val="0"/>
                      <w:szCs w:val="21"/>
                    </w:rPr>
                    <w:t>本项目涉及引水工程，因此设置地表水专项评价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8"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地下水</w:t>
                  </w:r>
                </w:p>
              </w:tc>
              <w:tc>
                <w:tcPr>
                  <w:tcW w:w="5011" w:type="dxa"/>
                  <w:noWrap w:val="0"/>
                  <w:vAlign w:val="center"/>
                </w:tcPr>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陆地石油和天然气开采：全部；</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地下水(含矿泉水)开采：全部；</w:t>
                  </w:r>
                </w:p>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水利、水电、交通等：含穿越可溶岩地层隧道的项目涉及环境敏感区(不包括饮用水水源保护区，以居住、医疗卫生、文化教育、科研、行政办公为主要功能的区域，以及文物保护单位)的项目</w:t>
                  </w:r>
                </w:p>
              </w:tc>
              <w:tc>
                <w:tcPr>
                  <w:tcW w:w="1726" w:type="dxa"/>
                  <w:noWrap w:val="0"/>
                  <w:vAlign w:val="center"/>
                </w:tcPr>
                <w:p>
                  <w:pPr>
                    <w:autoSpaceDE w:val="0"/>
                    <w:autoSpaceDN w:val="0"/>
                    <w:adjustRightInd w:val="0"/>
                    <w:snapToGrid w:val="0"/>
                    <w:jc w:val="center"/>
                    <w:rPr>
                      <w:rFonts w:hint="eastAsia" w:ascii="宋体" w:hAnsi="宋体" w:cs="宋体"/>
                      <w:color w:val="000000"/>
                      <w:kern w:val="0"/>
                      <w:szCs w:val="21"/>
                    </w:rPr>
                  </w:pPr>
                  <w:r>
                    <w:rPr>
                      <w:rFonts w:hint="eastAsia" w:ascii="宋体" w:hAnsi="宋体" w:cs="宋体"/>
                      <w:color w:val="000000"/>
                      <w:kern w:val="0"/>
                      <w:szCs w:val="21"/>
                    </w:rPr>
                    <w:t>本项目不属于上述项目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生态</w:t>
                  </w:r>
                </w:p>
              </w:tc>
              <w:tc>
                <w:tcPr>
                  <w:tcW w:w="5011" w:type="dxa"/>
                  <w:noWrap w:val="0"/>
                  <w:vAlign w:val="center"/>
                </w:tcPr>
                <w:p>
                  <w:pPr>
                    <w:autoSpaceDE w:val="0"/>
                    <w:autoSpaceDN w:val="0"/>
                    <w:adjustRightInd w:val="0"/>
                    <w:snapToGrid w:val="0"/>
                    <w:rPr>
                      <w:rFonts w:ascii="宋体" w:hAnsi="宋体" w:cs="宋体"/>
                      <w:color w:val="000000"/>
                      <w:kern w:val="0"/>
                      <w:szCs w:val="21"/>
                    </w:rPr>
                  </w:pPr>
                  <w:r>
                    <w:rPr>
                      <w:rFonts w:hint="eastAsia" w:ascii="宋体" w:hAnsi="宋体" w:cs="宋体"/>
                      <w:color w:val="000000"/>
                      <w:kern w:val="0"/>
                      <w:szCs w:val="21"/>
                    </w:rPr>
                    <w:t>涉及环境敏感区(不包括饮用水水源保护区，以居住、医疗卫生、文化教育、科研、行政办公为主要功能的区域，以及文物保护单位)的项目</w:t>
                  </w:r>
                </w:p>
              </w:tc>
              <w:tc>
                <w:tcPr>
                  <w:tcW w:w="1726" w:type="dxa"/>
                  <w:noWrap w:val="0"/>
                  <w:vAlign w:val="center"/>
                </w:tcPr>
                <w:p>
                  <w:pPr>
                    <w:autoSpaceDE w:val="0"/>
                    <w:autoSpaceDN w:val="0"/>
                    <w:adjustRightInd w:val="0"/>
                    <w:snapToGrid w:val="0"/>
                    <w:jc w:val="center"/>
                    <w:rPr>
                      <w:rFonts w:ascii="宋体" w:hAnsi="宋体" w:cs="宋体"/>
                      <w:color w:val="FF0000"/>
                      <w:kern w:val="0"/>
                      <w:szCs w:val="21"/>
                    </w:rPr>
                  </w:pPr>
                  <w:r>
                    <w:rPr>
                      <w:rFonts w:hint="eastAsia" w:ascii="宋体" w:hAnsi="宋体" w:cs="宋体"/>
                      <w:color w:val="000000"/>
                      <w:kern w:val="0"/>
                      <w:szCs w:val="21"/>
                    </w:rPr>
                    <w:t>本项目不属于上述项目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大气</w:t>
                  </w:r>
                </w:p>
              </w:tc>
              <w:tc>
                <w:tcPr>
                  <w:tcW w:w="5011" w:type="dxa"/>
                  <w:noWrap w:val="0"/>
                  <w:vAlign w:val="center"/>
                </w:tcPr>
                <w:p>
                  <w:pPr>
                    <w:widowControl/>
                    <w:rPr>
                      <w:color w:val="000000"/>
                      <w:szCs w:val="21"/>
                    </w:rPr>
                  </w:pPr>
                  <w:r>
                    <w:rPr>
                      <w:rFonts w:hint="eastAsia" w:ascii="宋体" w:hAnsi="宋体" w:cs="宋体"/>
                      <w:color w:val="000000"/>
                      <w:kern w:val="0"/>
                      <w:szCs w:val="21"/>
                      <w:lang w:bidi="ar"/>
                    </w:rPr>
                    <w:t>油气、液体化工码头：全部：</w:t>
                  </w:r>
                </w:p>
                <w:p>
                  <w:pPr>
                    <w:widowControl/>
                    <w:rPr>
                      <w:rFonts w:ascii="宋体" w:hAnsi="宋体" w:cs="宋体"/>
                      <w:color w:val="000000"/>
                      <w:kern w:val="0"/>
                      <w:szCs w:val="21"/>
                    </w:rPr>
                  </w:pPr>
                  <w:r>
                    <w:rPr>
                      <w:rFonts w:hint="eastAsia" w:ascii="宋体" w:hAnsi="宋体" w:cs="宋体"/>
                      <w:color w:val="000000"/>
                      <w:kern w:val="0"/>
                      <w:szCs w:val="21"/>
                      <w:lang w:bidi="ar"/>
                    </w:rPr>
                    <w:t>干散货（含煤炭、矿石）、件杂、多用途、通用码头：涉及粉尘、挥发性有机物排放的项目</w:t>
                  </w:r>
                </w:p>
              </w:tc>
              <w:tc>
                <w:tcPr>
                  <w:tcW w:w="1726" w:type="dxa"/>
                  <w:noWrap w:val="0"/>
                  <w:vAlign w:val="center"/>
                </w:tcPr>
                <w:p>
                  <w:pPr>
                    <w:autoSpaceDE w:val="0"/>
                    <w:autoSpaceDN w:val="0"/>
                    <w:adjustRightInd w:val="0"/>
                    <w:snapToGrid w:val="0"/>
                    <w:jc w:val="center"/>
                    <w:rPr>
                      <w:rFonts w:ascii="宋体" w:hAnsi="宋体" w:cs="宋体"/>
                      <w:color w:val="FF0000"/>
                      <w:kern w:val="0"/>
                      <w:szCs w:val="21"/>
                    </w:rPr>
                  </w:pPr>
                  <w:r>
                    <w:rPr>
                      <w:rFonts w:hint="eastAsia" w:ascii="宋体" w:hAnsi="宋体" w:cs="宋体"/>
                      <w:color w:val="000000"/>
                      <w:kern w:val="0"/>
                      <w:szCs w:val="21"/>
                    </w:rPr>
                    <w:t>本项目不属于上述项目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噪声</w:t>
                  </w:r>
                </w:p>
              </w:tc>
              <w:tc>
                <w:tcPr>
                  <w:tcW w:w="5011" w:type="dxa"/>
                  <w:noWrap w:val="0"/>
                  <w:vAlign w:val="center"/>
                </w:tcPr>
                <w:p>
                  <w:pPr>
                    <w:widowControl/>
                    <w:rPr>
                      <w:color w:val="000000"/>
                      <w:szCs w:val="21"/>
                    </w:rPr>
                  </w:pPr>
                  <w:r>
                    <w:rPr>
                      <w:rFonts w:hint="eastAsia" w:ascii="宋体" w:hAnsi="宋体" w:cs="宋体"/>
                      <w:color w:val="000000"/>
                      <w:kern w:val="0"/>
                      <w:szCs w:val="21"/>
                      <w:lang w:bidi="ar"/>
                    </w:rPr>
                    <w:t>公路、铁路、机场等交通运输业涉及环境敏感区（以居住、医疗卫生、文化教育、科研、行政办公为主要功能的区域）的项目；</w:t>
                  </w:r>
                </w:p>
                <w:p>
                  <w:pPr>
                    <w:widowControl/>
                    <w:rPr>
                      <w:rFonts w:ascii="宋体" w:hAnsi="宋体" w:cs="宋体"/>
                      <w:color w:val="000000"/>
                      <w:kern w:val="0"/>
                      <w:szCs w:val="21"/>
                    </w:rPr>
                  </w:pPr>
                  <w:r>
                    <w:rPr>
                      <w:rFonts w:hint="eastAsia" w:ascii="宋体" w:hAnsi="宋体" w:cs="宋体"/>
                      <w:color w:val="000000"/>
                      <w:kern w:val="0"/>
                      <w:szCs w:val="21"/>
                      <w:lang w:bidi="ar"/>
                    </w:rPr>
                    <w:t>城市道路（不含维护，不含支路、人行天桥、人行地道）：全部</w:t>
                  </w:r>
                </w:p>
              </w:tc>
              <w:tc>
                <w:tcPr>
                  <w:tcW w:w="1726" w:type="dxa"/>
                  <w:noWrap w:val="0"/>
                  <w:vAlign w:val="center"/>
                </w:tcPr>
                <w:p>
                  <w:pPr>
                    <w:autoSpaceDE w:val="0"/>
                    <w:autoSpaceDN w:val="0"/>
                    <w:adjustRightInd w:val="0"/>
                    <w:snapToGrid w:val="0"/>
                    <w:jc w:val="center"/>
                    <w:rPr>
                      <w:rFonts w:ascii="宋体" w:hAnsi="宋体" w:cs="宋体"/>
                      <w:color w:val="FF0000"/>
                      <w:kern w:val="0"/>
                      <w:szCs w:val="21"/>
                    </w:rPr>
                  </w:pPr>
                  <w:r>
                    <w:rPr>
                      <w:rFonts w:hint="eastAsia" w:ascii="宋体" w:hAnsi="宋体" w:cs="宋体"/>
                      <w:color w:val="000000"/>
                      <w:kern w:val="0"/>
                      <w:szCs w:val="21"/>
                    </w:rPr>
                    <w:t>本项目不属于上述项目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2" w:type="dxa"/>
                  <w:noWrap w:val="0"/>
                  <w:vAlign w:val="center"/>
                </w:tcPr>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环境</w:t>
                  </w:r>
                </w:p>
                <w:p>
                  <w:pPr>
                    <w:autoSpaceDE w:val="0"/>
                    <w:autoSpaceDN w:val="0"/>
                    <w:adjustRightInd w:val="0"/>
                    <w:snapToGrid w:val="0"/>
                    <w:jc w:val="center"/>
                    <w:rPr>
                      <w:rFonts w:ascii="宋体" w:hAnsi="宋体" w:cs="宋体"/>
                      <w:color w:val="000000"/>
                      <w:kern w:val="0"/>
                      <w:szCs w:val="21"/>
                    </w:rPr>
                  </w:pPr>
                  <w:r>
                    <w:rPr>
                      <w:rFonts w:hint="eastAsia" w:ascii="宋体" w:hAnsi="宋体" w:cs="宋体"/>
                      <w:color w:val="000000"/>
                      <w:kern w:val="0"/>
                      <w:szCs w:val="21"/>
                    </w:rPr>
                    <w:t>风险</w:t>
                  </w:r>
                </w:p>
              </w:tc>
              <w:tc>
                <w:tcPr>
                  <w:tcW w:w="5011" w:type="dxa"/>
                  <w:noWrap w:val="0"/>
                  <w:vAlign w:val="center"/>
                </w:tcPr>
                <w:p>
                  <w:pPr>
                    <w:widowControl/>
                    <w:rPr>
                      <w:color w:val="000000"/>
                      <w:szCs w:val="21"/>
                    </w:rPr>
                  </w:pPr>
                  <w:r>
                    <w:rPr>
                      <w:rFonts w:hint="eastAsia" w:ascii="宋体" w:hAnsi="宋体" w:cs="宋体"/>
                      <w:color w:val="000000"/>
                      <w:kern w:val="0"/>
                      <w:szCs w:val="21"/>
                      <w:lang w:bidi="ar"/>
                    </w:rPr>
                    <w:t>石油和天然气开采：全部；</w:t>
                  </w:r>
                </w:p>
                <w:p>
                  <w:pPr>
                    <w:widowControl/>
                    <w:rPr>
                      <w:color w:val="000000"/>
                      <w:szCs w:val="21"/>
                    </w:rPr>
                  </w:pPr>
                  <w:r>
                    <w:rPr>
                      <w:rFonts w:hint="eastAsia" w:ascii="宋体" w:hAnsi="宋体" w:cs="宋体"/>
                      <w:color w:val="000000"/>
                      <w:kern w:val="0"/>
                      <w:szCs w:val="21"/>
                      <w:lang w:bidi="ar"/>
                    </w:rPr>
                    <w:t>油气、液体化工码头：全部；</w:t>
                  </w:r>
                </w:p>
                <w:p>
                  <w:pPr>
                    <w:widowControl/>
                    <w:rPr>
                      <w:rFonts w:ascii="宋体" w:hAnsi="宋体" w:cs="宋体"/>
                      <w:color w:val="000000"/>
                      <w:kern w:val="0"/>
                      <w:szCs w:val="21"/>
                    </w:rPr>
                  </w:pPr>
                  <w:r>
                    <w:rPr>
                      <w:rFonts w:hint="eastAsia" w:ascii="宋体" w:hAnsi="宋体" w:cs="宋体"/>
                      <w:color w:val="000000"/>
                      <w:kern w:val="0"/>
                      <w:szCs w:val="21"/>
                      <w:lang w:bidi="ar"/>
                    </w:rPr>
                    <w:t>原油、成品油、天然气管线（不含城镇天然气管线、企业厂区内管线），危险化学品输送管线（不含企业厂区内管线）：全部</w:t>
                  </w:r>
                </w:p>
              </w:tc>
              <w:tc>
                <w:tcPr>
                  <w:tcW w:w="1726" w:type="dxa"/>
                  <w:noWrap w:val="0"/>
                  <w:vAlign w:val="center"/>
                </w:tcPr>
                <w:p>
                  <w:pPr>
                    <w:autoSpaceDE w:val="0"/>
                    <w:autoSpaceDN w:val="0"/>
                    <w:adjustRightInd w:val="0"/>
                    <w:snapToGrid w:val="0"/>
                    <w:jc w:val="center"/>
                    <w:rPr>
                      <w:rFonts w:ascii="宋体" w:hAnsi="宋体" w:cs="宋体"/>
                      <w:color w:val="FF0000"/>
                      <w:kern w:val="0"/>
                      <w:szCs w:val="21"/>
                    </w:rPr>
                  </w:pPr>
                  <w:r>
                    <w:rPr>
                      <w:rFonts w:hint="eastAsia" w:ascii="宋体" w:hAnsi="宋体" w:cs="宋体"/>
                      <w:color w:val="000000"/>
                      <w:kern w:val="0"/>
                      <w:szCs w:val="21"/>
                    </w:rPr>
                    <w:t>本项目不属于上述项目</w:t>
                  </w:r>
                </w:p>
              </w:tc>
            </w:tr>
          </w:tbl>
          <w:p>
            <w:pPr>
              <w:pStyle w:val="2"/>
              <w:spacing w:line="360" w:lineRule="auto"/>
              <w:ind w:firstLine="420" w:firstLineChars="200"/>
              <w:jc w:val="both"/>
              <w:outlineLvl w:val="1"/>
              <w:rPr>
                <w:rFonts w:hint="eastAsia" w:ascii="宋体" w:hAnsi="宋体" w:cs="宋体"/>
                <w:color w:val="000000"/>
                <w:kern w:val="0"/>
                <w:sz w:val="21"/>
                <w:szCs w:val="21"/>
              </w:rPr>
            </w:pPr>
            <w:r>
              <w:rPr>
                <w:rFonts w:hint="eastAsia" w:ascii="宋体" w:hAnsi="宋体" w:cs="宋体"/>
                <w:color w:val="000000"/>
                <w:kern w:val="0"/>
                <w:sz w:val="21"/>
                <w:szCs w:val="21"/>
              </w:rPr>
              <w:t>注：“涉及环境敏感区”是指建设项目位于、穿（跨）越（无害化通过的除外）环境敏感区，或环境影响范围涵盖环境敏感区。环境敏感区是指《建设项目环境影响评价分类管理名录》中针对该类项目所列的敏感区。</w:t>
            </w:r>
          </w:p>
          <w:p>
            <w:pPr>
              <w:spacing w:line="360" w:lineRule="auto"/>
              <w:ind w:firstLine="480" w:firstLineChars="200"/>
              <w:rPr>
                <w:rFonts w:ascii="宋体" w:hAnsi="宋体" w:cs="宋体"/>
                <w:color w:val="000000"/>
                <w:kern w:val="0"/>
                <w:sz w:val="24"/>
              </w:rPr>
            </w:pPr>
            <w:r>
              <w:rPr>
                <w:rFonts w:hint="eastAsia"/>
                <w:kern w:val="0"/>
                <w:sz w:val="24"/>
              </w:rPr>
              <w:t>综上所述，本项</w:t>
            </w:r>
            <w:r>
              <w:rPr>
                <w:rFonts w:hint="eastAsia"/>
                <w:color w:val="000000"/>
                <w:kern w:val="0"/>
                <w:sz w:val="24"/>
              </w:rPr>
              <w:t>目新建青白渠涉及</w:t>
            </w:r>
            <w:r>
              <w:rPr>
                <w:rFonts w:hint="eastAsia"/>
                <w:kern w:val="0"/>
                <w:sz w:val="24"/>
              </w:rPr>
              <w:t>引水工程项目，需编制地表水环境影响专项评价，按照《环境影响评价技术导则-地表水环境》（HJ2.3-2018）开展专项评价工作。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911" w:hRule="atLeast"/>
          <w:jc w:val="center"/>
        </w:trPr>
        <w:tc>
          <w:tcPr>
            <w:tcW w:w="1004" w:type="dxa"/>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sz w:val="24"/>
              </w:rPr>
              <w:t>规划情况</w:t>
            </w:r>
          </w:p>
        </w:tc>
        <w:tc>
          <w:tcPr>
            <w:tcW w:w="7969" w:type="dxa"/>
            <w:gridSpan w:val="3"/>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565" w:hRule="atLeast"/>
          <w:jc w:val="center"/>
        </w:trPr>
        <w:tc>
          <w:tcPr>
            <w:tcW w:w="1004" w:type="dxa"/>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sz w:val="24"/>
              </w:rPr>
              <w:t>规划环境影响评价情况</w:t>
            </w:r>
          </w:p>
        </w:tc>
        <w:tc>
          <w:tcPr>
            <w:tcW w:w="7969" w:type="dxa"/>
            <w:gridSpan w:val="3"/>
            <w:noWrap w:val="0"/>
            <w:tcMar>
              <w:top w:w="16" w:type="dxa"/>
              <w:left w:w="16" w:type="dxa"/>
              <w:right w:w="16" w:type="dxa"/>
            </w:tcMar>
            <w:vAlign w:val="center"/>
          </w:tcPr>
          <w:p>
            <w:pPr>
              <w:adjustRightInd w:val="0"/>
              <w:snapToGrid w:val="0"/>
              <w:jc w:val="center"/>
              <w:rPr>
                <w:rFonts w:ascii="宋体" w:hAnsi="宋体" w:cs="宋体"/>
                <w:color w:val="000000"/>
                <w:kern w:val="0"/>
                <w:sz w:val="24"/>
              </w:rPr>
            </w:pPr>
            <w:r>
              <w:rPr>
                <w:rFonts w:hint="eastAsia" w:ascii="宋体" w:hAnsi="宋体" w:cs="宋体"/>
                <w:color w:val="000000"/>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1557" w:hRule="atLeast"/>
          <w:jc w:val="center"/>
        </w:trPr>
        <w:tc>
          <w:tcPr>
            <w:tcW w:w="1004" w:type="dxa"/>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kern w:val="0"/>
                <w:sz w:val="24"/>
              </w:rPr>
              <w:t>规划及</w:t>
            </w:r>
            <w:r>
              <w:rPr>
                <w:rFonts w:hint="eastAsia" w:ascii="宋体" w:hAnsi="宋体" w:cs="宋体"/>
                <w:color w:val="000000"/>
                <w:sz w:val="24"/>
              </w:rPr>
              <w:t>规划环境影响评价</w:t>
            </w:r>
            <w:r>
              <w:rPr>
                <w:rFonts w:hint="eastAsia" w:ascii="宋体" w:hAnsi="宋体" w:cs="宋体"/>
                <w:color w:val="000000"/>
                <w:kern w:val="0"/>
                <w:sz w:val="24"/>
              </w:rPr>
              <w:t>符合性分析</w:t>
            </w:r>
          </w:p>
        </w:tc>
        <w:tc>
          <w:tcPr>
            <w:tcW w:w="7969" w:type="dxa"/>
            <w:gridSpan w:val="3"/>
            <w:noWrap w:val="0"/>
            <w:tcMar>
              <w:top w:w="16" w:type="dxa"/>
              <w:left w:w="16" w:type="dxa"/>
              <w:right w:w="16" w:type="dxa"/>
            </w:tcMar>
            <w:vAlign w:val="center"/>
          </w:tcPr>
          <w:p>
            <w:pPr>
              <w:autoSpaceDE w:val="0"/>
              <w:autoSpaceDN w:val="0"/>
              <w:adjustRightInd w:val="0"/>
              <w:snapToGrid w:val="0"/>
              <w:spacing w:line="360" w:lineRule="auto"/>
              <w:jc w:val="center"/>
              <w:rPr>
                <w:rFonts w:hint="eastAsia" w:ascii="宋体" w:hAnsi="宋体" w:cs="宋体"/>
                <w:color w:val="000000"/>
                <w:kern w:val="0"/>
                <w:sz w:val="24"/>
              </w:rPr>
            </w:pPr>
            <w:r>
              <w:rPr>
                <w:rFonts w:hint="eastAsia" w:ascii="宋体" w:hAnsi="宋体" w:cs="宋体"/>
                <w:color w:val="000000"/>
                <w:kern w:val="0"/>
                <w:sz w:val="24"/>
              </w:rPr>
              <w:t>无</w:t>
            </w:r>
          </w:p>
        </w:tc>
      </w:tr>
    </w:tbl>
    <w:p>
      <w:pPr>
        <w:autoSpaceDE w:val="0"/>
        <w:autoSpaceDN w:val="0"/>
        <w:adjustRightInd w:val="0"/>
        <w:snapToGrid w:val="0"/>
        <w:jc w:val="center"/>
        <w:rPr>
          <w:rFonts w:hint="eastAsia" w:ascii="宋体" w:hAnsi="宋体" w:cs="宋体"/>
          <w:color w:val="000000"/>
          <w:kern w:val="0"/>
          <w:sz w:val="24"/>
        </w:rPr>
        <w:sectPr>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16" w:name="_Hlk56690880"/>
    </w:p>
    <w:tbl>
      <w:tblPr>
        <w:tblStyle w:val="39"/>
        <w:tblW w:w="89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13" w:type="dxa"/>
          <w:bottom w:w="0" w:type="dxa"/>
          <w:right w:w="113" w:type="dxa"/>
        </w:tblCellMar>
      </w:tblPr>
      <w:tblGrid>
        <w:gridCol w:w="1004"/>
        <w:gridCol w:w="79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3" w:type="dxa"/>
            <w:bottom w:w="0" w:type="dxa"/>
            <w:right w:w="113" w:type="dxa"/>
          </w:tblCellMar>
        </w:tblPrEx>
        <w:trPr>
          <w:trHeight w:val="13070" w:hRule="atLeast"/>
          <w:jc w:val="center"/>
        </w:trPr>
        <w:tc>
          <w:tcPr>
            <w:tcW w:w="1004" w:type="dxa"/>
            <w:noWrap w:val="0"/>
            <w:tcMar>
              <w:top w:w="16" w:type="dxa"/>
              <w:left w:w="16" w:type="dxa"/>
              <w:right w:w="16" w:type="dxa"/>
            </w:tcMar>
            <w:vAlign w:val="center"/>
          </w:tcPr>
          <w:p>
            <w:pPr>
              <w:autoSpaceDE w:val="0"/>
              <w:autoSpaceDN w:val="0"/>
              <w:adjustRightInd w:val="0"/>
              <w:snapToGrid w:val="0"/>
              <w:jc w:val="center"/>
              <w:rPr>
                <w:rFonts w:ascii="宋体" w:hAnsi="宋体" w:cs="宋体"/>
                <w:color w:val="000000"/>
                <w:kern w:val="0"/>
                <w:sz w:val="24"/>
              </w:rPr>
            </w:pPr>
            <w:r>
              <w:rPr>
                <w:rFonts w:hint="eastAsia" w:ascii="宋体" w:hAnsi="宋体" w:cs="宋体"/>
                <w:color w:val="000000"/>
                <w:kern w:val="0"/>
                <w:sz w:val="24"/>
              </w:rPr>
              <w:t>其他符合性分析</w:t>
            </w:r>
            <w:bookmarkEnd w:id="16"/>
          </w:p>
        </w:tc>
        <w:tc>
          <w:tcPr>
            <w:tcW w:w="7969" w:type="dxa"/>
            <w:noWrap w:val="0"/>
            <w:tcMar>
              <w:top w:w="16" w:type="dxa"/>
              <w:left w:w="16" w:type="dxa"/>
              <w:right w:w="16" w:type="dxa"/>
            </w:tcMar>
            <w:vAlign w:val="center"/>
          </w:tcPr>
          <w:p>
            <w:pPr>
              <w:adjustRightInd w:val="0"/>
              <w:snapToGrid w:val="0"/>
              <w:spacing w:line="360" w:lineRule="auto"/>
              <w:rPr>
                <w:rFonts w:hint="eastAsia"/>
                <w:b/>
                <w:bCs/>
                <w:color w:val="000000"/>
                <w:sz w:val="24"/>
              </w:rPr>
            </w:pPr>
            <w:r>
              <w:rPr>
                <w:rFonts w:hint="eastAsia"/>
                <w:b/>
                <w:bCs/>
                <w:color w:val="000000"/>
                <w:sz w:val="24"/>
              </w:rPr>
              <w:t>1、产业政策符合性分析</w:t>
            </w:r>
          </w:p>
          <w:p>
            <w:pPr>
              <w:pStyle w:val="138"/>
              <w:rPr>
                <w:rFonts w:hint="eastAsia"/>
                <w:color w:val="000000"/>
              </w:rPr>
            </w:pPr>
            <w:r>
              <w:rPr>
                <w:rFonts w:hint="eastAsia"/>
                <w:color w:val="000000"/>
                <w:lang w:eastAsia="zh-CN"/>
              </w:rPr>
              <w:t>乐山市市中区引水工程建设项目（二期工程）—高中水库灌区2023-2025年续建配套与节水改造项目</w:t>
            </w:r>
            <w:r>
              <w:rPr>
                <w:rFonts w:hint="eastAsia"/>
                <w:color w:val="000000"/>
              </w:rPr>
              <w:t>不属于《市场准入负面清单（2022年版）》中的禁止建设项目内容；根据中华人民共和国国家发展和改革委员会令第29号《产业结构调整指导目录》（2019年本）》中的鼓励类第二条“水利”中第14条“灌区及配套设施建设、改造”</w:t>
            </w:r>
          </w:p>
          <w:p>
            <w:pPr>
              <w:pStyle w:val="138"/>
              <w:rPr>
                <w:rFonts w:hint="eastAsia"/>
                <w:color w:val="000000"/>
              </w:rPr>
            </w:pPr>
            <w:r>
              <w:rPr>
                <w:rFonts w:hint="eastAsia"/>
                <w:color w:val="000000"/>
              </w:rPr>
              <w:t>因此，本项目的建设符合国家产业政策。</w:t>
            </w:r>
          </w:p>
          <w:p>
            <w:pPr>
              <w:pStyle w:val="138"/>
              <w:ind w:firstLine="0" w:firstLineChars="0"/>
              <w:rPr>
                <w:rFonts w:hint="eastAsia"/>
                <w:b/>
                <w:bCs/>
              </w:rPr>
            </w:pPr>
            <w:r>
              <w:rPr>
                <w:rFonts w:hint="eastAsia"/>
                <w:b/>
                <w:bCs/>
                <w:color w:val="000000"/>
              </w:rPr>
              <w:t>2、</w:t>
            </w:r>
            <w:r>
              <w:rPr>
                <w:rFonts w:hint="eastAsia"/>
                <w:b/>
                <w:bCs/>
              </w:rPr>
              <w:t>与《乐山市国民经济和社会发展第十四个五年规划和二〇三五年远景目标纲要》相符性分析</w:t>
            </w:r>
          </w:p>
          <w:p>
            <w:pPr>
              <w:pStyle w:val="138"/>
              <w:rPr>
                <w:rFonts w:hint="eastAsia"/>
                <w:color w:val="000000"/>
              </w:rPr>
            </w:pPr>
            <w:r>
              <w:rPr>
                <w:rFonts w:hint="eastAsia"/>
                <w:color w:val="000000"/>
              </w:rPr>
              <w:t>《乐山市国民经济和社会发展第十四个五年规划和二〇三五年远景目标纲要》第十六章 推动水利基础设施建设中提出，“建设严格高效节水体系--贯彻“节水优先”治水思路，实施国家节水行动，健全水资源刚性约束制度，推进县域节水型社会达标建设。建立严格高效节水体系。大力推进和发展现代高效节水农业，加快青衣江流域乐山灌区、新店水库、红星水库等已成大中型灌区续建配套与现代化改造，健全完善用水计量设施和灌排工程体系，加强农田水利工程建设和管护，实现农业水资源利用现代化，建立高效农业节水体系。加强工业节水降耗，采用节水工艺强化水处理及循环利用设施建设，推动用水系统集成优化，创建节水型工业企业，打造节水标杆企业，建立高效工业节水体系。将节水思路与城镇建设规划有机结合，加快供水管网改造，推进污水再生利用及非常规水源利用，争创节水型城市，建立高效城镇节水体系”</w:t>
            </w:r>
          </w:p>
          <w:p>
            <w:pPr>
              <w:pStyle w:val="138"/>
              <w:rPr>
                <w:rFonts w:hint="eastAsia"/>
                <w:color w:val="000000"/>
              </w:rPr>
            </w:pPr>
            <w:r>
              <w:rPr>
                <w:rFonts w:hint="eastAsia"/>
                <w:color w:val="000000"/>
              </w:rPr>
              <w:t>本项目为乐山市市中区高中水库灌区新建青白渠管道12.8km，整治右干明渠1</w:t>
            </w:r>
            <w:r>
              <w:rPr>
                <w:rFonts w:hint="eastAsia" w:ascii="Times New Roman" w:hAnsi="Times New Roman"/>
                <w:color w:val="000000"/>
              </w:rPr>
              <w:t>.803km，属于水利基础设施建设项目。本项目实施后高中水库灌区将恢复灌面0.8538万亩，改善灌面0.224万亩,年节水量248万m</w:t>
            </w:r>
            <w:r>
              <w:rPr>
                <w:rFonts w:hint="eastAsia" w:ascii="Times New Roman" w:hAnsi="Times New Roman"/>
                <w:color w:val="000000"/>
                <w:vertAlign w:val="superscript"/>
              </w:rPr>
              <w:t>3</w:t>
            </w:r>
            <w:r>
              <w:rPr>
                <w:rFonts w:hint="eastAsia" w:ascii="Times New Roman" w:hAnsi="Times New Roman"/>
                <w:color w:val="000000"/>
              </w:rPr>
              <w:t>，渠系水利用系数提高至0.660，</w:t>
            </w:r>
            <w:r>
              <w:rPr>
                <w:rFonts w:hint="eastAsia" w:ascii="宋体" w:hAnsi="宋体" w:cs="宋体"/>
              </w:rPr>
              <w:t>粮</w:t>
            </w:r>
            <w:r>
              <w:rPr>
                <w:rFonts w:hint="eastAsia" w:ascii="Times New Roman" w:hAnsi="Times New Roman"/>
                <w:color w:val="000000"/>
              </w:rPr>
              <w:t>食增产457万kg，经济作物增产438万kg。</w:t>
            </w:r>
            <w:r>
              <w:rPr>
                <w:rFonts w:hint="eastAsia"/>
                <w:color w:val="000000"/>
              </w:rPr>
              <w:t>符合《乐山市国民经济和社会发展第十四个五年规划和二〇三五年远景目标纲要》相关要求。</w:t>
            </w:r>
          </w:p>
          <w:p>
            <w:pPr>
              <w:autoSpaceDE w:val="0"/>
              <w:autoSpaceDN w:val="0"/>
              <w:adjustRightInd w:val="0"/>
              <w:snapToGrid w:val="0"/>
              <w:spacing w:line="360" w:lineRule="auto"/>
              <w:rPr>
                <w:rFonts w:hint="eastAsia"/>
                <w:b/>
                <w:color w:val="000000"/>
                <w:sz w:val="24"/>
              </w:rPr>
            </w:pPr>
            <w:r>
              <w:rPr>
                <w:rFonts w:hint="eastAsia"/>
                <w:b/>
                <w:color w:val="000000"/>
                <w:sz w:val="24"/>
              </w:rPr>
              <w:t>3、与《基本农田保护条例》、《四川省基本农田保护实施细则》相符性分析</w:t>
            </w:r>
          </w:p>
          <w:p>
            <w:pPr>
              <w:autoSpaceDE w:val="0"/>
              <w:autoSpaceDN w:val="0"/>
              <w:adjustRightInd w:val="0"/>
              <w:snapToGrid w:val="0"/>
              <w:spacing w:line="360" w:lineRule="auto"/>
              <w:ind w:firstLine="480" w:firstLineChars="200"/>
              <w:rPr>
                <w:rFonts w:hint="eastAsia"/>
                <w:bCs/>
                <w:color w:val="000000"/>
                <w:sz w:val="24"/>
              </w:rPr>
            </w:pPr>
            <w:r>
              <w:rPr>
                <w:rFonts w:hint="eastAsia"/>
                <w:bCs/>
                <w:color w:val="000000"/>
                <w:sz w:val="24"/>
              </w:rPr>
              <w:t>根据《基本农田保护条例》，条例中提出“基本农田保护区经依法划定后，任何单位和个人不得改变或者占用。国家能源、交通、水利、军事设施等重点建设项目选址确实无法避开基本农田保护区，需要占用基本农田，涉及农用地转用或者征收土地的，必须经国务院批准。”根据《四川省基本农田保护实施细则》，细则中提出“基本农田一经划定，任何单位和个人不得擅自改变或占用。国家和省能源、交通、水利等重点建设项目选址确实无法避开基本农田保护区，需要占用基本农田保护区内耕地的，必须依照土地管理法律、法规规定的审批程序和审批权限向县级以上人民政府土地管理部门提出申请，经同级农业行政主管部门签署意见后，报县级以上人民政府批准，发给《基本农田占用许可证》。”</w:t>
            </w:r>
          </w:p>
          <w:p>
            <w:pPr>
              <w:autoSpaceDE w:val="0"/>
              <w:autoSpaceDN w:val="0"/>
              <w:adjustRightInd w:val="0"/>
              <w:snapToGrid w:val="0"/>
              <w:spacing w:line="360" w:lineRule="auto"/>
              <w:ind w:firstLine="480" w:firstLineChars="200"/>
              <w:rPr>
                <w:rFonts w:hint="eastAsia"/>
                <w:color w:val="FF0000"/>
                <w:sz w:val="24"/>
                <w:highlight w:val="yellow"/>
                <w:shd w:val="clear" w:color="auto" w:fill="auto"/>
              </w:rPr>
            </w:pPr>
            <w:r>
              <w:rPr>
                <w:rFonts w:hint="eastAsia"/>
                <w:bCs/>
                <w:color w:val="000000"/>
                <w:sz w:val="24"/>
              </w:rPr>
              <w:t>根据《国家发展改革委关于进一步做好基础设施领域不动产投资信托基金（REITs）试点工作的通知》（发改投[2021]958号），</w:t>
            </w:r>
            <w:r>
              <w:rPr>
                <w:rFonts w:hint="eastAsia"/>
                <w:bCs/>
                <w:sz w:val="24"/>
              </w:rPr>
              <w:t>本项目为高中水库灌区新建青白渠地埋式管道和右干渠、渠系建筑物整治工程</w:t>
            </w:r>
            <w:r>
              <w:rPr>
                <w:rFonts w:hint="eastAsia"/>
                <w:sz w:val="24"/>
              </w:rPr>
              <w:t>，</w:t>
            </w:r>
            <w:r>
              <w:rPr>
                <w:rFonts w:hint="eastAsia"/>
                <w:color w:val="000000"/>
                <w:sz w:val="24"/>
              </w:rPr>
              <w:t>属于基础设施建设项目。本项目永久占地和临时占地均不涉及永久基本农田，渠道敷设和整治后将恢复耕地、林地的基本功能。渠道运营期不产生废气、废水等污染物质，施工过程采取表土剥离、密目网遮盖、砖石压护、临时排水设施、植被恢复等措施防止水土流失。施工结束后回填表土，恢复原有的地形地貌和植物群落，恢复其原有的生态功能。本项目运营期对耕地、林地的生态环境影响不大。</w:t>
            </w:r>
            <w:r>
              <w:rPr>
                <w:rFonts w:hint="eastAsia"/>
                <w:sz w:val="24"/>
                <w:shd w:val="clear" w:color="auto" w:fill="auto"/>
                <w:lang w:eastAsia="zh-CN"/>
              </w:rPr>
              <w:t>根据现场调查</w:t>
            </w:r>
            <w:r>
              <w:rPr>
                <w:rFonts w:hint="eastAsia"/>
                <w:sz w:val="24"/>
                <w:shd w:val="clear" w:color="auto" w:fill="auto"/>
              </w:rPr>
              <w:t>，本项目不位于各级自然保护区，不位于经国务院批准公布的生态保护红线范围内，不占永久基本农田，不涉及整合前的自然保护地。</w:t>
            </w:r>
          </w:p>
          <w:p>
            <w:pPr>
              <w:autoSpaceDE w:val="0"/>
              <w:autoSpaceDN w:val="0"/>
              <w:adjustRightInd w:val="0"/>
              <w:snapToGrid w:val="0"/>
              <w:spacing w:line="360" w:lineRule="auto"/>
              <w:ind w:firstLine="480" w:firstLineChars="200"/>
              <w:rPr>
                <w:rFonts w:hint="eastAsia"/>
                <w:color w:val="000000"/>
                <w:sz w:val="24"/>
              </w:rPr>
            </w:pPr>
            <w:r>
              <w:rPr>
                <w:rFonts w:hint="eastAsia"/>
                <w:color w:val="000000"/>
                <w:sz w:val="24"/>
              </w:rPr>
              <w:t>因此，本项目的建设符合《基本农田保护条例》、《四川省基本农田保护实施细则》的相关规定。</w:t>
            </w:r>
          </w:p>
          <w:p>
            <w:pPr>
              <w:adjustRightInd w:val="0"/>
              <w:snapToGrid w:val="0"/>
              <w:spacing w:line="360" w:lineRule="auto"/>
              <w:rPr>
                <w:rFonts w:hint="eastAsia"/>
                <w:b/>
                <w:bCs/>
                <w:color w:val="000000"/>
                <w:sz w:val="24"/>
              </w:rPr>
            </w:pPr>
            <w:r>
              <w:rPr>
                <w:rFonts w:hint="eastAsia"/>
                <w:b/>
                <w:bCs/>
                <w:color w:val="000000"/>
                <w:sz w:val="24"/>
              </w:rPr>
              <w:t>4、与“中央一号文件”的符合性分析</w:t>
            </w:r>
          </w:p>
          <w:p>
            <w:pPr>
              <w:pStyle w:val="138"/>
              <w:rPr>
                <w:rFonts w:hint="eastAsia"/>
                <w:color w:val="000000"/>
              </w:rPr>
            </w:pPr>
            <w:r>
              <w:rPr>
                <w:rFonts w:hint="eastAsia"/>
                <w:color w:val="000000"/>
              </w:rPr>
              <w:t>2018年中央一号文件《中共中央国务院关于实施乡村振兴战略的意见》明确提出，乡村振兴，产业兴旺是重点。2020年中央一号文件《关于抓好“三农”领域重点工作确保如期实现全面小康的意见》也提到对全面建成小康社会加快补上农村基础设施和公共服务短板，加强现代农业设施建设，如期完成大中型灌区续建配套与节水改造，加大农业节水力度。夯实农业生产能力基础，实施国家农业节水行动，加快灌区节水配套改造。通过实施灌区节水配套改造，进一步夯实农业生产能力基础，建立农村良好生态环境是十分必要的。</w:t>
            </w:r>
          </w:p>
          <w:p>
            <w:pPr>
              <w:autoSpaceDE w:val="0"/>
              <w:autoSpaceDN w:val="0"/>
              <w:adjustRightInd w:val="0"/>
              <w:snapToGrid w:val="0"/>
              <w:spacing w:line="360" w:lineRule="auto"/>
              <w:ind w:firstLine="480" w:firstLineChars="200"/>
              <w:rPr>
                <w:rFonts w:hint="eastAsia"/>
                <w:color w:val="000000"/>
                <w:sz w:val="24"/>
              </w:rPr>
            </w:pPr>
            <w:r>
              <w:rPr>
                <w:rFonts w:hint="eastAsia"/>
                <w:color w:val="000000"/>
                <w:sz w:val="24"/>
              </w:rPr>
              <w:t>本项目主要是对高中水库中型灌区进行续建配套和节水改造，因此与“中央一号文件”相符。</w:t>
            </w:r>
          </w:p>
          <w:p>
            <w:pPr>
              <w:adjustRightInd w:val="0"/>
              <w:snapToGrid w:val="0"/>
              <w:spacing w:line="360" w:lineRule="auto"/>
              <w:rPr>
                <w:rFonts w:hint="eastAsia"/>
                <w:b/>
                <w:bCs/>
                <w:color w:val="000000"/>
                <w:sz w:val="24"/>
              </w:rPr>
            </w:pPr>
            <w:r>
              <w:rPr>
                <w:rFonts w:hint="eastAsia"/>
                <w:b/>
                <w:bCs/>
                <w:color w:val="000000"/>
                <w:sz w:val="24"/>
              </w:rPr>
              <w:t>5、与《乐山市现代农业“一区六带”建设规划》的符合性分析</w:t>
            </w:r>
          </w:p>
          <w:p>
            <w:pPr>
              <w:pStyle w:val="138"/>
              <w:rPr>
                <w:rFonts w:hint="eastAsia"/>
                <w:color w:val="000000"/>
              </w:rPr>
            </w:pPr>
            <w:r>
              <w:rPr>
                <w:rFonts w:hint="eastAsia"/>
                <w:color w:val="000000"/>
              </w:rPr>
              <w:t>根据《乐山市现代农业“一区六带”建设规划》（2017-2020），“十三五”时期，乐山市现代农业“一区六带”建设是围绕打造生态高效农业，进一步加快农业产业转型升级，推进农民收入持续稳定增长，促进农业与工业及现代服务业有效融合，显著增强农业可持续发展能力。其中，以峨眉山高山蔬菜为重点，打造100万亩优质蔬菜产业带。包括打造特色蔬菜核心区：五通桥西坝镇、冠英镇生姜基地；蔬菜加工销售基地：包括市中区、峨眉山市、夹江县、五通桥区、犍为县、井研县、峨边县等区市县以外省、市、县为目标市场和精深加工的蔬菜基地。</w:t>
            </w:r>
          </w:p>
          <w:p>
            <w:pPr>
              <w:pStyle w:val="138"/>
              <w:rPr>
                <w:rFonts w:hint="eastAsia"/>
                <w:color w:val="000000"/>
              </w:rPr>
            </w:pPr>
            <w:r>
              <w:rPr>
                <w:rFonts w:hint="eastAsia"/>
                <w:color w:val="000000"/>
              </w:rPr>
              <w:t>通过对高中水库中型灌区进行续建配套和节水改造，为全市现代农业“一区六带”发展提供可靠水源保障是十分必要的。</w:t>
            </w:r>
          </w:p>
          <w:p>
            <w:pPr>
              <w:spacing w:line="360" w:lineRule="auto"/>
              <w:rPr>
                <w:rFonts w:hint="eastAsia" w:ascii="宋体" w:hAnsi="宋体" w:cs="宋体"/>
                <w:b/>
                <w:bCs/>
                <w:color w:val="000000"/>
                <w:sz w:val="24"/>
              </w:rPr>
            </w:pPr>
            <w:r>
              <w:rPr>
                <w:rFonts w:hint="eastAsia" w:ascii="Times New Roman" w:hAnsi="Times New Roman"/>
                <w:b/>
                <w:bCs/>
                <w:color w:val="000000"/>
                <w:sz w:val="24"/>
                <w:lang w:val="en-US" w:eastAsia="zh-CN"/>
              </w:rPr>
              <w:t>6</w:t>
            </w:r>
            <w:r>
              <w:rPr>
                <w:rFonts w:ascii="Times New Roman" w:hAnsi="Times New Roman"/>
                <w:b/>
                <w:bCs/>
                <w:color w:val="000000"/>
                <w:sz w:val="24"/>
              </w:rPr>
              <w:t>、</w:t>
            </w:r>
            <w:r>
              <w:rPr>
                <w:rFonts w:hint="eastAsia" w:ascii="宋体" w:hAnsi="宋体" w:cs="宋体"/>
                <w:b/>
                <w:bCs/>
                <w:color w:val="000000"/>
                <w:sz w:val="24"/>
              </w:rPr>
              <w:t>与《乐山市扬尘污染防治条例》符合性分析</w:t>
            </w:r>
          </w:p>
          <w:p>
            <w:pPr>
              <w:pStyle w:val="13"/>
              <w:spacing w:before="0" w:after="0" w:line="360" w:lineRule="auto"/>
              <w:ind w:right="0" w:firstLine="480" w:firstLineChars="200"/>
              <w:rPr>
                <w:rFonts w:hint="eastAsia" w:ascii="宋体" w:hAnsi="宋体"/>
                <w:color w:val="000000"/>
                <w:kern w:val="2"/>
                <w:sz w:val="24"/>
                <w:szCs w:val="24"/>
              </w:rPr>
            </w:pPr>
            <w:r>
              <w:rPr>
                <w:rFonts w:hint="eastAsia" w:ascii="宋体" w:hAnsi="宋体"/>
                <w:color w:val="000000"/>
                <w:kern w:val="2"/>
                <w:sz w:val="24"/>
                <w:szCs w:val="24"/>
              </w:rPr>
              <w:t>经对比，本项目与《乐山市扬尘污染防治条例》符合性分析见下表：</w:t>
            </w:r>
          </w:p>
          <w:p>
            <w:pPr>
              <w:pStyle w:val="138"/>
              <w:ind w:firstLine="0" w:firstLineChars="0"/>
              <w:jc w:val="center"/>
              <w:rPr>
                <w:rFonts w:hint="eastAsia"/>
                <w:b/>
                <w:color w:val="000000"/>
                <w:sz w:val="21"/>
                <w:szCs w:val="21"/>
              </w:rPr>
            </w:pPr>
            <w:r>
              <w:rPr>
                <w:rFonts w:hint="eastAsia"/>
                <w:b/>
                <w:color w:val="000000"/>
                <w:kern w:val="2"/>
                <w:sz w:val="21"/>
                <w:szCs w:val="21"/>
              </w:rPr>
              <w:t>表1-1  项目与《乐山市扬尘污染防治条例》符合性分析一览表</w:t>
            </w:r>
          </w:p>
          <w:tbl>
            <w:tblPr>
              <w:tblStyle w:val="39"/>
              <w:tblW w:w="49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3306"/>
              <w:gridCol w:w="2950"/>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43" w:type="pct"/>
                  <w:noWrap w:val="0"/>
                  <w:vAlign w:val="center"/>
                </w:tcPr>
                <w:p>
                  <w:pPr>
                    <w:jc w:val="center"/>
                    <w:rPr>
                      <w:rFonts w:ascii="Times New Roman" w:hAnsi="Times New Roman"/>
                      <w:b/>
                      <w:color w:val="000000"/>
                      <w:szCs w:val="21"/>
                    </w:rPr>
                  </w:pPr>
                  <w:r>
                    <w:rPr>
                      <w:rFonts w:ascii="Times New Roman" w:hAnsi="Times New Roman"/>
                      <w:b/>
                      <w:color w:val="000000"/>
                      <w:szCs w:val="21"/>
                    </w:rPr>
                    <w:t>序号</w:t>
                  </w:r>
                </w:p>
              </w:tc>
              <w:tc>
                <w:tcPr>
                  <w:tcW w:w="2114" w:type="pct"/>
                  <w:noWrap w:val="0"/>
                  <w:vAlign w:val="center"/>
                </w:tcPr>
                <w:p>
                  <w:pPr>
                    <w:jc w:val="center"/>
                    <w:rPr>
                      <w:rFonts w:ascii="Times New Roman" w:hAnsi="Times New Roman"/>
                      <w:b/>
                      <w:color w:val="000000"/>
                      <w:szCs w:val="21"/>
                    </w:rPr>
                  </w:pPr>
                  <w:r>
                    <w:rPr>
                      <w:rFonts w:ascii="Times New Roman" w:hAnsi="Times New Roman"/>
                      <w:b/>
                      <w:color w:val="000000"/>
                      <w:szCs w:val="21"/>
                    </w:rPr>
                    <w:t>规定内容</w:t>
                  </w:r>
                </w:p>
              </w:tc>
              <w:tc>
                <w:tcPr>
                  <w:tcW w:w="1886" w:type="pct"/>
                  <w:noWrap w:val="0"/>
                  <w:vAlign w:val="center"/>
                </w:tcPr>
                <w:p>
                  <w:pPr>
                    <w:jc w:val="center"/>
                    <w:rPr>
                      <w:rFonts w:ascii="Times New Roman" w:hAnsi="Times New Roman"/>
                      <w:b/>
                      <w:color w:val="000000"/>
                      <w:szCs w:val="21"/>
                    </w:rPr>
                  </w:pPr>
                  <w:r>
                    <w:rPr>
                      <w:rFonts w:ascii="Times New Roman" w:hAnsi="Times New Roman"/>
                      <w:b/>
                      <w:color w:val="000000"/>
                      <w:szCs w:val="21"/>
                    </w:rPr>
                    <w:t>本项目建设情况</w:t>
                  </w:r>
                </w:p>
              </w:tc>
              <w:tc>
                <w:tcPr>
                  <w:tcW w:w="555" w:type="pct"/>
                  <w:noWrap w:val="0"/>
                  <w:vAlign w:val="center"/>
                </w:tcPr>
                <w:p>
                  <w:pPr>
                    <w:jc w:val="center"/>
                    <w:rPr>
                      <w:rFonts w:ascii="Times New Roman" w:hAnsi="Times New Roman"/>
                      <w:b/>
                      <w:color w:val="000000"/>
                      <w:szCs w:val="21"/>
                    </w:rPr>
                  </w:pPr>
                  <w:r>
                    <w:rPr>
                      <w:rFonts w:ascii="Times New Roman" w:hAnsi="Times New Roman"/>
                      <w:b/>
                      <w:color w:val="00000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443" w:type="pct"/>
                  <w:noWrap w:val="0"/>
                  <w:vAlign w:val="center"/>
                </w:tcPr>
                <w:p>
                  <w:pPr>
                    <w:jc w:val="center"/>
                    <w:rPr>
                      <w:rFonts w:ascii="Times New Roman" w:hAnsi="Times New Roman"/>
                      <w:color w:val="000000"/>
                      <w:szCs w:val="21"/>
                    </w:rPr>
                  </w:pPr>
                  <w:r>
                    <w:rPr>
                      <w:rFonts w:ascii="Times New Roman" w:hAnsi="Times New Roman"/>
                      <w:color w:val="000000"/>
                      <w:szCs w:val="21"/>
                    </w:rPr>
                    <w:t>1</w:t>
                  </w:r>
                </w:p>
              </w:tc>
              <w:tc>
                <w:tcPr>
                  <w:tcW w:w="2114" w:type="pct"/>
                  <w:noWrap w:val="0"/>
                  <w:vAlign w:val="center"/>
                </w:tcPr>
                <w:p>
                  <w:pPr>
                    <w:rPr>
                      <w:rFonts w:ascii="Times New Roman" w:hAnsi="Times New Roman"/>
                      <w:color w:val="000000"/>
                      <w:szCs w:val="21"/>
                    </w:rPr>
                  </w:pPr>
                  <w:r>
                    <w:rPr>
                      <w:rFonts w:ascii="Times New Roman" w:hAnsi="Times New Roman"/>
                      <w:color w:val="000000"/>
                      <w:szCs w:val="21"/>
                    </w:rPr>
                    <w:t>施工单位在施工工地公示扬尘污染防治措施、负责人、监督管理主管部门以及举报电话等信息</w:t>
                  </w:r>
                </w:p>
              </w:tc>
              <w:tc>
                <w:tcPr>
                  <w:tcW w:w="1886" w:type="pct"/>
                  <w:noWrap w:val="0"/>
                  <w:vAlign w:val="center"/>
                </w:tcPr>
                <w:p>
                  <w:pPr>
                    <w:rPr>
                      <w:rFonts w:ascii="Times New Roman" w:hAnsi="Times New Roman"/>
                      <w:color w:val="000000"/>
                      <w:szCs w:val="21"/>
                    </w:rPr>
                  </w:pPr>
                  <w:r>
                    <w:rPr>
                      <w:rFonts w:ascii="Times New Roman" w:hAnsi="Times New Roman"/>
                      <w:color w:val="000000"/>
                      <w:szCs w:val="21"/>
                    </w:rPr>
                    <w:t>施工期间公示扬尘污染防治措施、负责人、监督管理主管部门以及举报电话等信息</w:t>
                  </w:r>
                </w:p>
              </w:tc>
              <w:tc>
                <w:tcPr>
                  <w:tcW w:w="555" w:type="pct"/>
                  <w:noWrap w:val="0"/>
                  <w:vAlign w:val="center"/>
                </w:tcPr>
                <w:p>
                  <w:pPr>
                    <w:jc w:val="center"/>
                    <w:rPr>
                      <w:rFonts w:ascii="Times New Roman" w:hAnsi="Times New Roman"/>
                      <w:color w:val="000000"/>
                      <w:szCs w:val="21"/>
                    </w:rPr>
                  </w:pPr>
                  <w:r>
                    <w:rPr>
                      <w:rFonts w:ascii="Times New Roman" w:hAnsi="Times New Roman"/>
                      <w:color w:val="00000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443" w:type="pct"/>
                  <w:noWrap w:val="0"/>
                  <w:vAlign w:val="center"/>
                </w:tcPr>
                <w:p>
                  <w:pPr>
                    <w:jc w:val="center"/>
                    <w:rPr>
                      <w:rFonts w:ascii="Times New Roman" w:hAnsi="Times New Roman"/>
                      <w:color w:val="000000"/>
                      <w:szCs w:val="21"/>
                    </w:rPr>
                  </w:pPr>
                  <w:r>
                    <w:rPr>
                      <w:rFonts w:ascii="Times New Roman" w:hAnsi="Times New Roman"/>
                      <w:color w:val="000000"/>
                      <w:szCs w:val="21"/>
                    </w:rPr>
                    <w:t>2</w:t>
                  </w:r>
                </w:p>
              </w:tc>
              <w:tc>
                <w:tcPr>
                  <w:tcW w:w="2114" w:type="pct"/>
                  <w:noWrap w:val="0"/>
                  <w:vAlign w:val="center"/>
                </w:tcPr>
                <w:p>
                  <w:pPr>
                    <w:rPr>
                      <w:rFonts w:ascii="Times New Roman" w:hAnsi="Times New Roman"/>
                      <w:color w:val="000000"/>
                      <w:szCs w:val="21"/>
                    </w:rPr>
                  </w:pPr>
                  <w:r>
                    <w:rPr>
                      <w:rFonts w:ascii="Times New Roman" w:hAnsi="Times New Roman"/>
                      <w:color w:val="000000"/>
                      <w:szCs w:val="21"/>
                    </w:rPr>
                    <w:t>施工工地按照规范要求设置围墙或者硬质密闭围挡，并安装喷淋等防尘设施，围挡应当坚固、稳定、整洁、美观；</w:t>
                  </w:r>
                </w:p>
              </w:tc>
              <w:tc>
                <w:tcPr>
                  <w:tcW w:w="1886" w:type="pct"/>
                  <w:noWrap w:val="0"/>
                  <w:vAlign w:val="center"/>
                </w:tcPr>
                <w:p>
                  <w:pPr>
                    <w:jc w:val="center"/>
                    <w:rPr>
                      <w:rFonts w:hint="eastAsia" w:ascii="Times New Roman" w:hAnsi="Times New Roman"/>
                      <w:color w:val="000000"/>
                      <w:szCs w:val="21"/>
                    </w:rPr>
                  </w:pPr>
                  <w:r>
                    <w:rPr>
                      <w:rFonts w:ascii="Times New Roman" w:hAnsi="Times New Roman"/>
                      <w:color w:val="000000"/>
                      <w:szCs w:val="21"/>
                    </w:rPr>
                    <w:t>施工场地安装喷淋等防尘设施</w:t>
                  </w:r>
                </w:p>
              </w:tc>
              <w:tc>
                <w:tcPr>
                  <w:tcW w:w="555" w:type="pct"/>
                  <w:noWrap w:val="0"/>
                  <w:vAlign w:val="center"/>
                </w:tcPr>
                <w:p>
                  <w:pPr>
                    <w:jc w:val="center"/>
                    <w:rPr>
                      <w:rFonts w:ascii="Times New Roman" w:hAnsi="Times New Roman"/>
                      <w:color w:val="000000"/>
                      <w:szCs w:val="21"/>
                    </w:rPr>
                  </w:pPr>
                  <w:r>
                    <w:rPr>
                      <w:rFonts w:ascii="Times New Roman" w:hAnsi="Times New Roman"/>
                      <w:color w:val="00000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443" w:type="pct"/>
                  <w:noWrap w:val="0"/>
                  <w:vAlign w:val="center"/>
                </w:tcPr>
                <w:p>
                  <w:pPr>
                    <w:jc w:val="center"/>
                    <w:rPr>
                      <w:rFonts w:ascii="Times New Roman" w:hAnsi="Times New Roman"/>
                      <w:color w:val="000000"/>
                      <w:szCs w:val="21"/>
                    </w:rPr>
                  </w:pPr>
                  <w:r>
                    <w:rPr>
                      <w:rFonts w:ascii="Times New Roman" w:hAnsi="Times New Roman"/>
                      <w:color w:val="000000"/>
                      <w:szCs w:val="21"/>
                    </w:rPr>
                    <w:t>3</w:t>
                  </w:r>
                </w:p>
              </w:tc>
              <w:tc>
                <w:tcPr>
                  <w:tcW w:w="2114" w:type="pct"/>
                  <w:noWrap w:val="0"/>
                  <w:vAlign w:val="center"/>
                </w:tcPr>
                <w:p>
                  <w:pPr>
                    <w:rPr>
                      <w:rFonts w:ascii="Times New Roman" w:hAnsi="Times New Roman"/>
                      <w:color w:val="000000"/>
                      <w:szCs w:val="21"/>
                    </w:rPr>
                  </w:pPr>
                  <w:r>
                    <w:rPr>
                      <w:rFonts w:ascii="Times New Roman" w:hAnsi="Times New Roman"/>
                      <w:color w:val="000000"/>
                      <w:szCs w:val="21"/>
                    </w:rPr>
                    <w:t>土方施工、主体施工、总坪施工以及拆除、爆破、切割、钻孔、凿槽等易产生扬尘的作业，采取洒水或者喷淋等防尘措施；</w:t>
                  </w:r>
                </w:p>
              </w:tc>
              <w:tc>
                <w:tcPr>
                  <w:tcW w:w="1886" w:type="pct"/>
                  <w:noWrap w:val="0"/>
                  <w:vAlign w:val="center"/>
                </w:tcPr>
                <w:p>
                  <w:pPr>
                    <w:jc w:val="center"/>
                    <w:rPr>
                      <w:rFonts w:hint="eastAsia" w:ascii="Times New Roman" w:hAnsi="Times New Roman"/>
                      <w:color w:val="000000"/>
                      <w:szCs w:val="21"/>
                    </w:rPr>
                  </w:pPr>
                  <w:r>
                    <w:rPr>
                      <w:rFonts w:ascii="Times New Roman" w:hAnsi="Times New Roman"/>
                      <w:color w:val="000000"/>
                      <w:szCs w:val="21"/>
                    </w:rPr>
                    <w:t>土石方开挖采取湿法作业</w:t>
                  </w:r>
                  <w:r>
                    <w:rPr>
                      <w:rFonts w:hint="eastAsia" w:ascii="Times New Roman" w:hAnsi="Times New Roman"/>
                      <w:color w:val="000000"/>
                      <w:szCs w:val="21"/>
                    </w:rPr>
                    <w:t>，</w:t>
                  </w:r>
                  <w:r>
                    <w:rPr>
                      <w:rFonts w:hint="eastAsia" w:ascii="Times New Roman" w:hAnsi="Times New Roman"/>
                      <w:szCs w:val="21"/>
                    </w:rPr>
                    <w:t>夜间不施工</w:t>
                  </w:r>
                </w:p>
              </w:tc>
              <w:tc>
                <w:tcPr>
                  <w:tcW w:w="555" w:type="pct"/>
                  <w:noWrap w:val="0"/>
                  <w:vAlign w:val="center"/>
                </w:tcPr>
                <w:p>
                  <w:pPr>
                    <w:jc w:val="center"/>
                    <w:rPr>
                      <w:rFonts w:ascii="Times New Roman" w:hAnsi="Times New Roman"/>
                      <w:color w:val="000000"/>
                      <w:szCs w:val="21"/>
                    </w:rPr>
                  </w:pPr>
                  <w:r>
                    <w:rPr>
                      <w:rFonts w:ascii="Times New Roman" w:hAnsi="Times New Roman"/>
                      <w:color w:val="00000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443" w:type="pct"/>
                  <w:noWrap w:val="0"/>
                  <w:vAlign w:val="center"/>
                </w:tcPr>
                <w:p>
                  <w:pPr>
                    <w:jc w:val="center"/>
                    <w:rPr>
                      <w:rFonts w:ascii="Times New Roman" w:hAnsi="Times New Roman"/>
                      <w:color w:val="000000"/>
                      <w:szCs w:val="21"/>
                    </w:rPr>
                  </w:pPr>
                  <w:r>
                    <w:rPr>
                      <w:rFonts w:ascii="Times New Roman" w:hAnsi="Times New Roman"/>
                      <w:color w:val="000000"/>
                      <w:szCs w:val="21"/>
                    </w:rPr>
                    <w:t>4</w:t>
                  </w:r>
                </w:p>
              </w:tc>
              <w:tc>
                <w:tcPr>
                  <w:tcW w:w="2114" w:type="pct"/>
                  <w:noWrap w:val="0"/>
                  <w:vAlign w:val="center"/>
                </w:tcPr>
                <w:p>
                  <w:pPr>
                    <w:rPr>
                      <w:rFonts w:ascii="Times New Roman" w:hAnsi="Times New Roman"/>
                      <w:color w:val="000000"/>
                      <w:szCs w:val="21"/>
                    </w:rPr>
                  </w:pPr>
                  <w:r>
                    <w:rPr>
                      <w:rFonts w:ascii="Times New Roman" w:hAnsi="Times New Roman"/>
                      <w:color w:val="000000"/>
                      <w:szCs w:val="21"/>
                    </w:rPr>
                    <w:t>建筑土方、工程渣土、建筑垃圾及时清运；在场地内堆存的，采用密闭式防尘网遮盖；</w:t>
                  </w:r>
                </w:p>
              </w:tc>
              <w:tc>
                <w:tcPr>
                  <w:tcW w:w="1886" w:type="pct"/>
                  <w:noWrap w:val="0"/>
                  <w:vAlign w:val="center"/>
                </w:tcPr>
                <w:p>
                  <w:pPr>
                    <w:jc w:val="center"/>
                    <w:rPr>
                      <w:rFonts w:hint="eastAsia" w:ascii="Times New Roman" w:hAnsi="Times New Roman"/>
                      <w:color w:val="000000"/>
                      <w:szCs w:val="21"/>
                    </w:rPr>
                  </w:pPr>
                  <w:r>
                    <w:rPr>
                      <w:rFonts w:hint="eastAsia"/>
                      <w:bCs/>
                      <w:color w:val="000000"/>
                      <w:kern w:val="0"/>
                      <w:szCs w:val="21"/>
                      <w:lang w:val="zh-CN"/>
                    </w:rPr>
                    <w:t>本项目总弃渣量1.50万m</w:t>
                  </w:r>
                  <w:r>
                    <w:rPr>
                      <w:rFonts w:hint="eastAsia"/>
                      <w:bCs/>
                      <w:color w:val="000000"/>
                      <w:kern w:val="0"/>
                      <w:szCs w:val="21"/>
                      <w:vertAlign w:val="superscript"/>
                      <w:lang w:val="zh-CN"/>
                    </w:rPr>
                    <w:t>3</w:t>
                  </w:r>
                  <w:r>
                    <w:rPr>
                      <w:rFonts w:hint="eastAsia"/>
                      <w:bCs/>
                      <w:color w:val="000000"/>
                      <w:kern w:val="0"/>
                      <w:szCs w:val="21"/>
                      <w:lang w:val="zh-CN"/>
                    </w:rPr>
                    <w:t>（自然方），其中1.30万m</w:t>
                  </w:r>
                  <w:r>
                    <w:rPr>
                      <w:rFonts w:hint="eastAsia"/>
                      <w:bCs/>
                      <w:color w:val="000000"/>
                      <w:kern w:val="0"/>
                      <w:szCs w:val="21"/>
                      <w:vertAlign w:val="superscript"/>
                      <w:lang w:val="zh-CN"/>
                    </w:rPr>
                    <w:t>3</w:t>
                  </w:r>
                  <w:r>
                    <w:rPr>
                      <w:rFonts w:hint="eastAsia"/>
                      <w:bCs/>
                      <w:color w:val="000000"/>
                      <w:kern w:val="0"/>
                      <w:szCs w:val="21"/>
                      <w:lang w:val="zh-CN"/>
                    </w:rPr>
                    <w:t>（自然方）弃渣因弃渣量较小，且较分散，拟全部沿渠在渠道施工作业带范围内堆放，另外0.20万m</w:t>
                  </w:r>
                  <w:r>
                    <w:rPr>
                      <w:rFonts w:hint="eastAsia"/>
                      <w:bCs/>
                      <w:color w:val="000000"/>
                      <w:kern w:val="0"/>
                      <w:szCs w:val="21"/>
                      <w:vertAlign w:val="superscript"/>
                      <w:lang w:val="zh-CN"/>
                    </w:rPr>
                    <w:t>3</w:t>
                  </w:r>
                  <w:r>
                    <w:rPr>
                      <w:rFonts w:hint="eastAsia"/>
                      <w:bCs/>
                      <w:color w:val="000000"/>
                      <w:kern w:val="0"/>
                      <w:szCs w:val="21"/>
                      <w:lang w:val="zh-CN" w:eastAsia="zh-CN"/>
                    </w:rPr>
                    <w:t>回填渠道低洼地带，</w:t>
                  </w:r>
                  <w:r>
                    <w:rPr>
                      <w:rFonts w:hint="eastAsia"/>
                      <w:bCs/>
                      <w:color w:val="000000"/>
                      <w:kern w:val="0"/>
                      <w:szCs w:val="21"/>
                      <w:lang w:val="zh-CN"/>
                    </w:rPr>
                    <w:t>不设置集中弃渣场</w:t>
                  </w:r>
                </w:p>
              </w:tc>
              <w:tc>
                <w:tcPr>
                  <w:tcW w:w="555" w:type="pct"/>
                  <w:noWrap w:val="0"/>
                  <w:vAlign w:val="center"/>
                </w:tcPr>
                <w:p>
                  <w:pPr>
                    <w:jc w:val="center"/>
                    <w:rPr>
                      <w:rFonts w:ascii="Times New Roman" w:hAnsi="Times New Roman"/>
                      <w:color w:val="000000"/>
                      <w:szCs w:val="21"/>
                    </w:rPr>
                  </w:pPr>
                  <w:r>
                    <w:rPr>
                      <w:rFonts w:ascii="Times New Roman" w:hAnsi="Times New Roman"/>
                      <w:color w:val="000000"/>
                      <w:szCs w:val="21"/>
                    </w:rPr>
                    <w:t>符合</w:t>
                  </w:r>
                </w:p>
              </w:tc>
            </w:tr>
          </w:tbl>
          <w:p>
            <w:pPr>
              <w:autoSpaceDE w:val="0"/>
              <w:autoSpaceDN w:val="0"/>
              <w:adjustRightInd w:val="0"/>
              <w:snapToGrid w:val="0"/>
              <w:spacing w:line="360" w:lineRule="auto"/>
              <w:ind w:firstLine="482" w:firstLineChars="200"/>
              <w:rPr>
                <w:rFonts w:hint="eastAsia"/>
                <w:color w:val="000000"/>
                <w:sz w:val="24"/>
              </w:rPr>
            </w:pPr>
            <w:r>
              <w:rPr>
                <w:rFonts w:hint="eastAsia" w:ascii="宋体" w:hAnsi="宋体" w:cs="宋体"/>
                <w:b/>
                <w:bCs/>
                <w:color w:val="000000"/>
                <w:sz w:val="24"/>
              </w:rPr>
              <w:t>综上，项目的建设符合《乐山市扬尘污染防治条例》相关要求。</w:t>
            </w:r>
          </w:p>
          <w:p>
            <w:pPr>
              <w:autoSpaceDE w:val="0"/>
              <w:autoSpaceDN w:val="0"/>
              <w:adjustRightInd w:val="0"/>
              <w:snapToGrid w:val="0"/>
              <w:spacing w:line="360" w:lineRule="auto"/>
              <w:rPr>
                <w:b/>
                <w:color w:val="000000"/>
                <w:sz w:val="24"/>
              </w:rPr>
            </w:pPr>
            <w:r>
              <w:rPr>
                <w:rFonts w:hint="eastAsia"/>
                <w:b/>
                <w:color w:val="000000"/>
                <w:sz w:val="24"/>
                <w:lang w:val="en-US" w:eastAsia="zh-CN"/>
              </w:rPr>
              <w:t>7</w:t>
            </w:r>
            <w:r>
              <w:rPr>
                <w:rFonts w:hint="eastAsia"/>
                <w:b/>
                <w:color w:val="000000"/>
                <w:sz w:val="24"/>
              </w:rPr>
              <w:t>、</w:t>
            </w:r>
            <w:r>
              <w:rPr>
                <w:b/>
                <w:color w:val="000000"/>
                <w:sz w:val="24"/>
              </w:rPr>
              <w:t>与《水利建设项目（引调水工程）环境影响评价文件审批原则》的符合性分析</w:t>
            </w:r>
          </w:p>
          <w:p>
            <w:pPr>
              <w:pStyle w:val="223"/>
              <w:bidi w:val="0"/>
            </w:pPr>
            <w:r>
              <w:rPr>
                <w:rFonts w:hint="eastAsia"/>
              </w:rPr>
              <w:t>本项目新建青白渠属于引水工程，</w:t>
            </w:r>
            <w:r>
              <w:t>结合本工程的特点，根据《水利建设项目（引调水工程）环境影响评价文件审批原则》相关要求，对工程与审批原则的符合性进行了分析，详见表</w:t>
            </w:r>
            <w:r>
              <w:rPr>
                <w:rFonts w:hint="eastAsia"/>
              </w:rPr>
              <w:t>1-2</w:t>
            </w:r>
            <w:r>
              <w:t>。</w:t>
            </w:r>
          </w:p>
          <w:p>
            <w:pPr>
              <w:pStyle w:val="266"/>
              <w:spacing w:before="48" w:after="48"/>
              <w:ind w:left="0" w:leftChars="0" w:right="0" w:rightChars="0" w:firstLine="0" w:firstLineChars="0"/>
              <w:jc w:val="center"/>
              <w:rPr>
                <w:color w:val="000000"/>
                <w:sz w:val="21"/>
                <w:szCs w:val="21"/>
              </w:rPr>
            </w:pPr>
            <w:r>
              <w:rPr>
                <w:rFonts w:hint="eastAsia"/>
                <w:color w:val="000000"/>
                <w:sz w:val="21"/>
                <w:szCs w:val="21"/>
              </w:rPr>
              <w:t xml:space="preserve">表1-2 </w:t>
            </w:r>
            <w:r>
              <w:rPr>
                <w:color w:val="000000"/>
                <w:sz w:val="21"/>
                <w:szCs w:val="21"/>
              </w:rPr>
              <w:t xml:space="preserve"> 工程与引调水工程环评文件审批原则符合性分析</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4214"/>
              <w:gridCol w:w="2462"/>
              <w:gridCol w:w="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b/>
                      <w:bCs/>
                      <w:color w:val="000000"/>
                    </w:rPr>
                  </w:pPr>
                  <w:r>
                    <w:rPr>
                      <w:rFonts w:ascii="Times New Roman" w:hAnsi="Times New Roman"/>
                      <w:b/>
                      <w:bCs/>
                      <w:color w:val="000000"/>
                    </w:rPr>
                    <w:t>序号</w:t>
                  </w:r>
                </w:p>
              </w:tc>
              <w:tc>
                <w:tcPr>
                  <w:tcW w:w="4214" w:type="dxa"/>
                  <w:noWrap w:val="0"/>
                  <w:vAlign w:val="center"/>
                </w:tcPr>
                <w:p>
                  <w:pPr>
                    <w:pStyle w:val="126"/>
                    <w:rPr>
                      <w:b/>
                      <w:bCs/>
                      <w:color w:val="000000"/>
                    </w:rPr>
                  </w:pPr>
                  <w:r>
                    <w:rPr>
                      <w:rFonts w:ascii="Times New Roman" w:hAnsi="Times New Roman"/>
                      <w:b/>
                      <w:bCs/>
                      <w:color w:val="000000"/>
                    </w:rPr>
                    <w:t>审批原则</w:t>
                  </w:r>
                </w:p>
              </w:tc>
              <w:tc>
                <w:tcPr>
                  <w:tcW w:w="2462" w:type="dxa"/>
                  <w:noWrap w:val="0"/>
                  <w:vAlign w:val="center"/>
                </w:tcPr>
                <w:p>
                  <w:pPr>
                    <w:pStyle w:val="126"/>
                    <w:rPr>
                      <w:b/>
                      <w:bCs/>
                      <w:color w:val="000000"/>
                    </w:rPr>
                  </w:pPr>
                  <w:r>
                    <w:rPr>
                      <w:rFonts w:ascii="Times New Roman" w:hAnsi="Times New Roman"/>
                      <w:b/>
                      <w:bCs/>
                      <w:color w:val="000000"/>
                    </w:rPr>
                    <w:t>环评文件分析判定情况</w:t>
                  </w:r>
                </w:p>
              </w:tc>
              <w:tc>
                <w:tcPr>
                  <w:tcW w:w="721" w:type="dxa"/>
                  <w:noWrap w:val="0"/>
                  <w:vAlign w:val="center"/>
                </w:tcPr>
                <w:p>
                  <w:pPr>
                    <w:pStyle w:val="126"/>
                    <w:rPr>
                      <w:b/>
                      <w:bCs/>
                      <w:color w:val="000000"/>
                    </w:rPr>
                  </w:pPr>
                  <w:r>
                    <w:rPr>
                      <w:rFonts w:ascii="Times New Roman" w:hAnsi="Times New Roman"/>
                      <w:b/>
                      <w:bCs/>
                      <w:color w:val="000000"/>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1</w:t>
                  </w:r>
                </w:p>
              </w:tc>
              <w:tc>
                <w:tcPr>
                  <w:tcW w:w="4214" w:type="dxa"/>
                  <w:noWrap w:val="0"/>
                  <w:vAlign w:val="center"/>
                </w:tcPr>
                <w:p>
                  <w:pPr>
                    <w:pStyle w:val="126"/>
                    <w:ind w:left="0" w:leftChars="0" w:right="0" w:rightChars="0" w:firstLine="0" w:firstLineChars="0"/>
                    <w:jc w:val="both"/>
                    <w:rPr>
                      <w:color w:val="000000"/>
                    </w:rPr>
                  </w:pPr>
                  <w:r>
                    <w:rPr>
                      <w:rFonts w:ascii="Times New Roman" w:hAnsi="Times New Roman"/>
                      <w:color w:val="000000"/>
                    </w:rPr>
                    <w:t>项目符合资源与环境保护相关法律法规和政策，与主体功能区规划、生态功能区划等相协调，开发任务、供水范围及对象、调水规模、选址选线等工程主要内容总体满足流域综合规划、水资源综合规划、水资源开发利用（含供水）规划、工程规划、流域水污染防治规划、流域生态保护规划等相关规划、规划环评及审查意见要求。</w:t>
                  </w:r>
                </w:p>
                <w:p>
                  <w:pPr>
                    <w:pStyle w:val="126"/>
                    <w:jc w:val="both"/>
                    <w:rPr>
                      <w:color w:val="000000"/>
                    </w:rPr>
                  </w:pPr>
                  <w:r>
                    <w:rPr>
                      <w:rFonts w:ascii="Times New Roman" w:hAnsi="Times New Roman"/>
                      <w:color w:val="000000"/>
                    </w:rPr>
                    <w:t>项目符合</w:t>
                  </w:r>
                  <w:r>
                    <w:rPr>
                      <w:rFonts w:hint="eastAsia"/>
                      <w:color w:val="000000"/>
                    </w:rPr>
                    <w:t>“</w:t>
                  </w:r>
                  <w:r>
                    <w:rPr>
                      <w:rFonts w:ascii="Times New Roman" w:hAnsi="Times New Roman"/>
                      <w:color w:val="000000"/>
                    </w:rPr>
                    <w:t>先节水后调水、先治污后通水、先环保后用水</w:t>
                  </w:r>
                  <w:r>
                    <w:rPr>
                      <w:rFonts w:hint="eastAsia"/>
                      <w:color w:val="000000"/>
                    </w:rPr>
                    <w:t>”</w:t>
                  </w:r>
                  <w:r>
                    <w:rPr>
                      <w:rFonts w:ascii="Times New Roman" w:hAnsi="Times New Roman"/>
                      <w:color w:val="000000"/>
                    </w:rPr>
                    <w:t>原则，与水资源开发利用及区域用水总量控制、用水效率控制、水（环境）功能区限制纳污控制等相协调。充分考虑调出区经济社会发展和生态环境用水需求，调水量不得超出调出区水资源利用上限，受水区水资源配置与区域水资源水环境承载能力相适应。</w:t>
                  </w:r>
                </w:p>
              </w:tc>
              <w:tc>
                <w:tcPr>
                  <w:tcW w:w="2462" w:type="dxa"/>
                  <w:noWrap w:val="0"/>
                  <w:vAlign w:val="center"/>
                </w:tcPr>
                <w:p>
                  <w:pPr>
                    <w:pStyle w:val="126"/>
                    <w:jc w:val="both"/>
                    <w:rPr>
                      <w:color w:val="000000"/>
                    </w:rPr>
                  </w:pPr>
                  <w:r>
                    <w:rPr>
                      <w:rFonts w:hint="eastAsia" w:ascii="Times New Roman" w:hAnsi="Times New Roman"/>
                      <w:color w:val="000000"/>
                    </w:rPr>
                    <w:t>本项目新建青白渠将高中水库水通过管道引至灌溉区域，最终进入磨池河，全程管道输水，不接纳周边农田退水，满足相关法律法规要求，符合“三先三后”的原则，青白渠主要功能是灌溉，不会改变受水区水资源配制、环境承载力等。</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2</w:t>
                  </w:r>
                </w:p>
              </w:tc>
              <w:tc>
                <w:tcPr>
                  <w:tcW w:w="4214" w:type="dxa"/>
                  <w:noWrap w:val="0"/>
                  <w:vAlign w:val="center"/>
                </w:tcPr>
                <w:p>
                  <w:pPr>
                    <w:pStyle w:val="126"/>
                    <w:jc w:val="both"/>
                    <w:rPr>
                      <w:color w:val="000000"/>
                    </w:rPr>
                  </w:pPr>
                  <w:r>
                    <w:rPr>
                      <w:rFonts w:ascii="Times New Roman" w:hAnsi="Times New Roman"/>
                      <w:color w:val="000000"/>
                    </w:rPr>
                    <w:t>工程选址选线、施工布置和水库淹没原则上不得占用自然保护区、风景名胜区、生态保护红线等敏感区内法律法规禁止</w:t>
                  </w:r>
                </w:p>
                <w:p>
                  <w:pPr>
                    <w:pStyle w:val="126"/>
                    <w:jc w:val="both"/>
                    <w:rPr>
                      <w:color w:val="000000"/>
                    </w:rPr>
                  </w:pPr>
                  <w:r>
                    <w:rPr>
                      <w:rFonts w:ascii="Times New Roman" w:hAnsi="Times New Roman"/>
                      <w:color w:val="000000"/>
                    </w:rPr>
                    <w:t>占用的区域和已明确作为栖息地保护区域，并与饮用水水源保护区的有关保护要求相协调。</w:t>
                  </w:r>
                </w:p>
              </w:tc>
              <w:tc>
                <w:tcPr>
                  <w:tcW w:w="2462" w:type="dxa"/>
                  <w:noWrap w:val="0"/>
                  <w:vAlign w:val="center"/>
                </w:tcPr>
                <w:p>
                  <w:pPr>
                    <w:pStyle w:val="126"/>
                    <w:jc w:val="both"/>
                    <w:rPr>
                      <w:color w:val="000000"/>
                    </w:rPr>
                  </w:pPr>
                  <w:r>
                    <w:rPr>
                      <w:rFonts w:ascii="Times New Roman" w:hAnsi="Times New Roman"/>
                      <w:color w:val="000000"/>
                    </w:rPr>
                    <w:t>本项目选址选线、施工布置未占用自然保护区、风景名胜区、生态保护红线等敏感区，不涉及饮用水水源保护区。</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3</w:t>
                  </w:r>
                </w:p>
              </w:tc>
              <w:tc>
                <w:tcPr>
                  <w:tcW w:w="4214" w:type="dxa"/>
                  <w:noWrap w:val="0"/>
                  <w:vAlign w:val="center"/>
                </w:tcPr>
                <w:p>
                  <w:pPr>
                    <w:pStyle w:val="126"/>
                    <w:jc w:val="both"/>
                    <w:rPr>
                      <w:color w:val="000000"/>
                    </w:rPr>
                  </w:pPr>
                  <w:r>
                    <w:rPr>
                      <w:rFonts w:ascii="Times New Roman" w:hAnsi="Times New Roman"/>
                      <w:color w:val="000000"/>
                    </w:rPr>
                    <w:t>项目调水和水库调蓄造成调出区取水枢纽下游水量减少和水文情势改变且带来不利影响的，在统筹考虑满足下游河道水生生态、水环境、景观、湿地等生态环境用水及生产、生活用水需求的基础上，提出了调水总量和过程控制、输水线路或末端调蓄能力保障、生态流量泄放、生态（联合）调度等措施，明确了生态流量泄放和在线监测设施以及管理措施等内容。针对水库下泄或调出低温水、泄洪造成的气体过饱和等导致的不利生态环境影响，提出了分层取水、优化泄洪形式或调度方式、管理等措施。根据水质管理目标要求，提出了水源区污染源治理、库底环境清理、污水处理等水质保障措施；兼顾城乡生活供水任务的，还提出了划定饮用水水源保护区、设置隔离防护带等措施。</w:t>
                  </w:r>
                </w:p>
              </w:tc>
              <w:tc>
                <w:tcPr>
                  <w:tcW w:w="2462" w:type="dxa"/>
                  <w:noWrap w:val="0"/>
                  <w:vAlign w:val="center"/>
                </w:tcPr>
                <w:p>
                  <w:pPr>
                    <w:pStyle w:val="126"/>
                    <w:jc w:val="both"/>
                    <w:rPr>
                      <w:color w:val="000000"/>
                    </w:rPr>
                  </w:pPr>
                  <w:r>
                    <w:rPr>
                      <w:rFonts w:hint="eastAsia" w:ascii="Times New Roman" w:hAnsi="Times New Roman"/>
                      <w:color w:val="000000"/>
                    </w:rPr>
                    <w:t>本工程青白渠设计取水流量0.5m</w:t>
                  </w:r>
                  <w:r>
                    <w:rPr>
                      <w:rFonts w:hint="eastAsia" w:ascii="Times New Roman" w:hAnsi="Times New Roman"/>
                      <w:color w:val="000000"/>
                      <w:vertAlign w:val="superscript"/>
                    </w:rPr>
                    <w:t>3</w:t>
                  </w:r>
                  <w:r>
                    <w:rPr>
                      <w:rFonts w:hint="eastAsia" w:ascii="Times New Roman" w:hAnsi="Times New Roman"/>
                      <w:color w:val="000000"/>
                    </w:rPr>
                    <w:t>/s，取水量很小；在高中水库取水，不涉及下游河道生态用水等问题；</w:t>
                  </w:r>
                  <w:r>
                    <w:rPr>
                      <w:rFonts w:ascii="Times New Roman" w:hAnsi="Times New Roman"/>
                      <w:color w:val="000000"/>
                    </w:rPr>
                    <w:t>本工程无调蓄水库，不涉及低温水、库底清理等；本工程不供给饮用水，无需划定饮用水水源保护区。</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4</w:t>
                  </w:r>
                </w:p>
              </w:tc>
              <w:tc>
                <w:tcPr>
                  <w:tcW w:w="4214" w:type="dxa"/>
                  <w:noWrap w:val="0"/>
                  <w:vAlign w:val="center"/>
                </w:tcPr>
                <w:p>
                  <w:pPr>
                    <w:pStyle w:val="126"/>
                    <w:jc w:val="both"/>
                    <w:rPr>
                      <w:color w:val="000000"/>
                    </w:rPr>
                  </w:pPr>
                  <w:r>
                    <w:rPr>
                      <w:rFonts w:ascii="Times New Roman" w:hAnsi="Times New Roman"/>
                      <w:color w:val="000000"/>
                    </w:rPr>
                    <w:t>受水区水污染治理以改善水环境质量为目标，遵循</w:t>
                  </w:r>
                  <w:r>
                    <w:rPr>
                      <w:rFonts w:hint="eastAsia"/>
                      <w:color w:val="000000"/>
                    </w:rPr>
                    <w:t>“</w:t>
                  </w:r>
                  <w:r>
                    <w:rPr>
                      <w:rFonts w:ascii="Times New Roman" w:hAnsi="Times New Roman"/>
                      <w:color w:val="000000"/>
                    </w:rPr>
                    <w:t>增水不增污</w:t>
                  </w:r>
                  <w:r>
                    <w:rPr>
                      <w:rFonts w:hint="eastAsia"/>
                      <w:color w:val="000000"/>
                    </w:rPr>
                    <w:t>”</w:t>
                  </w:r>
                  <w:r>
                    <w:rPr>
                      <w:rFonts w:ascii="Times New Roman" w:hAnsi="Times New Roman"/>
                      <w:color w:val="000000"/>
                    </w:rPr>
                    <w:t>或</w:t>
                  </w:r>
                  <w:r>
                    <w:rPr>
                      <w:rFonts w:hint="eastAsia"/>
                      <w:color w:val="000000"/>
                    </w:rPr>
                    <w:t>“</w:t>
                  </w:r>
                  <w:r>
                    <w:rPr>
                      <w:rFonts w:ascii="Times New Roman" w:hAnsi="Times New Roman"/>
                      <w:color w:val="000000"/>
                    </w:rPr>
                    <w:t>增水减污</w:t>
                  </w:r>
                  <w:r>
                    <w:rPr>
                      <w:rFonts w:hint="eastAsia"/>
                      <w:color w:val="000000"/>
                    </w:rPr>
                    <w:t>”</w:t>
                  </w:r>
                  <w:r>
                    <w:rPr>
                      <w:rFonts w:ascii="Times New Roman" w:hAnsi="Times New Roman"/>
                      <w:color w:val="000000"/>
                    </w:rPr>
                    <w:t>原则，并有经相关地方人民政府认可的水污染防治相关规划作为支撑。</w:t>
                  </w:r>
                </w:p>
              </w:tc>
              <w:tc>
                <w:tcPr>
                  <w:tcW w:w="2462" w:type="dxa"/>
                  <w:noWrap w:val="0"/>
                  <w:vAlign w:val="center"/>
                </w:tcPr>
                <w:p>
                  <w:pPr>
                    <w:pStyle w:val="126"/>
                    <w:jc w:val="both"/>
                    <w:rPr>
                      <w:color w:val="000000"/>
                    </w:rPr>
                  </w:pPr>
                  <w:r>
                    <w:rPr>
                      <w:rFonts w:hint="eastAsia" w:ascii="Times New Roman" w:hAnsi="Times New Roman"/>
                      <w:color w:val="000000"/>
                    </w:rPr>
                    <w:t>本工程主要目的是灌溉，青白渠全程为管道输水，中途不接纳农田退水，根据监测，高中水库水质常年Ⅲ类，优于磨池河水质，使用不完全水进入磨池河后，也能实现增水不增污、增水减污的目的</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5</w:t>
                  </w:r>
                </w:p>
              </w:tc>
              <w:tc>
                <w:tcPr>
                  <w:tcW w:w="4214" w:type="dxa"/>
                  <w:noWrap w:val="0"/>
                  <w:vAlign w:val="center"/>
                </w:tcPr>
                <w:p>
                  <w:pPr>
                    <w:pStyle w:val="126"/>
                    <w:jc w:val="both"/>
                    <w:rPr>
                      <w:color w:val="000000"/>
                    </w:rPr>
                  </w:pPr>
                  <w:r>
                    <w:rPr>
                      <w:rFonts w:ascii="Times New Roman" w:hAnsi="Times New Roman"/>
                      <w:color w:val="000000"/>
                    </w:rPr>
                    <w:t>项目对鱼类等水生生物的生境、物种多样性及资源量等造成不利影响的，提出了优化工程设计及调度、栖息地保护、水生生物通道恢复、增殖放流、拦鱼等措施。栖息地保护措施包括干（支）流生境保留、生境修复（或重建）等，采用生境保留的应明确河段范围及保护措施。水生生物通道恢复措施包括鱼道、升鱼机、集运鱼系统等，在必要的水工模型试验基础上，明确了过鱼对象、</w:t>
                  </w:r>
                </w:p>
                <w:p>
                  <w:pPr>
                    <w:pStyle w:val="126"/>
                    <w:jc w:val="both"/>
                    <w:rPr>
                      <w:color w:val="000000"/>
                    </w:rPr>
                  </w:pPr>
                  <w:r>
                    <w:rPr>
                      <w:rFonts w:ascii="Times New Roman" w:hAnsi="Times New Roman"/>
                      <w:color w:val="000000"/>
                    </w:rPr>
                    <w:t>主要参数、运行要求等，且满足可研阶段设计深度要求。鱼类增殖放流措施应明确增殖站地点、增殖放流对象、放流规模、放流地点等。</w:t>
                  </w:r>
                </w:p>
              </w:tc>
              <w:tc>
                <w:tcPr>
                  <w:tcW w:w="2462" w:type="dxa"/>
                  <w:noWrap w:val="0"/>
                  <w:vAlign w:val="center"/>
                </w:tcPr>
                <w:p>
                  <w:pPr>
                    <w:pStyle w:val="126"/>
                    <w:jc w:val="both"/>
                    <w:rPr>
                      <w:rFonts w:eastAsia="楷体_GB2312"/>
                      <w:color w:val="000000"/>
                    </w:rPr>
                  </w:pPr>
                  <w:r>
                    <w:rPr>
                      <w:rFonts w:hint="eastAsia" w:ascii="Times New Roman" w:hAnsi="Times New Roman"/>
                      <w:color w:val="000000"/>
                    </w:rPr>
                    <w:t>本项目取水区高中水库的水体功能主要是灌溉，施工通过</w:t>
                  </w:r>
                  <w:r>
                    <w:rPr>
                      <w:rFonts w:hint="eastAsia" w:ascii="Times New Roman" w:hAnsi="Times New Roman"/>
                      <w:color w:val="000000"/>
                      <w:lang w:eastAsia="zh-CN"/>
                    </w:rPr>
                    <w:t>取水闸</w:t>
                  </w:r>
                  <w:r>
                    <w:rPr>
                      <w:rFonts w:hint="eastAsia" w:ascii="Times New Roman" w:hAnsi="Times New Roman"/>
                      <w:color w:val="000000"/>
                    </w:rPr>
                    <w:t>取水，不会对鱼类等水生生物产生影响。</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6</w:t>
                  </w:r>
                </w:p>
              </w:tc>
              <w:tc>
                <w:tcPr>
                  <w:tcW w:w="4214" w:type="dxa"/>
                  <w:noWrap w:val="0"/>
                  <w:vAlign w:val="center"/>
                </w:tcPr>
                <w:p>
                  <w:pPr>
                    <w:pStyle w:val="126"/>
                    <w:jc w:val="both"/>
                    <w:rPr>
                      <w:color w:val="000000"/>
                    </w:rPr>
                  </w:pPr>
                  <w:r>
                    <w:rPr>
                      <w:rFonts w:ascii="Times New Roman" w:hAnsi="Times New Roman"/>
                      <w:color w:val="000000"/>
                    </w:rPr>
                    <w:t>项目对珍稀濒危和重点保护野生动、植物及其生境造成影响的，提出了优化工程布置和调度运行方案、合理安排工期、应急救护、建设或保留动物通道、移栽、就地保护或再造类似生境等避让、减缓和补偿措施。</w:t>
                  </w:r>
                </w:p>
              </w:tc>
              <w:tc>
                <w:tcPr>
                  <w:tcW w:w="2462" w:type="dxa"/>
                  <w:noWrap w:val="0"/>
                  <w:vAlign w:val="center"/>
                </w:tcPr>
                <w:p>
                  <w:pPr>
                    <w:pStyle w:val="126"/>
                    <w:jc w:val="both"/>
                    <w:rPr>
                      <w:color w:val="000000"/>
                    </w:rPr>
                  </w:pPr>
                  <w:r>
                    <w:rPr>
                      <w:rFonts w:ascii="Times New Roman" w:hAnsi="Times New Roman"/>
                      <w:color w:val="000000"/>
                    </w:rPr>
                    <w:t>本工程不涉及重点保护</w:t>
                  </w:r>
                  <w:r>
                    <w:rPr>
                      <w:rFonts w:hint="eastAsia" w:ascii="Times New Roman" w:hAnsi="Times New Roman"/>
                      <w:color w:val="000000"/>
                    </w:rPr>
                    <w:t>野生动植物。</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58" w:type="dxa"/>
                  <w:noWrap w:val="0"/>
                  <w:vAlign w:val="center"/>
                </w:tcPr>
                <w:p>
                  <w:pPr>
                    <w:pStyle w:val="126"/>
                    <w:rPr>
                      <w:color w:val="000000"/>
                    </w:rPr>
                  </w:pPr>
                  <w:r>
                    <w:rPr>
                      <w:rFonts w:ascii="Times New Roman" w:hAnsi="Times New Roman"/>
                      <w:color w:val="000000"/>
                    </w:rPr>
                    <w:t>7</w:t>
                  </w:r>
                </w:p>
              </w:tc>
              <w:tc>
                <w:tcPr>
                  <w:tcW w:w="4214" w:type="dxa"/>
                  <w:noWrap w:val="0"/>
                  <w:vAlign w:val="center"/>
                </w:tcPr>
                <w:p>
                  <w:pPr>
                    <w:pStyle w:val="126"/>
                    <w:jc w:val="both"/>
                    <w:rPr>
                      <w:color w:val="000000"/>
                    </w:rPr>
                  </w:pPr>
                  <w:r>
                    <w:rPr>
                      <w:rFonts w:ascii="Times New Roman" w:hAnsi="Times New Roman"/>
                      <w:color w:val="000000"/>
                    </w:rPr>
                    <w:t>项目施工组织方案具有环境合理性，对料场、弃土（渣）场等施工场地提出了水土流失防治和施工迹地生态恢复等措施。根据环境保护相关标准和要求，对施工期各类废（污）水、废气、噪声、固体废物等提出防治或处置措施。</w:t>
                  </w:r>
                </w:p>
              </w:tc>
              <w:tc>
                <w:tcPr>
                  <w:tcW w:w="2462" w:type="dxa"/>
                  <w:noWrap w:val="0"/>
                  <w:vAlign w:val="center"/>
                </w:tcPr>
                <w:p>
                  <w:pPr>
                    <w:pStyle w:val="126"/>
                    <w:jc w:val="both"/>
                    <w:rPr>
                      <w:color w:val="000000"/>
                    </w:rPr>
                  </w:pPr>
                  <w:r>
                    <w:rPr>
                      <w:rFonts w:hint="eastAsia" w:ascii="Times New Roman" w:hAnsi="Times New Roman"/>
                      <w:color w:val="000000"/>
                    </w:rPr>
                    <w:t>本次环评对施工区等提出了相应的水土保持、生态恢复要求，同时对三废污染提出了相应的防治措施</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458" w:type="dxa"/>
                  <w:noWrap w:val="0"/>
                  <w:vAlign w:val="center"/>
                </w:tcPr>
                <w:p>
                  <w:pPr>
                    <w:pStyle w:val="126"/>
                    <w:rPr>
                      <w:color w:val="000000"/>
                    </w:rPr>
                  </w:pPr>
                  <w:r>
                    <w:rPr>
                      <w:rFonts w:ascii="Times New Roman" w:hAnsi="Times New Roman"/>
                      <w:color w:val="000000"/>
                    </w:rPr>
                    <w:t>8</w:t>
                  </w:r>
                </w:p>
              </w:tc>
              <w:tc>
                <w:tcPr>
                  <w:tcW w:w="4214" w:type="dxa"/>
                  <w:noWrap w:val="0"/>
                  <w:vAlign w:val="center"/>
                </w:tcPr>
                <w:p>
                  <w:pPr>
                    <w:pStyle w:val="126"/>
                    <w:jc w:val="both"/>
                    <w:rPr>
                      <w:color w:val="000000"/>
                    </w:rPr>
                  </w:pPr>
                  <w:r>
                    <w:rPr>
                      <w:rFonts w:ascii="Times New Roman" w:hAnsi="Times New Roman"/>
                      <w:color w:val="000000"/>
                    </w:rPr>
                    <w:t>项目移民安置涉及的农业土地开垦、移民安置区建设、企业迁建、专业项目改复建工程等，其建设方式和选址具有环境合理性，对环境造成不利影响的，提出了生态保护、污水处理与垃圾处置等措施。</w:t>
                  </w:r>
                </w:p>
              </w:tc>
              <w:tc>
                <w:tcPr>
                  <w:tcW w:w="2462" w:type="dxa"/>
                  <w:noWrap w:val="0"/>
                  <w:vAlign w:val="center"/>
                </w:tcPr>
                <w:p>
                  <w:pPr>
                    <w:pStyle w:val="126"/>
                    <w:jc w:val="both"/>
                    <w:rPr>
                      <w:rFonts w:eastAsia="楷体_GB2312"/>
                      <w:color w:val="000000"/>
                    </w:rPr>
                  </w:pPr>
                  <w:r>
                    <w:rPr>
                      <w:rFonts w:hint="eastAsia" w:ascii="Times New Roman" w:hAnsi="Times New Roman"/>
                      <w:color w:val="000000"/>
                    </w:rPr>
                    <w:t>本项目不涉及移民安置</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8" w:type="dxa"/>
                  <w:noWrap w:val="0"/>
                  <w:vAlign w:val="center"/>
                </w:tcPr>
                <w:p>
                  <w:pPr>
                    <w:pStyle w:val="126"/>
                    <w:rPr>
                      <w:color w:val="000000"/>
                    </w:rPr>
                  </w:pPr>
                  <w:r>
                    <w:rPr>
                      <w:rFonts w:ascii="Times New Roman" w:hAnsi="Times New Roman"/>
                      <w:color w:val="000000"/>
                    </w:rPr>
                    <w:t>9</w:t>
                  </w:r>
                </w:p>
              </w:tc>
              <w:tc>
                <w:tcPr>
                  <w:tcW w:w="4214" w:type="dxa"/>
                  <w:noWrap w:val="0"/>
                  <w:vAlign w:val="center"/>
                </w:tcPr>
                <w:p>
                  <w:pPr>
                    <w:pStyle w:val="126"/>
                    <w:jc w:val="both"/>
                    <w:rPr>
                      <w:color w:val="000000"/>
                    </w:rPr>
                  </w:pPr>
                  <w:r>
                    <w:rPr>
                      <w:rFonts w:ascii="Times New Roman" w:hAnsi="Times New Roman"/>
                      <w:color w:val="000000"/>
                    </w:rPr>
                    <w:t>项目存在水污染、富营养化或外来物种入侵等环境风险的，提出了针对性风险防范措施和环境应急预案编制、与地方人民政府及其相关部门和受影响单位建立应急联动机制的要求。</w:t>
                  </w:r>
                </w:p>
              </w:tc>
              <w:tc>
                <w:tcPr>
                  <w:tcW w:w="2462" w:type="dxa"/>
                  <w:noWrap w:val="0"/>
                  <w:vAlign w:val="center"/>
                </w:tcPr>
                <w:p>
                  <w:pPr>
                    <w:pStyle w:val="126"/>
                    <w:jc w:val="both"/>
                    <w:rPr>
                      <w:color w:val="000000"/>
                    </w:rPr>
                  </w:pPr>
                  <w:r>
                    <w:rPr>
                      <w:rFonts w:hint="eastAsia" w:ascii="Times New Roman" w:hAnsi="Times New Roman"/>
                      <w:color w:val="000000"/>
                    </w:rPr>
                    <w:t>风险分析</w:t>
                  </w:r>
                  <w:r>
                    <w:rPr>
                      <w:rFonts w:ascii="Times New Roman" w:hAnsi="Times New Roman"/>
                      <w:color w:val="000000"/>
                    </w:rPr>
                    <w:t>章节分别提出了应针对性风险防范措施和环境应急预案编制，并与地方人民政府及其相关部门和受影响单位建立应急联动机制。</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70" w:hRule="atLeast"/>
                <w:jc w:val="center"/>
              </w:trPr>
              <w:tc>
                <w:tcPr>
                  <w:tcW w:w="458" w:type="dxa"/>
                  <w:noWrap w:val="0"/>
                  <w:vAlign w:val="center"/>
                </w:tcPr>
                <w:p>
                  <w:pPr>
                    <w:pStyle w:val="126"/>
                    <w:rPr>
                      <w:color w:val="000000"/>
                    </w:rPr>
                  </w:pPr>
                  <w:r>
                    <w:rPr>
                      <w:rFonts w:ascii="Times New Roman" w:hAnsi="Times New Roman"/>
                      <w:color w:val="000000"/>
                    </w:rPr>
                    <w:t>10</w:t>
                  </w:r>
                </w:p>
              </w:tc>
              <w:tc>
                <w:tcPr>
                  <w:tcW w:w="4214" w:type="dxa"/>
                  <w:noWrap w:val="0"/>
                  <w:vAlign w:val="center"/>
                </w:tcPr>
                <w:p>
                  <w:pPr>
                    <w:pStyle w:val="126"/>
                    <w:jc w:val="both"/>
                    <w:rPr>
                      <w:color w:val="000000"/>
                    </w:rPr>
                  </w:pPr>
                  <w:r>
                    <w:rPr>
                      <w:rFonts w:ascii="Times New Roman" w:hAnsi="Times New Roman"/>
                      <w:color w:val="000000"/>
                    </w:rPr>
                    <w:t>按相关导则及规定要求，制定了水环境、生态、土壤、大气、噪声等环境监测计划，明确了监测网点、因子、频次等有关要求，提出了根据监测评估结果开展环境影响后评价或优化环境保护措施的要求。根据需要和相关规定，提出了环境保护设计、环境监理、开展科学研究等环境管理要求和相关保障措施。</w:t>
                  </w:r>
                </w:p>
              </w:tc>
              <w:tc>
                <w:tcPr>
                  <w:tcW w:w="2462" w:type="dxa"/>
                  <w:noWrap w:val="0"/>
                  <w:vAlign w:val="center"/>
                </w:tcPr>
                <w:p>
                  <w:pPr>
                    <w:pStyle w:val="126"/>
                    <w:jc w:val="both"/>
                    <w:rPr>
                      <w:color w:val="000000"/>
                    </w:rPr>
                  </w:pPr>
                  <w:r>
                    <w:rPr>
                      <w:rFonts w:hint="eastAsia" w:ascii="Times New Roman" w:hAnsi="Times New Roman"/>
                      <w:color w:val="000000"/>
                    </w:rPr>
                    <w:t>按照相关导则、技术规范、指南要求制定了</w:t>
                  </w:r>
                  <w:r>
                    <w:rPr>
                      <w:rFonts w:ascii="Times New Roman" w:hAnsi="Times New Roman"/>
                      <w:color w:val="000000"/>
                    </w:rPr>
                    <w:t>水环境、生态、土壤、大气、噪声等环境监测计划，提出了环境监理、环境管理等相关要求。</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458" w:type="dxa"/>
                  <w:noWrap w:val="0"/>
                  <w:vAlign w:val="center"/>
                </w:tcPr>
                <w:p>
                  <w:pPr>
                    <w:pStyle w:val="126"/>
                    <w:rPr>
                      <w:color w:val="000000"/>
                    </w:rPr>
                  </w:pPr>
                  <w:r>
                    <w:rPr>
                      <w:rFonts w:ascii="Times New Roman" w:hAnsi="Times New Roman"/>
                      <w:color w:val="000000"/>
                    </w:rPr>
                    <w:t>11</w:t>
                  </w:r>
                </w:p>
              </w:tc>
              <w:tc>
                <w:tcPr>
                  <w:tcW w:w="4214" w:type="dxa"/>
                  <w:noWrap w:val="0"/>
                  <w:vAlign w:val="center"/>
                </w:tcPr>
                <w:p>
                  <w:pPr>
                    <w:pStyle w:val="126"/>
                    <w:jc w:val="both"/>
                    <w:rPr>
                      <w:color w:val="000000"/>
                    </w:rPr>
                  </w:pPr>
                  <w:r>
                    <w:rPr>
                      <w:rFonts w:ascii="Times New Roman" w:hAnsi="Times New Roman"/>
                      <w:color w:val="000000"/>
                    </w:rPr>
                    <w:t>对环境保护措施进行了深入论证，具有明确的责任主体、投资、时间节点和预期效果等，确保科学有效、安全可行、绿色协调。</w:t>
                  </w:r>
                </w:p>
              </w:tc>
              <w:tc>
                <w:tcPr>
                  <w:tcW w:w="2462" w:type="dxa"/>
                  <w:noWrap w:val="0"/>
                  <w:vAlign w:val="center"/>
                </w:tcPr>
                <w:p>
                  <w:pPr>
                    <w:pStyle w:val="126"/>
                    <w:jc w:val="both"/>
                    <w:rPr>
                      <w:color w:val="000000"/>
                    </w:rPr>
                  </w:pPr>
                  <w:r>
                    <w:rPr>
                      <w:rFonts w:hint="eastAsia" w:ascii="Times New Roman" w:hAnsi="Times New Roman"/>
                      <w:color w:val="000000"/>
                    </w:rPr>
                    <w:t>报告</w:t>
                  </w:r>
                  <w:r>
                    <w:rPr>
                      <w:rFonts w:ascii="Times New Roman" w:hAnsi="Times New Roman"/>
                      <w:color w:val="000000"/>
                    </w:rPr>
                    <w:t>对环境保护措施开展了论证，明确了环境保护投资、时间节点和预期效果。</w:t>
                  </w:r>
                </w:p>
              </w:tc>
              <w:tc>
                <w:tcPr>
                  <w:tcW w:w="721" w:type="dxa"/>
                  <w:noWrap w:val="0"/>
                  <w:vAlign w:val="center"/>
                </w:tcPr>
                <w:p>
                  <w:pPr>
                    <w:pStyle w:val="126"/>
                    <w:rPr>
                      <w:color w:val="000000"/>
                    </w:rPr>
                  </w:pPr>
                  <w:r>
                    <w:rPr>
                      <w:rFonts w:ascii="Times New Roman" w:hAnsi="Times New Roman"/>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458" w:type="dxa"/>
                  <w:noWrap w:val="0"/>
                  <w:vAlign w:val="center"/>
                </w:tcPr>
                <w:p>
                  <w:pPr>
                    <w:pStyle w:val="126"/>
                    <w:rPr>
                      <w:color w:val="000000"/>
                    </w:rPr>
                  </w:pPr>
                  <w:r>
                    <w:rPr>
                      <w:rFonts w:ascii="Times New Roman" w:hAnsi="Times New Roman"/>
                      <w:color w:val="000000"/>
                    </w:rPr>
                    <w:t>12</w:t>
                  </w:r>
                </w:p>
              </w:tc>
              <w:tc>
                <w:tcPr>
                  <w:tcW w:w="4214" w:type="dxa"/>
                  <w:noWrap w:val="0"/>
                  <w:vAlign w:val="center"/>
                </w:tcPr>
                <w:p>
                  <w:pPr>
                    <w:pStyle w:val="126"/>
                    <w:jc w:val="both"/>
                    <w:rPr>
                      <w:color w:val="000000"/>
                    </w:rPr>
                  </w:pPr>
                  <w:r>
                    <w:rPr>
                      <w:rFonts w:ascii="Times New Roman" w:hAnsi="Times New Roman"/>
                      <w:color w:val="000000"/>
                    </w:rPr>
                    <w:t>按相关规定开展了信息公开和公众参与。</w:t>
                  </w:r>
                </w:p>
              </w:tc>
              <w:tc>
                <w:tcPr>
                  <w:tcW w:w="2462" w:type="dxa"/>
                  <w:noWrap w:val="0"/>
                  <w:vAlign w:val="center"/>
                </w:tcPr>
                <w:p>
                  <w:pPr>
                    <w:pStyle w:val="126"/>
                    <w:jc w:val="both"/>
                    <w:rPr>
                      <w:color w:val="000000"/>
                    </w:rPr>
                  </w:pPr>
                  <w:r>
                    <w:rPr>
                      <w:rFonts w:hint="eastAsia" w:ascii="Times New Roman" w:hAnsi="Times New Roman"/>
                      <w:color w:val="000000"/>
                    </w:rPr>
                    <w:t>本项目属于报告表编制，可不进行公众参与</w:t>
                  </w:r>
                </w:p>
              </w:tc>
              <w:tc>
                <w:tcPr>
                  <w:tcW w:w="721" w:type="dxa"/>
                  <w:noWrap w:val="0"/>
                  <w:vAlign w:val="center"/>
                </w:tcPr>
                <w:p>
                  <w:pPr>
                    <w:pStyle w:val="126"/>
                    <w:rPr>
                      <w:color w:val="000000"/>
                    </w:rPr>
                  </w:pPr>
                  <w:r>
                    <w:rPr>
                      <w:rFonts w:ascii="Times New Roman" w:hAnsi="Times New Roman"/>
                      <w:color w:val="000000"/>
                    </w:rPr>
                    <w:t>符合</w:t>
                  </w:r>
                </w:p>
              </w:tc>
            </w:tr>
          </w:tbl>
          <w:p>
            <w:pPr>
              <w:pStyle w:val="149"/>
              <w:ind w:firstLine="0" w:firstLineChars="0"/>
              <w:jc w:val="both"/>
              <w:rPr>
                <w:rFonts w:ascii="Times New Roman" w:hAnsi="Times New Roman"/>
                <w:b/>
                <w:bCs w:val="0"/>
                <w:color w:val="000000"/>
                <w:kern w:val="0"/>
              </w:rPr>
            </w:pPr>
            <w:r>
              <w:rPr>
                <w:rFonts w:hint="eastAsia" w:ascii="Times New Roman" w:hAnsi="Times New Roman"/>
                <w:b/>
                <w:bCs w:val="0"/>
                <w:color w:val="000000"/>
                <w:kern w:val="0"/>
                <w:lang w:val="en-US" w:eastAsia="zh-CN"/>
              </w:rPr>
              <w:t>8</w:t>
            </w:r>
            <w:r>
              <w:rPr>
                <w:rFonts w:hint="eastAsia" w:ascii="Times New Roman" w:hAnsi="Times New Roman"/>
                <w:b/>
                <w:bCs w:val="0"/>
                <w:color w:val="000000"/>
                <w:kern w:val="0"/>
              </w:rPr>
              <w:t>、</w:t>
            </w:r>
            <w:bookmarkStart w:id="17" w:name="_Toc27965"/>
            <w:bookmarkStart w:id="18" w:name="_Toc454094094"/>
            <w:bookmarkStart w:id="19" w:name="_Toc31801"/>
            <w:bookmarkStart w:id="20" w:name="_Toc20715"/>
            <w:bookmarkStart w:id="21" w:name="_Toc6255"/>
            <w:bookmarkStart w:id="22" w:name="_Toc25018"/>
            <w:r>
              <w:rPr>
                <w:rFonts w:ascii="Times New Roman" w:hAnsi="Times New Roman"/>
                <w:b/>
                <w:bCs w:val="0"/>
                <w:color w:val="000000"/>
                <w:kern w:val="0"/>
              </w:rPr>
              <w:t>与引调水工程</w:t>
            </w:r>
            <w:r>
              <w:rPr>
                <w:rFonts w:hint="eastAsia" w:ascii="Times New Roman" w:hAnsi="Times New Roman"/>
                <w:b/>
                <w:bCs w:val="0"/>
                <w:color w:val="000000"/>
                <w:kern w:val="0"/>
              </w:rPr>
              <w:t>“</w:t>
            </w:r>
            <w:r>
              <w:rPr>
                <w:rFonts w:ascii="Times New Roman" w:hAnsi="Times New Roman"/>
                <w:b/>
                <w:bCs w:val="0"/>
                <w:color w:val="000000"/>
                <w:kern w:val="0"/>
              </w:rPr>
              <w:t>三先三后</w:t>
            </w:r>
            <w:r>
              <w:rPr>
                <w:rFonts w:hint="eastAsia" w:ascii="Times New Roman" w:hAnsi="Times New Roman"/>
                <w:b/>
                <w:bCs w:val="0"/>
                <w:color w:val="000000"/>
                <w:kern w:val="0"/>
              </w:rPr>
              <w:t>”</w:t>
            </w:r>
            <w:r>
              <w:rPr>
                <w:rFonts w:ascii="Times New Roman" w:hAnsi="Times New Roman"/>
                <w:b/>
                <w:bCs w:val="0"/>
                <w:color w:val="000000"/>
                <w:kern w:val="0"/>
              </w:rPr>
              <w:t>原则符合性分析</w:t>
            </w:r>
            <w:bookmarkEnd w:id="17"/>
            <w:bookmarkEnd w:id="18"/>
            <w:bookmarkEnd w:id="19"/>
            <w:bookmarkEnd w:id="20"/>
            <w:bookmarkEnd w:id="21"/>
            <w:bookmarkEnd w:id="22"/>
          </w:p>
          <w:p>
            <w:pPr>
              <w:pStyle w:val="223"/>
              <w:bidi w:val="0"/>
            </w:pPr>
            <w:r>
              <w:rPr>
                <w:rFonts w:hint="eastAsia"/>
              </w:rPr>
              <w:t>因本项目需新建青白渠，将高中水库水通过管道引出，进行农田灌溉，最终该渠道末端接入磨池河。新建青白渠</w:t>
            </w:r>
            <w:r>
              <w:t>在前期规划设计工作中，全面贯彻落实引调水工程</w:t>
            </w:r>
            <w:r>
              <w:rPr>
                <w:rFonts w:hint="eastAsia"/>
              </w:rPr>
              <w:t>“</w:t>
            </w:r>
            <w:r>
              <w:t>先节水后调水，先治污后通水，先环保后用水</w:t>
            </w:r>
            <w:r>
              <w:rPr>
                <w:rFonts w:hint="eastAsia"/>
              </w:rPr>
              <w:t>”</w:t>
            </w:r>
            <w:r>
              <w:t>的原则和最严格水资源管理制度，统筹考虑工程引水与节水、治污、生态环境保护的关系。</w:t>
            </w:r>
          </w:p>
          <w:p>
            <w:pPr>
              <w:pStyle w:val="223"/>
              <w:bidi w:val="0"/>
            </w:pPr>
            <w:r>
              <w:rPr>
                <w:rFonts w:hint="eastAsia"/>
              </w:rPr>
              <w:t>①</w:t>
            </w:r>
            <w:r>
              <w:t>遵循</w:t>
            </w:r>
            <w:r>
              <w:rPr>
                <w:rFonts w:hint="eastAsia"/>
              </w:rPr>
              <w:t>“</w:t>
            </w:r>
            <w:r>
              <w:t>先节水后调水</w:t>
            </w:r>
            <w:r>
              <w:rPr>
                <w:rFonts w:hint="eastAsia"/>
              </w:rPr>
              <w:t>”</w:t>
            </w:r>
            <w:r>
              <w:t>原则</w:t>
            </w:r>
          </w:p>
          <w:p>
            <w:pPr>
              <w:pStyle w:val="223"/>
              <w:bidi w:val="0"/>
              <w:jc w:val="both"/>
              <w:rPr>
                <w:rFonts w:hint="eastAsia"/>
              </w:rPr>
            </w:pPr>
            <w:r>
              <w:rPr>
                <w:rFonts w:hint="eastAsia"/>
              </w:rPr>
              <w:t>本工程包括新建青白渠和对已有灌区渠道及建筑物整治两部分：其中新建青白渠管道总长12.8km，放水设施1座（青白渠进水闸），隧洞1座长180m，分水洞10处，交通便道3.0km；另外整治右干渠桩号14+802-16+605段明渠总长1.803km，节制闸1座，分水闸1座，泄洪闸3座，机耕桥4座，人行桥17座，山溪接水1处，分水洞4座，人行梯步2处；左干渠整治分水闸3座，泄洪闸8座</w:t>
            </w:r>
            <w:r>
              <w:t>，</w:t>
            </w:r>
            <w:r>
              <w:rPr>
                <w:rFonts w:hint="eastAsia"/>
              </w:rPr>
              <w:t>九龙干渠整治分水闸1座，泄洪闸2座，节制闸1座。</w:t>
            </w:r>
          </w:p>
          <w:p>
            <w:pPr>
              <w:pStyle w:val="223"/>
              <w:bidi w:val="0"/>
              <w:jc w:val="both"/>
            </w:pPr>
            <w:r>
              <w:rPr>
                <w:rFonts w:hint="eastAsia"/>
              </w:rPr>
              <w:t>项目对已有渠道进行整治后，</w:t>
            </w:r>
            <w:r>
              <w:t>水资源利用效率和效益明显提高，</w:t>
            </w:r>
            <w:r>
              <w:rPr>
                <w:rFonts w:hint="eastAsia"/>
              </w:rPr>
              <w:t>且新建调水区域目前无灌溉水资源，急需修建灌溉渠道满足周边农业用水需求，因此，项目的建设</w:t>
            </w:r>
            <w:r>
              <w:t>符合</w:t>
            </w:r>
            <w:r>
              <w:rPr>
                <w:rFonts w:hint="eastAsia"/>
              </w:rPr>
              <w:t>“</w:t>
            </w:r>
            <w:r>
              <w:t>先节水后调水</w:t>
            </w:r>
            <w:r>
              <w:rPr>
                <w:rFonts w:hint="eastAsia"/>
              </w:rPr>
              <w:t>”</w:t>
            </w:r>
            <w:r>
              <w:t>原则要求。</w:t>
            </w:r>
          </w:p>
          <w:p>
            <w:pPr>
              <w:pStyle w:val="223"/>
              <w:bidi w:val="0"/>
            </w:pPr>
            <w:r>
              <w:rPr>
                <w:rFonts w:hint="eastAsia"/>
              </w:rPr>
              <w:t>②</w:t>
            </w:r>
            <w:r>
              <w:t>遵循</w:t>
            </w:r>
            <w:r>
              <w:rPr>
                <w:rFonts w:hint="eastAsia"/>
              </w:rPr>
              <w:t>“</w:t>
            </w:r>
            <w:r>
              <w:t>先治污后通水</w:t>
            </w:r>
            <w:r>
              <w:rPr>
                <w:rFonts w:hint="eastAsia"/>
              </w:rPr>
              <w:t>”</w:t>
            </w:r>
            <w:r>
              <w:t>原则</w:t>
            </w:r>
          </w:p>
          <w:p>
            <w:pPr>
              <w:pStyle w:val="223"/>
              <w:bidi w:val="0"/>
            </w:pPr>
            <w:r>
              <w:rPr>
                <w:rFonts w:hint="eastAsia"/>
              </w:rPr>
              <w:t>本项目的建设主要是为了解决市中区农业灌溉用水问题，青白渠的修建和右干渠的整治，都是为了满足市中区周边乡镇农业灌溉，项目新建渠道水最终流入磨池河，新建的青白渠全部为管道输送，不存在农田退水入渠，且高中水库水质常年Ⅲ类，优于磨池河水质Ⅵ类水质，项目建设，不会对受水区水质产生明显明显。</w:t>
            </w:r>
            <w:r>
              <w:t>综上，工程符合</w:t>
            </w:r>
            <w:r>
              <w:rPr>
                <w:rFonts w:hint="eastAsia"/>
              </w:rPr>
              <w:t>“</w:t>
            </w:r>
            <w:r>
              <w:t>先治污后通水</w:t>
            </w:r>
            <w:r>
              <w:rPr>
                <w:rFonts w:hint="eastAsia"/>
              </w:rPr>
              <w:t>”</w:t>
            </w:r>
            <w:r>
              <w:t>原则要求。</w:t>
            </w:r>
          </w:p>
          <w:p>
            <w:pPr>
              <w:pStyle w:val="223"/>
              <w:bidi w:val="0"/>
            </w:pPr>
            <w:r>
              <w:rPr>
                <w:rFonts w:hint="eastAsia"/>
              </w:rPr>
              <w:t>③</w:t>
            </w:r>
            <w:r>
              <w:t>遵循</w:t>
            </w:r>
            <w:r>
              <w:rPr>
                <w:rFonts w:hint="eastAsia"/>
              </w:rPr>
              <w:t>“</w:t>
            </w:r>
            <w:r>
              <w:t>先环保后用水</w:t>
            </w:r>
            <w:r>
              <w:rPr>
                <w:rFonts w:hint="eastAsia"/>
              </w:rPr>
              <w:t>”</w:t>
            </w:r>
            <w:r>
              <w:t>原则</w:t>
            </w:r>
          </w:p>
          <w:p>
            <w:pPr>
              <w:pStyle w:val="223"/>
              <w:bidi w:val="0"/>
            </w:pPr>
            <w:r>
              <w:rPr>
                <w:rFonts w:hint="eastAsia"/>
              </w:rPr>
              <w:t>根据调查，本项目取水点高中水库无珍稀保护动植物，高中水库的主要功能为灌溉，</w:t>
            </w:r>
            <w:r>
              <w:t>工程</w:t>
            </w:r>
            <w:r>
              <w:rPr>
                <w:rFonts w:hint="eastAsia"/>
              </w:rPr>
              <w:t>采用</w:t>
            </w:r>
            <w:r>
              <w:rPr>
                <w:rFonts w:hint="eastAsia"/>
                <w:lang w:eastAsia="zh-CN"/>
              </w:rPr>
              <w:t>取水闸</w:t>
            </w:r>
            <w:r>
              <w:rPr>
                <w:rFonts w:hint="eastAsia"/>
              </w:rPr>
              <w:t>取水，不会对高中水库</w:t>
            </w:r>
            <w:r>
              <w:t>鱼类资源产生损失</w:t>
            </w:r>
            <w:r>
              <w:rPr>
                <w:rFonts w:hint="eastAsia"/>
              </w:rPr>
              <w:t>，</w:t>
            </w:r>
            <w:r>
              <w:t>工程针对各种施工活动制定了相应的减缓措施，工程建设对环境的不利影响可以得到有效减缓。因此，</w:t>
            </w:r>
            <w:r>
              <w:rPr>
                <w:rFonts w:hint="eastAsia"/>
              </w:rPr>
              <w:t>本工程</w:t>
            </w:r>
            <w:r>
              <w:t>符合</w:t>
            </w:r>
            <w:r>
              <w:rPr>
                <w:rFonts w:hint="eastAsia"/>
              </w:rPr>
              <w:t>“</w:t>
            </w:r>
            <w:r>
              <w:t>先环保后用水</w:t>
            </w:r>
            <w:r>
              <w:rPr>
                <w:rFonts w:hint="eastAsia"/>
              </w:rPr>
              <w:t>”</w:t>
            </w:r>
            <w:r>
              <w:t>原则。</w:t>
            </w:r>
          </w:p>
          <w:p>
            <w:pPr>
              <w:pStyle w:val="223"/>
              <w:bidi w:val="0"/>
              <w:rPr>
                <w:rFonts w:hint="eastAsia"/>
              </w:rPr>
            </w:pPr>
            <w:r>
              <w:t>综上，工程符合引调水工程</w:t>
            </w:r>
            <w:r>
              <w:rPr>
                <w:rFonts w:hint="eastAsia"/>
              </w:rPr>
              <w:t>“</w:t>
            </w:r>
            <w:r>
              <w:t>三先三后</w:t>
            </w:r>
            <w:r>
              <w:rPr>
                <w:rFonts w:hint="eastAsia"/>
              </w:rPr>
              <w:t>”</w:t>
            </w:r>
            <w:r>
              <w:t>的原则要求。</w:t>
            </w:r>
          </w:p>
          <w:p>
            <w:pPr>
              <w:autoSpaceDE w:val="0"/>
              <w:autoSpaceDN w:val="0"/>
              <w:adjustRightInd w:val="0"/>
              <w:snapToGrid w:val="0"/>
              <w:spacing w:line="360" w:lineRule="auto"/>
              <w:rPr>
                <w:rFonts w:hint="eastAsia"/>
                <w:b/>
                <w:color w:val="000000"/>
                <w:sz w:val="24"/>
              </w:rPr>
            </w:pPr>
            <w:r>
              <w:rPr>
                <w:rFonts w:hint="eastAsia"/>
                <w:b/>
                <w:color w:val="000000"/>
                <w:sz w:val="24"/>
                <w:lang w:val="en-US" w:eastAsia="zh-CN"/>
              </w:rPr>
              <w:t>9</w:t>
            </w:r>
            <w:r>
              <w:rPr>
                <w:rFonts w:hint="eastAsia"/>
                <w:b/>
                <w:color w:val="000000"/>
                <w:sz w:val="24"/>
              </w:rPr>
              <w:t>、项目与《乐山市人民政府关于落实生态保护红线、环境质量底线、资源利用上线制定生态环境准入清单实施生态环境分区管控的通知》符合性分析</w:t>
            </w:r>
          </w:p>
          <w:p>
            <w:pPr>
              <w:pStyle w:val="149"/>
              <w:ind w:firstLine="480"/>
              <w:jc w:val="both"/>
              <w:rPr>
                <w:rFonts w:hint="eastAsia" w:ascii="Times New Roman" w:hAnsi="Times New Roman"/>
                <w:bCs w:val="0"/>
                <w:kern w:val="0"/>
              </w:rPr>
            </w:pPr>
            <w:r>
              <w:rPr>
                <w:rFonts w:hint="eastAsia" w:ascii="Times New Roman" w:hAnsi="Times New Roman"/>
                <w:bCs w:val="0"/>
                <w:kern w:val="0"/>
              </w:rPr>
              <w:t>（1）三线一单查询</w:t>
            </w:r>
          </w:p>
          <w:p>
            <w:pPr>
              <w:pStyle w:val="149"/>
              <w:ind w:firstLine="480"/>
              <w:jc w:val="both"/>
              <w:rPr>
                <w:rStyle w:val="45"/>
                <w:rFonts w:ascii="Times New Roman" w:hAnsi="Times New Roman"/>
                <w:bCs w:val="0"/>
                <w:kern w:val="0"/>
              </w:rPr>
            </w:pPr>
            <w:r>
              <w:rPr>
                <w:rFonts w:ascii="Times New Roman" w:hAnsi="Times New Roman"/>
                <w:bCs w:val="0"/>
                <w:kern w:val="0"/>
              </w:rPr>
              <w:t>乐山市人民政府于2021年6月7日发布了《关于落实生态保护红线、环境质量底线、资源利用上线制定生态环境准入清单实施生态环境分区管控的通知》（乐府发[2021]7号），本项目</w:t>
            </w:r>
            <w:r>
              <w:rPr>
                <w:rFonts w:hint="eastAsia" w:ascii="Times New Roman" w:hAnsi="Times New Roman"/>
                <w:bCs w:val="0"/>
                <w:kern w:val="0"/>
              </w:rPr>
              <w:t>主要</w:t>
            </w:r>
            <w:r>
              <w:rPr>
                <w:rFonts w:ascii="Times New Roman" w:hAnsi="Times New Roman"/>
                <w:bCs w:val="0"/>
                <w:kern w:val="0"/>
              </w:rPr>
              <w:t>位于</w:t>
            </w:r>
            <w:r>
              <w:rPr>
                <w:rFonts w:hint="eastAsia" w:ascii="Times New Roman" w:hAnsi="Times New Roman"/>
                <w:bCs w:val="0"/>
                <w:kern w:val="0"/>
              </w:rPr>
              <w:t>乐山市市中区</w:t>
            </w:r>
            <w:r>
              <w:rPr>
                <w:rFonts w:ascii="Times New Roman" w:hAnsi="Times New Roman"/>
                <w:bCs w:val="0"/>
                <w:kern w:val="0"/>
              </w:rPr>
              <w:t>，</w:t>
            </w:r>
            <w:r>
              <w:rPr>
                <w:rFonts w:hint="eastAsia" w:ascii="Times New Roman" w:hAnsi="Times New Roman"/>
                <w:bCs w:val="0"/>
                <w:kern w:val="0"/>
              </w:rPr>
              <w:t>青白渠终点段部分位于井研县，</w:t>
            </w:r>
            <w:r>
              <w:rPr>
                <w:rFonts w:ascii="Times New Roman" w:hAnsi="Times New Roman"/>
                <w:bCs w:val="0"/>
                <w:kern w:val="0"/>
              </w:rPr>
              <w:t>根据在四川政务服务网（网址：</w:t>
            </w:r>
            <w:r>
              <w:rPr>
                <w:rFonts w:ascii="Times New Roman" w:hAnsi="Times New Roman"/>
                <w:bCs w:val="0"/>
                <w:kern w:val="0"/>
              </w:rPr>
              <w:fldChar w:fldCharType="begin"/>
            </w:r>
            <w:r>
              <w:rPr>
                <w:rFonts w:ascii="Times New Roman" w:hAnsi="Times New Roman"/>
                <w:bCs w:val="0"/>
                <w:kern w:val="0"/>
              </w:rPr>
              <w:instrText xml:space="preserve"> HYPERLINK "https://tftb.sczwfw.gov.cn:8085/hos-server/pub/jmas/jmasbucket/jmopen_files/webapp/html5/sxydctfx/index.html?areaCode=510000000000）查询结果。" </w:instrText>
            </w:r>
            <w:r>
              <w:rPr>
                <w:rFonts w:ascii="Times New Roman" w:hAnsi="Times New Roman"/>
                <w:bCs w:val="0"/>
                <w:kern w:val="0"/>
              </w:rPr>
              <w:fldChar w:fldCharType="separate"/>
            </w:r>
            <w:r>
              <w:rPr>
                <w:rStyle w:val="45"/>
                <w:rFonts w:ascii="Times New Roman" w:hAnsi="Times New Roman"/>
                <w:bCs w:val="0"/>
                <w:kern w:val="0"/>
              </w:rPr>
              <w:t>https://tftb.sczwfw.gov.cn:8085/h</w:t>
            </w:r>
          </w:p>
          <w:p>
            <w:pPr>
              <w:pStyle w:val="149"/>
              <w:ind w:firstLine="0" w:firstLineChars="0"/>
              <w:jc w:val="both"/>
              <w:rPr>
                <w:rFonts w:ascii="Times New Roman" w:hAnsi="Times New Roman"/>
                <w:bCs w:val="0"/>
                <w:kern w:val="0"/>
              </w:rPr>
            </w:pPr>
            <w:r>
              <w:rPr>
                <w:rStyle w:val="45"/>
                <w:rFonts w:ascii="Times New Roman" w:hAnsi="Times New Roman"/>
                <w:bCs w:val="0"/>
                <w:kern w:val="0"/>
              </w:rPr>
              <w:t>os-server/pub/jmas/jmasbucket/jmopen_files/webapp/html5/sxydctfx/index.html?areaCode=510000000000）查询结果</w:t>
            </w:r>
            <w:r>
              <w:rPr>
                <w:rStyle w:val="45"/>
                <w:rFonts w:hint="eastAsia" w:ascii="Times New Roman" w:hAnsi="Times New Roman"/>
                <w:bCs w:val="0"/>
                <w:kern w:val="0"/>
              </w:rPr>
              <w:t>。</w:t>
            </w:r>
            <w:r>
              <w:rPr>
                <w:rFonts w:ascii="Times New Roman" w:hAnsi="Times New Roman"/>
                <w:bCs w:val="0"/>
                <w:kern w:val="0"/>
              </w:rPr>
              <w:fldChar w:fldCharType="end"/>
            </w:r>
            <w:r>
              <w:rPr>
                <w:rFonts w:hint="eastAsia" w:ascii="Times New Roman" w:hAnsi="Times New Roman"/>
                <w:bCs w:val="0"/>
                <w:kern w:val="0"/>
              </w:rPr>
              <w:t>本项目新建青白渠渠道起点</w:t>
            </w:r>
            <w:r>
              <w:rPr>
                <w:rFonts w:hint="eastAsia" w:ascii="Times New Roman" w:hAnsi="Times New Roman"/>
                <w:bCs w:val="0"/>
                <w:kern w:val="0"/>
                <w:lang w:eastAsia="zh-CN"/>
              </w:rPr>
              <w:t>（高中水库棉洞冲）</w:t>
            </w:r>
            <w:r>
              <w:rPr>
                <w:rFonts w:hint="eastAsia" w:ascii="Times New Roman" w:hAnsi="Times New Roman"/>
                <w:bCs w:val="0"/>
                <w:kern w:val="0"/>
              </w:rPr>
              <w:t>至</w:t>
            </w:r>
            <w:r>
              <w:rPr>
                <w:rFonts w:hint="eastAsia" w:ascii="Times New Roman" w:hAnsi="Times New Roman"/>
                <w:bCs w:val="0"/>
                <w:kern w:val="0"/>
                <w:lang w:eastAsia="zh-CN"/>
              </w:rPr>
              <w:t>终点（</w:t>
            </w:r>
            <w:r>
              <w:rPr>
                <w:rFonts w:hint="eastAsia" w:ascii="Times New Roman" w:hAnsi="Times New Roman"/>
                <w:bCs w:val="0"/>
                <w:kern w:val="0"/>
              </w:rPr>
              <w:t>井研县与市中区交界处</w:t>
            </w:r>
            <w:r>
              <w:rPr>
                <w:rFonts w:hint="eastAsia" w:ascii="Times New Roman" w:hAnsi="Times New Roman"/>
                <w:bCs w:val="0"/>
                <w:kern w:val="0"/>
                <w:lang w:eastAsia="zh-CN"/>
              </w:rPr>
              <w:t>）</w:t>
            </w:r>
            <w:r>
              <w:rPr>
                <w:rFonts w:hint="eastAsia" w:ascii="Times New Roman" w:hAnsi="Times New Roman"/>
                <w:bCs w:val="0"/>
                <w:kern w:val="0"/>
              </w:rPr>
              <w:t>和右干渠整治段环境综合管控单元属于要素重点管控单元、水环境分区属于水环境农业污染重点管控区、大气环境分区属于大气环境布局敏感重点管控区。具体见下表：</w:t>
            </w:r>
          </w:p>
          <w:p>
            <w:pPr>
              <w:pStyle w:val="149"/>
              <w:ind w:firstLine="0" w:firstLineChars="0"/>
              <w:jc w:val="center"/>
              <w:rPr>
                <w:rFonts w:hint="eastAsia" w:ascii="Times New Roman" w:hAnsi="Times New Roman"/>
                <w:bCs w:val="0"/>
                <w:kern w:val="0"/>
              </w:rPr>
            </w:pPr>
            <w:r>
              <w:rPr>
                <w:rFonts w:hint="eastAsia" w:ascii="Times New Roman" w:hAnsi="Times New Roman"/>
                <w:bCs/>
                <w:kern w:val="0"/>
              </w:rPr>
              <w:drawing>
                <wp:inline distT="0" distB="0" distL="114300" distR="114300">
                  <wp:extent cx="4319905" cy="3444240"/>
                  <wp:effectExtent l="0" t="0" r="4445" b="3810"/>
                  <wp:docPr id="204" name="图片 15" descr="青白渠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5" descr="青白渠起"/>
                          <pic:cNvPicPr>
                            <a:picLocks noChangeAspect="1"/>
                          </pic:cNvPicPr>
                        </pic:nvPicPr>
                        <pic:blipFill>
                          <a:blip r:embed="rId30"/>
                          <a:srcRect l="6248" r="8522" b="10481"/>
                          <a:stretch>
                            <a:fillRect/>
                          </a:stretch>
                        </pic:blipFill>
                        <pic:spPr>
                          <a:xfrm>
                            <a:off x="0" y="0"/>
                            <a:ext cx="4319905" cy="3444240"/>
                          </a:xfrm>
                          <a:prstGeom prst="rect">
                            <a:avLst/>
                          </a:prstGeom>
                          <a:noFill/>
                          <a:ln>
                            <a:noFill/>
                          </a:ln>
                        </pic:spPr>
                      </pic:pic>
                    </a:graphicData>
                  </a:graphic>
                </wp:inline>
              </w:drawing>
            </w:r>
          </w:p>
          <w:p>
            <w:pPr>
              <w:pStyle w:val="149"/>
              <w:ind w:firstLine="0" w:firstLineChars="0"/>
              <w:jc w:val="center"/>
              <w:rPr>
                <w:rFonts w:hint="eastAsia" w:ascii="Times New Roman" w:hAnsi="Times New Roman"/>
                <w:b/>
                <w:color w:val="000000"/>
                <w:kern w:val="0"/>
                <w:sz w:val="21"/>
                <w:szCs w:val="21"/>
              </w:rPr>
            </w:pPr>
            <w:r>
              <w:rPr>
                <w:rFonts w:hint="eastAsia" w:ascii="Times New Roman" w:hAnsi="Times New Roman"/>
                <w:b/>
                <w:color w:val="000000"/>
                <w:kern w:val="0"/>
                <w:sz w:val="21"/>
                <w:szCs w:val="21"/>
              </w:rPr>
              <w:t>图1-1  新建青白渠渠道三线一单查询结果</w:t>
            </w:r>
          </w:p>
          <w:p>
            <w:pPr>
              <w:pStyle w:val="149"/>
              <w:ind w:firstLine="0" w:firstLineChars="0"/>
              <w:jc w:val="center"/>
              <w:rPr>
                <w:rFonts w:hint="eastAsia" w:ascii="Times New Roman" w:hAnsi="Times New Roman"/>
                <w:b/>
                <w:color w:val="000000"/>
                <w:kern w:val="0"/>
                <w:sz w:val="21"/>
                <w:szCs w:val="21"/>
              </w:rPr>
            </w:pPr>
          </w:p>
          <w:p>
            <w:pPr>
              <w:pStyle w:val="149"/>
              <w:ind w:firstLine="0" w:firstLineChars="0"/>
              <w:jc w:val="center"/>
              <w:rPr>
                <w:rFonts w:ascii="Times New Roman" w:hAnsi="Times New Roman"/>
                <w:b/>
                <w:color w:val="000000"/>
                <w:kern w:val="0"/>
                <w:sz w:val="21"/>
                <w:szCs w:val="21"/>
              </w:rPr>
            </w:pPr>
            <w:r>
              <w:rPr>
                <w:rFonts w:ascii="Times New Roman" w:hAnsi="Times New Roman"/>
                <w:b/>
                <w:color w:val="000000"/>
                <w:kern w:val="0"/>
                <w:sz w:val="21"/>
                <w:szCs w:val="21"/>
              </w:rPr>
              <w:drawing>
                <wp:inline distT="0" distB="0" distL="114300" distR="114300">
                  <wp:extent cx="4319905" cy="3397885"/>
                  <wp:effectExtent l="0" t="0" r="4445" b="12065"/>
                  <wp:docPr id="203" name="图片 16" descr="整治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6" descr="整治渠"/>
                          <pic:cNvPicPr>
                            <a:picLocks noChangeAspect="1"/>
                          </pic:cNvPicPr>
                        </pic:nvPicPr>
                        <pic:blipFill>
                          <a:blip r:embed="rId31"/>
                          <a:srcRect l="7008" r="6819" b="10951"/>
                          <a:stretch>
                            <a:fillRect/>
                          </a:stretch>
                        </pic:blipFill>
                        <pic:spPr>
                          <a:xfrm>
                            <a:off x="0" y="0"/>
                            <a:ext cx="4319905" cy="3397885"/>
                          </a:xfrm>
                          <a:prstGeom prst="rect">
                            <a:avLst/>
                          </a:prstGeom>
                          <a:noFill/>
                          <a:ln>
                            <a:noFill/>
                          </a:ln>
                        </pic:spPr>
                      </pic:pic>
                    </a:graphicData>
                  </a:graphic>
                </wp:inline>
              </w:drawing>
            </w:r>
          </w:p>
          <w:p>
            <w:pPr>
              <w:pStyle w:val="149"/>
              <w:ind w:firstLine="0" w:firstLineChars="0"/>
              <w:jc w:val="center"/>
              <w:rPr>
                <w:rFonts w:hint="eastAsia" w:ascii="Times New Roman" w:hAnsi="Times New Roman"/>
                <w:b/>
                <w:color w:val="000000"/>
                <w:kern w:val="0"/>
                <w:sz w:val="21"/>
                <w:szCs w:val="21"/>
              </w:rPr>
            </w:pPr>
            <w:r>
              <w:rPr>
                <w:rFonts w:hint="eastAsia" w:ascii="Times New Roman" w:hAnsi="Times New Roman"/>
                <w:b/>
                <w:color w:val="000000"/>
                <w:kern w:val="0"/>
                <w:sz w:val="21"/>
                <w:szCs w:val="21"/>
              </w:rPr>
              <w:t>图1-2  右干渠整治段三线一单查询结果</w:t>
            </w:r>
          </w:p>
          <w:p>
            <w:pPr>
              <w:pStyle w:val="149"/>
              <w:ind w:firstLine="0" w:firstLineChars="0"/>
              <w:jc w:val="center"/>
              <w:rPr>
                <w:rFonts w:hint="eastAsia" w:ascii="Times New Roman" w:hAnsi="Times New Roman"/>
                <w:b/>
                <w:color w:val="000000"/>
                <w:kern w:val="0"/>
                <w:sz w:val="21"/>
                <w:szCs w:val="21"/>
              </w:rPr>
            </w:pPr>
          </w:p>
          <w:p>
            <w:pPr>
              <w:pStyle w:val="149"/>
              <w:ind w:firstLine="0" w:firstLineChars="0"/>
              <w:jc w:val="center"/>
              <w:rPr>
                <w:rFonts w:hint="eastAsia" w:ascii="Times New Roman" w:hAnsi="Times New Roman"/>
                <w:b/>
                <w:color w:val="000000"/>
                <w:kern w:val="0"/>
                <w:sz w:val="21"/>
                <w:szCs w:val="21"/>
              </w:rPr>
            </w:pPr>
          </w:p>
          <w:p>
            <w:pPr>
              <w:pStyle w:val="149"/>
              <w:ind w:firstLine="0" w:firstLineChars="0"/>
              <w:jc w:val="center"/>
              <w:rPr>
                <w:rFonts w:hint="eastAsia" w:ascii="Times New Roman" w:hAnsi="Times New Roman"/>
                <w:b/>
                <w:color w:val="000000"/>
                <w:kern w:val="0"/>
                <w:sz w:val="21"/>
                <w:szCs w:val="21"/>
              </w:rPr>
            </w:pPr>
          </w:p>
          <w:p>
            <w:pPr>
              <w:pStyle w:val="149"/>
              <w:ind w:firstLine="0" w:firstLineChars="0"/>
              <w:jc w:val="center"/>
              <w:rPr>
                <w:rFonts w:hint="eastAsia" w:ascii="Times New Roman" w:hAnsi="Times New Roman"/>
                <w:b/>
                <w:color w:val="000000"/>
                <w:kern w:val="0"/>
                <w:sz w:val="21"/>
                <w:szCs w:val="21"/>
              </w:rPr>
            </w:pPr>
            <w:r>
              <w:rPr>
                <w:rFonts w:hint="eastAsia" w:ascii="Times New Roman" w:hAnsi="Times New Roman"/>
                <w:b/>
                <w:color w:val="000000"/>
                <w:kern w:val="0"/>
                <w:sz w:val="21"/>
                <w:szCs w:val="21"/>
              </w:rPr>
              <w:t>表1-</w:t>
            </w:r>
            <w:r>
              <w:rPr>
                <w:rFonts w:hint="eastAsia" w:ascii="Times New Roman" w:hAnsi="Times New Roman"/>
                <w:b/>
                <w:color w:val="000000"/>
                <w:kern w:val="0"/>
                <w:sz w:val="21"/>
                <w:szCs w:val="21"/>
                <w:lang w:val="en-US" w:eastAsia="zh-CN"/>
              </w:rPr>
              <w:t>3</w:t>
            </w:r>
            <w:r>
              <w:rPr>
                <w:rFonts w:hint="eastAsia" w:ascii="Times New Roman" w:hAnsi="Times New Roman"/>
                <w:b/>
                <w:color w:val="000000"/>
                <w:kern w:val="0"/>
                <w:sz w:val="21"/>
                <w:szCs w:val="21"/>
              </w:rPr>
              <w:t xml:space="preserve">  新建青白渠渠道和右干渠整治段管控单元表</w:t>
            </w:r>
          </w:p>
          <w:tbl>
            <w:tblPr>
              <w:tblStyle w:val="39"/>
              <w:tblW w:w="7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1695"/>
              <w:gridCol w:w="915"/>
              <w:gridCol w:w="885"/>
              <w:gridCol w:w="1140"/>
              <w:gridCol w:w="2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094" w:type="dxa"/>
                  <w:noWrap w:val="0"/>
                  <w:vAlign w:val="center"/>
                </w:tcPr>
                <w:p>
                  <w:pPr>
                    <w:pStyle w:val="91"/>
                    <w:spacing w:before="24" w:after="24"/>
                    <w:ind w:left="0" w:leftChars="0" w:firstLine="0" w:firstLineChars="0"/>
                    <w:rPr>
                      <w:rFonts w:hint="eastAsia"/>
                      <w:b/>
                      <w:bCs/>
                      <w:szCs w:val="21"/>
                    </w:rPr>
                  </w:pPr>
                  <w:r>
                    <w:rPr>
                      <w:rFonts w:hint="eastAsia"/>
                      <w:b/>
                      <w:bCs/>
                      <w:szCs w:val="21"/>
                    </w:rPr>
                    <w:t>环境管控单元编码</w:t>
                  </w:r>
                </w:p>
              </w:tc>
              <w:tc>
                <w:tcPr>
                  <w:tcW w:w="1695" w:type="dxa"/>
                  <w:noWrap w:val="0"/>
                  <w:vAlign w:val="center"/>
                </w:tcPr>
                <w:p>
                  <w:pPr>
                    <w:pStyle w:val="91"/>
                    <w:spacing w:before="24" w:after="24"/>
                    <w:ind w:left="0" w:leftChars="0" w:firstLine="0" w:firstLineChars="0"/>
                    <w:rPr>
                      <w:rFonts w:hint="eastAsia"/>
                      <w:b/>
                      <w:bCs/>
                      <w:szCs w:val="21"/>
                    </w:rPr>
                  </w:pPr>
                  <w:r>
                    <w:rPr>
                      <w:rFonts w:hint="eastAsia"/>
                      <w:b/>
                      <w:bCs/>
                      <w:szCs w:val="21"/>
                    </w:rPr>
                    <w:t>环境管控单元名称</w:t>
                  </w:r>
                </w:p>
              </w:tc>
              <w:tc>
                <w:tcPr>
                  <w:tcW w:w="915" w:type="dxa"/>
                  <w:noWrap w:val="0"/>
                  <w:vAlign w:val="center"/>
                </w:tcPr>
                <w:p>
                  <w:pPr>
                    <w:pStyle w:val="91"/>
                    <w:spacing w:before="24" w:after="24"/>
                    <w:ind w:left="0" w:leftChars="0" w:firstLine="0" w:firstLineChars="0"/>
                    <w:rPr>
                      <w:rFonts w:hint="eastAsia"/>
                      <w:b/>
                      <w:bCs/>
                      <w:szCs w:val="21"/>
                    </w:rPr>
                  </w:pPr>
                  <w:r>
                    <w:rPr>
                      <w:rFonts w:hint="eastAsia"/>
                      <w:b/>
                      <w:bCs/>
                      <w:szCs w:val="21"/>
                    </w:rPr>
                    <w:t>所属市（州）</w:t>
                  </w:r>
                </w:p>
              </w:tc>
              <w:tc>
                <w:tcPr>
                  <w:tcW w:w="885" w:type="dxa"/>
                  <w:noWrap w:val="0"/>
                  <w:vAlign w:val="center"/>
                </w:tcPr>
                <w:p>
                  <w:pPr>
                    <w:pStyle w:val="91"/>
                    <w:spacing w:before="24" w:after="24"/>
                    <w:ind w:left="0" w:leftChars="0" w:firstLine="0" w:firstLineChars="0"/>
                    <w:rPr>
                      <w:rFonts w:hint="eastAsia"/>
                      <w:b/>
                      <w:bCs/>
                      <w:szCs w:val="21"/>
                    </w:rPr>
                  </w:pPr>
                  <w:r>
                    <w:rPr>
                      <w:rFonts w:hint="eastAsia"/>
                      <w:b/>
                      <w:bCs/>
                      <w:szCs w:val="21"/>
                    </w:rPr>
                    <w:t>所属区县</w:t>
                  </w:r>
                </w:p>
              </w:tc>
              <w:tc>
                <w:tcPr>
                  <w:tcW w:w="1140" w:type="dxa"/>
                  <w:noWrap w:val="0"/>
                  <w:vAlign w:val="center"/>
                </w:tcPr>
                <w:p>
                  <w:pPr>
                    <w:pStyle w:val="91"/>
                    <w:spacing w:before="24" w:after="24"/>
                    <w:ind w:left="0" w:leftChars="0" w:firstLine="0" w:firstLineChars="0"/>
                    <w:rPr>
                      <w:rFonts w:hint="eastAsia"/>
                      <w:b/>
                      <w:bCs/>
                      <w:szCs w:val="21"/>
                    </w:rPr>
                  </w:pPr>
                  <w:r>
                    <w:rPr>
                      <w:rFonts w:hint="eastAsia"/>
                      <w:b/>
                      <w:bCs/>
                      <w:szCs w:val="21"/>
                    </w:rPr>
                    <w:t>准入清单类型</w:t>
                  </w:r>
                </w:p>
              </w:tc>
              <w:tc>
                <w:tcPr>
                  <w:tcW w:w="2148" w:type="dxa"/>
                  <w:noWrap w:val="0"/>
                  <w:vAlign w:val="center"/>
                </w:tcPr>
                <w:p>
                  <w:pPr>
                    <w:pStyle w:val="91"/>
                    <w:spacing w:before="24" w:after="24"/>
                    <w:ind w:left="0" w:leftChars="0" w:firstLine="0" w:firstLineChars="0"/>
                    <w:rPr>
                      <w:rFonts w:hint="eastAsia"/>
                      <w:b/>
                      <w:bCs/>
                      <w:szCs w:val="21"/>
                    </w:rPr>
                  </w:pPr>
                  <w:r>
                    <w:rPr>
                      <w:rFonts w:hint="eastAsia"/>
                      <w:b/>
                      <w:bCs/>
                      <w:szCs w:val="21"/>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094" w:type="dxa"/>
                  <w:noWrap w:val="0"/>
                  <w:vAlign w:val="center"/>
                </w:tcPr>
                <w:p>
                  <w:pPr>
                    <w:pStyle w:val="190"/>
                    <w:widowControl/>
                    <w:spacing w:line="240" w:lineRule="auto"/>
                    <w:ind w:firstLine="0" w:firstLineChars="0"/>
                    <w:jc w:val="center"/>
                    <w:rPr>
                      <w:rFonts w:ascii="Times New Roman" w:hAnsi="Times New Roman"/>
                      <w:sz w:val="21"/>
                    </w:rPr>
                  </w:pPr>
                  <w:r>
                    <w:rPr>
                      <w:rFonts w:ascii="Times New Roman" w:hAnsi="Times New Roman" w:eastAsia="宋体"/>
                      <w:sz w:val="21"/>
                    </w:rPr>
                    <w:t>ZH51110220004</w:t>
                  </w:r>
                </w:p>
              </w:tc>
              <w:tc>
                <w:tcPr>
                  <w:tcW w:w="169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市中区要素重点管控单元</w:t>
                  </w:r>
                </w:p>
              </w:tc>
              <w:tc>
                <w:tcPr>
                  <w:tcW w:w="91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乐山市</w:t>
                  </w:r>
                </w:p>
              </w:tc>
              <w:tc>
                <w:tcPr>
                  <w:tcW w:w="88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市中区</w:t>
                  </w:r>
                </w:p>
              </w:tc>
              <w:tc>
                <w:tcPr>
                  <w:tcW w:w="1140"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环境管控单元</w:t>
                  </w:r>
                </w:p>
              </w:tc>
              <w:tc>
                <w:tcPr>
                  <w:tcW w:w="2148"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环境综合管控单元要素重点管控单元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094" w:type="dxa"/>
                  <w:noWrap w:val="0"/>
                  <w:vAlign w:val="center"/>
                </w:tcPr>
                <w:p>
                  <w:pPr>
                    <w:pStyle w:val="190"/>
                    <w:widowControl/>
                    <w:spacing w:line="240" w:lineRule="auto"/>
                    <w:ind w:firstLine="0" w:firstLineChars="0"/>
                    <w:jc w:val="center"/>
                    <w:rPr>
                      <w:rFonts w:ascii="Times New Roman" w:hAnsi="Times New Roman"/>
                      <w:sz w:val="21"/>
                    </w:rPr>
                  </w:pPr>
                  <w:r>
                    <w:rPr>
                      <w:rFonts w:ascii="Times New Roman" w:hAnsi="Times New Roman" w:eastAsia="宋体"/>
                      <w:sz w:val="21"/>
                    </w:rPr>
                    <w:t>YS5111022230008</w:t>
                  </w:r>
                </w:p>
              </w:tc>
              <w:tc>
                <w:tcPr>
                  <w:tcW w:w="169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茫溪河市中区茫溪大桥控制单元</w:t>
                  </w:r>
                </w:p>
              </w:tc>
              <w:tc>
                <w:tcPr>
                  <w:tcW w:w="91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乐山市</w:t>
                  </w:r>
                </w:p>
              </w:tc>
              <w:tc>
                <w:tcPr>
                  <w:tcW w:w="88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市中区</w:t>
                  </w:r>
                </w:p>
              </w:tc>
              <w:tc>
                <w:tcPr>
                  <w:tcW w:w="1140"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水环境管控分区</w:t>
                  </w:r>
                </w:p>
              </w:tc>
              <w:tc>
                <w:tcPr>
                  <w:tcW w:w="2148"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水环境农业污染重点管控区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1094" w:type="dxa"/>
                  <w:noWrap w:val="0"/>
                  <w:vAlign w:val="center"/>
                </w:tcPr>
                <w:p>
                  <w:pPr>
                    <w:pStyle w:val="190"/>
                    <w:widowControl/>
                    <w:spacing w:line="240" w:lineRule="auto"/>
                    <w:ind w:firstLine="0" w:firstLineChars="0"/>
                    <w:jc w:val="center"/>
                    <w:rPr>
                      <w:rFonts w:ascii="Times New Roman" w:hAnsi="Times New Roman"/>
                      <w:sz w:val="21"/>
                    </w:rPr>
                  </w:pPr>
                  <w:r>
                    <w:rPr>
                      <w:rFonts w:ascii="Times New Roman" w:hAnsi="Times New Roman" w:eastAsia="宋体"/>
                      <w:sz w:val="21"/>
                    </w:rPr>
                    <w:t>YS5111022320001</w:t>
                  </w:r>
                </w:p>
              </w:tc>
              <w:tc>
                <w:tcPr>
                  <w:tcW w:w="169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乐山市市中区大气环境布局敏感重点管控区</w:t>
                  </w:r>
                </w:p>
              </w:tc>
              <w:tc>
                <w:tcPr>
                  <w:tcW w:w="91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乐山市</w:t>
                  </w:r>
                </w:p>
              </w:tc>
              <w:tc>
                <w:tcPr>
                  <w:tcW w:w="885"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市中区</w:t>
                  </w:r>
                </w:p>
              </w:tc>
              <w:tc>
                <w:tcPr>
                  <w:tcW w:w="1140"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大气环境管控分区</w:t>
                  </w:r>
                </w:p>
              </w:tc>
              <w:tc>
                <w:tcPr>
                  <w:tcW w:w="2148" w:type="dxa"/>
                  <w:noWrap w:val="0"/>
                  <w:vAlign w:val="center"/>
                </w:tcPr>
                <w:p>
                  <w:pPr>
                    <w:pStyle w:val="190"/>
                    <w:widowControl/>
                    <w:spacing w:line="240" w:lineRule="auto"/>
                    <w:ind w:firstLine="0" w:firstLineChars="0"/>
                    <w:jc w:val="center"/>
                    <w:rPr>
                      <w:rFonts w:hint="eastAsia"/>
                      <w:sz w:val="21"/>
                    </w:rPr>
                  </w:pPr>
                  <w:r>
                    <w:rPr>
                      <w:rFonts w:hint="eastAsia" w:ascii="宋体" w:hAnsi="宋体" w:eastAsia="宋体"/>
                      <w:sz w:val="21"/>
                    </w:rPr>
                    <w:t>大气环境布局敏感重点管控区</w:t>
                  </w:r>
                </w:p>
              </w:tc>
            </w:tr>
          </w:tbl>
          <w:p>
            <w:pPr>
              <w:pStyle w:val="149"/>
              <w:ind w:firstLine="0" w:firstLineChars="0"/>
              <w:jc w:val="center"/>
              <w:rPr>
                <w:rFonts w:ascii="Times New Roman" w:hAnsi="Times New Roman"/>
                <w:b/>
                <w:color w:val="000000"/>
                <w:kern w:val="0"/>
                <w:sz w:val="21"/>
                <w:szCs w:val="21"/>
              </w:rPr>
            </w:pPr>
          </w:p>
          <w:p>
            <w:pPr>
              <w:pStyle w:val="149"/>
              <w:ind w:firstLine="0" w:firstLineChars="0"/>
              <w:jc w:val="center"/>
              <w:rPr>
                <w:rFonts w:hint="eastAsia" w:ascii="Times New Roman" w:hAnsi="Times New Roman" w:eastAsia="宋体"/>
                <w:b/>
                <w:color w:val="000000"/>
                <w:kern w:val="0"/>
                <w:sz w:val="21"/>
                <w:szCs w:val="21"/>
                <w:lang w:eastAsia="zh-CN"/>
              </w:rPr>
            </w:pPr>
            <w:r>
              <w:rPr>
                <w:rFonts w:ascii="Times New Roman" w:hAnsi="Times New Roman"/>
                <w:kern w:val="0"/>
                <w:sz w:val="21"/>
              </w:rPr>
              <mc:AlternateContent>
                <mc:Choice Requires="wps">
                  <w:drawing>
                    <wp:anchor distT="0" distB="0" distL="114300" distR="114300" simplePos="0" relativeHeight="251669504" behindDoc="0" locked="0" layoutInCell="1" allowOverlap="1">
                      <wp:simplePos x="0" y="0"/>
                      <wp:positionH relativeFrom="column">
                        <wp:posOffset>1329055</wp:posOffset>
                      </wp:positionH>
                      <wp:positionV relativeFrom="paragraph">
                        <wp:posOffset>1145540</wp:posOffset>
                      </wp:positionV>
                      <wp:extent cx="2171065" cy="304165"/>
                      <wp:effectExtent l="0" t="0" r="0" b="0"/>
                      <wp:wrapNone/>
                      <wp:docPr id="202" name="矩形标注 202"/>
                      <wp:cNvGraphicFramePr/>
                      <a:graphic xmlns:a="http://schemas.openxmlformats.org/drawingml/2006/main">
                        <a:graphicData uri="http://schemas.microsoft.com/office/word/2010/wordprocessingShape">
                          <wps:wsp>
                            <wps:cNvSpPr/>
                            <wps:spPr>
                              <a:xfrm>
                                <a:off x="0" y="0"/>
                                <a:ext cx="2171065" cy="304165"/>
                              </a:xfrm>
                              <a:prstGeom prst="wedgeRectCallout">
                                <a:avLst>
                                  <a:gd name="adj1" fmla="val -55144"/>
                                  <a:gd name="adj2" fmla="val 120148"/>
                                </a:avLst>
                              </a:prstGeom>
                              <a:noFill/>
                              <a:ln>
                                <a:noFill/>
                              </a:ln>
                            </wps:spPr>
                            <wps:txbx>
                              <w:txbxContent>
                                <w:p>
                                  <w:pPr>
                                    <w:jc w:val="center"/>
                                    <w:rPr>
                                      <w:rFonts w:hint="eastAsia"/>
                                      <w:color w:val="000000"/>
                                      <w:sz w:val="24"/>
                                    </w:rPr>
                                  </w:pPr>
                                  <w:r>
                                    <w:rPr>
                                      <w:rFonts w:hint="eastAsia"/>
                                      <w:color w:val="000000"/>
                                      <w:sz w:val="24"/>
                                      <w:lang w:eastAsia="zh-CN"/>
                                    </w:rPr>
                                    <w:t>新建青白渠渠</w:t>
                                  </w:r>
                                  <w:r>
                                    <w:rPr>
                                      <w:rFonts w:hint="eastAsia"/>
                                      <w:color w:val="000000"/>
                                      <w:sz w:val="24"/>
                                    </w:rPr>
                                    <w:t>道走向</w:t>
                                  </w:r>
                                </w:p>
                              </w:txbxContent>
                            </wps:txbx>
                            <wps:bodyPr upright="1"/>
                          </wps:wsp>
                        </a:graphicData>
                      </a:graphic>
                    </wp:anchor>
                  </w:drawing>
                </mc:Choice>
                <mc:Fallback>
                  <w:pict>
                    <v:shape id="_x0000_s1026" o:spid="_x0000_s1026" o:spt="61" type="#_x0000_t61" style="position:absolute;left:0pt;margin-left:104.65pt;margin-top:90.2pt;height:23.95pt;width:170.95pt;z-index:251669504;mso-width-relative:page;mso-height-relative:page;" filled="f" stroked="f" coordsize="21600,21600" o:gfxdata="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VIswK1QAAAAsBAAAPAAAAAAAA&#10;AAEAIAAAACIAAABkcnMvZG93bnJldi54bWxQSwECFAAUAAAACACHTuJAadJ5+twBAACqAwAADgAA&#10;AAAAAAABACAAAAAkAQAAZHJzL2Uyb0RvYy54bWxQSwUGAAAAAAYABgBZAQAAcgUAAAAA&#10;" adj="-1111,36752">
                      <v:path/>
                      <v:fill on="f" focussize="0,0"/>
                      <v:stroke on="f"/>
                      <v:imagedata o:title=""/>
                      <o:lock v:ext="edit" aspectratio="f"/>
                      <v:textbox>
                        <w:txbxContent>
                          <w:p>
                            <w:pPr>
                              <w:jc w:val="center"/>
                              <w:rPr>
                                <w:rFonts w:hint="eastAsia"/>
                                <w:color w:val="000000"/>
                                <w:sz w:val="24"/>
                              </w:rPr>
                            </w:pPr>
                            <w:r>
                              <w:rPr>
                                <w:rFonts w:hint="eastAsia"/>
                                <w:color w:val="000000"/>
                                <w:sz w:val="24"/>
                                <w:lang w:eastAsia="zh-CN"/>
                              </w:rPr>
                              <w:t>新建青白渠渠</w:t>
                            </w:r>
                            <w:r>
                              <w:rPr>
                                <w:rFonts w:hint="eastAsia"/>
                                <w:color w:val="000000"/>
                                <w:sz w:val="24"/>
                              </w:rPr>
                              <w:t>道走向</w:t>
                            </w:r>
                          </w:p>
                        </w:txbxContent>
                      </v:textbox>
                    </v:shape>
                  </w:pict>
                </mc:Fallback>
              </mc:AlternateContent>
            </w:r>
            <w:r>
              <w:rPr>
                <w:rFonts w:hint="eastAsia" w:ascii="Times New Roman" w:hAnsi="Times New Roman" w:eastAsia="宋体"/>
                <w:b/>
                <w:color w:val="000000"/>
                <w:kern w:val="0"/>
                <w:sz w:val="21"/>
                <w:szCs w:val="21"/>
                <w:lang w:eastAsia="zh-CN"/>
              </w:rPr>
              <w:drawing>
                <wp:inline distT="0" distB="0" distL="114300" distR="114300">
                  <wp:extent cx="5036820" cy="2609215"/>
                  <wp:effectExtent l="0" t="0" r="11430" b="635"/>
                  <wp:docPr id="201" name="图片 17" descr="新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7" descr="新建_00"/>
                          <pic:cNvPicPr>
                            <a:picLocks noChangeAspect="1"/>
                          </pic:cNvPicPr>
                        </pic:nvPicPr>
                        <pic:blipFill>
                          <a:blip r:embed="rId32"/>
                          <a:srcRect t="13371" b="13371"/>
                          <a:stretch>
                            <a:fillRect/>
                          </a:stretch>
                        </pic:blipFill>
                        <pic:spPr>
                          <a:xfrm>
                            <a:off x="0" y="0"/>
                            <a:ext cx="5036820" cy="2609215"/>
                          </a:xfrm>
                          <a:prstGeom prst="rect">
                            <a:avLst/>
                          </a:prstGeom>
                          <a:noFill/>
                          <a:ln>
                            <a:noFill/>
                          </a:ln>
                        </pic:spPr>
                      </pic:pic>
                    </a:graphicData>
                  </a:graphic>
                </wp:inline>
              </w:drawing>
            </w:r>
          </w:p>
          <w:p>
            <w:pPr>
              <w:pStyle w:val="149"/>
              <w:shd w:val="clear" w:color="auto" w:fill="auto"/>
              <w:ind w:firstLine="0" w:firstLineChars="0"/>
              <w:jc w:val="center"/>
              <w:rPr>
                <w:rFonts w:hint="eastAsia" w:ascii="Times New Roman" w:hAnsi="Times New Roman" w:eastAsia="宋体"/>
                <w:b/>
                <w:color w:val="000000"/>
                <w:kern w:val="0"/>
                <w:sz w:val="21"/>
                <w:szCs w:val="21"/>
                <w:lang w:eastAsia="zh-CN"/>
              </w:rPr>
            </w:pPr>
            <w:r>
              <w:rPr>
                <w:rFonts w:ascii="Times New Roman" w:hAnsi="Times New Roman"/>
                <w:b/>
                <w:color w:val="000000"/>
                <w:kern w:val="0"/>
                <w:sz w:val="21"/>
                <w:szCs w:val="21"/>
              </w:rPr>
              <w:t>图</w:t>
            </w:r>
            <w:r>
              <w:rPr>
                <w:rFonts w:hint="eastAsia" w:ascii="Times New Roman" w:hAnsi="Times New Roman"/>
                <w:b/>
                <w:color w:val="000000"/>
                <w:kern w:val="0"/>
                <w:sz w:val="21"/>
                <w:szCs w:val="21"/>
              </w:rPr>
              <w:t>1-</w:t>
            </w:r>
            <w:r>
              <w:rPr>
                <w:rFonts w:hint="eastAsia" w:ascii="Times New Roman" w:hAnsi="Times New Roman"/>
                <w:b/>
                <w:color w:val="000000"/>
                <w:kern w:val="0"/>
                <w:sz w:val="21"/>
                <w:szCs w:val="21"/>
                <w:lang w:val="en-US" w:eastAsia="zh-CN"/>
              </w:rPr>
              <w:t>3</w:t>
            </w:r>
            <w:r>
              <w:rPr>
                <w:rFonts w:hint="eastAsia" w:ascii="Times New Roman" w:hAnsi="Times New Roman"/>
                <w:b/>
                <w:color w:val="000000"/>
                <w:kern w:val="0"/>
                <w:sz w:val="21"/>
                <w:szCs w:val="21"/>
              </w:rPr>
              <w:t xml:space="preserve"> </w:t>
            </w:r>
            <w:r>
              <w:rPr>
                <w:rFonts w:ascii="Times New Roman" w:hAnsi="Times New Roman"/>
                <w:b/>
                <w:color w:val="000000"/>
                <w:kern w:val="0"/>
                <w:sz w:val="21"/>
                <w:szCs w:val="21"/>
              </w:rPr>
              <w:t xml:space="preserve"> </w:t>
            </w:r>
            <w:r>
              <w:rPr>
                <w:rFonts w:hint="eastAsia" w:ascii="Times New Roman" w:hAnsi="Times New Roman"/>
                <w:b/>
                <w:color w:val="000000"/>
                <w:kern w:val="0"/>
                <w:sz w:val="21"/>
                <w:szCs w:val="21"/>
                <w:lang w:eastAsia="zh-CN"/>
              </w:rPr>
              <w:t>新建青白渠渠</w:t>
            </w:r>
            <w:r>
              <w:rPr>
                <w:rFonts w:hint="eastAsia" w:ascii="Times New Roman" w:hAnsi="Times New Roman"/>
                <w:b/>
                <w:color w:val="000000"/>
                <w:kern w:val="0"/>
                <w:sz w:val="21"/>
                <w:szCs w:val="21"/>
              </w:rPr>
              <w:t>道</w:t>
            </w:r>
            <w:r>
              <w:rPr>
                <w:rFonts w:hint="eastAsia" w:ascii="Times New Roman" w:hAnsi="Times New Roman"/>
                <w:b/>
                <w:color w:val="000000"/>
                <w:kern w:val="0"/>
                <w:sz w:val="21"/>
                <w:szCs w:val="21"/>
                <w:lang w:eastAsia="zh-CN"/>
              </w:rPr>
              <w:t>与</w:t>
            </w:r>
            <w:r>
              <w:rPr>
                <w:rFonts w:ascii="Times New Roman" w:hAnsi="Times New Roman"/>
                <w:b/>
                <w:color w:val="000000"/>
                <w:kern w:val="0"/>
                <w:sz w:val="21"/>
                <w:szCs w:val="21"/>
              </w:rPr>
              <w:t>乐山市环境管控单元</w:t>
            </w:r>
            <w:r>
              <w:rPr>
                <w:rFonts w:hint="eastAsia" w:ascii="Times New Roman" w:hAnsi="Times New Roman"/>
                <w:b/>
                <w:color w:val="000000"/>
                <w:kern w:val="0"/>
                <w:sz w:val="21"/>
                <w:szCs w:val="21"/>
                <w:lang w:eastAsia="zh-CN"/>
              </w:rPr>
              <w:t>关系</w:t>
            </w:r>
            <w:r>
              <w:rPr>
                <w:rFonts w:ascii="Times New Roman" w:hAnsi="Times New Roman"/>
                <w:b/>
                <w:color w:val="000000"/>
                <w:kern w:val="0"/>
                <w:sz w:val="21"/>
                <w:szCs w:val="21"/>
              </w:rPr>
              <w:t>图</w:t>
            </w:r>
          </w:p>
          <w:p>
            <w:pPr>
              <w:pStyle w:val="149"/>
              <w:shd w:val="clear" w:color="auto" w:fill="auto"/>
              <w:ind w:firstLine="0" w:firstLineChars="0"/>
              <w:jc w:val="center"/>
              <w:rPr>
                <w:rFonts w:hint="eastAsia" w:ascii="Times New Roman" w:hAnsi="Times New Roman" w:eastAsia="宋体"/>
                <w:b/>
                <w:color w:val="000000"/>
                <w:kern w:val="0"/>
                <w:sz w:val="21"/>
                <w:szCs w:val="21"/>
                <w:lang w:eastAsia="zh-CN"/>
              </w:rPr>
            </w:pPr>
            <w:r>
              <w:rPr>
                <w:rFonts w:ascii="Times New Roman" w:hAnsi="Times New Roman"/>
                <w:kern w:val="0"/>
                <w:sz w:val="21"/>
              </w:rPr>
              <mc:AlternateContent>
                <mc:Choice Requires="wps">
                  <w:drawing>
                    <wp:anchor distT="0" distB="0" distL="114300" distR="114300" simplePos="0" relativeHeight="251800576" behindDoc="0" locked="0" layoutInCell="1" allowOverlap="1">
                      <wp:simplePos x="0" y="0"/>
                      <wp:positionH relativeFrom="column">
                        <wp:posOffset>1748155</wp:posOffset>
                      </wp:positionH>
                      <wp:positionV relativeFrom="paragraph">
                        <wp:posOffset>1145540</wp:posOffset>
                      </wp:positionV>
                      <wp:extent cx="2171065" cy="304165"/>
                      <wp:effectExtent l="0" t="0" r="0" b="0"/>
                      <wp:wrapNone/>
                      <wp:docPr id="205" name="矩形标注 205"/>
                      <wp:cNvGraphicFramePr/>
                      <a:graphic xmlns:a="http://schemas.openxmlformats.org/drawingml/2006/main">
                        <a:graphicData uri="http://schemas.microsoft.com/office/word/2010/wordprocessingShape">
                          <wps:wsp>
                            <wps:cNvSpPr/>
                            <wps:spPr>
                              <a:xfrm>
                                <a:off x="0" y="0"/>
                                <a:ext cx="2171065" cy="304165"/>
                              </a:xfrm>
                              <a:prstGeom prst="wedgeRectCallout">
                                <a:avLst>
                                  <a:gd name="adj1" fmla="val -55144"/>
                                  <a:gd name="adj2" fmla="val 120148"/>
                                </a:avLst>
                              </a:prstGeom>
                              <a:noFill/>
                              <a:ln>
                                <a:noFill/>
                              </a:ln>
                            </wps:spPr>
                            <wps:txbx>
                              <w:txbxContent>
                                <w:p>
                                  <w:pPr>
                                    <w:jc w:val="center"/>
                                    <w:rPr>
                                      <w:rFonts w:hint="eastAsia"/>
                                      <w:color w:val="000000"/>
                                      <w:sz w:val="24"/>
                                    </w:rPr>
                                  </w:pPr>
                                  <w:r>
                                    <w:rPr>
                                      <w:rFonts w:hint="eastAsia"/>
                                      <w:color w:val="000000"/>
                                      <w:sz w:val="24"/>
                                      <w:lang w:eastAsia="zh-CN"/>
                                    </w:rPr>
                                    <w:t>右干渠整治段渠</w:t>
                                  </w:r>
                                  <w:r>
                                    <w:rPr>
                                      <w:rFonts w:hint="eastAsia"/>
                                      <w:color w:val="000000"/>
                                      <w:sz w:val="24"/>
                                    </w:rPr>
                                    <w:t>道走向</w:t>
                                  </w:r>
                                </w:p>
                              </w:txbxContent>
                            </wps:txbx>
                            <wps:bodyPr upright="1"/>
                          </wps:wsp>
                        </a:graphicData>
                      </a:graphic>
                    </wp:anchor>
                  </w:drawing>
                </mc:Choice>
                <mc:Fallback>
                  <w:pict>
                    <v:shape id="_x0000_s1026" o:spid="_x0000_s1026" o:spt="61" type="#_x0000_t61" style="position:absolute;left:0pt;margin-left:137.65pt;margin-top:90.2pt;height:23.95pt;width:170.95pt;z-index:251800576;mso-width-relative:page;mso-height-relative:page;" filled="f" stroked="f" coordsize="21600,21600" o:gfxdata="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S9rErWAAAACwEAAA8AAAAAAAAA&#10;AQAgAAAAIgAAAGRycy9kb3ducmV2LnhtbFBLAQIUABQAAAAIAIdO4kAZ4lZW2gEAAKoDAAAOAAAA&#10;AAAAAAEAIAAAACUBAABkcnMvZTJvRG9jLnhtbFBLBQYAAAAABgAGAFkBAABxBQAAAAA=&#10;" adj="-1111,36752">
                      <v:path/>
                      <v:fill on="f" focussize="0,0"/>
                      <v:stroke on="f"/>
                      <v:imagedata o:title=""/>
                      <o:lock v:ext="edit" aspectratio="f"/>
                      <v:textbox>
                        <w:txbxContent>
                          <w:p>
                            <w:pPr>
                              <w:jc w:val="center"/>
                              <w:rPr>
                                <w:rFonts w:hint="eastAsia"/>
                                <w:color w:val="000000"/>
                                <w:sz w:val="24"/>
                              </w:rPr>
                            </w:pPr>
                            <w:r>
                              <w:rPr>
                                <w:rFonts w:hint="eastAsia"/>
                                <w:color w:val="000000"/>
                                <w:sz w:val="24"/>
                                <w:lang w:eastAsia="zh-CN"/>
                              </w:rPr>
                              <w:t>右干渠整治段渠</w:t>
                            </w:r>
                            <w:r>
                              <w:rPr>
                                <w:rFonts w:hint="eastAsia"/>
                                <w:color w:val="000000"/>
                                <w:sz w:val="24"/>
                              </w:rPr>
                              <w:t>道走向</w:t>
                            </w:r>
                          </w:p>
                        </w:txbxContent>
                      </v:textbox>
                    </v:shape>
                  </w:pict>
                </mc:Fallback>
              </mc:AlternateContent>
            </w:r>
            <w:r>
              <w:rPr>
                <w:rFonts w:hint="eastAsia" w:ascii="Times New Roman" w:hAnsi="Times New Roman" w:eastAsia="宋体"/>
                <w:b/>
                <w:color w:val="000000"/>
                <w:kern w:val="0"/>
                <w:sz w:val="21"/>
                <w:szCs w:val="21"/>
                <w:lang w:eastAsia="zh-CN"/>
              </w:rPr>
              <w:drawing>
                <wp:inline distT="0" distB="0" distL="114300" distR="114300">
                  <wp:extent cx="3789045" cy="2837815"/>
                  <wp:effectExtent l="0" t="0" r="1905" b="635"/>
                  <wp:docPr id="206" name="图片 18" descr="整治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8" descr="整治_00"/>
                          <pic:cNvPicPr>
                            <a:picLocks noChangeAspect="1"/>
                          </pic:cNvPicPr>
                        </pic:nvPicPr>
                        <pic:blipFill>
                          <a:blip r:embed="rId33"/>
                          <a:srcRect l="12292" t="12302" r="12482" b="8023"/>
                          <a:stretch>
                            <a:fillRect/>
                          </a:stretch>
                        </pic:blipFill>
                        <pic:spPr>
                          <a:xfrm>
                            <a:off x="0" y="0"/>
                            <a:ext cx="3789045" cy="2837815"/>
                          </a:xfrm>
                          <a:prstGeom prst="rect">
                            <a:avLst/>
                          </a:prstGeom>
                          <a:noFill/>
                          <a:ln>
                            <a:noFill/>
                          </a:ln>
                        </pic:spPr>
                      </pic:pic>
                    </a:graphicData>
                  </a:graphic>
                </wp:inline>
              </w:drawing>
            </w:r>
          </w:p>
          <w:p>
            <w:pPr>
              <w:pStyle w:val="149"/>
              <w:shd w:val="clear" w:color="auto" w:fill="auto"/>
              <w:ind w:firstLine="0" w:firstLineChars="0"/>
              <w:jc w:val="center"/>
              <w:rPr>
                <w:rFonts w:ascii="Times New Roman" w:hAnsi="Times New Roman"/>
                <w:b/>
                <w:color w:val="000000"/>
                <w:kern w:val="0"/>
                <w:sz w:val="21"/>
                <w:szCs w:val="21"/>
              </w:rPr>
            </w:pPr>
            <w:r>
              <w:rPr>
                <w:rFonts w:ascii="Times New Roman" w:hAnsi="Times New Roman"/>
                <w:b/>
                <w:color w:val="000000"/>
                <w:kern w:val="0"/>
                <w:sz w:val="21"/>
                <w:szCs w:val="21"/>
              </w:rPr>
              <w:t>图</w:t>
            </w:r>
            <w:r>
              <w:rPr>
                <w:rFonts w:hint="eastAsia" w:ascii="Times New Roman" w:hAnsi="Times New Roman"/>
                <w:b/>
                <w:color w:val="000000"/>
                <w:kern w:val="0"/>
                <w:sz w:val="21"/>
                <w:szCs w:val="21"/>
              </w:rPr>
              <w:t>1</w:t>
            </w:r>
            <w:r>
              <w:rPr>
                <w:rFonts w:hint="eastAsia" w:ascii="Times New Roman" w:hAnsi="Times New Roman"/>
                <w:b/>
                <w:color w:val="000000"/>
                <w:kern w:val="0"/>
                <w:sz w:val="21"/>
                <w:szCs w:val="21"/>
                <w:lang w:val="en-US" w:eastAsia="zh-CN"/>
              </w:rPr>
              <w:t>-4</w:t>
            </w:r>
            <w:r>
              <w:rPr>
                <w:rFonts w:hint="eastAsia" w:ascii="Times New Roman" w:hAnsi="Times New Roman"/>
                <w:b/>
                <w:color w:val="000000"/>
                <w:kern w:val="0"/>
                <w:sz w:val="21"/>
                <w:szCs w:val="21"/>
              </w:rPr>
              <w:t xml:space="preserve"> </w:t>
            </w:r>
            <w:r>
              <w:rPr>
                <w:rFonts w:ascii="Times New Roman" w:hAnsi="Times New Roman"/>
                <w:b/>
                <w:color w:val="000000"/>
                <w:kern w:val="0"/>
                <w:sz w:val="21"/>
                <w:szCs w:val="21"/>
              </w:rPr>
              <w:t xml:space="preserve"> </w:t>
            </w:r>
            <w:r>
              <w:rPr>
                <w:rFonts w:hint="eastAsia" w:ascii="Times New Roman" w:hAnsi="Times New Roman"/>
                <w:b/>
                <w:color w:val="000000"/>
                <w:kern w:val="0"/>
                <w:sz w:val="21"/>
                <w:szCs w:val="21"/>
                <w:lang w:eastAsia="zh-CN"/>
              </w:rPr>
              <w:t>右干渠整治段与</w:t>
            </w:r>
            <w:r>
              <w:rPr>
                <w:rFonts w:ascii="Times New Roman" w:hAnsi="Times New Roman"/>
                <w:b/>
                <w:color w:val="000000"/>
                <w:kern w:val="0"/>
                <w:sz w:val="21"/>
                <w:szCs w:val="21"/>
              </w:rPr>
              <w:t>乐山市环境管控单元</w:t>
            </w:r>
            <w:r>
              <w:rPr>
                <w:rFonts w:hint="eastAsia" w:ascii="Times New Roman" w:hAnsi="Times New Roman"/>
                <w:b/>
                <w:color w:val="000000"/>
                <w:kern w:val="0"/>
                <w:sz w:val="21"/>
                <w:szCs w:val="21"/>
                <w:lang w:eastAsia="zh-CN"/>
              </w:rPr>
              <w:t>关系</w:t>
            </w:r>
            <w:r>
              <w:rPr>
                <w:rFonts w:ascii="Times New Roman" w:hAnsi="Times New Roman"/>
                <w:b/>
                <w:color w:val="000000"/>
                <w:kern w:val="0"/>
                <w:sz w:val="21"/>
                <w:szCs w:val="21"/>
              </w:rPr>
              <w:t>图</w:t>
            </w:r>
          </w:p>
          <w:p>
            <w:pPr>
              <w:pStyle w:val="149"/>
              <w:ind w:firstLine="480"/>
              <w:rPr>
                <w:rFonts w:hint="eastAsia" w:ascii="Times New Roman" w:hAnsi="Times New Roman"/>
                <w:kern w:val="0"/>
              </w:rPr>
            </w:pPr>
            <w:r>
              <w:rPr>
                <w:rFonts w:hint="eastAsia" w:ascii="Times New Roman" w:hAnsi="Times New Roman"/>
                <w:kern w:val="0"/>
              </w:rPr>
              <w:t>乐山市市中区总体生态环境管控要求如下表：</w:t>
            </w:r>
          </w:p>
          <w:p>
            <w:pPr>
              <w:pStyle w:val="149"/>
              <w:ind w:firstLine="0" w:firstLineChars="0"/>
              <w:jc w:val="center"/>
              <w:rPr>
                <w:rFonts w:ascii="Times New Roman" w:hAnsi="Times New Roman"/>
                <w:kern w:val="0"/>
              </w:rPr>
            </w:pPr>
            <w:r>
              <w:rPr>
                <w:rFonts w:hint="eastAsia" w:ascii="Times New Roman" w:hAnsi="Times New Roman"/>
                <w:b/>
                <w:color w:val="000000"/>
                <w:kern w:val="0"/>
                <w:sz w:val="21"/>
                <w:szCs w:val="21"/>
              </w:rPr>
              <w:t>表1-4  与乐府发[2021]7号符合性分析</w:t>
            </w:r>
          </w:p>
          <w:tbl>
            <w:tblPr>
              <w:tblStyle w:val="39"/>
              <w:tblW w:w="7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7"/>
              <w:gridCol w:w="1885"/>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087" w:type="dxa"/>
                  <w:noWrap w:val="0"/>
                  <w:vAlign w:val="center"/>
                </w:tcPr>
                <w:p>
                  <w:pPr>
                    <w:pStyle w:val="91"/>
                    <w:spacing w:before="24" w:after="24"/>
                    <w:ind w:left="842" w:hanging="422"/>
                    <w:rPr>
                      <w:rFonts w:ascii="Times New Roman" w:hAnsi="Times New Roman"/>
                      <w:b/>
                      <w:bCs/>
                    </w:rPr>
                  </w:pPr>
                  <w:r>
                    <w:rPr>
                      <w:rFonts w:ascii="Times New Roman" w:hAnsi="Times New Roman"/>
                      <w:b/>
                      <w:bCs/>
                    </w:rPr>
                    <w:t>文件要求</w:t>
                  </w:r>
                </w:p>
              </w:tc>
              <w:tc>
                <w:tcPr>
                  <w:tcW w:w="1885" w:type="dxa"/>
                  <w:noWrap w:val="0"/>
                  <w:vAlign w:val="center"/>
                </w:tcPr>
                <w:p>
                  <w:pPr>
                    <w:pStyle w:val="91"/>
                    <w:spacing w:before="24" w:after="24"/>
                    <w:ind w:left="0" w:leftChars="0" w:firstLine="0" w:firstLineChars="0"/>
                    <w:rPr>
                      <w:rFonts w:ascii="Times New Roman" w:hAnsi="Times New Roman"/>
                      <w:b/>
                      <w:bCs/>
                    </w:rPr>
                  </w:pPr>
                  <w:r>
                    <w:rPr>
                      <w:rFonts w:ascii="Times New Roman" w:hAnsi="Times New Roman"/>
                      <w:b/>
                      <w:bCs/>
                    </w:rPr>
                    <w:t>本项目情况</w:t>
                  </w:r>
                </w:p>
              </w:tc>
              <w:tc>
                <w:tcPr>
                  <w:tcW w:w="866" w:type="dxa"/>
                  <w:noWrap w:val="0"/>
                  <w:vAlign w:val="center"/>
                </w:tcPr>
                <w:p>
                  <w:pPr>
                    <w:pStyle w:val="91"/>
                    <w:spacing w:before="24" w:after="24"/>
                    <w:ind w:left="0" w:leftChars="0" w:firstLine="0" w:firstLineChars="0"/>
                    <w:rPr>
                      <w:rFonts w:ascii="Times New Roman" w:hAnsi="Times New Roman"/>
                      <w:b/>
                      <w:bCs/>
                    </w:rPr>
                  </w:pPr>
                  <w:r>
                    <w:rPr>
                      <w:rFonts w:ascii="Times New Roman" w:hAnsi="Times New Roman"/>
                      <w:b/>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2" w:hRule="atLeast"/>
                <w:jc w:val="center"/>
              </w:trPr>
              <w:tc>
                <w:tcPr>
                  <w:tcW w:w="5087" w:type="dxa"/>
                  <w:noWrap w:val="0"/>
                  <w:vAlign w:val="center"/>
                </w:tcPr>
                <w:p>
                  <w:pPr>
                    <w:pStyle w:val="91"/>
                    <w:spacing w:before="24" w:after="24"/>
                    <w:ind w:left="0" w:leftChars="0" w:firstLine="0" w:firstLineChars="0"/>
                    <w:jc w:val="both"/>
                    <w:rPr>
                      <w:rFonts w:ascii="Times New Roman" w:hAnsi="Times New Roman"/>
                    </w:rPr>
                  </w:pPr>
                  <w:r>
                    <w:rPr>
                      <w:rFonts w:ascii="Times New Roman" w:hAnsi="Times New Roman"/>
                    </w:rPr>
                    <w:t>根据通知，将全市行政区域从生态环境保护角度划分为优先保护、重点管控和一般管控三类环境管控单元。</w:t>
                  </w:r>
                </w:p>
                <w:p>
                  <w:pPr>
                    <w:pStyle w:val="91"/>
                    <w:spacing w:before="24" w:after="24"/>
                    <w:ind w:left="0" w:leftChars="0" w:firstLine="0" w:firstLineChars="0"/>
                    <w:jc w:val="both"/>
                    <w:rPr>
                      <w:rFonts w:ascii="Times New Roman" w:hAnsi="Times New Roman"/>
                    </w:rPr>
                  </w:pPr>
                  <w:r>
                    <w:rPr>
                      <w:rFonts w:hint="eastAsia" w:ascii="Times New Roman" w:hAnsi="Times New Roman"/>
                    </w:rPr>
                    <w:t>1、</w:t>
                  </w:r>
                  <w:r>
                    <w:rPr>
                      <w:rFonts w:ascii="Times New Roman" w:hAnsi="Times New Roman"/>
                    </w:rPr>
                    <w:t>优先保护单元。以生态环境保护为主的区域，全市划分优先保护单元26个，主要包括生态保护红线、自然保护地、饮用水水源保护区等，应以生态环境保护优先为原则，严格执行相关法律、法规要求，严守生态环境质量底线，确保生态环境功能不降低。</w:t>
                  </w:r>
                </w:p>
                <w:p>
                  <w:pPr>
                    <w:pStyle w:val="91"/>
                    <w:spacing w:before="24" w:after="24"/>
                    <w:ind w:left="0" w:leftChars="0" w:firstLine="0" w:firstLineChars="0"/>
                    <w:jc w:val="both"/>
                    <w:rPr>
                      <w:rFonts w:ascii="Times New Roman" w:hAnsi="Times New Roman"/>
                    </w:rPr>
                  </w:pPr>
                  <w:r>
                    <w:rPr>
                      <w:rFonts w:hint="eastAsia" w:ascii="Times New Roman" w:hAnsi="Times New Roman"/>
                    </w:rPr>
                    <w:t>2、</w:t>
                  </w:r>
                  <w:r>
                    <w:rPr>
                      <w:rFonts w:ascii="Times New Roman" w:hAnsi="Times New Roman"/>
                    </w:rPr>
                    <w:t>重点管控单元。涉及水、大气、土壤、自然资源等资源环境要素重点管控的区域，全市划分重点管控单元33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pStyle w:val="91"/>
                    <w:spacing w:before="24" w:after="24"/>
                    <w:ind w:left="0" w:leftChars="0" w:firstLine="0" w:firstLineChars="0"/>
                    <w:jc w:val="both"/>
                    <w:rPr>
                      <w:rFonts w:ascii="Times New Roman" w:hAnsi="Times New Roman"/>
                    </w:rPr>
                  </w:pPr>
                  <w:r>
                    <w:rPr>
                      <w:rFonts w:hint="eastAsia" w:ascii="Times New Roman" w:hAnsi="Times New Roman"/>
                    </w:rPr>
                    <w:t>3、</w:t>
                  </w:r>
                  <w:r>
                    <w:rPr>
                      <w:rFonts w:ascii="Times New Roman" w:hAnsi="Times New Roman"/>
                    </w:rPr>
                    <w:t>一般管控单元。除优先保护单元和重点管控单元之外的其他区域，全市共划分一般管控单元6个。执行区域生态环境保护的基本要求，重点加强农业、生活等领域污染治理。</w:t>
                  </w:r>
                </w:p>
              </w:tc>
              <w:tc>
                <w:tcPr>
                  <w:tcW w:w="1885" w:type="dxa"/>
                  <w:noWrap w:val="0"/>
                  <w:vAlign w:val="center"/>
                </w:tcPr>
                <w:p>
                  <w:pPr>
                    <w:pStyle w:val="91"/>
                    <w:spacing w:before="24" w:after="24"/>
                    <w:ind w:left="0" w:leftChars="0" w:firstLine="0" w:firstLineChars="0"/>
                    <w:rPr>
                      <w:rFonts w:ascii="Times New Roman" w:hAnsi="Times New Roman"/>
                    </w:rPr>
                  </w:pPr>
                  <w:r>
                    <w:rPr>
                      <w:rFonts w:ascii="Times New Roman" w:hAnsi="Times New Roman"/>
                    </w:rPr>
                    <w:t>根据乐山市环境管控单元图，本项目位于其中的</w:t>
                  </w:r>
                  <w:r>
                    <w:rPr>
                      <w:rFonts w:hint="eastAsia" w:ascii="Times New Roman" w:hAnsi="Times New Roman"/>
                    </w:rPr>
                    <w:t>要素重点</w:t>
                  </w:r>
                  <w:r>
                    <w:rPr>
                      <w:rFonts w:ascii="Times New Roman" w:hAnsi="Times New Roman"/>
                    </w:rPr>
                    <w:t>管控单元和</w:t>
                  </w:r>
                  <w:r>
                    <w:rPr>
                      <w:rFonts w:hint="eastAsia" w:ascii="Times New Roman" w:hAnsi="Times New Roman"/>
                    </w:rPr>
                    <w:t>一般</w:t>
                  </w:r>
                  <w:r>
                    <w:rPr>
                      <w:rFonts w:ascii="Times New Roman" w:hAnsi="Times New Roman"/>
                    </w:rPr>
                    <w:t>管控单元</w:t>
                  </w:r>
                </w:p>
              </w:tc>
              <w:tc>
                <w:tcPr>
                  <w:tcW w:w="866" w:type="dxa"/>
                  <w:noWrap w:val="0"/>
                  <w:vAlign w:val="center"/>
                </w:tcPr>
                <w:p>
                  <w:pPr>
                    <w:pStyle w:val="91"/>
                    <w:spacing w:before="24" w:after="24"/>
                    <w:ind w:left="0" w:leftChars="0" w:firstLine="0" w:firstLineChars="0"/>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6" w:hRule="atLeast"/>
                <w:jc w:val="center"/>
              </w:trPr>
              <w:tc>
                <w:tcPr>
                  <w:tcW w:w="5087" w:type="dxa"/>
                  <w:noWrap w:val="0"/>
                  <w:vAlign w:val="center"/>
                </w:tcPr>
                <w:p>
                  <w:pPr>
                    <w:pStyle w:val="91"/>
                    <w:numPr>
                      <w:ilvl w:val="0"/>
                      <w:numId w:val="7"/>
                    </w:numPr>
                    <w:spacing w:before="24" w:after="24"/>
                    <w:ind w:left="0" w:leftChars="0" w:firstLine="0" w:firstLineChars="0"/>
                    <w:jc w:val="both"/>
                    <w:rPr>
                      <w:rFonts w:ascii="Times New Roman" w:hAnsi="Times New Roman"/>
                    </w:rPr>
                  </w:pPr>
                  <w:r>
                    <w:rPr>
                      <w:rFonts w:ascii="Times New Roman" w:hAnsi="Times New Roman"/>
                    </w:rPr>
                    <w:t>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pStyle w:val="91"/>
                    <w:numPr>
                      <w:ilvl w:val="0"/>
                      <w:numId w:val="7"/>
                    </w:numPr>
                    <w:spacing w:before="24" w:after="24"/>
                    <w:ind w:left="0" w:leftChars="0" w:firstLine="0" w:firstLineChars="0"/>
                    <w:jc w:val="both"/>
                    <w:rPr>
                      <w:rFonts w:ascii="Times New Roman" w:hAnsi="Times New Roman"/>
                    </w:rPr>
                  </w:pPr>
                  <w:r>
                    <w:rPr>
                      <w:rFonts w:ascii="Times New Roman" w:hAnsi="Times New Roman"/>
                    </w:rPr>
                    <w:t>一般管控单元中，执行区域生态环境保护的基本要求，重点加强农业、生活等领域污染治理。</w:t>
                  </w:r>
                </w:p>
              </w:tc>
              <w:tc>
                <w:tcPr>
                  <w:tcW w:w="1885" w:type="dxa"/>
                  <w:noWrap w:val="0"/>
                  <w:vAlign w:val="center"/>
                </w:tcPr>
                <w:p>
                  <w:pPr>
                    <w:pStyle w:val="91"/>
                    <w:spacing w:before="24" w:after="24"/>
                    <w:ind w:left="0" w:leftChars="0" w:firstLine="0" w:firstLineChars="0"/>
                    <w:rPr>
                      <w:rFonts w:ascii="Times New Roman" w:hAnsi="Times New Roman"/>
                    </w:rPr>
                  </w:pPr>
                  <w:r>
                    <w:rPr>
                      <w:rFonts w:ascii="Times New Roman" w:hAnsi="Times New Roman"/>
                    </w:rPr>
                    <w:t>本项目属于环境质量达标区域，本项目</w:t>
                  </w:r>
                  <w:r>
                    <w:rPr>
                      <w:rFonts w:hint="eastAsia" w:ascii="Times New Roman" w:hAnsi="Times New Roman"/>
                    </w:rPr>
                    <w:t>渠道新建和整治</w:t>
                  </w:r>
                  <w:r>
                    <w:rPr>
                      <w:rFonts w:ascii="Times New Roman" w:hAnsi="Times New Roman"/>
                    </w:rPr>
                    <w:t>工程</w:t>
                  </w:r>
                  <w:r>
                    <w:rPr>
                      <w:rFonts w:hint="eastAsia" w:ascii="Times New Roman" w:hAnsi="Times New Roman"/>
                    </w:rPr>
                    <w:t>主要在施工期</w:t>
                  </w:r>
                  <w:r>
                    <w:rPr>
                      <w:rFonts w:ascii="Times New Roman" w:hAnsi="Times New Roman"/>
                    </w:rPr>
                    <w:t>，施工结束后，及时复垦</w:t>
                  </w:r>
                </w:p>
              </w:tc>
              <w:tc>
                <w:tcPr>
                  <w:tcW w:w="866" w:type="dxa"/>
                  <w:noWrap w:val="0"/>
                  <w:vAlign w:val="center"/>
                </w:tcPr>
                <w:p>
                  <w:pPr>
                    <w:pStyle w:val="91"/>
                    <w:spacing w:before="24" w:after="24"/>
                    <w:ind w:left="0" w:leftChars="0" w:firstLine="0" w:firstLineChars="0"/>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6" w:hRule="atLeast"/>
                <w:jc w:val="center"/>
              </w:trPr>
              <w:tc>
                <w:tcPr>
                  <w:tcW w:w="5087" w:type="dxa"/>
                  <w:noWrap w:val="0"/>
                  <w:vAlign w:val="center"/>
                </w:tcPr>
                <w:p>
                  <w:pPr>
                    <w:pStyle w:val="91"/>
                    <w:spacing w:before="24" w:after="24"/>
                    <w:ind w:left="0" w:leftChars="0" w:firstLine="0" w:firstLineChars="0"/>
                    <w:jc w:val="both"/>
                    <w:rPr>
                      <w:rFonts w:ascii="Times New Roman" w:hAnsi="Times New Roman"/>
                    </w:rPr>
                  </w:pPr>
                  <w:r>
                    <w:rPr>
                      <w:rFonts w:hint="eastAsia" w:ascii="Times New Roman" w:hAnsi="Times New Roman"/>
                    </w:rPr>
                    <w:t>市中区</w:t>
                  </w:r>
                  <w:r>
                    <w:rPr>
                      <w:rFonts w:ascii="Times New Roman" w:hAnsi="Times New Roman"/>
                    </w:rPr>
                    <w:t>：</w:t>
                  </w:r>
                </w:p>
                <w:p>
                  <w:pPr>
                    <w:pStyle w:val="91"/>
                    <w:spacing w:before="24" w:after="24"/>
                    <w:ind w:left="0" w:leftChars="0" w:firstLine="0" w:firstLineChars="0"/>
                    <w:jc w:val="both"/>
                    <w:rPr>
                      <w:rFonts w:ascii="Times New Roman" w:hAnsi="Times New Roman"/>
                    </w:rPr>
                  </w:pPr>
                  <w:r>
                    <w:rPr>
                      <w:rFonts w:ascii="Times New Roman" w:hAnsi="Times New Roman"/>
                    </w:rPr>
                    <w:t>（1）优化调整产业结构，严格生态环境准入要求；</w:t>
                  </w:r>
                </w:p>
                <w:p>
                  <w:pPr>
                    <w:pStyle w:val="91"/>
                    <w:spacing w:before="24" w:after="24"/>
                    <w:ind w:left="0" w:leftChars="0" w:firstLine="0" w:firstLineChars="0"/>
                    <w:jc w:val="both"/>
                    <w:rPr>
                      <w:rFonts w:ascii="Times New Roman" w:hAnsi="Times New Roman"/>
                    </w:rPr>
                  </w:pPr>
                  <w:r>
                    <w:rPr>
                      <w:rFonts w:ascii="Times New Roman" w:hAnsi="Times New Roman"/>
                    </w:rPr>
                    <w:t>（2）推动城市建成区内企业“退城入园”，严格控制园外企业无序扩张；</w:t>
                  </w:r>
                </w:p>
                <w:p>
                  <w:pPr>
                    <w:pStyle w:val="91"/>
                    <w:spacing w:before="24" w:after="24"/>
                    <w:ind w:left="0" w:leftChars="0" w:firstLine="0" w:firstLineChars="0"/>
                    <w:jc w:val="both"/>
                    <w:rPr>
                      <w:rFonts w:ascii="Times New Roman" w:hAnsi="Times New Roman"/>
                    </w:rPr>
                  </w:pPr>
                  <w:r>
                    <w:rPr>
                      <w:rFonts w:ascii="Times New Roman" w:hAnsi="Times New Roman"/>
                    </w:rPr>
                    <w:t>（3）加强泥溪河、茫溪河等小流域污染治理，严控泥溪河、茫溪河流域涉水排放项目及水产养殖规模；加强农业面源污染治理，严格控制化肥农药使用量，积极推广畜禽清洁养殖和畜禽粪污无害化、资源化利用技术；</w:t>
                  </w:r>
                </w:p>
                <w:p>
                  <w:pPr>
                    <w:pStyle w:val="91"/>
                    <w:spacing w:before="24" w:after="24"/>
                    <w:ind w:left="0" w:leftChars="0" w:firstLine="0" w:firstLineChars="0"/>
                    <w:jc w:val="both"/>
                    <w:rPr>
                      <w:rFonts w:ascii="Times New Roman" w:hAnsi="Times New Roman"/>
                    </w:rPr>
                  </w:pPr>
                  <w:r>
                    <w:rPr>
                      <w:rFonts w:ascii="Times New Roman" w:hAnsi="Times New Roman"/>
                    </w:rPr>
                    <w:t>（4）加强区域大气污染治理，推进涉挥发性有机物排放项目、砖瓦企业深度治理改造；执行大气污染物特别排放限值；</w:t>
                  </w:r>
                </w:p>
                <w:p>
                  <w:pPr>
                    <w:pStyle w:val="91"/>
                    <w:spacing w:before="24" w:after="24"/>
                    <w:ind w:left="0" w:leftChars="0" w:firstLine="0" w:firstLineChars="0"/>
                    <w:jc w:val="both"/>
                    <w:rPr>
                      <w:rFonts w:ascii="Times New Roman" w:hAnsi="Times New Roman"/>
                    </w:rPr>
                  </w:pPr>
                  <w:r>
                    <w:rPr>
                      <w:rFonts w:ascii="Times New Roman" w:hAnsi="Times New Roman"/>
                    </w:rPr>
                    <w:t>（5）加强涉危涉化企业管控，严控环境风险；</w:t>
                  </w:r>
                </w:p>
                <w:p>
                  <w:pPr>
                    <w:pStyle w:val="91"/>
                    <w:spacing w:before="24" w:after="24"/>
                    <w:ind w:left="0" w:leftChars="0" w:firstLine="0" w:firstLineChars="0"/>
                    <w:jc w:val="both"/>
                    <w:rPr>
                      <w:rFonts w:ascii="Times New Roman" w:hAnsi="Times New Roman"/>
                    </w:rPr>
                  </w:pPr>
                  <w:r>
                    <w:rPr>
                      <w:rFonts w:ascii="Times New Roman" w:hAnsi="Times New Roman"/>
                    </w:rPr>
                    <w:t>（6）加强城乡生态环境保护基础设施建设。</w:t>
                  </w:r>
                </w:p>
              </w:tc>
              <w:tc>
                <w:tcPr>
                  <w:tcW w:w="1885" w:type="dxa"/>
                  <w:noWrap w:val="0"/>
                  <w:vAlign w:val="center"/>
                </w:tcPr>
                <w:p>
                  <w:pPr>
                    <w:pStyle w:val="91"/>
                    <w:numPr>
                      <w:ilvl w:val="0"/>
                      <w:numId w:val="8"/>
                    </w:numPr>
                    <w:spacing w:before="24" w:after="24"/>
                    <w:ind w:left="0" w:leftChars="0" w:firstLine="0" w:firstLineChars="0"/>
                    <w:rPr>
                      <w:rFonts w:ascii="Times New Roman" w:hAnsi="Times New Roman"/>
                    </w:rPr>
                  </w:pPr>
                  <w:r>
                    <w:rPr>
                      <w:rFonts w:ascii="Times New Roman" w:hAnsi="Times New Roman"/>
                    </w:rPr>
                    <w:t>本项目无挥发性有机物排放。</w:t>
                  </w:r>
                </w:p>
                <w:p>
                  <w:pPr>
                    <w:numPr>
                      <w:ilvl w:val="0"/>
                      <w:numId w:val="8"/>
                    </w:numPr>
                    <w:jc w:val="center"/>
                    <w:rPr>
                      <w:rFonts w:ascii="Times New Roman" w:hAnsi="Times New Roman"/>
                    </w:rPr>
                  </w:pPr>
                  <w:r>
                    <w:rPr>
                      <w:rFonts w:ascii="Times New Roman" w:hAnsi="Times New Roman"/>
                    </w:rPr>
                    <w:t>本项目不涉及排水。</w:t>
                  </w:r>
                </w:p>
                <w:p>
                  <w:pPr>
                    <w:numPr>
                      <w:ilvl w:val="0"/>
                      <w:numId w:val="8"/>
                    </w:numPr>
                    <w:jc w:val="center"/>
                    <w:rPr>
                      <w:rFonts w:ascii="Times New Roman" w:hAnsi="Times New Roman"/>
                    </w:rPr>
                  </w:pPr>
                  <w:r>
                    <w:rPr>
                      <w:rFonts w:ascii="Times New Roman" w:hAnsi="Times New Roman"/>
                    </w:rPr>
                    <w:t>本项目不属于工业项目。</w:t>
                  </w:r>
                </w:p>
                <w:p>
                  <w:pPr>
                    <w:numPr>
                      <w:ilvl w:val="0"/>
                      <w:numId w:val="8"/>
                    </w:numPr>
                    <w:jc w:val="center"/>
                    <w:rPr>
                      <w:rFonts w:ascii="Times New Roman" w:hAnsi="Times New Roman"/>
                    </w:rPr>
                  </w:pPr>
                  <w:r>
                    <w:rPr>
                      <w:rFonts w:ascii="Times New Roman" w:hAnsi="Times New Roman"/>
                    </w:rPr>
                    <w:t>本项目不涉及大气排放。</w:t>
                  </w:r>
                </w:p>
                <w:p>
                  <w:pPr>
                    <w:numPr>
                      <w:ilvl w:val="0"/>
                      <w:numId w:val="8"/>
                    </w:numPr>
                    <w:jc w:val="center"/>
                    <w:rPr>
                      <w:rFonts w:ascii="Times New Roman" w:hAnsi="Times New Roman"/>
                    </w:rPr>
                  </w:pPr>
                  <w:r>
                    <w:rPr>
                      <w:rFonts w:ascii="Times New Roman" w:hAnsi="Times New Roman"/>
                    </w:rPr>
                    <w:t>本项目不涉及养殖。</w:t>
                  </w:r>
                </w:p>
              </w:tc>
              <w:tc>
                <w:tcPr>
                  <w:tcW w:w="866" w:type="dxa"/>
                  <w:noWrap w:val="0"/>
                  <w:vAlign w:val="center"/>
                </w:tcPr>
                <w:p>
                  <w:pPr>
                    <w:pStyle w:val="91"/>
                    <w:spacing w:before="24" w:after="24"/>
                    <w:ind w:left="0" w:leftChars="0" w:firstLine="0" w:firstLineChars="0"/>
                    <w:rPr>
                      <w:rFonts w:ascii="Times New Roman" w:hAnsi="Times New Roman"/>
                    </w:rPr>
                  </w:pPr>
                  <w:r>
                    <w:rPr>
                      <w:rFonts w:hint="eastAsia"/>
                    </w:rPr>
                    <w:t>符合</w:t>
                  </w:r>
                </w:p>
              </w:tc>
            </w:tr>
          </w:tbl>
          <w:p>
            <w:pPr>
              <w:pStyle w:val="149"/>
              <w:numPr>
                <w:ilvl w:val="0"/>
                <w:numId w:val="9"/>
              </w:numPr>
              <w:ind w:firstLine="480"/>
              <w:jc w:val="both"/>
              <w:rPr>
                <w:rFonts w:hint="eastAsia" w:ascii="Times New Roman" w:hAnsi="Times New Roman"/>
                <w:kern w:val="0"/>
              </w:rPr>
            </w:pPr>
            <w:r>
              <w:rPr>
                <w:rFonts w:hint="eastAsia" w:ascii="Times New Roman" w:hAnsi="Times New Roman"/>
                <w:bCs w:val="0"/>
                <w:kern w:val="0"/>
              </w:rPr>
              <w:t>生态环境准入清单</w:t>
            </w:r>
          </w:p>
          <w:p>
            <w:pPr>
              <w:pStyle w:val="149"/>
              <w:ind w:firstLine="480"/>
              <w:jc w:val="both"/>
              <w:rPr>
                <w:rFonts w:hint="eastAsia" w:ascii="Times New Roman" w:hAnsi="Times New Roman"/>
                <w:kern w:val="0"/>
              </w:rPr>
            </w:pPr>
            <w:r>
              <w:rPr>
                <w:rFonts w:hint="eastAsia" w:ascii="Times New Roman" w:hAnsi="Times New Roman"/>
                <w:kern w:val="0"/>
              </w:rPr>
              <w:t>本项目位于乐山市市中区，涉及要素重点管控单元，环境管控单元编码：</w:t>
            </w:r>
            <w:r>
              <w:rPr>
                <w:rFonts w:hint="eastAsia" w:ascii="Times New Roman" w:hAnsi="Times New Roman"/>
                <w:sz w:val="21"/>
                <w:szCs w:val="21"/>
              </w:rPr>
              <w:t>、</w:t>
            </w:r>
            <w:r>
              <w:rPr>
                <w:rFonts w:hint="eastAsia" w:ascii="Times New Roman" w:hAnsi="Times New Roman"/>
              </w:rPr>
              <w:t>ZH51110220004。具体的</w:t>
            </w:r>
            <w:r>
              <w:rPr>
                <w:rFonts w:hint="eastAsia" w:ascii="Times New Roman" w:hAnsi="Times New Roman"/>
                <w:kern w:val="0"/>
              </w:rPr>
              <w:t>要素重点管控单元要求见下表。</w:t>
            </w:r>
          </w:p>
          <w:p>
            <w:pPr>
              <w:autoSpaceDE w:val="0"/>
              <w:autoSpaceDN w:val="0"/>
              <w:adjustRightInd w:val="0"/>
              <w:snapToGrid w:val="0"/>
              <w:spacing w:line="360" w:lineRule="auto"/>
              <w:rPr>
                <w:rFonts w:ascii="宋体" w:hAnsi="宋体" w:cs="宋体"/>
                <w:color w:val="000000"/>
                <w:kern w:val="0"/>
                <w:sz w:val="24"/>
              </w:rPr>
            </w:pPr>
          </w:p>
        </w:tc>
      </w:tr>
    </w:tbl>
    <w:p>
      <w:pPr>
        <w:spacing w:line="360" w:lineRule="auto"/>
        <w:outlineLvl w:val="0"/>
        <w:rPr>
          <w:rFonts w:eastAsia="黑体"/>
          <w:color w:val="000000"/>
          <w:sz w:val="30"/>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149"/>
        <w:ind w:firstLine="0" w:firstLineChars="0"/>
        <w:jc w:val="center"/>
        <w:rPr>
          <w:rFonts w:hint="eastAsia"/>
          <w:b/>
          <w:color w:val="000000"/>
          <w:sz w:val="21"/>
          <w:szCs w:val="21"/>
        </w:rPr>
      </w:pPr>
      <w:r>
        <w:rPr>
          <w:rFonts w:hint="eastAsia"/>
          <w:b/>
          <w:color w:val="000000"/>
          <w:sz w:val="21"/>
          <w:szCs w:val="21"/>
        </w:rPr>
        <w:t>表1-5  新建青白渠渠道和右干渠整治段与“三线一单”符合性分析</w:t>
      </w:r>
    </w:p>
    <w:tbl>
      <w:tblPr>
        <w:tblStyle w:val="39"/>
        <w:tblW w:w="15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1136"/>
        <w:gridCol w:w="7436"/>
        <w:gridCol w:w="1071"/>
        <w:gridCol w:w="3621"/>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0"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b/>
                <w:bCs/>
                <w:color w:val="000000"/>
                <w:kern w:val="0"/>
                <w:sz w:val="21"/>
              </w:rPr>
              <w:t>环境管控单元编码</w:t>
            </w:r>
          </w:p>
        </w:tc>
        <w:tc>
          <w:tcPr>
            <w:tcW w:w="1136"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b/>
                <w:bCs/>
                <w:color w:val="000000"/>
                <w:kern w:val="0"/>
                <w:sz w:val="21"/>
              </w:rPr>
              <w:t>环境管控单元名称</w:t>
            </w:r>
          </w:p>
        </w:tc>
        <w:tc>
          <w:tcPr>
            <w:tcW w:w="7436" w:type="dxa"/>
            <w:noWrap w:val="0"/>
            <w:vAlign w:val="center"/>
          </w:tcPr>
          <w:p>
            <w:pPr>
              <w:pStyle w:val="199"/>
              <w:spacing w:line="240" w:lineRule="auto"/>
              <w:ind w:firstLine="0" w:firstLineChars="0"/>
              <w:jc w:val="center"/>
              <w:rPr>
                <w:rFonts w:ascii="Times New Roman" w:hAnsi="Times New Roman" w:eastAsia="宋体"/>
                <w:color w:val="000000"/>
                <w:kern w:val="0"/>
                <w:sz w:val="21"/>
              </w:rPr>
            </w:pPr>
            <w:r>
              <w:rPr>
                <w:rFonts w:ascii="Times New Roman" w:hAnsi="Times New Roman" w:eastAsia="宋体"/>
                <w:b/>
                <w:bCs/>
                <w:color w:val="000000"/>
                <w:kern w:val="0"/>
                <w:sz w:val="21"/>
              </w:rPr>
              <w:t>乐山市普适性清单</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b/>
                <w:bCs/>
                <w:color w:val="000000"/>
                <w:kern w:val="0"/>
                <w:sz w:val="21"/>
              </w:rPr>
              <w:t>管控类别</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b/>
                <w:bCs/>
                <w:color w:val="000000"/>
                <w:kern w:val="0"/>
                <w:sz w:val="21"/>
              </w:rPr>
              <w:t>单元特性管控要求</w:t>
            </w:r>
          </w:p>
        </w:tc>
        <w:tc>
          <w:tcPr>
            <w:tcW w:w="992"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b/>
                <w:bCs/>
                <w:color w:val="000000"/>
                <w:kern w:val="0"/>
                <w:sz w:val="21"/>
              </w:rPr>
            </w:pPr>
            <w:r>
              <w:rPr>
                <w:rFonts w:ascii="Times New Roman" w:hAnsi="Times New Roman" w:eastAsia="宋体"/>
                <w:b/>
                <w:bCs/>
                <w:color w:val="000000"/>
                <w:kern w:val="0"/>
                <w:sz w:val="21"/>
              </w:rPr>
              <w:t>本项目符合性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5" w:hRule="atLeast"/>
          <w:jc w:val="center"/>
        </w:trPr>
        <w:tc>
          <w:tcPr>
            <w:tcW w:w="1120" w:type="dxa"/>
            <w:vMerge w:val="restart"/>
            <w:noWrap w:val="0"/>
            <w:vAlign w:val="center"/>
          </w:tcPr>
          <w:p>
            <w:pPr>
              <w:pStyle w:val="199"/>
              <w:widowControl/>
              <w:spacing w:line="240" w:lineRule="auto"/>
              <w:ind w:firstLine="0" w:firstLineChars="0"/>
              <w:jc w:val="left"/>
              <w:rPr>
                <w:rFonts w:ascii="宋体" w:hAnsi="宋体" w:eastAsia="宋体"/>
                <w:sz w:val="21"/>
              </w:rPr>
            </w:pPr>
            <w:r>
              <w:rPr>
                <w:rFonts w:ascii="Times New Roman" w:hAnsi="Times New Roman" w:eastAsia="宋体"/>
                <w:sz w:val="21"/>
              </w:rPr>
              <w:t>ZH51110220004</w:t>
            </w:r>
          </w:p>
        </w:tc>
        <w:tc>
          <w:tcPr>
            <w:tcW w:w="1136" w:type="dxa"/>
            <w:vMerge w:val="restart"/>
            <w:noWrap w:val="0"/>
            <w:vAlign w:val="center"/>
          </w:tcPr>
          <w:p>
            <w:pPr>
              <w:pStyle w:val="199"/>
              <w:widowControl/>
              <w:spacing w:line="240" w:lineRule="auto"/>
              <w:ind w:firstLine="0" w:firstLineChars="0"/>
              <w:jc w:val="left"/>
              <w:rPr>
                <w:rFonts w:ascii="宋体" w:hAnsi="宋体" w:eastAsia="宋体"/>
                <w:sz w:val="21"/>
              </w:rPr>
            </w:pPr>
            <w:r>
              <w:rPr>
                <w:rFonts w:hint="eastAsia" w:ascii="宋体" w:hAnsi="宋体" w:eastAsia="宋体"/>
                <w:sz w:val="21"/>
              </w:rPr>
              <w:t>市中区要素重点管控单元</w:t>
            </w:r>
          </w:p>
        </w:tc>
        <w:tc>
          <w:tcPr>
            <w:tcW w:w="7436" w:type="dxa"/>
            <w:vMerge w:val="restart"/>
            <w:noWrap w:val="0"/>
            <w:vAlign w:val="center"/>
          </w:tcPr>
          <w:p>
            <w:pPr>
              <w:pStyle w:val="199"/>
              <w:spacing w:line="240" w:lineRule="auto"/>
              <w:ind w:firstLine="0" w:firstLineChars="0"/>
              <w:rPr>
                <w:rFonts w:ascii="Times New Roman" w:hAnsi="Times New Roman" w:eastAsia="宋体"/>
                <w:b/>
                <w:bCs/>
                <w:color w:val="000000"/>
                <w:kern w:val="0"/>
                <w:sz w:val="24"/>
                <w:szCs w:val="24"/>
              </w:rPr>
            </w:pPr>
            <w:r>
              <w:rPr>
                <w:rFonts w:ascii="Times New Roman" w:hAnsi="Times New Roman" w:eastAsia="宋体"/>
                <w:b/>
                <w:bCs/>
                <w:color w:val="000000"/>
                <w:kern w:val="0"/>
                <w:sz w:val="24"/>
                <w:szCs w:val="24"/>
              </w:rPr>
              <w:t>空间布局约束：</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禁止开发建设活动的要求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（3）禁止在法律法规规定的禁采区内开采矿产；禁止土法采、选、冶严重污染环境的矿产资源；</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（4）对于基本农田，除法律规定的重点建设项目选址确实无法避让外，其他任何建设不得占用；</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（5）畜禽养殖严格按照乐山市各区县畜禽养殖区域划定方案执行，依法关闭或搬迁禁养区内的畜禽养殖场（小区）和养殖专业户。</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限制开发建设活动的要求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（1）现有化工、建材、有色、钢铁等工业企业，原则上限制发展，污染物排放只降不增，允许以提升安全、生态环境保护水平为目的的改建，引导企业结合产业升级等适时搬迁入园；</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（2）单元内若新布局工业园区，应符合最新的国土空间规划，并结合区域环境特点、三线成果、园区产业类别，充分论证选址的环境合理性；</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（6）坚持最严格的耕地保护制度，对全部耕地按限制开发的要求进行管理。严格限制农用地转为建设用地，控制建设用地总量，对耕地实行特殊保护；</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（8）长江流域河道采砂应当依法取得国务院水行政主管部门有关流域管理机构或者县级以上地方人民政府水行政主管部门的许可。严格控制采砂区域、采砂总量和采砂区域内的采砂船舶数量。</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不符合空间布局要求活动的退出要求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（1）全面取缔禁养区内规模化畜禽养殖场。岷江岸线延伸至陆域200米范围内基本消除畜禽养殖场（小区）；</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（2）对长江流域已建小水电工程，不符合生态保护要求的，县级以上地方人民政府应当组织分类整改或者采取措施逐步退出；</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（3）长江主要支流重点管控岸线：按照长江干线非法码头治理标准和生态保护红线管控等要求，持续开展长江主要支流非法码头整治。</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其他空间布局约束要求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spacing w:line="240" w:lineRule="auto"/>
              <w:ind w:firstLine="0" w:firstLineChars="0"/>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污染物排放管控：</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允许排放量要求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（1）对新建排放二氧化硫、氮氧化物、工业烟粉尘和挥发性有机物的项目实施现役源2倍削减替代；</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（2）上一年度水环境质量未完成目标的，新建排放水污染的建设项目按照总量管控要求进行倍量削减替代；</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（3）水质超标的水功能区，应当实施更严格的污染物排放总量削减要求。</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现有源提标升级改造</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其他污染物排放管控要求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（1）新、改、扩建工业项目全面执行大气污染物特别排放限值。</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（2）乡镇生活污水处理设施全覆盖，生活污水收集处理率80%。到 2022 年底，65%以上的行政村农村生活污水得到有效治理。</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（4）新、改扩造纸企业参考执行乐山市“三线一单”生态环境分区管控中制浆造纸行业资源环境绩效准入门槛相应要求。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（5）屠宰项目如需接入城市污水管网，必须按照排水许可证要求排放污水，同时接受所在地的城镇排水主管部门的监督管理。</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（6）到 2023 年底，乡镇及行政村生活垃圾收转运处置体系基本实现全覆盖。</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9"/>
              <w:spacing w:line="240" w:lineRule="auto"/>
              <w:ind w:firstLine="0" w:firstLineChars="0"/>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环境风险防控：</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联防联控要求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其他环境风险防控要求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（1）严禁新增以铅、汞、镉、铬、砷五类重金属为主的污染物排放，引导现有企业结合产业升级等适时搬入产业对口园区；</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（3）严禁将城镇生活垃圾、污泥、工业废物直接用作肥料，禁止处理不达标的污泥进入耕地；禁止在农用地排放、倾倒、使用污泥、清淤底泥、尾矿（渣）等可能对土壤造成污染的固体废物；</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9"/>
              <w:spacing w:line="240" w:lineRule="auto"/>
              <w:ind w:firstLine="0" w:firstLineChars="0"/>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资源开发利用效率要求：</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水资源利用总量要求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地下水开采要求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能源利用总量及效率要求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（1）禁止焚烧秸秆，大力推进秸秆肥料化、饲料化、基料化、原料化、能源化等多种形式的秸秆综合利用。</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（2）到2030年，农业废弃物全部实现资源化利用，</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（3）在秋收和夏收阶段开展秸秆禁烧专项巡查，强化成都平原地区区域联动。</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禁燃区要求</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（1）能源结构以天然气和电为主。保留20蒸吨小时以上燃煤锅炉，并执行超低排放要求，鼓励搬入园区；</w:t>
            </w:r>
          </w:p>
          <w:p>
            <w:pPr>
              <w:pStyle w:val="199"/>
              <w:spacing w:line="240" w:lineRule="auto"/>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（2）禁燃区内禁止审批（核准、备案）、新建、扩建燃用高污染燃料的项目和设施。</w:t>
            </w:r>
          </w:p>
          <w:p>
            <w:pPr>
              <w:pStyle w:val="199"/>
              <w:spacing w:line="240" w:lineRule="auto"/>
              <w:ind w:firstLine="0" w:firstLineChars="0"/>
              <w:rPr>
                <w:rFonts w:hint="eastAsia" w:ascii="宋体" w:hAnsi="宋体" w:eastAsia="宋体" w:cs="宋体"/>
                <w:b/>
                <w:bCs/>
                <w:color w:val="000000"/>
                <w:kern w:val="0"/>
                <w:sz w:val="21"/>
              </w:rPr>
            </w:pPr>
            <w:r>
              <w:rPr>
                <w:rFonts w:hint="eastAsia" w:ascii="宋体" w:hAnsi="宋体" w:eastAsia="宋体" w:cs="宋体"/>
                <w:b/>
                <w:bCs/>
                <w:color w:val="000000"/>
                <w:kern w:val="0"/>
                <w:sz w:val="21"/>
              </w:rPr>
              <w:t>其他资源利用效率要求</w:t>
            </w:r>
          </w:p>
          <w:p>
            <w:pPr>
              <w:pStyle w:val="199"/>
              <w:spacing w:line="240" w:lineRule="auto"/>
              <w:ind w:firstLine="0" w:firstLineChars="0"/>
              <w:rPr>
                <w:rFonts w:ascii="Times New Roman" w:hAnsi="Times New Roman" w:eastAsia="宋体"/>
                <w:color w:val="000000"/>
                <w:kern w:val="0"/>
                <w:sz w:val="21"/>
              </w:rPr>
            </w:pPr>
            <w:r>
              <w:rPr>
                <w:rFonts w:hint="eastAsia" w:ascii="宋体" w:hAnsi="宋体" w:eastAsia="宋体" w:cs="宋体"/>
                <w:color w:val="000000"/>
                <w:kern w:val="0"/>
                <w:sz w:val="21"/>
              </w:rPr>
              <w:t>暂无</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空间布局约束</w:t>
            </w:r>
          </w:p>
        </w:tc>
        <w:tc>
          <w:tcPr>
            <w:tcW w:w="3621" w:type="dxa"/>
            <w:noWrap w:val="0"/>
            <w:vAlign w:val="center"/>
          </w:tcPr>
          <w:p>
            <w:pPr>
              <w:pStyle w:val="199"/>
              <w:widowControl/>
              <w:shd w:val="clear" w:color="auto" w:fill="FFFFFF"/>
              <w:spacing w:line="240" w:lineRule="auto"/>
              <w:ind w:firstLine="0" w:firstLineChars="0"/>
              <w:jc w:val="center"/>
              <w:rPr>
                <w:rFonts w:ascii="宋体" w:hAnsi="宋体" w:eastAsia="宋体"/>
                <w:b/>
                <w:bCs/>
                <w:sz w:val="21"/>
              </w:rPr>
            </w:pPr>
            <w:r>
              <w:rPr>
                <w:rFonts w:hint="eastAsia" w:ascii="宋体" w:hAnsi="宋体" w:eastAsia="宋体"/>
                <w:b/>
                <w:bCs/>
                <w:sz w:val="21"/>
              </w:rPr>
              <w:t>禁止开发建设活动的要求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执行乐山市要素重点管控单元普适性总体准入要求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限制开发建设活动的要求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1、严控新（改、扩）建排放污染物的项目；2、其他执行乐山市要素重点管控单元普适性总体准入要求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允许开发建设活动的要求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b/>
                <w:bCs/>
                <w:sz w:val="21"/>
              </w:rPr>
              <w:t>不符合空间布局要求活动的退出要求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1、单元内既有合法手续的、且污染物排放和环境风险满足管控要求的企业可继续保留，不得新增污染物排放，并进一步加强监管；否则限期进行整改，整改后任不能达到要求的，属地政府责令关停退出；2、执行乐山市要素重点管控单元普适性总体准入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hint="eastAsia" w:ascii="宋体" w:hAnsi="宋体" w:eastAsia="宋体"/>
                <w:sz w:val="21"/>
              </w:rPr>
              <w:t>其他空间布局约束要求</w:t>
            </w:r>
          </w:p>
        </w:tc>
        <w:tc>
          <w:tcPr>
            <w:tcW w:w="992" w:type="dxa"/>
            <w:vMerge w:val="restart"/>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hint="eastAsia" w:ascii="宋体" w:hAnsi="宋体" w:eastAsia="宋体" w:cs="宋体"/>
                <w:bCs/>
                <w:color w:val="000000"/>
                <w:sz w:val="21"/>
              </w:rPr>
              <w:t>本项目为新建青白渠渠道（地埋管道）和右干渠14+802-16+605段、渠系建筑物整治工程，</w:t>
            </w:r>
            <w:r>
              <w:rPr>
                <w:rFonts w:hint="eastAsia" w:ascii="宋体" w:hAnsi="宋体" w:eastAsia="宋体" w:cs="宋体"/>
                <w:color w:val="000000"/>
                <w:sz w:val="21"/>
              </w:rPr>
              <w:t>本项目临时占地及永久占地</w:t>
            </w:r>
            <w:r>
              <w:rPr>
                <w:rFonts w:hint="eastAsia" w:ascii="宋体" w:hAnsi="宋体" w:eastAsia="宋体" w:cs="宋体"/>
                <w:color w:val="000000"/>
                <w:sz w:val="21"/>
                <w:shd w:val="clear" w:color="auto" w:fill="auto"/>
              </w:rPr>
              <w:t>不涉及永久基本农田；本</w:t>
            </w:r>
            <w:r>
              <w:rPr>
                <w:rFonts w:hint="eastAsia" w:ascii="宋体" w:hAnsi="宋体" w:eastAsia="宋体" w:cs="宋体"/>
                <w:color w:val="000000"/>
                <w:sz w:val="21"/>
              </w:rPr>
              <w:t>项目新建青白渠渠道管道铺设时临时占用耕地，施工期结束后对耕地进行覆土复耕；本项目运营期间不排放废气、废水、噪声及固废。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ZH51112430001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井研县一般管控单元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空间布局约束：</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禁止开发建设活动的要求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对全部基本农田按禁止开发的要求进行管理，禁止占用基本农田发展林果业和挖塘养鱼。禁止任何单位和个人在基本农田保护区内建窑、建房、建坟、挖砂、采石、采矿、取土、堆放固体废弃物或者进行其他破坏基本农田的活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永久基本农田，实行严格保护，确保其面积不减少、土壤环境质量不下降，除法律规定的重点建设项目选址确实无法避让外，其他任何建设不得占用。在永久基本农田集中区域，不得新建可能造成土壤污染的建设项目；已经建成的，应当限期关闭拆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畜禽养殖严格按照乐山市各区县畜禽养殖区域划定方案执行，依法关闭或搬迁禁养区内的畜禽养殖场（小区）和养殖专业户。禁止在法律法规规定的禁采区内开采矿产；禁止土法采、选、冶严重污染环境的矿产资源。</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限制开发建设活动的要求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（1）现有化工、建材、有色、钢铁等工业企业，原则上限制发展，污染物排放只降不增，允许以提升安全、生态环境保护水平为目的的改建，引导企业结合产业升级等适时搬迁入园；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（2）单元内若新布局工业园区，应符合最新的国土空间规划，并结合区域环境特点、三线成果、园区产业类别，充分论证选址的环境合理性；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（4）坚持最严格的耕地保护制度，对全部耕地按限制开发的要求进行管理。严格限制农用地转为建设用地，控制建设用地总量，对耕地实行特殊保护；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（6）长江流域河道采砂应当依法取得国务院水行政主管部门有关流域管理机构或者县级以上地方人民政府水行政主管部门的许可。严格控制采砂区域、采砂总量和采砂区域内的采砂船舶数量。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不符合空间布局要求活动的退出要求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（1）长江主要支流重点管控岸线：按照长江干线非法码头治理标准和生态保护红线管控等要求，持续开展长江主要支流非法码头整治；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严格按照《四川省入河排污口整改提升工作方案》、《四川省总河长办公室关于开展入河排污口规范整治集中专项行动的通知》、《长江入河排污口排查整治专项行动》要求，持续进行长江干流及主要支流入河排污口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（3）现有制浆造纸企业，废水排放不能达到《制浆造纸工业水污染物排放标准》相应要求的应限期整治或适时搬迁入园。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其他空间布局约束要求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污染物排放管控：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允许排放量要求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（1）上一年度水环境质量未完成目标的，新建排放水污染的建设项目按照总量管控要求进行倍量削减替代；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（2）对新建排放二氧化硫、氮氧化物、工业烟粉尘和挥发性有机物的项目实施现役源2倍削减替代；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（3）水质超标的水功能区，应当实施更严格的污染物排放总量削减要求。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现有源提标升级改造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（1）现有处理规模大于1000吨日的城镇生活污水处理厂执行《四川省岷江、沱江流域水污染物排放标准》；</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（2）全市燃煤锅炉稳定达到超低排放限值要求，烟粉尘低于10毫克立方米，二氧化硫低于35毫克立方米，氮氧化物低于50毫克立方米；</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（3）在矿产资源开发活动集中区域，废水执行重金属污染物排放特别限值；</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（4）现有企业执行相应行业以及锅炉大气污染物排放标准中颗粒物、二氧化硫、氮氧化物和挥发性有机物特别排放限值和特别控制要求。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其他污染物排放管控要求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（1）长江流域县级以上地方人民政府应当统筹长江流域城乡污水集中处理设施及配套管网建设，并保障其正常运行，提高城乡污水收集处理能力；</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（2）新、改扩建规模化畜禽养殖场（小区）要实施雨污分流、粪便污水资源化利用；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（3）屠宰项目必须配套污水处理设施或进入城市污水管网；</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（4）建制镇生活垃圾无害化处理设施建设率达70%；</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（5）主要农作物化肥、农药使用量实现零增长，利用率提高到40%以上，测土配方施肥技术推广覆盖率提高到90%以上，控制农村面源污染，采取灌排分离等措施控制农田氮磷流失；</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（6）废旧农膜回收利用率达到80%以上。</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环境风险防控：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联防联控要求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其他环境风险防控要求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（1）严禁新增以铅、汞、镉、铬、砷五类重金属为主的污染物排放，引导现有企业结合产业升级等适时搬入产业对口园区；</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（3）严禁将城镇生活垃圾、污泥、工业废物直接用作肥料，禁止处理不达标的污泥进入耕地；禁止在农用地排放、倾倒、使用污泥、清淤底泥、尾矿（渣）等可能对土壤造成污染的固体废物；</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资源开发利用效率要求：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水资源利用总量要求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地下水开采要求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能源利用总量及效率要求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（1）推进清洁能源的推广使用，全面推进散煤清洁化整治；禁止新建每小时10蒸吨以下的燃煤锅炉及其他燃煤设施；</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（2）禁止焚烧秸秆，大力推进秸秆肥料化、饲料化、基料化、原料化、能源化等多种形式的秸秆综合利用；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（3）到2030年，农业废弃物全部实现资源化利用。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禁燃区要求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其他资源利用效率要求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污染物排放管控</w:t>
            </w:r>
          </w:p>
        </w:tc>
        <w:tc>
          <w:tcPr>
            <w:tcW w:w="3621" w:type="dxa"/>
            <w:noWrap w:val="0"/>
            <w:vAlign w:val="center"/>
          </w:tcPr>
          <w:p>
            <w:pPr>
              <w:pStyle w:val="199"/>
              <w:widowControl/>
              <w:shd w:val="clear" w:color="auto" w:fill="FFFFFF"/>
              <w:spacing w:line="240" w:lineRule="auto"/>
              <w:ind w:firstLine="0" w:firstLineChars="0"/>
              <w:jc w:val="center"/>
              <w:rPr>
                <w:rFonts w:ascii="宋体" w:hAnsi="宋体" w:eastAsia="宋体"/>
                <w:b/>
                <w:bCs/>
                <w:sz w:val="21"/>
              </w:rPr>
            </w:pPr>
            <w:r>
              <w:rPr>
                <w:rFonts w:hint="eastAsia" w:ascii="宋体" w:hAnsi="宋体" w:eastAsia="宋体"/>
                <w:b/>
                <w:bCs/>
                <w:sz w:val="21"/>
              </w:rPr>
              <w:t>现有源提标升级改造</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1、现有白酒、造纸等水污染企业，限期进行深度治理，不达标的企业关停并转；2、执行乐山市要素重点管控单元普适性总体准入要求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新增源等量或倍量替代</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执行乐山市要素重点管控单元普适性总体准入要求。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新增源排放标准限值</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污染物排放绩效水平准入要求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1、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pStyle w:val="199"/>
              <w:widowControl/>
              <w:shd w:val="clear" w:color="auto" w:fill="FFFFFF"/>
              <w:spacing w:line="240" w:lineRule="auto"/>
              <w:ind w:firstLine="0" w:firstLineChars="0"/>
              <w:jc w:val="center"/>
              <w:rPr>
                <w:rFonts w:ascii="Times New Roman" w:hAnsi="Times New Roman" w:eastAsia="宋体"/>
                <w:sz w:val="21"/>
              </w:rPr>
            </w:pPr>
            <w:r>
              <w:rPr>
                <w:rFonts w:hint="eastAsia" w:ascii="宋体" w:hAnsi="宋体" w:eastAsia="宋体"/>
                <w:b/>
                <w:bCs/>
                <w:sz w:val="21"/>
              </w:rPr>
              <w:t>其他污染物排放管控要求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3"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ZH51112430001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井研县一般管控单元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空间布局约束：</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禁止开发建设活动的要求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对全部基本农田按禁止开发的要求进行管理，禁止占用基本农田发展林果业和挖塘养鱼。禁止任何单位和个人在基本农田保护区内建窑、建房、建坟、挖砂、采石、采矿、取土、堆放固体废弃物或者进行其他破坏基本农田的活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永久基本农田，实行严格保护，确保其面积不减少、土壤环境质量不下降，除法律规定的重点建设项目选址确实无法避让外，其他任何建设不得占用。在永久基本农田集中区域，不得新建可能造成土壤污染的建设项目；已经建成的，应当限期关闭拆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畜禽养殖严格按照乐山市各区县畜禽养殖区域划定方案执行，依法关闭或搬迁禁养区内的畜禽养殖场（小区）和养殖专业户。禁止在法律法规规定的禁采区内开采矿产；禁止土法采、选、冶严重污染环境的矿产资源。</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限制开发建设活动的要求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（1）现有化工、建材、有色、钢铁等工业企业，原则上限制发展，污染物排放只降不增，允许以提升安全、生态环境保护水平为目的的改建，引导企业结合产业升级等适时搬迁入园；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（2）单元内若新布局工业园区，应符合最新的国土空间规划，并结合区域环境特点、三线成果、园区产业类别，充分论证选址的环境合理性；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（4）坚持最严格的耕地保护制度，对全部耕地按限制开发的要求进行管理。严格限制农用地转为建设用地，控制建设用地总量，对耕地实行特殊保护；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（6）长江流域河道采砂应当依法取得国务院水行政主管部门有关流域管理机构或者县级以上地方人民政府水行政主管部门的许可。严格控制采砂区域、采砂总量和采砂区域内的采砂船舶数量。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不符合空间布局要求活动的退出要求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（1）长江主要支流重点管控岸线：按照长江干线非法码头治理标准和生态保护红线管控等要求，持续开展长江主要支流非法码头整治；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严格按照《四川省入河排污口整改提升工作方案》、《四川省总河长办公室关于开展入河排污口规范整治集中专项行动的通知》、《长江入河排污口排查整治专项行动》要求，持续进行长江干流及主要支流入河排污口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（3）现有制浆造纸企业，废水排放不能达到《制浆造纸工业水污染物排放标准》相应要求的应限期整治或适时搬迁入园。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其他空间布局约束要求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污染物排放管控：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允许排放量要求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（1）上一年度水环境质量未完成目标的，新建排放水污染的建设项目按照总量管控要求进行倍量削减替代；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（2）对新建排放二氧化硫、氮氧化物、工业烟粉尘和挥发性有机物的项目实施现役源2倍削减替代；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（3）水质超标的水功能区，应当实施更严格的污染物排放总量削减要求。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现有源提标升级改造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（1）现有处理规模大于1000吨日的城镇生活污水处理厂执行《四川省岷江、沱江流域水污染物排放标准》；</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（2）全市燃煤锅炉稳定达到超低排放限值要求，烟粉尘低于10毫克立方米，二氧化硫低于35毫克立方米，氮氧化物低于50毫克立方米；</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（3）在矿产资源开发活动集中区域，废水执行重金属污染物排放特别限值；</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（4）现有企业执行相应行业以及锅炉大气污染物排放标准中颗粒物、二氧化硫、氮氧化物和挥发性有机物特别排放限值和特别控制要求。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其他污染物排放管控要求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（1）长江流域县级以上地方人民政府应当统筹长江流域城乡污水集中处理设施及配套管网建设，并保障其正常运行，提高城乡污水收集处理能力；</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（2）新、改扩建规模化畜禽养殖场（小区）要实施雨污分流、粪便污水资源化利用；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（3）屠宰项目必须配套污水处理设施或进入城市污水管网；</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（4）建制镇生活垃圾无害化处理设施建设率达70%；</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（5）主要农作物化肥、农药使用量实现零增长，利用率提高到40%以上，测土配方施肥技术推广覆盖率提高到90%以上，控制农村面源污染，采取灌排分离等措施控制农田氮磷流失；</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（6）废旧农膜回收利用率达到80%以上。</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环境风险防控：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联防联控要求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其他环境风险防控要求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（1）严禁新增以铅、汞、镉、铬、砷五类重金属为主的污染物排放，引导现有企业结合产业升级等适时搬入产业对口园区；</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（3）严禁将城镇生活垃圾、污泥、工业废物直接用作肥料，禁止处理不达标的污泥进入耕地；禁止在农用地排放、倾倒、使用污泥、清淤底泥、尾矿（渣）等可能对土壤造成污染的固体废物；</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资源开发利用效率要求：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水资源利用总量要求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地下水开采要求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能源利用总量及效率要求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（1）推进清洁能源的推广使用，全面推进散煤清洁化整治；禁止新建每小时10蒸吨以下的燃煤锅炉及其他燃煤设施；</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（2）禁止焚烧秸秆，大力推进秸秆肥料化、饲料化、基料化、原料化、能源化等多种形式的秸秆综合利用；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（3）到2030年，农业废弃物全部实现资源化利用。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禁燃区要求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其他资源利用效率要求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环境风险防控</w:t>
            </w:r>
          </w:p>
        </w:tc>
        <w:tc>
          <w:tcPr>
            <w:tcW w:w="3621" w:type="dxa"/>
            <w:noWrap w:val="0"/>
            <w:vAlign w:val="center"/>
          </w:tcPr>
          <w:p>
            <w:pPr>
              <w:pStyle w:val="199"/>
              <w:widowControl/>
              <w:shd w:val="clear" w:color="auto" w:fill="FFFFFF"/>
              <w:spacing w:line="240" w:lineRule="auto"/>
              <w:ind w:firstLine="0" w:firstLineChars="0"/>
              <w:jc w:val="center"/>
              <w:rPr>
                <w:rFonts w:ascii="宋体" w:hAnsi="宋体" w:eastAsia="宋体"/>
                <w:b/>
                <w:bCs/>
                <w:sz w:val="21"/>
              </w:rPr>
            </w:pPr>
            <w:r>
              <w:rPr>
                <w:rFonts w:hint="eastAsia" w:ascii="宋体" w:hAnsi="宋体" w:eastAsia="宋体"/>
                <w:b/>
                <w:bCs/>
                <w:sz w:val="21"/>
              </w:rPr>
              <w:t>严格管控类农用地管控要求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安全利用类农用地管控要求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污染地块管控要求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园区环境风险防控要求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企业环境风险防控要求</w:t>
            </w:r>
          </w:p>
          <w:p>
            <w:pPr>
              <w:pStyle w:val="199"/>
              <w:widowControl/>
              <w:shd w:val="clear" w:color="auto" w:fill="FFFFFF"/>
              <w:spacing w:line="240" w:lineRule="auto"/>
              <w:ind w:firstLine="0" w:firstLineChars="0"/>
              <w:jc w:val="center"/>
              <w:rPr>
                <w:rFonts w:hint="eastAsia" w:ascii="宋体" w:hAnsi="宋体" w:eastAsia="宋体"/>
                <w:sz w:val="21"/>
              </w:rPr>
            </w:pPr>
            <w:r>
              <w:rPr>
                <w:rFonts w:hint="eastAsia" w:ascii="宋体" w:hAnsi="宋体" w:eastAsia="宋体"/>
                <w:sz w:val="21"/>
              </w:rPr>
              <w:t>1、土壤污染重点监管企业和污染地块应严格执行《中华人民共和国土壤污染防治法》、《工矿用地土壤环境管理办法（试行）》、《四川省工况用地土壤环境管理办法》、《土壤污染防治行动计划四川省工作方案》、《四川省污染地块土壤环境管理办法》等要求；2、其他执行乐山市要素重点管控单元普适性总体准入要求。</w:t>
            </w:r>
          </w:p>
          <w:p>
            <w:pPr>
              <w:pStyle w:val="199"/>
              <w:widowControl/>
              <w:shd w:val="clear" w:color="auto" w:fill="FFFFFF"/>
              <w:spacing w:line="240" w:lineRule="auto"/>
              <w:ind w:firstLine="0" w:firstLineChars="0"/>
              <w:jc w:val="center"/>
              <w:rPr>
                <w:rFonts w:hint="eastAsia" w:ascii="宋体" w:hAnsi="宋体" w:eastAsia="宋体"/>
                <w:b/>
                <w:bCs/>
                <w:sz w:val="21"/>
              </w:rPr>
            </w:pPr>
            <w:r>
              <w:rPr>
                <w:rFonts w:hint="eastAsia" w:ascii="宋体" w:hAnsi="宋体" w:eastAsia="宋体"/>
                <w:b/>
                <w:bCs/>
                <w:sz w:val="21"/>
              </w:rPr>
              <w:t>其他环境风险防控要求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hint="eastAsia" w:ascii="宋体" w:hAnsi="宋体" w:eastAsia="宋体"/>
                <w:sz w:val="21"/>
              </w:rPr>
              <w:t>执行乐山市要素重点管控单元普适性总体准入要求。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2"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ZH51112430001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井研县一般管控单元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空间布局约束：</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禁止开发建设活动的要求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对全部基本农田按禁止开发的要求进行管理，禁止占用基本农田发展林果业和挖塘养鱼。禁止任何单位和个人在基本农田保护区内建窑、建房、建坟、挖砂、采石、采矿、取土、堆放固体废弃物或者进行其他破坏基本农田的活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永久基本农田，实行严格保护，确保其面积不减少、土壤环境质量不下降，除法律规定的重点建设项目选址确实无法避让外，其他任何建设不得占用。在永久基本农田集中区域，不得新建可能造成土壤污染的建设项目；已经建成的，应当限期关闭拆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畜禽养殖严格按照乐山市各区县畜禽养殖区域划定方案执行，依法关闭或搬迁禁养区内的畜禽养殖场（小区）和养殖专业户。禁止在法律法规规定的禁采区内开采矿产；禁止土法采、选、冶严重污染环境的矿产资源。</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限制开发建设活动的要求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（1）现有化工、建材、有色、钢铁等工业企业，原则上限制发展，污染物排放只降不增，允许以提升安全、生态环境保护水平为目的的改建，引导企业结合产业升级等适时搬迁入园；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（2）单元内若新布局工业园区，应符合最新的国土空间规划，并结合区域环境特点、三线成果、园区产业类别，充分论证选址的环境合理性；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（4）坚持最严格的耕地保护制度，对全部耕地按限制开发的要求进行管理。严格限制农用地转为建设用地，控制建设用地总量，对耕地实行特殊保护；</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（6）长江流域河道采砂应当依法取得国务院水行政主管部门有关流域管理机构或者县级以上地方人民政府水行政主管部门的许可。严格控制采砂区域、采砂总量和采砂区域内的采砂船舶数量。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不符合空间布局要求活动的退出要求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（1）长江主要支流重点管控岸线：按照长江干线非法码头治理标准和生态保护红线管控等要求，持续开展长江主要支流非法码头整治；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严格按照《四川省入河排污口整改提升工作方案》、《四川省总河长办公室关于开展入河排污口规范整治集中专项行动的通知》、《长江入河排污口排查整治专项行动》要求，持续进行长江干流及主要支流入河排污口整治；</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（3）现有制浆造纸企业，废水排放不能达到《制浆造纸工业水污染物排放标准》相应要求的应限期整治或适时搬迁入园。</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其他空间布局约束要求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污染物排放管控：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允许排放量要求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（1）上一年度水环境质量未完成目标的，新建排放水污染的建设项目按照总量管控要求进行倍量削减替代；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（2）对新建排放二氧化硫、氮氧化物、工业烟粉尘和挥发性有机物的项目实施现役源2倍削减替代；</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（3）水质超标的水功能区，应当实施更严格的污染物排放总量削减要求。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现有源提标升级改造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（1）现有处理规模大于1000吨日的城镇生活污水处理厂执行《四川省岷江、沱江流域水污染物排放标准》；</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（2）全市燃煤锅炉稳定达到超低排放限值要求，烟粉尘低于10毫克立方米，二氧化硫低于35毫克立方米，氮氧化物低于50毫克立方米；</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（3）在矿产资源开发活动集中区域，废水执行重金属污染物排放特别限值；</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（4）现有企业执行相应行业以及锅炉大气污染物排放标准中颗粒物、二氧化硫、氮氧化物和挥发性有机物特别排放限值和特别控制要求。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其他污染物排放管控要求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（1）长江流域县级以上地方人民政府应当统筹长江流域城乡污水集中处理设施及配套管网建设，并保障其正常运行，提高城乡污水收集处理能力；</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（2）新、改扩建规模化畜禽养殖场（小区）要实施雨污分流、粪便污水资源化利用；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（3）屠宰项目必须配套污水处理设施或进入城市污水管网；</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（4）建制镇生活垃圾无害化处理设施建设率达70%；</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（5）主要农作物化肥、农药使用量实现零增长，利用率提高到40%以上，测土配方施肥技术推广覆盖率提高到90%以上，控制农村面源污染，采取灌排分离等措施控制农田氮磷流失；</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（6）废旧农膜回收利用率达到80%以上。</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环境风险防控：</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联防联控要求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其他环境风险防控要求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（1）严禁新增以铅、汞、镉、铬、砷五类重金属为主的污染物排放，引导现有企业结合产业升级等适时搬入产业对口园区；</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（3）严禁将城镇生活垃圾、污泥、工业废物直接用作肥料，禁止处理不达标的污泥进入耕地；禁止在农用地排放、倾倒、使用污泥、清淤底泥、尾矿（渣）等可能对土壤造成污染的固体废物；</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资源开发利用效率要求：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水资源利用总量要求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地下水开采要求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能源利用总量及效率要求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（1）推进清洁能源的推广使用，全面推进散煤清洁化整治；禁止新建每小时10蒸吨以下的燃煤锅炉及其他燃煤设施；</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（2）禁止焚烧秸秆，大力推进秸秆肥料化、饲料化、基料化、原料化、能源化等多种形式的秸秆综合利用；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（3）到2030年，农业废弃物全部实现资源化利用。</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禁燃区要求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暂无</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其他资源利用效率要求</w:t>
            </w:r>
          </w:p>
          <w:p>
            <w:pPr>
              <w:pStyle w:val="199"/>
              <w:spacing w:line="240" w:lineRule="auto"/>
              <w:ind w:firstLine="0" w:firstLineChars="0"/>
              <w:rPr>
                <w:rFonts w:ascii="Times New Roman" w:hAnsi="Times New Roman" w:eastAsia="宋体"/>
                <w:color w:val="000000"/>
                <w:kern w:val="0"/>
                <w:sz w:val="21"/>
              </w:rPr>
            </w:pPr>
            <w:r>
              <w:rPr>
                <w:rFonts w:ascii="Times New Roman" w:hAnsi="Times New Roman" w:eastAsia="宋体"/>
                <w:color w:val="000000"/>
                <w:kern w:val="0"/>
                <w:sz w:val="21"/>
              </w:rPr>
              <w:t>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资源开发效率要求</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b/>
                <w:bCs/>
                <w:sz w:val="21"/>
              </w:rPr>
            </w:pPr>
            <w:r>
              <w:rPr>
                <w:rFonts w:ascii="Times New Roman" w:hAnsi="Times New Roman" w:eastAsia="宋体"/>
                <w:b/>
                <w:bCs/>
                <w:sz w:val="21"/>
              </w:rPr>
              <w:t>水资源利用效率要求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执行乐山市要素重点管控单元普适性总体准入要求。</w:t>
            </w:r>
          </w:p>
          <w:p>
            <w:pPr>
              <w:pStyle w:val="199"/>
              <w:widowControl/>
              <w:shd w:val="clear" w:color="auto" w:fill="FFFFFF"/>
              <w:spacing w:line="240" w:lineRule="auto"/>
              <w:ind w:firstLine="0" w:firstLineChars="0"/>
              <w:jc w:val="center"/>
              <w:rPr>
                <w:rFonts w:ascii="Times New Roman" w:hAnsi="Times New Roman" w:eastAsia="宋体"/>
                <w:b/>
                <w:bCs/>
                <w:sz w:val="21"/>
              </w:rPr>
            </w:pPr>
            <w:r>
              <w:rPr>
                <w:rFonts w:ascii="Times New Roman" w:hAnsi="Times New Roman" w:eastAsia="宋体"/>
                <w:b/>
                <w:bCs/>
                <w:sz w:val="21"/>
              </w:rPr>
              <w:t>地下水开采要求</w:t>
            </w:r>
          </w:p>
          <w:p>
            <w:pPr>
              <w:pStyle w:val="199"/>
              <w:widowControl/>
              <w:shd w:val="clear" w:color="auto" w:fill="FFFFFF"/>
              <w:spacing w:line="240" w:lineRule="auto"/>
              <w:ind w:firstLine="0" w:firstLineChars="0"/>
              <w:jc w:val="center"/>
              <w:rPr>
                <w:rFonts w:ascii="Times New Roman" w:hAnsi="Times New Roman" w:eastAsia="宋体"/>
                <w:b/>
                <w:bCs/>
                <w:sz w:val="21"/>
              </w:rPr>
            </w:pPr>
            <w:r>
              <w:rPr>
                <w:rFonts w:ascii="Times New Roman" w:hAnsi="Times New Roman" w:eastAsia="宋体"/>
                <w:b/>
                <w:bCs/>
                <w:sz w:val="21"/>
              </w:rPr>
              <w:t>能源利用效率要求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执行乐山市要素重点管控单元普适性总体准入要求。</w:t>
            </w:r>
          </w:p>
          <w:p>
            <w:pPr>
              <w:pStyle w:val="199"/>
              <w:widowControl/>
              <w:shd w:val="clear" w:color="auto" w:fill="FFFFFF"/>
              <w:spacing w:line="240" w:lineRule="auto"/>
              <w:ind w:firstLine="0" w:firstLineChars="0"/>
              <w:jc w:val="center"/>
              <w:rPr>
                <w:rFonts w:ascii="Times New Roman" w:hAnsi="Times New Roman" w:eastAsia="宋体"/>
                <w:b/>
                <w:bCs/>
                <w:sz w:val="21"/>
              </w:rPr>
            </w:pPr>
            <w:r>
              <w:rPr>
                <w:rFonts w:ascii="Times New Roman" w:hAnsi="Times New Roman" w:eastAsia="宋体"/>
                <w:b/>
                <w:bCs/>
                <w:sz w:val="21"/>
              </w:rPr>
              <w:t>其他资源利用效率要求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0" w:type="dxa"/>
            <w:vMerge w:val="restart"/>
            <w:noWrap w:val="0"/>
            <w:vAlign w:val="center"/>
          </w:tcPr>
          <w:p>
            <w:pPr>
              <w:pStyle w:val="199"/>
              <w:widowControl/>
              <w:spacing w:line="240" w:lineRule="auto"/>
              <w:ind w:firstLine="0" w:firstLineChars="0"/>
              <w:jc w:val="left"/>
              <w:rPr>
                <w:rFonts w:ascii="Times New Roman" w:hAnsi="Times New Roman" w:eastAsia="宋体"/>
                <w:sz w:val="21"/>
              </w:rPr>
            </w:pPr>
            <w:r>
              <w:rPr>
                <w:rFonts w:ascii="Times New Roman" w:hAnsi="Times New Roman" w:eastAsia="宋体"/>
                <w:sz w:val="21"/>
              </w:rPr>
              <w:t>YS5111022230008</w:t>
            </w:r>
          </w:p>
        </w:tc>
        <w:tc>
          <w:tcPr>
            <w:tcW w:w="1136" w:type="dxa"/>
            <w:vMerge w:val="restart"/>
            <w:noWrap w:val="0"/>
            <w:vAlign w:val="center"/>
          </w:tcPr>
          <w:p>
            <w:pPr>
              <w:pStyle w:val="199"/>
              <w:widowControl/>
              <w:spacing w:line="240" w:lineRule="auto"/>
              <w:ind w:firstLine="0" w:firstLineChars="0"/>
              <w:jc w:val="left"/>
              <w:rPr>
                <w:rFonts w:ascii="Times New Roman" w:hAnsi="Times New Roman" w:eastAsia="宋体"/>
                <w:sz w:val="21"/>
              </w:rPr>
            </w:pPr>
            <w:r>
              <w:rPr>
                <w:rFonts w:hint="eastAsia" w:ascii="宋体" w:hAnsi="宋体" w:eastAsia="宋体"/>
                <w:sz w:val="21"/>
              </w:rPr>
              <w:t>茫溪河市中区茫溪大桥控制单元</w:t>
            </w:r>
          </w:p>
        </w:tc>
        <w:tc>
          <w:tcPr>
            <w:tcW w:w="7436" w:type="dxa"/>
            <w:vMerge w:val="restart"/>
            <w:noWrap w:val="0"/>
            <w:vAlign w:val="center"/>
          </w:tcPr>
          <w:p>
            <w:pPr>
              <w:pStyle w:val="199"/>
              <w:ind w:firstLine="0" w:firstLineChars="0"/>
              <w:rPr>
                <w:rFonts w:ascii="宋体" w:hAnsi="宋体" w:eastAsia="宋体" w:cs="宋体"/>
                <w:color w:val="000000"/>
                <w:kern w:val="0"/>
                <w:sz w:val="21"/>
              </w:rPr>
            </w:pPr>
            <w:r>
              <w:rPr>
                <w:rFonts w:hint="eastAsia" w:ascii="宋体" w:hAnsi="宋体" w:eastAsia="宋体" w:cs="宋体"/>
                <w:color w:val="000000"/>
                <w:kern w:val="0"/>
                <w:sz w:val="21"/>
              </w:rPr>
              <w:t>空间布局约束：</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禁止开发建设活动的要求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限制开发建设活动的要求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不符合空间布局要求活动的退出要求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其他空间布局约束要求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污染物排放管控：</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允许排放量要求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现有源提标升级改造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其他污染物排放管控要求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环境风险防控：</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联防联控要求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其他环境风险防控要求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资源开发利用效率要求：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水资源利用总量要求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地下水开采要求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能源利用总量及效率要求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禁燃区要求</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暂无</w:t>
            </w:r>
          </w:p>
          <w:p>
            <w:pPr>
              <w:pStyle w:val="199"/>
              <w:ind w:firstLine="0" w:firstLineChars="0"/>
              <w:rPr>
                <w:rFonts w:hint="eastAsia" w:ascii="宋体" w:hAnsi="宋体" w:eastAsia="宋体" w:cs="宋体"/>
                <w:color w:val="000000"/>
                <w:kern w:val="0"/>
                <w:sz w:val="21"/>
              </w:rPr>
            </w:pPr>
            <w:r>
              <w:rPr>
                <w:rFonts w:hint="eastAsia" w:ascii="宋体" w:hAnsi="宋体" w:eastAsia="宋体" w:cs="宋体"/>
                <w:color w:val="000000"/>
                <w:kern w:val="0"/>
                <w:sz w:val="21"/>
              </w:rPr>
              <w:t>其他资源利用效率要求</w:t>
            </w:r>
          </w:p>
          <w:p>
            <w:pPr>
              <w:pStyle w:val="199"/>
              <w:spacing w:line="240" w:lineRule="auto"/>
              <w:ind w:firstLine="0" w:firstLineChars="0"/>
              <w:rPr>
                <w:rFonts w:ascii="Times New Roman" w:hAnsi="Times New Roman" w:eastAsia="宋体"/>
                <w:color w:val="000000"/>
                <w:kern w:val="0"/>
                <w:sz w:val="21"/>
              </w:rPr>
            </w:pPr>
            <w:r>
              <w:rPr>
                <w:rFonts w:hint="eastAsia" w:ascii="宋体" w:hAnsi="宋体" w:eastAsia="宋体" w:cs="宋体"/>
                <w:color w:val="000000"/>
                <w:kern w:val="0"/>
                <w:sz w:val="21"/>
              </w:rPr>
              <w:t>暂无</w:t>
            </w:r>
            <w:r>
              <w:rPr>
                <w:rFonts w:ascii="Times New Roman" w:hAnsi="Times New Roman" w:eastAsia="宋体"/>
                <w:color w:val="000000"/>
                <w:kern w:val="0"/>
                <w:sz w:val="21"/>
              </w:rPr>
              <w:t>暂无</w:t>
            </w: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空间布局约束</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禁止开发建设活动的要求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限制开发建设活动的要求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允许开发建设活动的要求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不符合空间布局要求活动的退出要求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其他空间布局约束要求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0"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YS5111242230002</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茫溪河井研县观音滩控制单元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污染物排放管控</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城镇污水污染控制措施要求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工业废水污染控制措施要求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农业面源水污染控制措施要求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合理布局畜禽养殖规模，单位面积耕地的畜禽承载力不突破《四川省畜禽养殖污染防治技术指南》要求；强化畜禽养殖场污染治理，提高养殖粪污资源化利用率。</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船舶港口水污染控制措施要求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饮用水水源和其它特殊水体保护要求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YS5111242230002</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茫溪河井研县观音滩控制单元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环境风险防控</w:t>
            </w:r>
          </w:p>
        </w:tc>
        <w:tc>
          <w:tcPr>
            <w:tcW w:w="3621" w:type="dxa"/>
            <w:vMerge w:val="restart"/>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YS5111242230002</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茫溪河井研县观音滩控制单元</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资源开发效率要求</w:t>
            </w:r>
          </w:p>
        </w:tc>
        <w:tc>
          <w:tcPr>
            <w:tcW w:w="3621"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120" w:type="dxa"/>
            <w:vMerge w:val="restart"/>
            <w:noWrap w:val="0"/>
            <w:vAlign w:val="center"/>
          </w:tcPr>
          <w:p>
            <w:pPr>
              <w:pStyle w:val="199"/>
              <w:widowControl/>
              <w:spacing w:line="240" w:lineRule="auto"/>
              <w:ind w:firstLine="0" w:firstLineChars="0"/>
              <w:jc w:val="left"/>
              <w:rPr>
                <w:rFonts w:ascii="Times New Roman" w:hAnsi="Times New Roman" w:eastAsia="宋体"/>
                <w:sz w:val="21"/>
              </w:rPr>
            </w:pPr>
            <w:r>
              <w:rPr>
                <w:rFonts w:ascii="Times New Roman" w:hAnsi="Times New Roman" w:eastAsia="宋体"/>
                <w:sz w:val="21"/>
              </w:rPr>
              <w:t>YS5111022320001</w:t>
            </w:r>
          </w:p>
        </w:tc>
        <w:tc>
          <w:tcPr>
            <w:tcW w:w="1136" w:type="dxa"/>
            <w:vMerge w:val="restart"/>
            <w:noWrap w:val="0"/>
            <w:vAlign w:val="center"/>
          </w:tcPr>
          <w:p>
            <w:pPr>
              <w:pStyle w:val="199"/>
              <w:widowControl/>
              <w:spacing w:line="240" w:lineRule="auto"/>
              <w:ind w:firstLine="0" w:firstLineChars="0"/>
              <w:jc w:val="left"/>
              <w:rPr>
                <w:rFonts w:ascii="Times New Roman" w:hAnsi="Times New Roman" w:eastAsia="宋体"/>
                <w:sz w:val="21"/>
              </w:rPr>
            </w:pPr>
            <w:r>
              <w:rPr>
                <w:rFonts w:hint="eastAsia" w:ascii="宋体" w:hAnsi="宋体" w:eastAsia="宋体"/>
                <w:sz w:val="21"/>
              </w:rPr>
              <w:t>乐山市市中区大气环境布局敏感重点管控区</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空间布局约束</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禁止开发建设活动的要求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限制开发建设活动的要求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允许开发建设活动的要求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不符合空间布局要求活动的退出要求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其他空间布局约束要求</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9"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YS5111242320001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乐山市井研县大气环境布局敏感重点管控区</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污染物排放管控</w:t>
            </w:r>
          </w:p>
        </w:tc>
        <w:tc>
          <w:tcPr>
            <w:tcW w:w="3621" w:type="dxa"/>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大气环境质量执行标准</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《环境空气质量标准》（GB3095-2012）：二级</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b/>
                <w:bCs/>
                <w:sz w:val="21"/>
              </w:rPr>
              <w:t>区域大气污染物削减/替代要求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新增大气污染物排放的建设项目实施总量削减替代。</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燃煤和其他能源大气污染控制要求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工业废气污染控制要求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机动车船大气污染控制要求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扬尘污染控制要求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农业生产经营活动大气污染控制要求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重点行业企业专项治理要求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其他大气污染物排放管控要求</w:t>
            </w:r>
          </w:p>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禁止新建高污染项目，新上涉及大气污染物排放的项目必须采用国际领先、国内一流的清洁生产技术。把能源消耗与污染物排放总量指标作为环评审批的前置条件，对新建排放二氧化硫、氮氧化物、工业烟粉尘和挥发性有机物的项目实施现役源2倍削减量替代。提高挥发性有机物污染企业环境准入门槛。对涉VOCs新建项目进行严格把关，要求各类涉VOCs的建设项目在设计、建设中使用国际领先、国内一流的清洁生产和密闭化工艺。</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YS5111242320001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乐山市井研县大气环境布局敏感重点管控区</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环境风险防控</w:t>
            </w:r>
          </w:p>
        </w:tc>
        <w:tc>
          <w:tcPr>
            <w:tcW w:w="3621" w:type="dxa"/>
            <w:vMerge w:val="restart"/>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120"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YS5111242320001</w:t>
            </w:r>
          </w:p>
        </w:tc>
        <w:tc>
          <w:tcPr>
            <w:tcW w:w="1136" w:type="dxa"/>
            <w:vMerge w:val="continue"/>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乐山市井研县大气环境布局敏感重点管控区</w:t>
            </w:r>
          </w:p>
        </w:tc>
        <w:tc>
          <w:tcPr>
            <w:tcW w:w="7436" w:type="dxa"/>
            <w:vMerge w:val="continue"/>
            <w:noWrap w:val="0"/>
            <w:vAlign w:val="center"/>
          </w:tcPr>
          <w:p>
            <w:pPr>
              <w:pStyle w:val="199"/>
              <w:spacing w:line="240" w:lineRule="auto"/>
              <w:ind w:firstLine="0" w:firstLineChars="0"/>
              <w:rPr>
                <w:rFonts w:ascii="Times New Roman" w:hAnsi="Times New Roman" w:eastAsia="宋体"/>
                <w:color w:val="000000"/>
                <w:kern w:val="0"/>
                <w:sz w:val="21"/>
              </w:rPr>
            </w:pPr>
          </w:p>
        </w:tc>
        <w:tc>
          <w:tcPr>
            <w:tcW w:w="1071" w:type="dxa"/>
            <w:noWrap w:val="0"/>
            <w:vAlign w:val="center"/>
          </w:tcPr>
          <w:p>
            <w:pPr>
              <w:pStyle w:val="199"/>
              <w:widowControl/>
              <w:spacing w:line="240" w:lineRule="auto"/>
              <w:ind w:firstLine="0" w:firstLineChars="0"/>
              <w:jc w:val="center"/>
              <w:rPr>
                <w:rFonts w:ascii="Times New Roman" w:hAnsi="Times New Roman" w:eastAsia="宋体"/>
                <w:sz w:val="21"/>
              </w:rPr>
            </w:pPr>
            <w:r>
              <w:rPr>
                <w:rFonts w:ascii="Times New Roman" w:hAnsi="Times New Roman" w:eastAsia="宋体"/>
                <w:sz w:val="21"/>
              </w:rPr>
              <w:t>资源开发效率要求</w:t>
            </w:r>
          </w:p>
        </w:tc>
        <w:tc>
          <w:tcPr>
            <w:tcW w:w="3621"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r>
              <w:rPr>
                <w:rFonts w:ascii="Times New Roman" w:hAnsi="Times New Roman" w:eastAsia="宋体"/>
                <w:sz w:val="21"/>
              </w:rPr>
              <w:t>/</w:t>
            </w:r>
          </w:p>
        </w:tc>
        <w:tc>
          <w:tcPr>
            <w:tcW w:w="992" w:type="dxa"/>
            <w:vMerge w:val="continue"/>
            <w:noWrap w:val="0"/>
            <w:vAlign w:val="center"/>
          </w:tcPr>
          <w:p>
            <w:pPr>
              <w:pStyle w:val="199"/>
              <w:widowControl/>
              <w:shd w:val="clear" w:color="auto" w:fill="FFFFFF"/>
              <w:spacing w:line="240" w:lineRule="auto"/>
              <w:ind w:firstLine="0" w:firstLineChars="0"/>
              <w:jc w:val="center"/>
              <w:rPr>
                <w:rFonts w:ascii="Times New Roman" w:hAnsi="Times New Roman" w:eastAsia="宋体"/>
                <w:sz w:val="21"/>
              </w:rPr>
            </w:pPr>
          </w:p>
        </w:tc>
      </w:tr>
    </w:tbl>
    <w:p>
      <w:pPr>
        <w:spacing w:line="360" w:lineRule="auto"/>
        <w:outlineLvl w:val="0"/>
        <w:rPr>
          <w:rFonts w:eastAsia="黑体"/>
          <w:color w:val="000000"/>
          <w:sz w:val="30"/>
        </w:rPr>
      </w:pPr>
    </w:p>
    <w:p>
      <w:pPr>
        <w:spacing w:line="360" w:lineRule="auto"/>
        <w:outlineLvl w:val="0"/>
        <w:rPr>
          <w:rFonts w:eastAsia="黑体"/>
          <w:color w:val="000000"/>
          <w:sz w:val="30"/>
        </w:rPr>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12" w:charSpace="0"/>
        </w:sectPr>
      </w:pPr>
    </w:p>
    <w:p>
      <w:pPr>
        <w:pStyle w:val="3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二、建设内容</w:t>
      </w:r>
    </w:p>
    <w:tbl>
      <w:tblPr>
        <w:tblStyle w:val="39"/>
        <w:tblW w:w="495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0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232" w:type="pct"/>
            <w:noWrap w:val="0"/>
            <w:vAlign w:val="center"/>
          </w:tcPr>
          <w:p>
            <w:pPr>
              <w:adjustRightInd w:val="0"/>
              <w:snapToGrid w:val="0"/>
              <w:jc w:val="center"/>
              <w:rPr>
                <w:rFonts w:ascii="Times New Roman" w:hAnsi="Times New Roman"/>
                <w:color w:val="000000"/>
                <w:kern w:val="0"/>
                <w:szCs w:val="21"/>
              </w:rPr>
            </w:pPr>
            <w:r>
              <w:rPr>
                <w:rFonts w:ascii="Times New Roman" w:hAnsi="Times New Roman"/>
                <w:color w:val="000000"/>
                <w:kern w:val="0"/>
                <w:sz w:val="24"/>
              </w:rPr>
              <w:t>地理位置</w:t>
            </w:r>
          </w:p>
        </w:tc>
        <w:tc>
          <w:tcPr>
            <w:tcW w:w="4767" w:type="pct"/>
            <w:noWrap w:val="0"/>
            <w:vAlign w:val="center"/>
          </w:tcPr>
          <w:p>
            <w:pPr>
              <w:pStyle w:val="223"/>
              <w:bidi w:val="0"/>
              <w:rPr>
                <w:rFonts w:ascii="Times New Roman" w:hAnsi="Times New Roman"/>
                <w:sz w:val="24"/>
                <w:lang w:bidi="ar"/>
              </w:rPr>
            </w:pPr>
            <w:r>
              <w:rPr>
                <w:rFonts w:ascii="Times New Roman" w:hAnsi="Times New Roman"/>
                <w:color w:val="000000"/>
                <w:kern w:val="0"/>
                <w:sz w:val="24"/>
              </w:rPr>
              <w:t>本项目位于乐山市市中区</w:t>
            </w:r>
            <w:r>
              <w:rPr>
                <w:rStyle w:val="268"/>
              </w:rPr>
              <w:t>，</w:t>
            </w:r>
            <w:r>
              <w:rPr>
                <w:rStyle w:val="268"/>
                <w:rFonts w:hint="eastAsia"/>
              </w:rPr>
              <w:t>包括新建青白渠和对已有灌区渠道及建筑物整治两部分</w:t>
            </w:r>
            <w:r>
              <w:rPr>
                <w:rFonts w:hint="eastAsia" w:ascii="Times New Roman" w:hAnsi="Times New Roman"/>
                <w:color w:val="3333FF"/>
                <w:kern w:val="0"/>
                <w:sz w:val="24"/>
              </w:rPr>
              <w:t>：</w:t>
            </w:r>
            <w:r>
              <w:rPr>
                <w:rFonts w:ascii="Times New Roman" w:hAnsi="Times New Roman"/>
                <w:color w:val="000000"/>
                <w:kern w:val="0"/>
                <w:sz w:val="24"/>
              </w:rPr>
              <w:t>新建青白渠管道起点为高中水库青白渠进水闸</w:t>
            </w:r>
            <w:r>
              <w:rPr>
                <w:rFonts w:ascii="Times New Roman" w:hAnsi="Times New Roman"/>
                <w:sz w:val="24"/>
                <w:lang w:bidi="ar"/>
              </w:rPr>
              <w:t>（坐标：</w:t>
            </w:r>
            <w:r>
              <w:rPr>
                <w:rFonts w:ascii="Times New Roman" w:hAnsi="Times New Roman"/>
                <w:sz w:val="24"/>
              </w:rPr>
              <w:t>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54</w:t>
            </w:r>
            <w:r>
              <w:rPr>
                <w:rFonts w:ascii="Times New Roman" w:hAnsi="Times New Roman"/>
                <w:sz w:val="24"/>
              </w:rPr>
              <w:t>′</w:t>
            </w:r>
            <w:r>
              <w:rPr>
                <w:rFonts w:hint="eastAsia" w:ascii="Times New Roman" w:hAnsi="Times New Roman"/>
                <w:sz w:val="24"/>
                <w:lang w:val="en-US" w:eastAsia="zh-CN"/>
              </w:rPr>
              <w:t>29.451</w:t>
            </w:r>
            <w:r>
              <w:rPr>
                <w:rFonts w:ascii="Times New Roman" w:hAnsi="Times New Roman"/>
                <w:sz w:val="24"/>
              </w:rPr>
              <w:t>″，29°</w:t>
            </w:r>
            <w:r>
              <w:rPr>
                <w:rFonts w:hint="eastAsia" w:ascii="Times New Roman" w:hAnsi="Times New Roman"/>
                <w:sz w:val="24"/>
                <w:lang w:val="en-US" w:eastAsia="zh-CN"/>
              </w:rPr>
              <w:t>38</w:t>
            </w:r>
            <w:r>
              <w:rPr>
                <w:rFonts w:ascii="Times New Roman" w:hAnsi="Times New Roman"/>
                <w:sz w:val="24"/>
              </w:rPr>
              <w:t>′</w:t>
            </w:r>
            <w:r>
              <w:rPr>
                <w:rFonts w:hint="eastAsia" w:ascii="Times New Roman" w:hAnsi="Times New Roman"/>
                <w:sz w:val="24"/>
                <w:lang w:val="en-US" w:eastAsia="zh-CN"/>
              </w:rPr>
              <w:t>12.749</w:t>
            </w:r>
            <w:r>
              <w:rPr>
                <w:rFonts w:ascii="Times New Roman" w:hAnsi="Times New Roman"/>
                <w:sz w:val="24"/>
              </w:rPr>
              <w:t>″</w:t>
            </w:r>
            <w:r>
              <w:rPr>
                <w:rFonts w:ascii="Times New Roman" w:hAnsi="Times New Roman"/>
                <w:sz w:val="24"/>
                <w:lang w:bidi="ar"/>
              </w:rPr>
              <w:t>），终点为楼子村水碾坝处汇入磨池河（坐标：</w:t>
            </w:r>
            <w:r>
              <w:rPr>
                <w:rFonts w:ascii="Times New Roman" w:hAnsi="Times New Roman"/>
                <w:sz w:val="24"/>
              </w:rPr>
              <w:t>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58</w:t>
            </w:r>
            <w:r>
              <w:rPr>
                <w:rFonts w:ascii="Times New Roman" w:hAnsi="Times New Roman"/>
                <w:sz w:val="24"/>
              </w:rPr>
              <w:t>′</w:t>
            </w:r>
            <w:r>
              <w:rPr>
                <w:rFonts w:hint="eastAsia" w:ascii="Times New Roman" w:hAnsi="Times New Roman"/>
                <w:sz w:val="24"/>
                <w:lang w:val="en-US" w:eastAsia="zh-CN"/>
              </w:rPr>
              <w:t>21.230</w:t>
            </w:r>
            <w:r>
              <w:rPr>
                <w:rFonts w:ascii="Times New Roman" w:hAnsi="Times New Roman"/>
                <w:sz w:val="24"/>
              </w:rPr>
              <w:t>″，29°3</w:t>
            </w:r>
            <w:r>
              <w:rPr>
                <w:rFonts w:hint="eastAsia" w:ascii="Times New Roman" w:hAnsi="Times New Roman"/>
                <w:sz w:val="24"/>
                <w:lang w:val="en-US" w:eastAsia="zh-CN"/>
              </w:rPr>
              <w:t>8</w:t>
            </w:r>
            <w:r>
              <w:rPr>
                <w:rFonts w:ascii="Times New Roman" w:hAnsi="Times New Roman"/>
                <w:sz w:val="24"/>
              </w:rPr>
              <w:t>′</w:t>
            </w:r>
            <w:r>
              <w:rPr>
                <w:rFonts w:hint="eastAsia" w:ascii="Times New Roman" w:hAnsi="Times New Roman"/>
                <w:sz w:val="24"/>
                <w:lang w:val="en-US" w:eastAsia="zh-CN"/>
              </w:rPr>
              <w:t>56.552</w:t>
            </w:r>
            <w:r>
              <w:rPr>
                <w:rFonts w:ascii="Times New Roman" w:hAnsi="Times New Roman"/>
                <w:sz w:val="24"/>
              </w:rPr>
              <w:t>″</w:t>
            </w:r>
            <w:r>
              <w:rPr>
                <w:rFonts w:ascii="Times New Roman" w:hAnsi="Times New Roman"/>
                <w:sz w:val="24"/>
                <w:lang w:bidi="ar"/>
              </w:rPr>
              <w:t>），长度为12.8km；右干渠整治段为14+802-16+605段，长度为1.803km，项目地理位置见附图1。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232" w:type="pct"/>
            <w:tcBorders>
              <w:bottom w:val="single" w:color="000000" w:sz="2" w:space="0"/>
            </w:tcBorders>
            <w:noWrap w:val="0"/>
            <w:vAlign w:val="center"/>
          </w:tcPr>
          <w:p>
            <w:pPr>
              <w:adjustRightInd w:val="0"/>
              <w:snapToGrid w:val="0"/>
              <w:jc w:val="center"/>
              <w:rPr>
                <w:rFonts w:ascii="Times New Roman" w:hAnsi="Times New Roman"/>
                <w:color w:val="000000"/>
                <w:kern w:val="0"/>
                <w:szCs w:val="21"/>
              </w:rPr>
            </w:pPr>
            <w:r>
              <w:rPr>
                <w:rFonts w:ascii="Times New Roman" w:hAnsi="Times New Roman"/>
                <w:color w:val="000000"/>
                <w:kern w:val="0"/>
                <w:sz w:val="24"/>
              </w:rPr>
              <w:t>项目组成及规模</w:t>
            </w:r>
          </w:p>
        </w:tc>
        <w:tc>
          <w:tcPr>
            <w:tcW w:w="4767" w:type="pct"/>
            <w:tcBorders>
              <w:bottom w:val="single" w:color="000000" w:sz="2" w:space="0"/>
            </w:tcBorders>
            <w:noWrap w:val="0"/>
            <w:vAlign w:val="center"/>
          </w:tcPr>
          <w:p>
            <w:pPr>
              <w:pStyle w:val="138"/>
              <w:ind w:firstLine="482"/>
              <w:rPr>
                <w:rFonts w:ascii="Times New Roman" w:hAnsi="Times New Roman"/>
                <w:b/>
                <w:color w:val="000000"/>
              </w:rPr>
            </w:pPr>
            <w:r>
              <w:rPr>
                <w:rFonts w:ascii="Times New Roman" w:hAnsi="Times New Roman"/>
                <w:b/>
                <w:color w:val="000000"/>
              </w:rPr>
              <w:t>1、项目由来</w:t>
            </w:r>
          </w:p>
          <w:p>
            <w:pPr>
              <w:pStyle w:val="138"/>
              <w:rPr>
                <w:rFonts w:ascii="Times New Roman" w:hAnsi="Times New Roman"/>
              </w:rPr>
            </w:pPr>
            <w:r>
              <w:rPr>
                <w:rFonts w:ascii="Times New Roman" w:hAnsi="Times New Roman"/>
              </w:rPr>
              <w:t>四川省作为农业大省和灌溉大省，大中型灌区奠定了四川农业大省和粮食主产省的地位。为了积极响应水利部、灌排中心《关于编制2023-2025年中型灌区续建配套与节水改造立项建议报告》中灌节水函【2022】15号、《关于加强中型灌区续建配套与节水改造项目前期工作的通知》办农水函【2022】233号的部署和要求，四川省积极谋划加快推进全省中型灌区续建配套与节水改造步伐，四川省水利厅办公室下发了《关于开展中型灌区续建配套与节水改造项目储备工作的补充通知》川水办【2022】48号。</w:t>
            </w:r>
          </w:p>
          <w:p>
            <w:pPr>
              <w:pStyle w:val="138"/>
              <w:rPr>
                <w:rFonts w:ascii="Times New Roman" w:hAnsi="Times New Roman"/>
              </w:rPr>
            </w:pPr>
            <w:r>
              <w:rPr>
                <w:rFonts w:ascii="Times New Roman" w:hAnsi="Times New Roman"/>
              </w:rPr>
              <w:t>高中水库位于乐山市岷江以东的浅丘区，市中区青平镇，库区地理坐标为东经103°53′42″，北纬29°37′31″，距乐山城32公里。该工程属长江流域岷江水系磨池河支流，坝址海拔高程380 m。是一座以农业灌溉为主，兼有乡镇供水等综合利用任务的中型水库。</w:t>
            </w:r>
          </w:p>
          <w:p>
            <w:pPr>
              <w:pStyle w:val="138"/>
              <w:rPr>
                <w:rFonts w:ascii="Times New Roman" w:hAnsi="Times New Roman"/>
              </w:rPr>
            </w:pPr>
            <w:r>
              <w:rPr>
                <w:rFonts w:ascii="Times New Roman" w:hAnsi="Times New Roman"/>
              </w:rPr>
              <w:t>高中水库渠道修建于20世纪70年代初，由于历史原因，当初建设标准低，渠道设计配套很不完善，防渗标准较低，渠系小型建筑物设计稀少且不合理，致使渠道出现了渠系水的利用率较低，严重影响工程灌溉效益的发挥，很大程度上制约着农业生产和农村经济的发展。灌区工程存在的主要问题如下：</w:t>
            </w:r>
          </w:p>
          <w:p>
            <w:pPr>
              <w:pStyle w:val="138"/>
              <w:rPr>
                <w:rFonts w:ascii="Times New Roman" w:hAnsi="Times New Roman"/>
              </w:rPr>
            </w:pPr>
            <w:r>
              <w:rPr>
                <w:rFonts w:ascii="Times New Roman" w:hAnsi="Times New Roman"/>
              </w:rPr>
              <w:t>（1）右干渠</w:t>
            </w:r>
          </w:p>
          <w:p>
            <w:pPr>
              <w:pStyle w:val="138"/>
              <w:rPr>
                <w:rFonts w:ascii="Times New Roman" w:hAnsi="Times New Roman"/>
              </w:rPr>
            </w:pPr>
            <w:r>
              <w:rPr>
                <w:rFonts w:ascii="Times New Roman" w:hAnsi="Times New Roman"/>
              </w:rPr>
              <w:t>右干渠14+802~16+605段，现状为未衬砌土渠，老化严重，带病运行多年。沿渠人民的生产生活垃圾入渠较多，加之土渠易发生垮塌，春灌和汛期高水位时阻水严重，渠道负荷加重，全渠渗漏严重，多处易发生管涌，水利用系数低。</w:t>
            </w:r>
          </w:p>
          <w:p>
            <w:pPr>
              <w:pStyle w:val="138"/>
              <w:ind w:firstLine="0" w:firstLineChars="0"/>
              <w:jc w:val="center"/>
              <w:rPr>
                <w:rFonts w:ascii="Times New Roman" w:hAnsi="Times New Roman"/>
                <w:b/>
                <w:bCs/>
                <w:sz w:val="21"/>
                <w:szCs w:val="21"/>
              </w:rPr>
            </w:pPr>
            <w:r>
              <w:rPr>
                <w:rFonts w:ascii="Times New Roman" w:hAnsi="Times New Roman"/>
              </w:rPr>
              <w:drawing>
                <wp:inline distT="0" distB="0" distL="114300" distR="114300">
                  <wp:extent cx="2464435" cy="2160270"/>
                  <wp:effectExtent l="0" t="0" r="12065" b="11430"/>
                  <wp:docPr id="213" name="图片 19" descr="c72354cfbddca249a803ab2c3790c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9" descr="c72354cfbddca249a803ab2c3790c32"/>
                          <pic:cNvPicPr>
                            <a:picLocks noChangeAspect="1"/>
                          </pic:cNvPicPr>
                        </pic:nvPicPr>
                        <pic:blipFill>
                          <a:blip r:embed="rId34"/>
                          <a:stretch>
                            <a:fillRect/>
                          </a:stretch>
                        </pic:blipFill>
                        <pic:spPr>
                          <a:xfrm>
                            <a:off x="0" y="0"/>
                            <a:ext cx="2464435" cy="2160270"/>
                          </a:xfrm>
                          <a:prstGeom prst="rect">
                            <a:avLst/>
                          </a:prstGeom>
                          <a:noFill/>
                          <a:ln>
                            <a:noFill/>
                          </a:ln>
                        </pic:spPr>
                      </pic:pic>
                    </a:graphicData>
                  </a:graphic>
                </wp:inline>
              </w:drawing>
            </w:r>
            <w:r>
              <w:rPr>
                <w:rFonts w:ascii="Times New Roman" w:hAnsi="Times New Roman"/>
                <w:b/>
                <w:bCs/>
                <w:sz w:val="21"/>
                <w:szCs w:val="21"/>
              </w:rPr>
              <w:t xml:space="preserve"> </w:t>
            </w:r>
            <w:r>
              <w:rPr>
                <w:rFonts w:ascii="Times New Roman" w:hAnsi="Times New Roman"/>
                <w:b/>
                <w:bCs/>
                <w:sz w:val="21"/>
                <w:szCs w:val="21"/>
              </w:rPr>
              <w:drawing>
                <wp:inline distT="0" distB="0" distL="114300" distR="114300">
                  <wp:extent cx="2376170" cy="2164080"/>
                  <wp:effectExtent l="0" t="0" r="5080" b="7620"/>
                  <wp:docPr id="214" name="图片 20" descr="1fa85cd2d0760c72d5ccda74409f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0" descr="1fa85cd2d0760c72d5ccda74409f0ae"/>
                          <pic:cNvPicPr>
                            <a:picLocks noChangeAspect="1"/>
                          </pic:cNvPicPr>
                        </pic:nvPicPr>
                        <pic:blipFill>
                          <a:blip r:embed="rId35"/>
                          <a:srcRect t="45245" b="5579"/>
                          <a:stretch>
                            <a:fillRect/>
                          </a:stretch>
                        </pic:blipFill>
                        <pic:spPr>
                          <a:xfrm>
                            <a:off x="0" y="0"/>
                            <a:ext cx="2376170" cy="2164080"/>
                          </a:xfrm>
                          <a:prstGeom prst="rect">
                            <a:avLst/>
                          </a:prstGeom>
                          <a:noFill/>
                          <a:ln>
                            <a:noFill/>
                          </a:ln>
                        </pic:spPr>
                      </pic:pic>
                    </a:graphicData>
                  </a:graphic>
                </wp:inline>
              </w:drawing>
            </w:r>
          </w:p>
          <w:p>
            <w:pPr>
              <w:pStyle w:val="138"/>
              <w:ind w:firstLine="422"/>
              <w:jc w:val="center"/>
              <w:rPr>
                <w:rFonts w:ascii="Times New Roman" w:hAnsi="Times New Roman"/>
                <w:b/>
                <w:bCs/>
                <w:sz w:val="21"/>
                <w:szCs w:val="21"/>
              </w:rPr>
            </w:pPr>
            <w:r>
              <w:rPr>
                <w:rFonts w:ascii="Times New Roman" w:hAnsi="Times New Roman"/>
                <w:b/>
                <w:bCs/>
                <w:sz w:val="21"/>
                <w:szCs w:val="21"/>
              </w:rPr>
              <w:t>图2-1  右干渠明渠拟整治段现状</w:t>
            </w:r>
          </w:p>
          <w:p>
            <w:pPr>
              <w:pStyle w:val="138"/>
              <w:rPr>
                <w:rFonts w:ascii="Times New Roman" w:hAnsi="Times New Roman"/>
              </w:rPr>
            </w:pPr>
            <w:r>
              <w:rPr>
                <w:rFonts w:ascii="Times New Roman" w:hAnsi="Times New Roman"/>
              </w:rPr>
              <w:t>（2）渠系建筑物的病害</w:t>
            </w:r>
          </w:p>
          <w:p>
            <w:pPr>
              <w:pStyle w:val="138"/>
              <w:rPr>
                <w:rFonts w:ascii="Times New Roman" w:hAnsi="Times New Roman"/>
              </w:rPr>
            </w:pPr>
            <w:r>
              <w:rPr>
                <w:rFonts w:ascii="Times New Roman" w:hAnsi="Times New Roman"/>
              </w:rPr>
              <w:t>灌区渠系配套不完善，设备陈旧老化；排洪设施差，严重影响渠道安全运行；便民及放水设施数量少，标准低，不利渠道管护等。</w:t>
            </w:r>
          </w:p>
          <w:p>
            <w:pPr>
              <w:pStyle w:val="138"/>
              <w:ind w:firstLine="0" w:firstLineChars="0"/>
              <w:rPr>
                <w:rFonts w:ascii="Times New Roman" w:hAnsi="Times New Roman"/>
              </w:rPr>
            </w:pPr>
            <w:r>
              <w:rPr>
                <w:rFonts w:ascii="Times New Roman" w:hAnsi="Times New Roman"/>
              </w:rPr>
              <w:drawing>
                <wp:inline distT="0" distB="0" distL="114300" distR="114300">
                  <wp:extent cx="2453640" cy="2124075"/>
                  <wp:effectExtent l="0" t="0" r="3810" b="9525"/>
                  <wp:docPr id="215" name="图片 21" descr="47115c9c21726f5da696d6877868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 descr="47115c9c21726f5da696d6877868127"/>
                          <pic:cNvPicPr>
                            <a:picLocks noChangeAspect="1"/>
                          </pic:cNvPicPr>
                        </pic:nvPicPr>
                        <pic:blipFill>
                          <a:blip r:embed="rId36"/>
                          <a:srcRect l="22104" r="19310"/>
                          <a:stretch>
                            <a:fillRect/>
                          </a:stretch>
                        </pic:blipFill>
                        <pic:spPr>
                          <a:xfrm>
                            <a:off x="0" y="0"/>
                            <a:ext cx="2453640" cy="2124075"/>
                          </a:xfrm>
                          <a:prstGeom prst="rect">
                            <a:avLst/>
                          </a:prstGeom>
                          <a:noFill/>
                          <a:ln>
                            <a:noFill/>
                          </a:ln>
                        </pic:spPr>
                      </pic:pic>
                    </a:graphicData>
                  </a:graphic>
                </wp:inline>
              </w:drawing>
            </w:r>
            <w:r>
              <w:rPr>
                <w:rFonts w:ascii="Times New Roman" w:hAnsi="Times New Roman"/>
              </w:rPr>
              <w:t xml:space="preserve"> </w:t>
            </w:r>
            <w:r>
              <w:rPr>
                <w:rFonts w:ascii="Times New Roman" w:hAnsi="Times New Roman"/>
              </w:rPr>
              <w:drawing>
                <wp:inline distT="0" distB="0" distL="114300" distR="114300">
                  <wp:extent cx="2411730" cy="2125345"/>
                  <wp:effectExtent l="0" t="0" r="7620" b="8255"/>
                  <wp:docPr id="216" name="图片 22" descr="111de222b88570487fa87a79c20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2" descr="111de222b88570487fa87a79c205465"/>
                          <pic:cNvPicPr>
                            <a:picLocks noChangeAspect="1"/>
                          </pic:cNvPicPr>
                        </pic:nvPicPr>
                        <pic:blipFill>
                          <a:blip r:embed="rId37"/>
                          <a:srcRect t="26839" b="16273"/>
                          <a:stretch>
                            <a:fillRect/>
                          </a:stretch>
                        </pic:blipFill>
                        <pic:spPr>
                          <a:xfrm>
                            <a:off x="0" y="0"/>
                            <a:ext cx="2411730" cy="2125345"/>
                          </a:xfrm>
                          <a:prstGeom prst="rect">
                            <a:avLst/>
                          </a:prstGeom>
                          <a:noFill/>
                          <a:ln>
                            <a:noFill/>
                          </a:ln>
                        </pic:spPr>
                      </pic:pic>
                    </a:graphicData>
                  </a:graphic>
                </wp:inline>
              </w:drawing>
            </w:r>
          </w:p>
          <w:p>
            <w:pPr>
              <w:pStyle w:val="138"/>
              <w:ind w:firstLine="422"/>
              <w:jc w:val="center"/>
              <w:rPr>
                <w:rFonts w:ascii="Times New Roman" w:hAnsi="Times New Roman"/>
              </w:rPr>
            </w:pPr>
            <w:r>
              <w:rPr>
                <w:rFonts w:ascii="Times New Roman" w:hAnsi="Times New Roman"/>
                <w:b/>
                <w:bCs/>
                <w:sz w:val="21"/>
                <w:szCs w:val="21"/>
              </w:rPr>
              <w:t>图2-2  渠系建筑物现状</w:t>
            </w:r>
          </w:p>
          <w:p>
            <w:pPr>
              <w:pStyle w:val="138"/>
              <w:rPr>
                <w:rFonts w:ascii="Times New Roman" w:hAnsi="Times New Roman"/>
              </w:rPr>
            </w:pPr>
            <w:r>
              <w:rPr>
                <w:rFonts w:ascii="Times New Roman" w:hAnsi="Times New Roman"/>
              </w:rPr>
              <w:t>（3）灌区现有渠系不完善</w:t>
            </w:r>
          </w:p>
          <w:p>
            <w:pPr>
              <w:pStyle w:val="138"/>
              <w:rPr>
                <w:rFonts w:ascii="Times New Roman" w:hAnsi="Times New Roman"/>
              </w:rPr>
            </w:pPr>
            <w:r>
              <w:rPr>
                <w:rFonts w:ascii="Times New Roman" w:hAnsi="Times New Roman"/>
              </w:rPr>
              <w:t>高中水库灌区原有设计灌面3.7万亩，实际灌面3.16万亩，灌区所在地青平镇八一村、铁蛇坳村、水竹村、宝兴村，白马镇磨池河村、白鹤村等土地之前由于资金困难等原因高中水库渠系未能覆盖该区域，导致该区域内灌溉用水困难，近年来该区域土地已完成高标准农田建设，但农业用水目前大部分采用从磨池河抽水灌溉。</w:t>
            </w:r>
          </w:p>
          <w:p>
            <w:pPr>
              <w:pStyle w:val="138"/>
              <w:rPr>
                <w:rFonts w:ascii="Times New Roman" w:hAnsi="Times New Roman"/>
              </w:rPr>
            </w:pPr>
            <w:r>
              <w:rPr>
                <w:rFonts w:ascii="Times New Roman" w:hAnsi="Times New Roman"/>
              </w:rPr>
              <w:t>高中水库灌区作为乐山市骨干中型灌区，在实施农业水价综合改革过程中，能起到很好的示范带动作用。通过实施灌区节水配套改造，进一步夯实灌区农田水利工程体系，为推进本地区农业水价综合改革起到至关重要的作用。</w:t>
            </w:r>
          </w:p>
          <w:p>
            <w:pPr>
              <w:pStyle w:val="138"/>
              <w:rPr>
                <w:rFonts w:ascii="Times New Roman" w:hAnsi="Times New Roman"/>
              </w:rPr>
            </w:pPr>
            <w:r>
              <w:rPr>
                <w:rFonts w:ascii="Times New Roman" w:hAnsi="Times New Roman"/>
              </w:rPr>
              <w:t>根据《</w:t>
            </w:r>
            <w:r>
              <w:rPr>
                <w:rFonts w:hint="eastAsia" w:ascii="Times New Roman" w:hAnsi="Times New Roman"/>
                <w:lang w:eastAsia="zh-CN"/>
              </w:rPr>
              <w:t>乐山市市中区高中水库灌区2023-2025年续建配套与节水改造项目</w:t>
            </w:r>
            <w:r>
              <w:rPr>
                <w:rFonts w:ascii="Times New Roman" w:hAnsi="Times New Roman"/>
              </w:rPr>
              <w:t>立项建议报告》，拟新建青白渠和对已有灌区渠道及建筑物整治两部分：其中新建青白渠管道总长12.8km，放水设施1座（青白渠进水闸），隧洞1座长180m,分水洞10处，交通便道3.0km。另外整治右干渠桩号14+802-16+605段明渠总长1.803km，节制闸1座，分水闸1座，泄洪闸3座，机耕桥4座，人行桥17座，山溪接水1处，分水洞4座，人行梯步2处；左干渠整治分水闸3座，泄洪闸8座，九龙干渠整治分水闸1座，泄洪闸2座，节制闸1座。管理房维修750m</w:t>
            </w:r>
            <w:r>
              <w:rPr>
                <w:rFonts w:ascii="Times New Roman" w:hAnsi="Times New Roman"/>
                <w:vertAlign w:val="superscript"/>
              </w:rPr>
              <w:t>2</w:t>
            </w:r>
            <w:r>
              <w:rPr>
                <w:rFonts w:ascii="Times New Roman" w:hAnsi="Times New Roman"/>
              </w:rPr>
              <w:t>和进库公路4km。本项目实施后高中水库灌区将恢复灌面0.8538万亩，改善灌面0.224万亩</w:t>
            </w:r>
            <w:r>
              <w:rPr>
                <w:rFonts w:hint="eastAsia" w:ascii="Times New Roman" w:hAnsi="Times New Roman"/>
              </w:rPr>
              <w:t>，</w:t>
            </w:r>
            <w:r>
              <w:rPr>
                <w:rFonts w:ascii="Times New Roman" w:hAnsi="Times New Roman"/>
              </w:rPr>
              <w:t>年节水量248万m</w:t>
            </w:r>
            <w:r>
              <w:rPr>
                <w:rFonts w:ascii="Times New Roman" w:hAnsi="Times New Roman"/>
                <w:vertAlign w:val="superscript"/>
              </w:rPr>
              <w:t>3</w:t>
            </w:r>
            <w:r>
              <w:rPr>
                <w:rFonts w:ascii="Times New Roman" w:hAnsi="Times New Roman"/>
              </w:rPr>
              <w:t>，渠系水利用系数提高至0.660，粮食增产457万kg，经济作物增产438万kg，能进一步夯实农业生产能力基础，为实施乡村振兴战略，推进农业水价综合改革，提高粮食综合生产能力、确保粮食安全，实施乐山市现代农业“一区六带”发展，缓解水资源供需矛盾，确保供水安全。因此，对高中水库灌区进行续建配套和节水改造是十分必要的。</w:t>
            </w:r>
          </w:p>
          <w:p>
            <w:pPr>
              <w:pStyle w:val="223"/>
              <w:bidi w:val="0"/>
            </w:pPr>
            <w:r>
              <w:t>按照《中华人民共和国环境保护法》、《中华人民共和国环境影响评价法》和国务院令第682号《建设项目环境保护管理条例》的要求，该项目建设应进行环境影响评价。</w:t>
            </w:r>
            <w:r>
              <w:rPr>
                <w:rFonts w:hint="eastAsia"/>
              </w:rPr>
              <w:t>根据调查，本项目评价范围内无自然保护区、风景名胜区、国家公园、自然保护区、风景名胜区、世界文化和自然遗产地、海洋特别保护区、饮用水水源保护区，不涉及生态红线，高中水库及磨池河的水域功能为灌溉，不涉及重要水生生物的自然产卵场、索饵场、越冬场和洄游通道。</w:t>
            </w:r>
            <w:r>
              <w:t>根据《建设项目环境影响评价分类管理名录（2021年版）》（环境保护部令第16号），本项目属于“第五十一水利</w:t>
            </w:r>
            <w:r>
              <w:rPr>
                <w:rFonts w:hint="eastAsia"/>
              </w:rPr>
              <w:t xml:space="preserve"> </w:t>
            </w:r>
            <w:r>
              <w:t>126引水工程</w:t>
            </w:r>
            <w:r>
              <w:rPr>
                <w:rFonts w:hint="eastAsia"/>
              </w:rPr>
              <w:t>-</w:t>
            </w:r>
            <w:r>
              <w:t>其他</w:t>
            </w:r>
            <w:r>
              <w:rPr>
                <w:rFonts w:hint="eastAsia"/>
              </w:rPr>
              <w:t>和125灌区工程（不含水源工程的）-其他</w:t>
            </w:r>
            <w:r>
              <w:t>”类项目，本项目应编制环境影响报告表。因此</w:t>
            </w:r>
            <w:r>
              <w:rPr>
                <w:rFonts w:hint="eastAsia"/>
                <w:lang w:eastAsia="zh-CN"/>
              </w:rPr>
              <w:t>乐山浩淼生态环境工程有限公司</w:t>
            </w:r>
            <w:r>
              <w:t>委托乐山市四维环保科技有限责任公司对“</w:t>
            </w:r>
            <w:r>
              <w:rPr>
                <w:rFonts w:hint="eastAsia"/>
                <w:lang w:eastAsia="zh-CN"/>
              </w:rPr>
              <w:t>乐山市市中区引水工程建设项目（二期工程）—高中水库灌区2023-2025年续建配套与节水改造项目</w:t>
            </w:r>
            <w:r>
              <w:t xml:space="preserve">”开展环境影响评价工作。我公司接受委托后，在组织技术人员进行了现场踏勘、资料收集和初步工程分析的基础上，依据国家有关环保法规、环评技术导则和地方环境保护行政主管部门有关规定和要求，编制了该项目环境影响报告表，现上报环境保护行政主管部门审查。 </w:t>
            </w:r>
          </w:p>
          <w:p>
            <w:pPr>
              <w:pStyle w:val="138"/>
              <w:ind w:firstLine="482"/>
              <w:rPr>
                <w:rFonts w:ascii="Times New Roman" w:hAnsi="Times New Roman"/>
                <w:b/>
                <w:color w:val="000000"/>
              </w:rPr>
            </w:pPr>
            <w:r>
              <w:rPr>
                <w:rFonts w:ascii="Times New Roman" w:hAnsi="Times New Roman"/>
                <w:b/>
                <w:color w:val="000000"/>
              </w:rPr>
              <w:t>2、建设项目概况</w:t>
            </w:r>
          </w:p>
          <w:p>
            <w:pPr>
              <w:pStyle w:val="138"/>
              <w:rPr>
                <w:rFonts w:hint="eastAsia" w:ascii="Times New Roman" w:hAnsi="Times New Roman" w:eastAsia="宋体"/>
                <w:color w:val="000000"/>
                <w:lang w:eastAsia="zh-CN"/>
              </w:rPr>
            </w:pPr>
            <w:r>
              <w:rPr>
                <w:rFonts w:ascii="Times New Roman" w:hAnsi="Times New Roman"/>
                <w:color w:val="000000"/>
              </w:rPr>
              <w:t>项目名称：</w:t>
            </w:r>
            <w:r>
              <w:rPr>
                <w:rFonts w:hint="eastAsia" w:ascii="Times New Roman" w:hAnsi="Times New Roman"/>
                <w:color w:val="000000"/>
                <w:lang w:eastAsia="zh-CN"/>
              </w:rPr>
              <w:t>乐山市市中区引水工程建设项目（二期工程）—高中水库灌区2023-2025年续建配套与节水改造项目</w:t>
            </w:r>
          </w:p>
          <w:p>
            <w:pPr>
              <w:pStyle w:val="138"/>
              <w:rPr>
                <w:rFonts w:ascii="Times New Roman" w:hAnsi="Times New Roman"/>
                <w:color w:val="000000"/>
              </w:rPr>
            </w:pPr>
            <w:r>
              <w:rPr>
                <w:rFonts w:ascii="Times New Roman" w:hAnsi="Times New Roman"/>
                <w:color w:val="000000"/>
              </w:rPr>
              <w:t>建设地点：乐山市市中区</w:t>
            </w:r>
            <w:r>
              <w:rPr>
                <w:rFonts w:hint="eastAsia" w:ascii="Times New Roman" w:hAnsi="Times New Roman"/>
                <w:color w:val="000000"/>
              </w:rPr>
              <w:t>白马镇、青平镇、茅桥镇</w:t>
            </w:r>
          </w:p>
          <w:p>
            <w:pPr>
              <w:pStyle w:val="138"/>
              <w:rPr>
                <w:rFonts w:hint="eastAsia" w:ascii="Times New Roman" w:hAnsi="Times New Roman" w:eastAsia="宋体"/>
                <w:color w:val="FF0000"/>
                <w:lang w:eastAsia="zh-CN"/>
              </w:rPr>
            </w:pPr>
            <w:r>
              <w:rPr>
                <w:rFonts w:ascii="Times New Roman" w:hAnsi="Times New Roman"/>
                <w:color w:val="000000"/>
              </w:rPr>
              <w:t>建设单位：</w:t>
            </w:r>
            <w:r>
              <w:rPr>
                <w:rFonts w:hint="eastAsia" w:ascii="Times New Roman" w:hAnsi="Times New Roman"/>
                <w:color w:val="000000"/>
                <w:lang w:eastAsia="zh-CN"/>
              </w:rPr>
              <w:t>乐山浩淼生态环境工程有限公司</w:t>
            </w:r>
          </w:p>
          <w:p>
            <w:pPr>
              <w:pStyle w:val="223"/>
              <w:bidi w:val="0"/>
              <w:rPr>
                <w:rFonts w:hint="eastAsia" w:ascii="Times New Roman" w:hAnsi="Times New Roman" w:eastAsia="宋体"/>
                <w:color w:val="000000"/>
                <w:lang w:eastAsia="zh-CN"/>
              </w:rPr>
            </w:pPr>
            <w:r>
              <w:rPr>
                <w:rFonts w:ascii="Times New Roman" w:hAnsi="Times New Roman"/>
                <w:color w:val="000000"/>
              </w:rPr>
              <w:t>建设性质：</w:t>
            </w:r>
            <w:r>
              <w:rPr>
                <w:rFonts w:hint="eastAsia" w:ascii="Times New Roman" w:hAnsi="Times New Roman"/>
                <w:color w:val="000000"/>
                <w:lang w:eastAsia="zh-CN"/>
              </w:rPr>
              <w:t>改扩建</w:t>
            </w:r>
          </w:p>
          <w:p>
            <w:pPr>
              <w:pStyle w:val="138"/>
              <w:rPr>
                <w:rFonts w:ascii="Times New Roman" w:hAnsi="Times New Roman"/>
                <w:color w:val="000000"/>
              </w:rPr>
            </w:pPr>
            <w:r>
              <w:rPr>
                <w:rFonts w:ascii="Times New Roman" w:hAnsi="Times New Roman"/>
                <w:color w:val="000000"/>
              </w:rPr>
              <w:t>工程投资：总投资6253.62万元</w:t>
            </w:r>
          </w:p>
          <w:p>
            <w:pPr>
              <w:pStyle w:val="138"/>
              <w:rPr>
                <w:rFonts w:ascii="Times New Roman" w:hAnsi="Times New Roman"/>
                <w:color w:val="000000"/>
              </w:rPr>
            </w:pPr>
            <w:r>
              <w:rPr>
                <w:rFonts w:ascii="Times New Roman" w:hAnsi="Times New Roman"/>
                <w:color w:val="000000"/>
              </w:rPr>
              <w:t>建设工期：19个月，计划在第一年10月至第三年4月完成，各渠道的整治基本安排在11月至次年的3月进行。</w:t>
            </w:r>
          </w:p>
          <w:p>
            <w:pPr>
              <w:pStyle w:val="223"/>
              <w:bidi w:val="0"/>
              <w:rPr>
                <w:rFonts w:ascii="Times New Roman" w:hAnsi="Times New Roman"/>
                <w:color w:val="000000"/>
              </w:rPr>
            </w:pPr>
            <w:r>
              <w:rPr>
                <w:rFonts w:ascii="Times New Roman" w:hAnsi="Times New Roman"/>
                <w:color w:val="000000"/>
              </w:rPr>
              <w:t>建设内容：</w:t>
            </w:r>
            <w:r>
              <w:rPr>
                <w:rFonts w:hint="eastAsia" w:ascii="Times New Roman" w:hAnsi="Times New Roman"/>
                <w:color w:val="000000"/>
              </w:rPr>
              <w:t>本工程包括</w:t>
            </w:r>
            <w:r>
              <w:rPr>
                <w:rFonts w:ascii="Times New Roman" w:hAnsi="Times New Roman"/>
                <w:color w:val="000000"/>
              </w:rPr>
              <w:t>新建青白渠和对已有灌区渠道及建筑物整治两部分</w:t>
            </w:r>
            <w:r>
              <w:rPr>
                <w:rFonts w:hint="eastAsia" w:ascii="Times New Roman" w:hAnsi="Times New Roman"/>
                <w:color w:val="000000"/>
              </w:rPr>
              <w:t>，</w:t>
            </w:r>
            <w:r>
              <w:rPr>
                <w:rFonts w:ascii="Times New Roman" w:hAnsi="Times New Roman"/>
                <w:color w:val="000000"/>
              </w:rPr>
              <w:t>新建青白渠管道总长12.8km</w:t>
            </w:r>
            <w:r>
              <w:rPr>
                <w:rFonts w:hint="eastAsia" w:ascii="Times New Roman" w:hAnsi="Times New Roman"/>
                <w:color w:val="000000"/>
              </w:rPr>
              <w:t>，</w:t>
            </w:r>
            <w:r>
              <w:rPr>
                <w:rFonts w:ascii="Times New Roman" w:hAnsi="Times New Roman"/>
                <w:color w:val="000000"/>
              </w:rPr>
              <w:t>放水设施1座（青白渠进水闸），隧洞1座长180m</w:t>
            </w:r>
            <w:r>
              <w:rPr>
                <w:rFonts w:hint="eastAsia" w:ascii="Times New Roman" w:hAnsi="Times New Roman"/>
                <w:color w:val="000000"/>
              </w:rPr>
              <w:t>，</w:t>
            </w:r>
            <w:r>
              <w:rPr>
                <w:rFonts w:ascii="Times New Roman" w:hAnsi="Times New Roman"/>
                <w:color w:val="000000"/>
              </w:rPr>
              <w:t>分水洞10处，</w:t>
            </w:r>
            <w:r>
              <w:rPr>
                <w:rFonts w:hint="eastAsia"/>
                <w:color w:val="000000"/>
                <w:lang w:eastAsia="zh-CN"/>
              </w:rPr>
              <w:t>临时施工</w:t>
            </w:r>
            <w:r>
              <w:rPr>
                <w:rFonts w:ascii="Times New Roman" w:hAnsi="Times New Roman"/>
                <w:color w:val="000000"/>
              </w:rPr>
              <w:t>便道3.0km</w:t>
            </w:r>
            <w:r>
              <w:rPr>
                <w:rFonts w:hint="eastAsia" w:ascii="Times New Roman" w:hAnsi="Times New Roman"/>
                <w:color w:val="000000"/>
              </w:rPr>
              <w:t>；</w:t>
            </w:r>
            <w:r>
              <w:rPr>
                <w:rFonts w:ascii="Times New Roman" w:hAnsi="Times New Roman"/>
                <w:color w:val="000000"/>
              </w:rPr>
              <w:t>整治右干渠桩号14+802-16+605段明渠总长1.803km</w:t>
            </w:r>
            <w:r>
              <w:rPr>
                <w:rFonts w:hint="eastAsia" w:ascii="Times New Roman" w:hAnsi="Times New Roman"/>
                <w:color w:val="000000"/>
              </w:rPr>
              <w:t>，</w:t>
            </w:r>
            <w:r>
              <w:rPr>
                <w:rFonts w:ascii="Times New Roman" w:hAnsi="Times New Roman"/>
                <w:color w:val="000000"/>
              </w:rPr>
              <w:t>节制闸1座，分水闸1座，泄洪闸3座，机耕桥4座，人行桥17座，山溪接水1处，分水洞4座，人行梯步2处；左干渠整治分水闸3座，泄洪闸8座；九龙干渠整治分水闸1座，泄洪闸2座，节制闸1座。管理房维护750m</w:t>
            </w:r>
            <w:r>
              <w:rPr>
                <w:rFonts w:ascii="Times New Roman" w:hAnsi="Times New Roman"/>
                <w:color w:val="000000"/>
                <w:vertAlign w:val="superscript"/>
              </w:rPr>
              <w:t>2</w:t>
            </w:r>
            <w:r>
              <w:rPr>
                <w:rFonts w:ascii="Times New Roman" w:hAnsi="Times New Roman"/>
                <w:color w:val="000000"/>
              </w:rPr>
              <w:t>和进库公路整治4km。</w:t>
            </w:r>
          </w:p>
          <w:p>
            <w:pPr>
              <w:pStyle w:val="138"/>
              <w:ind w:firstLine="422"/>
              <w:jc w:val="center"/>
              <w:rPr>
                <w:rFonts w:ascii="Times New Roman" w:hAnsi="Times New Roman"/>
                <w:b/>
                <w:bCs/>
                <w:color w:val="000000"/>
                <w:sz w:val="21"/>
                <w:szCs w:val="21"/>
              </w:rPr>
            </w:pPr>
            <w:r>
              <w:rPr>
                <w:rFonts w:ascii="Times New Roman" w:hAnsi="Times New Roman"/>
                <w:b/>
                <w:bCs/>
                <w:color w:val="000000"/>
                <w:sz w:val="21"/>
                <w:szCs w:val="21"/>
              </w:rPr>
              <w:t>表2-1  高中水库中型灌区续建配套和节水改造整治渠道特性表</w:t>
            </w:r>
          </w:p>
          <w:tbl>
            <w:tblPr>
              <w:tblStyle w:val="39"/>
              <w:tblW w:w="77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49"/>
              <w:gridCol w:w="1632"/>
              <w:gridCol w:w="758"/>
              <w:gridCol w:w="943"/>
              <w:gridCol w:w="915"/>
              <w:gridCol w:w="930"/>
              <w:gridCol w:w="1080"/>
              <w:gridCol w:w="10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0" w:hRule="exact"/>
                <w:tblHeader/>
                <w:jc w:val="center"/>
              </w:trPr>
              <w:tc>
                <w:tcPr>
                  <w:tcW w:w="449" w:type="dxa"/>
                  <w:noWrap w:val="0"/>
                  <w:vAlign w:val="center"/>
                </w:tcPr>
                <w:p>
                  <w:pPr>
                    <w:pStyle w:val="269"/>
                  </w:pPr>
                  <w:r>
                    <w:t>序号</w:t>
                  </w:r>
                </w:p>
              </w:tc>
              <w:tc>
                <w:tcPr>
                  <w:tcW w:w="1632" w:type="dxa"/>
                  <w:noWrap w:val="0"/>
                  <w:vAlign w:val="center"/>
                </w:tcPr>
                <w:p>
                  <w:pPr>
                    <w:pStyle w:val="269"/>
                  </w:pPr>
                  <w:r>
                    <w:t>名称</w:t>
                  </w:r>
                </w:p>
              </w:tc>
              <w:tc>
                <w:tcPr>
                  <w:tcW w:w="758" w:type="dxa"/>
                  <w:noWrap w:val="0"/>
                  <w:vAlign w:val="center"/>
                </w:tcPr>
                <w:p>
                  <w:pPr>
                    <w:pStyle w:val="269"/>
                  </w:pPr>
                  <w:r>
                    <w:t>建设地点</w:t>
                  </w:r>
                </w:p>
              </w:tc>
              <w:tc>
                <w:tcPr>
                  <w:tcW w:w="943" w:type="dxa"/>
                  <w:noWrap w:val="0"/>
                  <w:vAlign w:val="center"/>
                </w:tcPr>
                <w:p>
                  <w:pPr>
                    <w:pStyle w:val="269"/>
                  </w:pPr>
                  <w:r>
                    <w:t>控灌面积(亩)</w:t>
                  </w:r>
                </w:p>
              </w:tc>
              <w:tc>
                <w:tcPr>
                  <w:tcW w:w="915" w:type="dxa"/>
                  <w:noWrap w:val="0"/>
                  <w:vAlign w:val="center"/>
                </w:tcPr>
                <w:p>
                  <w:pPr>
                    <w:pStyle w:val="269"/>
                  </w:pPr>
                  <w:r>
                    <w:t>整治长度(km)</w:t>
                  </w:r>
                </w:p>
              </w:tc>
              <w:tc>
                <w:tcPr>
                  <w:tcW w:w="930" w:type="dxa"/>
                  <w:noWrap w:val="0"/>
                  <w:vAlign w:val="center"/>
                </w:tcPr>
                <w:p>
                  <w:pPr>
                    <w:pStyle w:val="269"/>
                  </w:pPr>
                  <w:r>
                    <w:t>设计流量（m³）/s)</w:t>
                  </w:r>
                </w:p>
              </w:tc>
              <w:tc>
                <w:tcPr>
                  <w:tcW w:w="1080" w:type="dxa"/>
                  <w:noWrap w:val="0"/>
                  <w:vAlign w:val="center"/>
                </w:tcPr>
                <w:p>
                  <w:pPr>
                    <w:pStyle w:val="269"/>
                  </w:pPr>
                  <w:r>
                    <w:t>加大流量</w:t>
                  </w:r>
                </w:p>
                <w:p>
                  <w:pPr>
                    <w:pStyle w:val="269"/>
                  </w:pPr>
                  <w:r>
                    <w:t>(m</w:t>
                  </w:r>
                  <w:r>
                    <w:rPr>
                      <w:vertAlign w:val="superscript"/>
                    </w:rPr>
                    <w:t>3</w:t>
                  </w:r>
                  <w:r>
                    <w:t>/s)</w:t>
                  </w:r>
                </w:p>
              </w:tc>
              <w:tc>
                <w:tcPr>
                  <w:tcW w:w="1069" w:type="dxa"/>
                  <w:noWrap w:val="0"/>
                  <w:vAlign w:val="center"/>
                </w:tcPr>
                <w:p>
                  <w:pPr>
                    <w:pStyle w:val="269"/>
                  </w:pPr>
                  <w: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exact"/>
                <w:jc w:val="center"/>
              </w:trPr>
              <w:tc>
                <w:tcPr>
                  <w:tcW w:w="449" w:type="dxa"/>
                  <w:noWrap w:val="0"/>
                  <w:vAlign w:val="center"/>
                </w:tcPr>
                <w:p>
                  <w:pPr>
                    <w:pStyle w:val="269"/>
                  </w:pPr>
                  <w:r>
                    <w:t>1</w:t>
                  </w:r>
                </w:p>
              </w:tc>
              <w:tc>
                <w:tcPr>
                  <w:tcW w:w="1632" w:type="dxa"/>
                  <w:noWrap w:val="0"/>
                  <w:vAlign w:val="center"/>
                </w:tcPr>
                <w:p>
                  <w:pPr>
                    <w:pStyle w:val="269"/>
                  </w:pPr>
                  <w:r>
                    <w:t>青白渠</w:t>
                  </w:r>
                </w:p>
              </w:tc>
              <w:tc>
                <w:tcPr>
                  <w:tcW w:w="758" w:type="dxa"/>
                  <w:noWrap w:val="0"/>
                  <w:vAlign w:val="center"/>
                </w:tcPr>
                <w:p>
                  <w:pPr>
                    <w:pStyle w:val="269"/>
                  </w:pPr>
                  <w:r>
                    <w:t>市中区</w:t>
                  </w:r>
                </w:p>
              </w:tc>
              <w:tc>
                <w:tcPr>
                  <w:tcW w:w="943" w:type="dxa"/>
                  <w:noWrap w:val="0"/>
                  <w:vAlign w:val="center"/>
                </w:tcPr>
                <w:p>
                  <w:pPr>
                    <w:pStyle w:val="269"/>
                  </w:pPr>
                  <w:r>
                    <w:t>5388</w:t>
                  </w:r>
                </w:p>
              </w:tc>
              <w:tc>
                <w:tcPr>
                  <w:tcW w:w="915" w:type="dxa"/>
                  <w:noWrap w:val="0"/>
                  <w:vAlign w:val="center"/>
                </w:tcPr>
                <w:p>
                  <w:pPr>
                    <w:pStyle w:val="269"/>
                  </w:pPr>
                  <w:r>
                    <w:t>12.8</w:t>
                  </w:r>
                </w:p>
              </w:tc>
              <w:tc>
                <w:tcPr>
                  <w:tcW w:w="930" w:type="dxa"/>
                  <w:noWrap w:val="0"/>
                  <w:vAlign w:val="center"/>
                </w:tcPr>
                <w:p>
                  <w:pPr>
                    <w:pStyle w:val="269"/>
                  </w:pPr>
                  <w:r>
                    <w:t>0.5</w:t>
                  </w:r>
                </w:p>
              </w:tc>
              <w:tc>
                <w:tcPr>
                  <w:tcW w:w="1080" w:type="dxa"/>
                  <w:noWrap w:val="0"/>
                  <w:vAlign w:val="center"/>
                </w:tcPr>
                <w:p>
                  <w:pPr>
                    <w:pStyle w:val="269"/>
                  </w:pPr>
                  <w:r>
                    <w:t>0.65</w:t>
                  </w:r>
                </w:p>
              </w:tc>
              <w:tc>
                <w:tcPr>
                  <w:tcW w:w="1069" w:type="dxa"/>
                  <w:noWrap w:val="0"/>
                  <w:vAlign w:val="center"/>
                </w:tcPr>
                <w:p>
                  <w:pPr>
                    <w:pStyle w:val="269"/>
                  </w:pPr>
                  <w:r>
                    <w:t>灌溉渠道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5" w:hRule="exact"/>
                <w:jc w:val="center"/>
              </w:trPr>
              <w:tc>
                <w:tcPr>
                  <w:tcW w:w="449" w:type="dxa"/>
                  <w:noWrap w:val="0"/>
                  <w:vAlign w:val="center"/>
                </w:tcPr>
                <w:p>
                  <w:pPr>
                    <w:pStyle w:val="269"/>
                  </w:pPr>
                  <w:r>
                    <w:t>2</w:t>
                  </w:r>
                </w:p>
              </w:tc>
              <w:tc>
                <w:tcPr>
                  <w:tcW w:w="1632" w:type="dxa"/>
                  <w:noWrap w:val="0"/>
                  <w:vAlign w:val="center"/>
                </w:tcPr>
                <w:p>
                  <w:pPr>
                    <w:pStyle w:val="269"/>
                  </w:pPr>
                  <w:r>
                    <w:t>右干渠14+802-16+605</w:t>
                  </w:r>
                </w:p>
              </w:tc>
              <w:tc>
                <w:tcPr>
                  <w:tcW w:w="758" w:type="dxa"/>
                  <w:noWrap w:val="0"/>
                  <w:vAlign w:val="center"/>
                </w:tcPr>
                <w:p>
                  <w:pPr>
                    <w:pStyle w:val="269"/>
                  </w:pPr>
                  <w:r>
                    <w:t>市中区</w:t>
                  </w:r>
                </w:p>
              </w:tc>
              <w:tc>
                <w:tcPr>
                  <w:tcW w:w="943" w:type="dxa"/>
                  <w:noWrap w:val="0"/>
                  <w:vAlign w:val="center"/>
                </w:tcPr>
                <w:p>
                  <w:pPr>
                    <w:pStyle w:val="269"/>
                  </w:pPr>
                  <w:r>
                    <w:t>2240</w:t>
                  </w:r>
                </w:p>
              </w:tc>
              <w:tc>
                <w:tcPr>
                  <w:tcW w:w="915" w:type="dxa"/>
                  <w:noWrap w:val="0"/>
                  <w:vAlign w:val="center"/>
                </w:tcPr>
                <w:p>
                  <w:pPr>
                    <w:pStyle w:val="269"/>
                  </w:pPr>
                  <w:r>
                    <w:t>1.803</w:t>
                  </w:r>
                </w:p>
              </w:tc>
              <w:tc>
                <w:tcPr>
                  <w:tcW w:w="930" w:type="dxa"/>
                  <w:noWrap w:val="0"/>
                  <w:vAlign w:val="center"/>
                </w:tcPr>
                <w:p>
                  <w:pPr>
                    <w:pStyle w:val="269"/>
                  </w:pPr>
                  <w:r>
                    <w:t>0.7-0.4</w:t>
                  </w:r>
                </w:p>
              </w:tc>
              <w:tc>
                <w:tcPr>
                  <w:tcW w:w="1080" w:type="dxa"/>
                  <w:noWrap w:val="0"/>
                  <w:vAlign w:val="center"/>
                </w:tcPr>
                <w:p>
                  <w:pPr>
                    <w:pStyle w:val="269"/>
                  </w:pPr>
                  <w:r>
                    <w:t>1.04-0.78</w:t>
                  </w:r>
                </w:p>
              </w:tc>
              <w:tc>
                <w:tcPr>
                  <w:tcW w:w="1069" w:type="dxa"/>
                  <w:noWrap w:val="0"/>
                  <w:vAlign w:val="center"/>
                </w:tcPr>
                <w:p>
                  <w:pPr>
                    <w:pStyle w:val="269"/>
                  </w:pPr>
                  <w:r>
                    <w:t>灌溉渠道</w:t>
                  </w:r>
                </w:p>
              </w:tc>
            </w:tr>
          </w:tbl>
          <w:p>
            <w:pPr>
              <w:pStyle w:val="138"/>
              <w:spacing w:line="240" w:lineRule="auto"/>
              <w:ind w:firstLine="0" w:firstLineChars="0"/>
              <w:jc w:val="center"/>
              <w:rPr>
                <w:rFonts w:ascii="Times New Roman" w:hAnsi="Times New Roman"/>
                <w:b/>
                <w:bCs/>
                <w:color w:val="000000"/>
                <w:sz w:val="21"/>
                <w:szCs w:val="21"/>
              </w:rPr>
            </w:pPr>
          </w:p>
          <w:p>
            <w:pPr>
              <w:pStyle w:val="138"/>
              <w:ind w:firstLine="0" w:firstLineChars="0"/>
              <w:jc w:val="center"/>
              <w:rPr>
                <w:rFonts w:ascii="Times New Roman" w:hAnsi="Times New Roman"/>
                <w:b/>
                <w:bCs/>
                <w:color w:val="000000"/>
                <w:sz w:val="21"/>
                <w:szCs w:val="21"/>
              </w:rPr>
            </w:pPr>
            <w:r>
              <w:rPr>
                <w:rFonts w:ascii="Times New Roman" w:hAnsi="Times New Roman"/>
                <w:b/>
                <w:bCs/>
                <w:color w:val="000000"/>
                <w:sz w:val="21"/>
                <w:szCs w:val="21"/>
              </w:rPr>
              <w:t>表2-2  高中水库中型灌区续建配套和节水改造整治渠系建筑物特性表</w:t>
            </w:r>
          </w:p>
          <w:tbl>
            <w:tblPr>
              <w:tblStyle w:val="39"/>
              <w:tblpPr w:leftFromText="180" w:rightFromText="180" w:vertAnchor="text" w:horzAnchor="page" w:tblpXSpec="center" w:tblpY="125"/>
              <w:tblOverlap w:val="never"/>
              <w:tblW w:w="7797" w:type="dxa"/>
              <w:jc w:val="center"/>
              <w:tblLayout w:type="fixed"/>
              <w:tblCellMar>
                <w:top w:w="0" w:type="dxa"/>
                <w:left w:w="108" w:type="dxa"/>
                <w:bottom w:w="0" w:type="dxa"/>
                <w:right w:w="108" w:type="dxa"/>
              </w:tblCellMar>
            </w:tblPr>
            <w:tblGrid>
              <w:gridCol w:w="1634"/>
              <w:gridCol w:w="843"/>
              <w:gridCol w:w="1168"/>
              <w:gridCol w:w="1168"/>
              <w:gridCol w:w="1350"/>
              <w:gridCol w:w="1634"/>
            </w:tblGrid>
            <w:tr>
              <w:tblPrEx>
                <w:tblCellMar>
                  <w:top w:w="0" w:type="dxa"/>
                  <w:left w:w="108" w:type="dxa"/>
                  <w:bottom w:w="0" w:type="dxa"/>
                  <w:right w:w="108" w:type="dxa"/>
                </w:tblCellMar>
              </w:tblPrEx>
              <w:trPr>
                <w:trHeight w:val="275" w:hRule="exact"/>
                <w:jc w:val="center"/>
              </w:trPr>
              <w:tc>
                <w:tcPr>
                  <w:tcW w:w="1634" w:type="dxa"/>
                  <w:tcBorders>
                    <w:top w:val="single" w:color="000000" w:sz="12" w:space="0"/>
                    <w:left w:val="single" w:color="000000" w:sz="12"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项目</w:t>
                  </w:r>
                </w:p>
              </w:tc>
              <w:tc>
                <w:tcPr>
                  <w:tcW w:w="843" w:type="dxa"/>
                  <w:tcBorders>
                    <w:top w:val="single" w:color="000000" w:sz="12" w:space="0"/>
                    <w:left w:val="single" w:color="000000" w:sz="4"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青白渠</w:t>
                  </w:r>
                </w:p>
              </w:tc>
              <w:tc>
                <w:tcPr>
                  <w:tcW w:w="1168" w:type="dxa"/>
                  <w:tcBorders>
                    <w:top w:val="single" w:color="000000" w:sz="12" w:space="0"/>
                    <w:left w:val="single" w:color="000000" w:sz="4"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右干渠</w:t>
                  </w:r>
                </w:p>
              </w:tc>
              <w:tc>
                <w:tcPr>
                  <w:tcW w:w="1168" w:type="dxa"/>
                  <w:tcBorders>
                    <w:top w:val="single" w:color="000000" w:sz="12" w:space="0"/>
                    <w:left w:val="single" w:color="000000" w:sz="4"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左干渠</w:t>
                  </w:r>
                </w:p>
              </w:tc>
              <w:tc>
                <w:tcPr>
                  <w:tcW w:w="1350" w:type="dxa"/>
                  <w:tcBorders>
                    <w:top w:val="single" w:color="000000" w:sz="12" w:space="0"/>
                    <w:left w:val="single" w:color="000000" w:sz="4"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九龙干渠</w:t>
                  </w:r>
                </w:p>
              </w:tc>
              <w:tc>
                <w:tcPr>
                  <w:tcW w:w="1634" w:type="dxa"/>
                  <w:tcBorders>
                    <w:top w:val="single" w:color="000000" w:sz="12" w:space="0"/>
                    <w:left w:val="single" w:color="000000" w:sz="4" w:space="0"/>
                    <w:bottom w:val="single" w:color="000000" w:sz="4" w:space="0"/>
                    <w:right w:val="single" w:color="000000" w:sz="12"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小计</w:t>
                  </w:r>
                </w:p>
              </w:tc>
            </w:tr>
            <w:tr>
              <w:tblPrEx>
                <w:tblCellMar>
                  <w:top w:w="0" w:type="dxa"/>
                  <w:left w:w="108" w:type="dxa"/>
                  <w:bottom w:w="0" w:type="dxa"/>
                  <w:right w:w="108" w:type="dxa"/>
                </w:tblCellMar>
              </w:tblPrEx>
              <w:trPr>
                <w:trHeight w:val="281" w:hRule="exact"/>
                <w:jc w:val="center"/>
              </w:trPr>
              <w:tc>
                <w:tcPr>
                  <w:tcW w:w="1634" w:type="dxa"/>
                  <w:tcBorders>
                    <w:top w:val="single" w:color="000000" w:sz="4" w:space="0"/>
                    <w:left w:val="single" w:color="000000" w:sz="12"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隧洞</w:t>
                  </w:r>
                  <w:r>
                    <w:rPr>
                      <w:rFonts w:hint="eastAsia" w:ascii="Times New Roman" w:hAnsi="Times New Roman"/>
                      <w:kern w:val="0"/>
                      <w:szCs w:val="21"/>
                      <w:lang w:bidi="ar"/>
                    </w:rPr>
                    <w:t>（</w:t>
                  </w:r>
                  <w:r>
                    <w:rPr>
                      <w:rFonts w:ascii="Times New Roman" w:hAnsi="Times New Roman"/>
                      <w:kern w:val="0"/>
                      <w:szCs w:val="21"/>
                      <w:lang w:bidi="ar"/>
                    </w:rPr>
                    <w:t>m/座</w:t>
                  </w:r>
                  <w:r>
                    <w:rPr>
                      <w:rFonts w:hint="eastAsia" w:ascii="Times New Roman" w:hAnsi="Times New Roman"/>
                      <w:kern w:val="0"/>
                      <w:szCs w:val="21"/>
                      <w:lang w:bidi="ar"/>
                    </w:rPr>
                    <w:t>）</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180/1</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180/1</w:t>
                  </w:r>
                </w:p>
              </w:tc>
            </w:tr>
            <w:tr>
              <w:tblPrEx>
                <w:tblCellMar>
                  <w:top w:w="0" w:type="dxa"/>
                  <w:left w:w="108" w:type="dxa"/>
                  <w:bottom w:w="0" w:type="dxa"/>
                  <w:right w:w="108" w:type="dxa"/>
                </w:tblCellMar>
              </w:tblPrEx>
              <w:trPr>
                <w:trHeight w:val="333" w:hRule="exact"/>
                <w:jc w:val="center"/>
              </w:trPr>
              <w:tc>
                <w:tcPr>
                  <w:tcW w:w="1634" w:type="dxa"/>
                  <w:tcBorders>
                    <w:top w:val="single" w:color="000000" w:sz="4" w:space="0"/>
                    <w:left w:val="single" w:color="000000" w:sz="12"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节制闸</w:t>
                  </w:r>
                  <w:r>
                    <w:rPr>
                      <w:rFonts w:hint="eastAsia" w:ascii="Times New Roman" w:hAnsi="Times New Roman"/>
                      <w:kern w:val="0"/>
                      <w:szCs w:val="21"/>
                      <w:lang w:bidi="ar"/>
                    </w:rPr>
                    <w:t>（</w:t>
                  </w:r>
                  <w:r>
                    <w:rPr>
                      <w:rFonts w:ascii="Times New Roman" w:hAnsi="Times New Roman"/>
                      <w:kern w:val="0"/>
                      <w:szCs w:val="21"/>
                      <w:lang w:bidi="ar"/>
                    </w:rPr>
                    <w:t>m/座</w:t>
                  </w:r>
                  <w:r>
                    <w:rPr>
                      <w:rFonts w:hint="eastAsia" w:ascii="Times New Roman" w:hAnsi="Times New Roman"/>
                      <w:kern w:val="0"/>
                      <w:szCs w:val="21"/>
                      <w:lang w:bidi="ar"/>
                    </w:rPr>
                    <w:t>）</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r>
                    <w:rPr>
                      <w:rFonts w:ascii="Times New Roman" w:hAnsi="Times New Roman"/>
                      <w:szCs w:val="21"/>
                    </w:rPr>
                    <w:t>1</w:t>
                  </w: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3</w:t>
                  </w:r>
                </w:p>
              </w:tc>
            </w:tr>
            <w:tr>
              <w:tblPrEx>
                <w:tblCellMar>
                  <w:top w:w="0" w:type="dxa"/>
                  <w:left w:w="108" w:type="dxa"/>
                  <w:bottom w:w="0" w:type="dxa"/>
                  <w:right w:w="108" w:type="dxa"/>
                </w:tblCellMar>
              </w:tblPrEx>
              <w:trPr>
                <w:trHeight w:val="582" w:hRule="exact"/>
                <w:jc w:val="center"/>
              </w:trPr>
              <w:tc>
                <w:tcPr>
                  <w:tcW w:w="1634" w:type="dxa"/>
                  <w:tcBorders>
                    <w:top w:val="single" w:color="000000" w:sz="4" w:space="0"/>
                    <w:left w:val="single" w:color="000000" w:sz="12" w:space="0"/>
                    <w:bottom w:val="single" w:color="000000" w:sz="4" w:space="0"/>
                    <w:right w:val="single" w:color="000000" w:sz="4" w:space="0"/>
                  </w:tcBorders>
                  <w:noWrap w:val="0"/>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泄洪（分水）</w:t>
                  </w:r>
                </w:p>
                <w:p>
                  <w:pPr>
                    <w:widowControl/>
                    <w:jc w:val="center"/>
                    <w:textAlignment w:val="center"/>
                    <w:rPr>
                      <w:rFonts w:ascii="Times New Roman" w:hAnsi="Times New Roman"/>
                      <w:szCs w:val="21"/>
                    </w:rPr>
                  </w:pPr>
                  <w:r>
                    <w:rPr>
                      <w:rFonts w:ascii="Times New Roman" w:hAnsi="Times New Roman"/>
                      <w:kern w:val="0"/>
                      <w:szCs w:val="21"/>
                      <w:lang w:bidi="ar"/>
                    </w:rPr>
                    <w:t>闸（座）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4</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11</w:t>
                  </w: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r>
                    <w:rPr>
                      <w:rFonts w:ascii="Times New Roman" w:hAnsi="Times New Roman"/>
                      <w:szCs w:val="21"/>
                    </w:rPr>
                    <w:t>3</w:t>
                  </w: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18</w:t>
                  </w:r>
                </w:p>
              </w:tc>
            </w:tr>
            <w:tr>
              <w:tblPrEx>
                <w:tblCellMar>
                  <w:top w:w="0" w:type="dxa"/>
                  <w:left w:w="108" w:type="dxa"/>
                  <w:bottom w:w="0" w:type="dxa"/>
                  <w:right w:w="108" w:type="dxa"/>
                </w:tblCellMar>
              </w:tblPrEx>
              <w:trPr>
                <w:trHeight w:val="314" w:hRule="exact"/>
                <w:jc w:val="center"/>
              </w:trPr>
              <w:tc>
                <w:tcPr>
                  <w:tcW w:w="1634" w:type="dxa"/>
                  <w:tcBorders>
                    <w:top w:val="single" w:color="000000" w:sz="4" w:space="0"/>
                    <w:left w:val="single" w:color="000000" w:sz="12" w:space="0"/>
                    <w:bottom w:val="single" w:color="000000" w:sz="4" w:space="0"/>
                    <w:right w:val="single" w:color="000000" w:sz="4" w:space="0"/>
                  </w:tcBorders>
                  <w:noWrap w:val="0"/>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山溪接水（座）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1</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kern w:val="0"/>
                      <w:szCs w:val="21"/>
                      <w:lang w:bidi="ar"/>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1</w:t>
                  </w:r>
                </w:p>
              </w:tc>
            </w:tr>
            <w:tr>
              <w:tblPrEx>
                <w:tblCellMar>
                  <w:top w:w="0" w:type="dxa"/>
                  <w:left w:w="108" w:type="dxa"/>
                  <w:bottom w:w="0" w:type="dxa"/>
                  <w:right w:w="108" w:type="dxa"/>
                </w:tblCellMar>
              </w:tblPrEx>
              <w:trPr>
                <w:trHeight w:val="347" w:hRule="exact"/>
                <w:jc w:val="center"/>
              </w:trPr>
              <w:tc>
                <w:tcPr>
                  <w:tcW w:w="1634" w:type="dxa"/>
                  <w:tcBorders>
                    <w:top w:val="single" w:color="000000" w:sz="4" w:space="0"/>
                    <w:left w:val="single" w:color="000000" w:sz="12" w:space="0"/>
                    <w:bottom w:val="single" w:color="000000" w:sz="4" w:space="0"/>
                    <w:right w:val="single" w:color="000000" w:sz="4" w:space="0"/>
                  </w:tcBorders>
                  <w:noWrap w:val="0"/>
                  <w:vAlign w:val="center"/>
                </w:tcPr>
                <w:p>
                  <w:pPr>
                    <w:widowControl/>
                    <w:jc w:val="center"/>
                    <w:textAlignment w:val="center"/>
                    <w:rPr>
                      <w:rFonts w:ascii="Times New Roman" w:hAnsi="Times New Roman"/>
                      <w:szCs w:val="21"/>
                    </w:rPr>
                  </w:pPr>
                  <w:r>
                    <w:rPr>
                      <w:rFonts w:ascii="Times New Roman" w:hAnsi="Times New Roman"/>
                      <w:kern w:val="0"/>
                      <w:szCs w:val="21"/>
                      <w:lang w:bidi="ar"/>
                    </w:rPr>
                    <w:t>分水洞（座）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10</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4</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14</w:t>
                  </w:r>
                </w:p>
              </w:tc>
            </w:tr>
            <w:tr>
              <w:tblPrEx>
                <w:tblCellMar>
                  <w:top w:w="0" w:type="dxa"/>
                  <w:left w:w="108" w:type="dxa"/>
                  <w:bottom w:w="0" w:type="dxa"/>
                  <w:right w:w="108" w:type="dxa"/>
                </w:tblCellMar>
              </w:tblPrEx>
              <w:trPr>
                <w:trHeight w:val="339" w:hRule="exact"/>
                <w:jc w:val="center"/>
              </w:trPr>
              <w:tc>
                <w:tcPr>
                  <w:tcW w:w="1634" w:type="dxa"/>
                  <w:tcBorders>
                    <w:top w:val="single" w:color="000000" w:sz="4" w:space="0"/>
                    <w:left w:val="single" w:color="000000" w:sz="12"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机耕桥（座）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4</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4</w:t>
                  </w:r>
                </w:p>
              </w:tc>
            </w:tr>
            <w:tr>
              <w:tblPrEx>
                <w:tblCellMar>
                  <w:top w:w="0" w:type="dxa"/>
                  <w:left w:w="108" w:type="dxa"/>
                  <w:bottom w:w="0" w:type="dxa"/>
                  <w:right w:w="108" w:type="dxa"/>
                </w:tblCellMar>
              </w:tblPrEx>
              <w:trPr>
                <w:trHeight w:val="394" w:hRule="exact"/>
                <w:jc w:val="center"/>
              </w:trPr>
              <w:tc>
                <w:tcPr>
                  <w:tcW w:w="1634" w:type="dxa"/>
                  <w:tcBorders>
                    <w:top w:val="single" w:color="000000" w:sz="4" w:space="0"/>
                    <w:left w:val="single" w:color="000000" w:sz="12"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人行桥（座）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17</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17</w:t>
                  </w:r>
                </w:p>
              </w:tc>
            </w:tr>
            <w:tr>
              <w:tblPrEx>
                <w:tblCellMar>
                  <w:top w:w="0" w:type="dxa"/>
                  <w:left w:w="108" w:type="dxa"/>
                  <w:bottom w:w="0" w:type="dxa"/>
                  <w:right w:w="108" w:type="dxa"/>
                </w:tblCellMar>
              </w:tblPrEx>
              <w:trPr>
                <w:trHeight w:val="390" w:hRule="exact"/>
                <w:jc w:val="center"/>
              </w:trPr>
              <w:tc>
                <w:tcPr>
                  <w:tcW w:w="1634" w:type="dxa"/>
                  <w:tcBorders>
                    <w:top w:val="single" w:color="000000" w:sz="4" w:space="0"/>
                    <w:left w:val="single" w:color="000000" w:sz="12"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便民梯步(座)</w:t>
                  </w:r>
                </w:p>
              </w:tc>
              <w:tc>
                <w:tcPr>
                  <w:tcW w:w="84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2</w:t>
                  </w:r>
                </w:p>
              </w:tc>
              <w:tc>
                <w:tcPr>
                  <w:tcW w:w="11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ascii="Times New Roman" w:hAnsi="Times New Roman"/>
                      <w:szCs w:val="21"/>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pPr>
                    <w:widowControl/>
                    <w:jc w:val="center"/>
                    <w:rPr>
                      <w:rFonts w:ascii="Times New Roman" w:hAnsi="Times New Roman"/>
                      <w:szCs w:val="21"/>
                    </w:rPr>
                  </w:pPr>
                </w:p>
              </w:tc>
              <w:tc>
                <w:tcPr>
                  <w:tcW w:w="1634" w:type="dxa"/>
                  <w:tcBorders>
                    <w:top w:val="single" w:color="000000" w:sz="4" w:space="0"/>
                    <w:left w:val="single" w:color="000000" w:sz="4" w:space="0"/>
                    <w:bottom w:val="single" w:color="000000" w:sz="4"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2</w:t>
                  </w:r>
                </w:p>
              </w:tc>
            </w:tr>
            <w:tr>
              <w:tblPrEx>
                <w:tblCellMar>
                  <w:top w:w="0" w:type="dxa"/>
                  <w:left w:w="108" w:type="dxa"/>
                  <w:bottom w:w="0" w:type="dxa"/>
                  <w:right w:w="108" w:type="dxa"/>
                </w:tblCellMar>
              </w:tblPrEx>
              <w:trPr>
                <w:trHeight w:val="348" w:hRule="exact"/>
                <w:jc w:val="center"/>
              </w:trPr>
              <w:tc>
                <w:tcPr>
                  <w:tcW w:w="1634" w:type="dxa"/>
                  <w:tcBorders>
                    <w:top w:val="single" w:color="000000" w:sz="4" w:space="0"/>
                    <w:left w:val="single" w:color="000000" w:sz="12" w:space="0"/>
                    <w:bottom w:val="single" w:color="000000" w:sz="12"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合计</w:t>
                  </w:r>
                </w:p>
              </w:tc>
              <w:tc>
                <w:tcPr>
                  <w:tcW w:w="843" w:type="dxa"/>
                  <w:tcBorders>
                    <w:top w:val="single" w:color="000000" w:sz="4" w:space="0"/>
                    <w:left w:val="single" w:color="000000" w:sz="4" w:space="0"/>
                    <w:bottom w:val="single" w:color="000000" w:sz="12"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12</w:t>
                  </w:r>
                </w:p>
              </w:tc>
              <w:tc>
                <w:tcPr>
                  <w:tcW w:w="1168" w:type="dxa"/>
                  <w:tcBorders>
                    <w:top w:val="single" w:color="000000" w:sz="4" w:space="0"/>
                    <w:left w:val="single" w:color="000000" w:sz="4" w:space="0"/>
                    <w:bottom w:val="single" w:color="000000" w:sz="12"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33</w:t>
                  </w:r>
                </w:p>
              </w:tc>
              <w:tc>
                <w:tcPr>
                  <w:tcW w:w="1168" w:type="dxa"/>
                  <w:tcBorders>
                    <w:top w:val="single" w:color="000000" w:sz="4" w:space="0"/>
                    <w:left w:val="single" w:color="000000" w:sz="4" w:space="0"/>
                    <w:bottom w:val="single" w:color="000000" w:sz="12"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11</w:t>
                  </w:r>
                </w:p>
              </w:tc>
              <w:tc>
                <w:tcPr>
                  <w:tcW w:w="1350" w:type="dxa"/>
                  <w:tcBorders>
                    <w:top w:val="single" w:color="000000" w:sz="4" w:space="0"/>
                    <w:left w:val="single" w:color="000000" w:sz="4" w:space="0"/>
                    <w:bottom w:val="single" w:color="000000" w:sz="12" w:space="0"/>
                    <w:right w:val="single" w:color="000000" w:sz="4"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4</w:t>
                  </w:r>
                </w:p>
              </w:tc>
              <w:tc>
                <w:tcPr>
                  <w:tcW w:w="1634" w:type="dxa"/>
                  <w:tcBorders>
                    <w:top w:val="single" w:color="000000" w:sz="4" w:space="0"/>
                    <w:left w:val="single" w:color="000000" w:sz="4" w:space="0"/>
                    <w:bottom w:val="single" w:color="000000" w:sz="12" w:space="0"/>
                    <w:right w:val="single" w:color="000000" w:sz="12" w:space="0"/>
                  </w:tcBorders>
                  <w:noWrap/>
                  <w:vAlign w:val="center"/>
                </w:tcPr>
                <w:p>
                  <w:pPr>
                    <w:widowControl/>
                    <w:jc w:val="center"/>
                    <w:textAlignment w:val="center"/>
                    <w:rPr>
                      <w:rFonts w:ascii="Times New Roman" w:hAnsi="Times New Roman"/>
                      <w:szCs w:val="21"/>
                    </w:rPr>
                  </w:pPr>
                  <w:r>
                    <w:rPr>
                      <w:rFonts w:ascii="Times New Roman" w:hAnsi="Times New Roman"/>
                      <w:kern w:val="0"/>
                      <w:szCs w:val="21"/>
                      <w:lang w:bidi="ar"/>
                    </w:rPr>
                    <w:t>60</w:t>
                  </w:r>
                </w:p>
              </w:tc>
            </w:tr>
          </w:tbl>
          <w:p>
            <w:pPr>
              <w:pStyle w:val="138"/>
              <w:ind w:firstLine="482"/>
              <w:rPr>
                <w:rFonts w:ascii="Times New Roman" w:hAnsi="Times New Roman"/>
                <w:color w:val="000000"/>
              </w:rPr>
            </w:pPr>
            <w:r>
              <w:rPr>
                <w:rFonts w:ascii="Times New Roman" w:hAnsi="Times New Roman"/>
                <w:b/>
                <w:color w:val="000000"/>
              </w:rPr>
              <w:t>3、项目组成及规模</w: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w:t>本项目工程内容主要包括主体工程、附属工程、临时工程、公用工程、环保工程组成，工程项目组成及主要环境问题见下表：</w:t>
            </w:r>
          </w:p>
          <w:p>
            <w:pPr>
              <w:wordWrap w:val="0"/>
              <w:adjustRightInd w:val="0"/>
              <w:snapToGrid w:val="0"/>
              <w:spacing w:line="360" w:lineRule="auto"/>
              <w:jc w:val="center"/>
              <w:rPr>
                <w:rFonts w:ascii="Times New Roman" w:hAnsi="Times New Roman"/>
                <w:b/>
                <w:color w:val="000000"/>
                <w:szCs w:val="21"/>
              </w:rPr>
            </w:pPr>
            <w:r>
              <w:rPr>
                <w:rFonts w:ascii="Times New Roman" w:hAnsi="Times New Roman"/>
                <w:b/>
                <w:color w:val="000000"/>
                <w:szCs w:val="21"/>
              </w:rPr>
              <w:t>表2-3  项目组成及主要环境问题</w:t>
            </w:r>
          </w:p>
          <w:tbl>
            <w:tblPr>
              <w:tblStyle w:val="39"/>
              <w:tblW w:w="79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390"/>
              <w:gridCol w:w="802"/>
              <w:gridCol w:w="4627"/>
              <w:gridCol w:w="915"/>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235" w:type="pct"/>
                  <w:vMerge w:val="restar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名称</w:t>
                  </w:r>
                </w:p>
              </w:tc>
              <w:tc>
                <w:tcPr>
                  <w:tcW w:w="3656" w:type="pct"/>
                  <w:gridSpan w:val="3"/>
                  <w:vMerge w:val="restar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建设内容及规模</w:t>
                  </w:r>
                </w:p>
              </w:tc>
              <w:tc>
                <w:tcPr>
                  <w:tcW w:w="1108"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可能产生的环境问题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3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3656" w:type="pct"/>
                  <w:gridSpan w:val="3"/>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575"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kern w:val="0"/>
                      <w:szCs w:val="21"/>
                    </w:rPr>
                    <w:t>施工期</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kern w:val="0"/>
                      <w:szCs w:val="21"/>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2" w:hRule="atLeast"/>
                <w:jc w:val="center"/>
              </w:trPr>
              <w:tc>
                <w:tcPr>
                  <w:tcW w:w="23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kern w:val="0"/>
                      <w:szCs w:val="21"/>
                    </w:rPr>
                    <w:t>主体工程</w:t>
                  </w: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szCs w:val="21"/>
                    </w:rPr>
                    <w:t>新建青白渠</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color w:val="000000"/>
                      <w:szCs w:val="21"/>
                    </w:rPr>
                    <w:t>在高中水库库区棉洞冲处新建青白渠进水闸（放水设施），闸后新建青白渠，隧洞1座长180m，分水洞10处。渠道采用管道输水，管道材料为钢管，管径1.0m，管道起点为青白渠进水闸后，终点为楼子村标草坝处汇入磨池河，总长12.8km。设计流量0.5m</w:t>
                  </w:r>
                  <w:r>
                    <w:rPr>
                      <w:rFonts w:ascii="Times New Roman" w:hAnsi="Times New Roman"/>
                      <w:color w:val="000000"/>
                      <w:szCs w:val="21"/>
                      <w:vertAlign w:val="superscript"/>
                    </w:rPr>
                    <w:t>3</w:t>
                  </w:r>
                  <w:r>
                    <w:rPr>
                      <w:rFonts w:ascii="Times New Roman" w:hAnsi="Times New Roman"/>
                      <w:color w:val="000000"/>
                      <w:szCs w:val="21"/>
                    </w:rPr>
                    <w:t>/s，加大流量0.65m</w:t>
                  </w:r>
                  <w:r>
                    <w:rPr>
                      <w:rFonts w:ascii="Times New Roman" w:hAnsi="Times New Roman"/>
                      <w:color w:val="000000"/>
                      <w:szCs w:val="21"/>
                      <w:vertAlign w:val="superscript"/>
                    </w:rPr>
                    <w:t>3</w:t>
                  </w:r>
                  <w:r>
                    <w:rPr>
                      <w:rFonts w:ascii="Times New Roman" w:hAnsi="Times New Roman"/>
                      <w:color w:val="000000"/>
                      <w:szCs w:val="21"/>
                    </w:rPr>
                    <w:t>/s，沿途灌溉乐山市市中区青平镇和白马镇，灌溉面积5388亩。高中水库正常蓄水位为407.04m，青白渠末端出水口水位为397.00m，落差为10.04m</w:t>
                  </w:r>
                </w:p>
              </w:tc>
              <w:tc>
                <w:tcPr>
                  <w:tcW w:w="575" w:type="pct"/>
                  <w:vMerge w:val="restar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bCs/>
                      <w:color w:val="000000"/>
                      <w:kern w:val="0"/>
                      <w:szCs w:val="21"/>
                    </w:rPr>
                    <w:t>施工占地、植被破坏、水土流失、固体废物、施工废水、废气、噪声</w:t>
                  </w:r>
                </w:p>
              </w:tc>
              <w:tc>
                <w:tcPr>
                  <w:tcW w:w="532"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2"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24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szCs w:val="21"/>
                    </w:rPr>
                    <w:t>整治渠道</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szCs w:val="21"/>
                    </w:rPr>
                    <w:t>右干渠14+802-16+605明渠整治</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bCs/>
                      <w:color w:val="000000"/>
                      <w:kern w:val="0"/>
                      <w:szCs w:val="21"/>
                    </w:rPr>
                    <w:t>整治右干渠桩号14+802-16+605段明渠总长1.803km，设计流量</w:t>
                  </w:r>
                  <w:r>
                    <w:rPr>
                      <w:rFonts w:ascii="Times New Roman" w:hAnsi="Times New Roman"/>
                    </w:rPr>
                    <w:t>0.7～0.4m</w:t>
                  </w:r>
                  <w:r>
                    <w:rPr>
                      <w:rFonts w:ascii="Times New Roman" w:hAnsi="Times New Roman"/>
                      <w:vertAlign w:val="superscript"/>
                    </w:rPr>
                    <w:t>3</w:t>
                  </w:r>
                  <w:r>
                    <w:rPr>
                      <w:rFonts w:ascii="Times New Roman" w:hAnsi="Times New Roman"/>
                    </w:rPr>
                    <w:t>/s，主要渠系建筑物有整治（新建）共33座（处）：节制闸1座，分水闸1座，泄洪闸3座，机耕桥4座，人行桥17座，山溪接水1处，分水洞4座，人行梯步2处</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24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504"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rPr>
                    <w:t>左干渠</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整治分水闸3座，泄洪闸8座</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245"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504"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rPr>
                    <w:t>九龙干渠</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szCs w:val="21"/>
                    </w:rPr>
                    <w:t>整治分水闸1座，泄洪闸2座，节制闸1座</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28"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szCs w:val="21"/>
                    </w:rPr>
                    <w:t>管理用房</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color w:val="000000"/>
                    </w:rPr>
                    <w:t>管理房维护750m</w:t>
                  </w:r>
                  <w:r>
                    <w:rPr>
                      <w:rFonts w:ascii="Times New Roman" w:hAnsi="Times New Roman"/>
                      <w:color w:val="000000"/>
                      <w:vertAlign w:val="superscript"/>
                    </w:rPr>
                    <w:t>2</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2"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bCs/>
                      <w:color w:val="000000"/>
                      <w:szCs w:val="21"/>
                    </w:rPr>
                    <w:t>进库公路</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szCs w:val="21"/>
                    </w:rPr>
                  </w:pPr>
                  <w:r>
                    <w:rPr>
                      <w:rFonts w:ascii="Times New Roman" w:hAnsi="Times New Roman"/>
                      <w:color w:val="000000"/>
                    </w:rPr>
                    <w:t>进库公路整治4km</w:t>
                  </w:r>
                  <w:r>
                    <w:rPr>
                      <w:rFonts w:hint="eastAsia" w:ascii="Times New Roman" w:hAnsi="Times New Roman"/>
                      <w:color w:val="000000"/>
                      <w:lang w:eastAsia="zh-CN"/>
                    </w:rPr>
                    <w:t>，</w:t>
                  </w:r>
                  <w:r>
                    <w:rPr>
                      <w:szCs w:val="21"/>
                    </w:rPr>
                    <w:t>全段为沥青混凝土路面</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2" w:hRule="atLeast"/>
                <w:jc w:val="center"/>
              </w:trPr>
              <w:tc>
                <w:tcPr>
                  <w:tcW w:w="23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kern w:val="0"/>
                      <w:szCs w:val="21"/>
                    </w:rPr>
                    <w:t>附属工程</w:t>
                  </w: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检修阀</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ascii="Times New Roman" w:hAnsi="Times New Roman"/>
                      <w:bCs/>
                      <w:color w:val="000000"/>
                      <w:kern w:val="0"/>
                      <w:szCs w:val="21"/>
                    </w:rPr>
                  </w:pPr>
                  <w:r>
                    <w:rPr>
                      <w:rFonts w:ascii="Times New Roman" w:hAnsi="Times New Roman"/>
                      <w:bCs/>
                      <w:color w:val="000000"/>
                      <w:kern w:val="0"/>
                      <w:szCs w:val="21"/>
                    </w:rPr>
                    <w:t>方便管道分段检修，</w:t>
                  </w:r>
                  <w:r>
                    <w:rPr>
                      <w:rFonts w:ascii="Times New Roman" w:hAnsi="Times New Roman"/>
                      <w:szCs w:val="21"/>
                      <w:lang w:bidi="ar"/>
                    </w:rPr>
                    <w:t>管道每隔一定距离设一个检修阀</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1"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自动进（排）气阀</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ascii="Times New Roman" w:hAnsi="Times New Roman"/>
                      <w:bCs/>
                      <w:color w:val="000000"/>
                      <w:kern w:val="0"/>
                      <w:szCs w:val="21"/>
                    </w:rPr>
                  </w:pPr>
                  <w:r>
                    <w:rPr>
                      <w:rFonts w:ascii="Times New Roman" w:hAnsi="Times New Roman"/>
                      <w:bCs/>
                      <w:color w:val="000000"/>
                      <w:kern w:val="0"/>
                      <w:szCs w:val="21"/>
                    </w:rPr>
                    <w:t>长距离无凸起点的管段每隔一定距离应设自动进（排）气阀</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81"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泄水阀</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ascii="Times New Roman" w:hAnsi="Times New Roman"/>
                      <w:bCs/>
                      <w:color w:val="000000"/>
                      <w:kern w:val="0"/>
                      <w:szCs w:val="21"/>
                    </w:rPr>
                  </w:pPr>
                  <w:r>
                    <w:rPr>
                      <w:rFonts w:ascii="Times New Roman" w:hAnsi="Times New Roman"/>
                      <w:bCs/>
                      <w:color w:val="000000"/>
                      <w:kern w:val="0"/>
                      <w:szCs w:val="21"/>
                    </w:rPr>
                    <w:t>在管段低凹处设置泄水阀</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jc w:val="center"/>
              </w:trPr>
              <w:tc>
                <w:tcPr>
                  <w:tcW w:w="235"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镇墩、支墩</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ascii="Times New Roman" w:hAnsi="Times New Roman"/>
                      <w:bCs/>
                      <w:color w:val="000000"/>
                      <w:kern w:val="0"/>
                      <w:szCs w:val="21"/>
                    </w:rPr>
                  </w:pPr>
                  <w:r>
                    <w:rPr>
                      <w:rFonts w:ascii="Times New Roman" w:hAnsi="Times New Roman"/>
                      <w:bCs/>
                      <w:color w:val="000000"/>
                      <w:kern w:val="0"/>
                      <w:szCs w:val="21"/>
                    </w:rPr>
                    <w:t>管道在转角大于10°处设支墩，在弯头、三通位置设镇墩，支墩和镇墩采用C20砼浇筑</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atLeast"/>
                <w:jc w:val="center"/>
              </w:trPr>
              <w:tc>
                <w:tcPr>
                  <w:tcW w:w="23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临时工程</w:t>
                  </w: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kern w:val="0"/>
                      <w:szCs w:val="21"/>
                    </w:rPr>
                    <w:t>拌和点</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1</w:t>
                  </w:r>
                  <w:r>
                    <w:rPr>
                      <w:rFonts w:hint="eastAsia" w:ascii="Times New Roman" w:hAnsi="Times New Roman"/>
                      <w:bCs/>
                      <w:color w:val="000000"/>
                      <w:kern w:val="0"/>
                      <w:szCs w:val="21"/>
                    </w:rPr>
                    <w:t>3</w:t>
                  </w:r>
                  <w:r>
                    <w:rPr>
                      <w:rFonts w:ascii="Times New Roman" w:hAnsi="Times New Roman"/>
                      <w:bCs/>
                      <w:color w:val="000000"/>
                      <w:kern w:val="0"/>
                      <w:szCs w:val="21"/>
                    </w:rPr>
                    <w:t>座移动式小型砼拌和点</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95"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施工便道</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本工程需在</w:t>
                  </w:r>
                  <w:r>
                    <w:rPr>
                      <w:rFonts w:ascii="Times New Roman" w:hAnsi="Times New Roman"/>
                      <w:color w:val="000000"/>
                      <w:szCs w:val="21"/>
                    </w:rPr>
                    <w:t>高中水库库区棉洞冲处新建青白渠进水闸和</w:t>
                  </w:r>
                  <w:r>
                    <w:rPr>
                      <w:rFonts w:ascii="Times New Roman" w:hAnsi="Times New Roman"/>
                      <w:bCs/>
                      <w:color w:val="000000"/>
                      <w:kern w:val="0"/>
                      <w:szCs w:val="21"/>
                    </w:rPr>
                    <w:t>隧洞进出口处设置总长约3.0km的交通便道，管道沿线交通拟利用开挖的管道平台和临时弃渣形成施工交通，施工交通运输以公路为主</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5"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取弃渣场</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bCs/>
                      <w:color w:val="000000"/>
                      <w:kern w:val="0"/>
                      <w:szCs w:val="21"/>
                    </w:rPr>
                    <w:t>取土场：项目不设置取土场，所用砂石骨料全部就近外购；</w:t>
                  </w:r>
                </w:p>
                <w:p>
                  <w:pPr>
                    <w:wordWrap w:val="0"/>
                    <w:autoSpaceDE w:val="0"/>
                    <w:autoSpaceDN w:val="0"/>
                    <w:adjustRightInd w:val="0"/>
                    <w:jc w:val="left"/>
                    <w:rPr>
                      <w:rFonts w:hint="eastAsia" w:ascii="Times New Roman" w:hAnsi="Times New Roman" w:eastAsia="宋体"/>
                      <w:bCs/>
                      <w:color w:val="000000"/>
                      <w:kern w:val="0"/>
                      <w:szCs w:val="21"/>
                      <w:lang w:eastAsia="zh-CN"/>
                    </w:rPr>
                  </w:pPr>
                  <w:r>
                    <w:rPr>
                      <w:rFonts w:ascii="Times New Roman" w:hAnsi="Times New Roman"/>
                      <w:bCs/>
                      <w:color w:val="000000"/>
                      <w:kern w:val="0"/>
                      <w:szCs w:val="21"/>
                    </w:rPr>
                    <w:t>弃渣场：</w:t>
                  </w:r>
                  <w:r>
                    <w:rPr>
                      <w:rFonts w:ascii="Times New Roman" w:hAnsi="Times New Roman"/>
                      <w:bCs/>
                      <w:color w:val="000000"/>
                      <w:kern w:val="0"/>
                      <w:szCs w:val="21"/>
                      <w:lang w:val="zh-CN"/>
                    </w:rPr>
                    <w:t>本项目总弃渣量</w:t>
                  </w:r>
                  <w:r>
                    <w:rPr>
                      <w:rFonts w:ascii="Times New Roman" w:hAnsi="Times New Roman"/>
                      <w:bCs/>
                      <w:color w:val="000000"/>
                      <w:kern w:val="0"/>
                      <w:szCs w:val="21"/>
                    </w:rPr>
                    <w:t>1.50</w:t>
                  </w:r>
                  <w:r>
                    <w:rPr>
                      <w:rFonts w:ascii="Times New Roman" w:hAnsi="Times New Roman"/>
                      <w:bCs/>
                      <w:color w:val="000000"/>
                      <w:kern w:val="0"/>
                      <w:szCs w:val="21"/>
                      <w:lang w:val="zh-CN"/>
                    </w:rPr>
                    <w:t>万m</w:t>
                  </w:r>
                  <w:r>
                    <w:rPr>
                      <w:rFonts w:ascii="Times New Roman" w:hAnsi="Times New Roman"/>
                      <w:bCs/>
                      <w:color w:val="000000"/>
                      <w:kern w:val="0"/>
                      <w:szCs w:val="21"/>
                      <w:vertAlign w:val="superscript"/>
                      <w:lang w:val="zh-CN"/>
                    </w:rPr>
                    <w:t>3</w:t>
                  </w:r>
                  <w:r>
                    <w:rPr>
                      <w:rFonts w:ascii="Times New Roman" w:hAnsi="Times New Roman"/>
                      <w:bCs/>
                      <w:color w:val="000000"/>
                      <w:kern w:val="0"/>
                      <w:szCs w:val="21"/>
                      <w:lang w:val="zh-CN"/>
                    </w:rPr>
                    <w:t>，其中</w:t>
                  </w:r>
                  <w:r>
                    <w:rPr>
                      <w:rFonts w:ascii="Times New Roman" w:hAnsi="Times New Roman"/>
                      <w:bCs/>
                      <w:color w:val="000000"/>
                      <w:kern w:val="0"/>
                      <w:szCs w:val="21"/>
                    </w:rPr>
                    <w:t>1.30万</w:t>
                  </w:r>
                  <w:r>
                    <w:rPr>
                      <w:rFonts w:ascii="Times New Roman" w:hAnsi="Times New Roman"/>
                      <w:bCs/>
                      <w:color w:val="000000"/>
                      <w:kern w:val="0"/>
                      <w:szCs w:val="21"/>
                      <w:lang w:val="zh-CN"/>
                    </w:rPr>
                    <w:t>m</w:t>
                  </w:r>
                  <w:r>
                    <w:rPr>
                      <w:rFonts w:ascii="Times New Roman" w:hAnsi="Times New Roman"/>
                      <w:bCs/>
                      <w:color w:val="000000"/>
                      <w:kern w:val="0"/>
                      <w:szCs w:val="21"/>
                      <w:vertAlign w:val="superscript"/>
                      <w:lang w:val="zh-CN"/>
                    </w:rPr>
                    <w:t>3</w:t>
                  </w:r>
                  <w:r>
                    <w:rPr>
                      <w:rFonts w:ascii="Times New Roman" w:hAnsi="Times New Roman"/>
                      <w:bCs/>
                      <w:color w:val="000000"/>
                      <w:kern w:val="0"/>
                      <w:szCs w:val="21"/>
                    </w:rPr>
                    <w:t>弃渣分布在12.80km新建渠道沿线，因弃渣量较小，且较分散，拟全部沿渠在渠道施工作业带范围内堆放，不设置集中弃渣场；另外0.20万m</w:t>
                  </w:r>
                  <w:r>
                    <w:rPr>
                      <w:rFonts w:ascii="Times New Roman" w:hAnsi="Times New Roman"/>
                      <w:bCs/>
                      <w:color w:val="000000"/>
                      <w:kern w:val="0"/>
                      <w:szCs w:val="21"/>
                      <w:vertAlign w:val="superscript"/>
                    </w:rPr>
                    <w:t>3</w:t>
                  </w:r>
                  <w:r>
                    <w:rPr>
                      <w:rFonts w:hint="eastAsia" w:ascii="Times New Roman" w:hAnsi="Times New Roman"/>
                      <w:bCs/>
                      <w:color w:val="000000"/>
                      <w:kern w:val="0"/>
                      <w:szCs w:val="21"/>
                      <w:lang w:eastAsia="zh-CN"/>
                    </w:rPr>
                    <w:t>回填渠道低洼地带，不设渣场。</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66" w:hRule="atLeast"/>
                <w:jc w:val="center"/>
              </w:trPr>
              <w:tc>
                <w:tcPr>
                  <w:tcW w:w="23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公用工程</w:t>
                  </w: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施工供电</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bCs/>
                      <w:color w:val="000000"/>
                      <w:kern w:val="0"/>
                      <w:szCs w:val="21"/>
                    </w:rPr>
                    <w:t>灌区内电力较为丰富，国家电网、地方电网及其降压站用户交错分布，因此本工程大部分渠道可由电网供电，部分地处偏僻，加之渠道流量较小，施工用电负荷较小，拟采用柴油机发电形成施工电源</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235"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施工供水</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left"/>
                    <w:rPr>
                      <w:rFonts w:ascii="Times New Roman" w:hAnsi="Times New Roman"/>
                      <w:bCs/>
                      <w:color w:val="000000"/>
                      <w:kern w:val="0"/>
                      <w:szCs w:val="21"/>
                    </w:rPr>
                  </w:pPr>
                  <w:r>
                    <w:rPr>
                      <w:rFonts w:ascii="Times New Roman" w:hAnsi="Times New Roman"/>
                      <w:bCs/>
                      <w:color w:val="000000"/>
                      <w:kern w:val="0"/>
                      <w:szCs w:val="21"/>
                    </w:rPr>
                    <w:t>渠道沿线水源点较多，渠道断流施工时间山溪沟仍有少量水流以及灌区的塘堰均可作为工程施工水源，根据水源条件采用拦截溪沟水，建抽水泵站，蓄水池等多种措施解决。</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35" w:hRule="atLeast"/>
                <w:jc w:val="center"/>
              </w:trPr>
              <w:tc>
                <w:tcPr>
                  <w:tcW w:w="235"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排水</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left"/>
                    <w:rPr>
                      <w:rFonts w:ascii="Times New Roman" w:hAnsi="Times New Roman"/>
                      <w:bCs/>
                      <w:color w:val="000000"/>
                      <w:kern w:val="0"/>
                      <w:szCs w:val="21"/>
                    </w:rPr>
                  </w:pPr>
                  <w:r>
                    <w:rPr>
                      <w:rFonts w:ascii="Times New Roman" w:hAnsi="Times New Roman"/>
                      <w:color w:val="000000"/>
                      <w:kern w:val="0"/>
                      <w:szCs w:val="21"/>
                    </w:rPr>
                    <w:t>本项目运营期无生产废水和生活污水产生。施工期</w:t>
                  </w:r>
                  <w:r>
                    <w:rPr>
                      <w:rFonts w:hint="eastAsia" w:ascii="Times New Roman" w:hAnsi="Times New Roman"/>
                      <w:color w:val="000000"/>
                      <w:kern w:val="0"/>
                      <w:szCs w:val="21"/>
                      <w:lang w:eastAsia="zh-CN"/>
                    </w:rPr>
                    <w:t>生活污水依托周边既有</w:t>
                  </w:r>
                  <w:r>
                    <w:rPr>
                      <w:rFonts w:hint="eastAsia"/>
                      <w:color w:val="000000"/>
                    </w:rPr>
                    <w:t>生活污水处理设施处理。</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96" w:hRule="atLeast"/>
                <w:jc w:val="center"/>
              </w:trPr>
              <w:tc>
                <w:tcPr>
                  <w:tcW w:w="235" w:type="pct"/>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环保工程</w:t>
                  </w:r>
                </w:p>
              </w:tc>
              <w:tc>
                <w:tcPr>
                  <w:tcW w:w="749" w:type="pct"/>
                  <w:gridSpan w:val="2"/>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废水</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hint="eastAsia"/>
                      <w:color w:val="000000"/>
                    </w:rPr>
                  </w:pPr>
                  <w:r>
                    <w:rPr>
                      <w:rFonts w:hint="eastAsia"/>
                      <w:color w:val="000000"/>
                    </w:rPr>
                    <w:t>施工期：</w:t>
                  </w:r>
                  <w:r>
                    <w:rPr>
                      <w:color w:val="000000"/>
                    </w:rPr>
                    <w:t>①砼砂浆拌和系统和砼养护冲洗废水：利用主体工程开挖的排水沟、集水沟汇集生产废水，采取自然坑储澄清处理生产废水，经沉淀后，清水用于砼砂浆拌和机用水，工程完工后对澄清池进行填埋；②生活污水：</w:t>
                  </w:r>
                  <w:r>
                    <w:rPr>
                      <w:rFonts w:hint="eastAsia"/>
                      <w:color w:val="000000"/>
                    </w:rPr>
                    <w:t>依托周边既有生活污水处理设施处理。</w:t>
                  </w:r>
                </w:p>
                <w:p>
                  <w:pPr>
                    <w:pStyle w:val="2"/>
                    <w:ind w:left="0" w:leftChars="0" w:right="0" w:rightChars="0" w:firstLine="0" w:firstLineChars="0"/>
                    <w:jc w:val="center"/>
                    <w:outlineLvl w:val="1"/>
                    <w:rPr>
                      <w:rFonts w:hint="eastAsia"/>
                      <w:b w:val="0"/>
                      <w:bCs w:val="0"/>
                      <w:color w:val="000000"/>
                      <w:sz w:val="21"/>
                      <w:szCs w:val="21"/>
                    </w:rPr>
                  </w:pPr>
                  <w:r>
                    <w:rPr>
                      <w:rFonts w:hint="eastAsia"/>
                      <w:b w:val="0"/>
                      <w:bCs w:val="0"/>
                      <w:color w:val="000000"/>
                      <w:sz w:val="21"/>
                      <w:szCs w:val="21"/>
                    </w:rPr>
                    <w:t>运营期：不新增固定工作人员，不新增生活污水。</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31" w:hRule="atLeast"/>
                <w:jc w:val="center"/>
              </w:trPr>
              <w:tc>
                <w:tcPr>
                  <w:tcW w:w="23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废气</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pPr>
                  <w:r>
                    <w:t>施工期</w:t>
                  </w:r>
                  <w:r>
                    <w:rPr>
                      <w:rFonts w:hint="eastAsia"/>
                    </w:rPr>
                    <w:t>：</w:t>
                  </w:r>
                  <w:r>
                    <w:t>加强管理、合理施工，洒水降尘、减少扬尘产生；弃渣的采集过程和转运过程中采用纺织袋或塑料薄膜覆盖封闭运输，避免渣土散失；工区道路应定时洒水、清扫</w:t>
                  </w:r>
                  <w:r>
                    <w:rPr>
                      <w:rFonts w:hint="eastAsia"/>
                    </w:rPr>
                    <w:t>。</w:t>
                  </w:r>
                </w:p>
                <w:p>
                  <w:pPr>
                    <w:pStyle w:val="2"/>
                    <w:ind w:left="0" w:leftChars="0" w:right="0" w:rightChars="0" w:firstLine="0" w:firstLineChars="0"/>
                    <w:jc w:val="center"/>
                    <w:outlineLvl w:val="1"/>
                  </w:pPr>
                  <w:r>
                    <w:rPr>
                      <w:rFonts w:hint="eastAsia"/>
                      <w:b w:val="0"/>
                      <w:bCs w:val="0"/>
                      <w:sz w:val="21"/>
                      <w:szCs w:val="21"/>
                    </w:rPr>
                    <w:t>运营期：项目运营期不产生废气污染物。</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jc w:val="center"/>
              </w:trPr>
              <w:tc>
                <w:tcPr>
                  <w:tcW w:w="23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噪声</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rPr>
                      <w:rFonts w:hint="eastAsia"/>
                    </w:rPr>
                  </w:pPr>
                  <w:r>
                    <w:t>施工期</w:t>
                  </w:r>
                  <w:r>
                    <w:rPr>
                      <w:rFonts w:hint="eastAsia"/>
                    </w:rPr>
                    <w:t>：</w:t>
                  </w:r>
                  <w:r>
                    <w:t>采用低噪声设备，合理安排施工时间，夜间（22:00~6:00）、午休（12:00~14:00）时间不施工；车辆运输限速行驶，限制车辆鸣笛</w:t>
                  </w:r>
                  <w:r>
                    <w:rPr>
                      <w:rFonts w:hint="eastAsia"/>
                    </w:rPr>
                    <w:t>。</w:t>
                  </w:r>
                </w:p>
                <w:p>
                  <w:pPr>
                    <w:pStyle w:val="2"/>
                    <w:ind w:left="0" w:leftChars="0" w:right="0" w:rightChars="0" w:firstLine="0" w:firstLineChars="0"/>
                    <w:jc w:val="center"/>
                    <w:outlineLvl w:val="1"/>
                    <w:rPr>
                      <w:b w:val="0"/>
                      <w:bCs w:val="0"/>
                      <w:sz w:val="21"/>
                      <w:szCs w:val="21"/>
                    </w:rPr>
                  </w:pPr>
                  <w:r>
                    <w:rPr>
                      <w:rFonts w:hint="eastAsia"/>
                      <w:b w:val="0"/>
                      <w:bCs w:val="0"/>
                      <w:sz w:val="21"/>
                      <w:szCs w:val="21"/>
                    </w:rPr>
                    <w:t>运营期：本项目运营期无噪声。</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4" w:hRule="atLeast"/>
                <w:jc w:val="center"/>
              </w:trPr>
              <w:tc>
                <w:tcPr>
                  <w:tcW w:w="23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固废</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ind w:left="0" w:leftChars="0" w:right="0" w:rightChars="0" w:firstLine="0" w:firstLineChars="0"/>
                    <w:jc w:val="center"/>
                  </w:pPr>
                  <w:r>
                    <w:rPr>
                      <w:lang w:val="zh-CN"/>
                    </w:rPr>
                    <w:t>本工程土石方开挖总量</w:t>
                  </w:r>
                  <w:r>
                    <w:t>9.69</w:t>
                  </w:r>
                  <w:r>
                    <w:rPr>
                      <w:lang w:val="zh-CN"/>
                    </w:rPr>
                    <w:t>万m</w:t>
                  </w:r>
                  <w:r>
                    <w:rPr>
                      <w:vertAlign w:val="superscript"/>
                      <w:lang w:val="zh-CN"/>
                    </w:rPr>
                    <w:t>3</w:t>
                  </w:r>
                  <w:r>
                    <w:rPr>
                      <w:lang w:val="zh-CN"/>
                    </w:rPr>
                    <w:t>（自然方，含砌体和</w:t>
                  </w:r>
                  <w:r>
                    <w:t>砼</w:t>
                  </w:r>
                  <w:r>
                    <w:rPr>
                      <w:lang w:val="zh-CN"/>
                    </w:rPr>
                    <w:t>拆除量），土石方回填8.1</w:t>
                  </w:r>
                  <w:r>
                    <w:t>9</w:t>
                  </w:r>
                  <w:r>
                    <w:rPr>
                      <w:lang w:val="zh-CN"/>
                    </w:rPr>
                    <w:t>万m</w:t>
                  </w:r>
                  <w:r>
                    <w:rPr>
                      <w:vertAlign w:val="superscript"/>
                      <w:lang w:val="zh-CN"/>
                    </w:rPr>
                    <w:t>3</w:t>
                  </w:r>
                  <w:r>
                    <w:rPr>
                      <w:lang w:val="zh-CN"/>
                    </w:rPr>
                    <w:t>（自然方），经各渠道平衡，总弃渣量</w:t>
                  </w:r>
                  <w:r>
                    <w:t>1.50</w:t>
                  </w:r>
                  <w:r>
                    <w:rPr>
                      <w:lang w:val="zh-CN"/>
                    </w:rPr>
                    <w:t>万m</w:t>
                  </w:r>
                  <w:r>
                    <w:rPr>
                      <w:vertAlign w:val="superscript"/>
                      <w:lang w:val="zh-CN"/>
                    </w:rPr>
                    <w:t>3</w:t>
                  </w:r>
                  <w:r>
                    <w:rPr>
                      <w:lang w:val="zh-CN"/>
                    </w:rPr>
                    <w:t>（自然方），其中</w:t>
                  </w:r>
                  <w:r>
                    <w:t>1.30万</w:t>
                  </w:r>
                  <w:r>
                    <w:rPr>
                      <w:lang w:val="zh-CN"/>
                    </w:rPr>
                    <w:t>m</w:t>
                  </w:r>
                  <w:r>
                    <w:rPr>
                      <w:vertAlign w:val="superscript"/>
                      <w:lang w:val="zh-CN"/>
                    </w:rPr>
                    <w:t>3</w:t>
                  </w:r>
                  <w:r>
                    <w:rPr>
                      <w:lang w:val="zh-CN"/>
                    </w:rPr>
                    <w:t>（自然方）</w:t>
                  </w:r>
                  <w:r>
                    <w:t>弃渣因弃渣量较小，且较分散，拟全部沿渠在渠道施工作业带范围内堆放，</w:t>
                  </w:r>
                  <w:r>
                    <w:rPr>
                      <w:rFonts w:ascii="Times New Roman" w:hAnsi="Times New Roman"/>
                      <w:bCs/>
                      <w:color w:val="000000"/>
                      <w:kern w:val="0"/>
                      <w:szCs w:val="21"/>
                    </w:rPr>
                    <w:t>另外0.20万m</w:t>
                  </w:r>
                  <w:r>
                    <w:rPr>
                      <w:rFonts w:ascii="Times New Roman" w:hAnsi="Times New Roman"/>
                      <w:bCs/>
                      <w:color w:val="000000"/>
                      <w:kern w:val="0"/>
                      <w:szCs w:val="21"/>
                      <w:vertAlign w:val="superscript"/>
                    </w:rPr>
                    <w:t>3</w:t>
                  </w:r>
                  <w:r>
                    <w:rPr>
                      <w:rFonts w:hint="eastAsia" w:ascii="Times New Roman" w:hAnsi="Times New Roman"/>
                      <w:bCs/>
                      <w:color w:val="000000"/>
                      <w:kern w:val="0"/>
                      <w:szCs w:val="21"/>
                      <w:lang w:eastAsia="zh-CN"/>
                    </w:rPr>
                    <w:t>回填渠道低洼地带，</w:t>
                  </w:r>
                  <w:r>
                    <w:t>不设置集中弃渣场</w:t>
                  </w:r>
                  <w:r>
                    <w:rPr>
                      <w:rStyle w:val="46"/>
                      <w:rFonts w:hint="eastAsia" w:ascii="Times New Roman" w:hAnsi="Times New Roman"/>
                      <w:kern w:val="0"/>
                      <w:szCs w:val="20"/>
                      <w:lang w:eastAsia="zh-CN"/>
                    </w:rPr>
                    <w:t>。</w:t>
                  </w:r>
                  <w:r>
                    <w:rPr>
                      <w:rFonts w:hint="eastAsia"/>
                      <w:lang w:eastAsia="zh-CN"/>
                    </w:rPr>
                    <w:t>施工期的生活垃圾</w:t>
                  </w:r>
                  <w:r>
                    <w:t>定期</w:t>
                  </w:r>
                  <w:r>
                    <w:rPr>
                      <w:rFonts w:hint="eastAsia"/>
                      <w:lang w:eastAsia="zh-CN"/>
                    </w:rPr>
                    <w:t>统一收集交由当地环卫部门</w:t>
                  </w:r>
                  <w:r>
                    <w:t>进行清运，消毒处理。</w:t>
                  </w:r>
                </w:p>
                <w:p>
                  <w:pPr>
                    <w:pStyle w:val="2"/>
                    <w:outlineLvl w:val="1"/>
                  </w:pPr>
                  <w:r>
                    <w:rPr>
                      <w:rFonts w:hint="eastAsia"/>
                      <w:b w:val="0"/>
                      <w:bCs w:val="0"/>
                      <w:sz w:val="21"/>
                      <w:szCs w:val="21"/>
                    </w:rPr>
                    <w:t>运营期：不新增固定工作人员，不新增生活垃圾。</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top w:val="single" w:color="auto" w:sz="4" w:space="0"/>
                    <w:left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24" w:hRule="atLeast"/>
                <w:jc w:val="center"/>
              </w:trPr>
              <w:tc>
                <w:tcPr>
                  <w:tcW w:w="235"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rPr>
                  </w:pPr>
                </w:p>
              </w:tc>
              <w:tc>
                <w:tcPr>
                  <w:tcW w:w="749" w:type="pct"/>
                  <w:gridSpan w:val="2"/>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rPr>
                  </w:pPr>
                  <w:r>
                    <w:rPr>
                      <w:rFonts w:ascii="Times New Roman" w:hAnsi="Times New Roman"/>
                    </w:rPr>
                    <w:t>生态</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对现有土地实施土地整理，对施工占地、临时弃渣场、堆料场、施工道路进行植被再造，使之恢复原有的生态功能</w:t>
                  </w:r>
                  <w:r>
                    <w:rPr>
                      <w:rFonts w:hint="eastAsia" w:ascii="Times New Roman" w:hAnsi="Times New Roman"/>
                      <w:bCs/>
                      <w:color w:val="000000"/>
                      <w:kern w:val="0"/>
                      <w:szCs w:val="21"/>
                    </w:rPr>
                    <w:t>。</w:t>
                  </w:r>
                </w:p>
              </w:tc>
              <w:tc>
                <w:tcPr>
                  <w:tcW w:w="575" w:type="pct"/>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5" w:hRule="atLeast"/>
                <w:jc w:val="center"/>
              </w:trPr>
              <w:tc>
                <w:tcPr>
                  <w:tcW w:w="23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749" w:type="pct"/>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水土保持</w:t>
                  </w:r>
                </w:p>
              </w:tc>
              <w:tc>
                <w:tcPr>
                  <w:tcW w:w="2906"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hint="eastAsia" w:ascii="Times New Roman" w:hAnsi="Times New Roman"/>
                      <w:bCs/>
                      <w:color w:val="000000"/>
                      <w:kern w:val="0"/>
                      <w:szCs w:val="21"/>
                    </w:rPr>
                  </w:pPr>
                  <w:r>
                    <w:rPr>
                      <w:rFonts w:ascii="Times New Roman" w:hAnsi="Times New Roman"/>
                      <w:bCs/>
                      <w:color w:val="000000"/>
                      <w:kern w:val="0"/>
                      <w:szCs w:val="21"/>
                    </w:rPr>
                    <w:t>挖方临时堆放点应用防雨布遮挡，避免在降雨期间挖填土石方，以防雨水冲刷造成水土流失、污染水体等，并及时回填挖方，植被恢复；拌和点等施工迹地在施工完成后立即植被恢复</w:t>
                  </w:r>
                  <w:r>
                    <w:rPr>
                      <w:rFonts w:hint="eastAsia" w:ascii="Times New Roman" w:hAnsi="Times New Roman"/>
                      <w:bCs/>
                      <w:color w:val="000000"/>
                      <w:kern w:val="0"/>
                      <w:szCs w:val="21"/>
                    </w:rPr>
                    <w:t>。</w:t>
                  </w:r>
                </w:p>
              </w:tc>
              <w:tc>
                <w:tcPr>
                  <w:tcW w:w="575" w:type="pct"/>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p>
              </w:tc>
              <w:tc>
                <w:tcPr>
                  <w:tcW w:w="532" w:type="pc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w:t>
                  </w:r>
                </w:p>
              </w:tc>
            </w:tr>
          </w:tbl>
          <w:p>
            <w:pPr>
              <w:pStyle w:val="138"/>
              <w:spacing w:line="240" w:lineRule="auto"/>
              <w:ind w:firstLine="422"/>
              <w:jc w:val="center"/>
              <w:rPr>
                <w:rFonts w:ascii="Times New Roman" w:hAnsi="Times New Roman"/>
                <w:b/>
                <w:color w:val="000000"/>
                <w:sz w:val="21"/>
                <w:szCs w:val="21"/>
              </w:rPr>
            </w:pPr>
          </w:p>
          <w:p>
            <w:pPr>
              <w:pStyle w:val="138"/>
              <w:ind w:firstLine="422"/>
              <w:jc w:val="center"/>
              <w:rPr>
                <w:rFonts w:ascii="Times New Roman" w:hAnsi="Times New Roman"/>
                <w:b/>
                <w:color w:val="000000"/>
                <w:sz w:val="21"/>
                <w:szCs w:val="21"/>
              </w:rPr>
            </w:pPr>
            <w:r>
              <w:rPr>
                <w:rFonts w:ascii="Times New Roman" w:hAnsi="Times New Roman"/>
                <w:b/>
                <w:color w:val="000000"/>
                <w:sz w:val="21"/>
                <w:szCs w:val="21"/>
              </w:rPr>
              <w:t>表2-4  项目主要工程量表</w:t>
            </w:r>
          </w:p>
          <w:tbl>
            <w:tblPr>
              <w:tblStyle w:val="39"/>
              <w:tblW w:w="7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2130"/>
              <w:gridCol w:w="705"/>
              <w:gridCol w:w="900"/>
              <w:gridCol w:w="915"/>
              <w:gridCol w:w="975"/>
              <w:gridCol w:w="765"/>
              <w:gridCol w:w="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60"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编号</w:t>
                  </w:r>
                </w:p>
              </w:tc>
              <w:tc>
                <w:tcPr>
                  <w:tcW w:w="2130"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项目</w:t>
                  </w:r>
                </w:p>
              </w:tc>
              <w:tc>
                <w:tcPr>
                  <w:tcW w:w="705"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单位</w:t>
                  </w:r>
                </w:p>
              </w:tc>
              <w:tc>
                <w:tcPr>
                  <w:tcW w:w="900"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青白渠</w:t>
                  </w:r>
                </w:p>
              </w:tc>
              <w:tc>
                <w:tcPr>
                  <w:tcW w:w="915"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左干渠</w:t>
                  </w:r>
                </w:p>
              </w:tc>
              <w:tc>
                <w:tcPr>
                  <w:tcW w:w="975"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右干渠</w:t>
                  </w:r>
                </w:p>
              </w:tc>
              <w:tc>
                <w:tcPr>
                  <w:tcW w:w="765"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九龙分干渠</w:t>
                  </w:r>
                </w:p>
              </w:tc>
              <w:tc>
                <w:tcPr>
                  <w:tcW w:w="826" w:type="dxa"/>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0" w:type="dxa"/>
                  <w:noWrap w:val="0"/>
                  <w:vAlign w:val="center"/>
                </w:tcPr>
                <w:p>
                  <w:pPr>
                    <w:widowControl/>
                    <w:spacing w:line="300" w:lineRule="exact"/>
                    <w:jc w:val="center"/>
                    <w:rPr>
                      <w:rFonts w:ascii="Times New Roman" w:hAnsi="Times New Roman"/>
                      <w:kern w:val="0"/>
                      <w:szCs w:val="21"/>
                    </w:rPr>
                  </w:pPr>
                  <w:r>
                    <w:rPr>
                      <w:rFonts w:ascii="Times New Roman" w:hAnsi="Times New Roman"/>
                      <w:kern w:val="0"/>
                      <w:szCs w:val="21"/>
                    </w:rPr>
                    <w:t>1</w:t>
                  </w:r>
                </w:p>
              </w:tc>
              <w:tc>
                <w:tcPr>
                  <w:tcW w:w="2130" w:type="dxa"/>
                  <w:noWrap/>
                  <w:vAlign w:val="center"/>
                </w:tcPr>
                <w:p>
                  <w:pPr>
                    <w:widowControl/>
                    <w:spacing w:line="300" w:lineRule="exact"/>
                    <w:rPr>
                      <w:rFonts w:ascii="Times New Roman" w:hAnsi="Times New Roman"/>
                      <w:kern w:val="0"/>
                      <w:szCs w:val="21"/>
                    </w:rPr>
                  </w:pPr>
                  <w:r>
                    <w:rPr>
                      <w:rFonts w:ascii="Times New Roman" w:hAnsi="Times New Roman"/>
                      <w:kern w:val="0"/>
                      <w:szCs w:val="21"/>
                    </w:rPr>
                    <w:t>浆砌石拆除</w:t>
                  </w:r>
                </w:p>
              </w:tc>
              <w:tc>
                <w:tcPr>
                  <w:tcW w:w="705" w:type="dxa"/>
                  <w:noWrap/>
                  <w:vAlign w:val="center"/>
                </w:tcPr>
                <w:p>
                  <w:pPr>
                    <w:widowControl/>
                    <w:spacing w:line="300" w:lineRule="exact"/>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24</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215</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8</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w:t>
                  </w:r>
                </w:p>
              </w:tc>
              <w:tc>
                <w:tcPr>
                  <w:tcW w:w="2130" w:type="dxa"/>
                  <w:noWrap/>
                  <w:vAlign w:val="center"/>
                </w:tcPr>
                <w:p>
                  <w:pPr>
                    <w:rPr>
                      <w:rFonts w:ascii="Times New Roman" w:hAnsi="Times New Roman"/>
                      <w:kern w:val="0"/>
                      <w:szCs w:val="21"/>
                    </w:rPr>
                  </w:pPr>
                  <w:r>
                    <w:rPr>
                      <w:rFonts w:ascii="Times New Roman" w:hAnsi="Times New Roman"/>
                      <w:kern w:val="0"/>
                      <w:szCs w:val="21"/>
                    </w:rPr>
                    <w:t>土方开挖</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73750</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73</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3283</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133</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77239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3</w:t>
                  </w:r>
                </w:p>
              </w:tc>
              <w:tc>
                <w:tcPr>
                  <w:tcW w:w="2130" w:type="dxa"/>
                  <w:noWrap/>
                  <w:vAlign w:val="center"/>
                </w:tcPr>
                <w:p>
                  <w:pPr>
                    <w:rPr>
                      <w:rFonts w:ascii="Times New Roman" w:hAnsi="Times New Roman"/>
                      <w:kern w:val="0"/>
                      <w:szCs w:val="21"/>
                    </w:rPr>
                  </w:pPr>
                  <w:r>
                    <w:rPr>
                      <w:rFonts w:ascii="Times New Roman" w:hAnsi="Times New Roman"/>
                      <w:kern w:val="0"/>
                      <w:szCs w:val="21"/>
                    </w:rPr>
                    <w:t>石方开挖</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18364</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18364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4</w:t>
                  </w:r>
                </w:p>
              </w:tc>
              <w:tc>
                <w:tcPr>
                  <w:tcW w:w="2130" w:type="dxa"/>
                  <w:noWrap/>
                  <w:vAlign w:val="center"/>
                </w:tcPr>
                <w:p>
                  <w:pPr>
                    <w:rPr>
                      <w:rFonts w:ascii="Times New Roman" w:hAnsi="Times New Roman"/>
                      <w:kern w:val="0"/>
                      <w:szCs w:val="21"/>
                    </w:rPr>
                  </w:pPr>
                  <w:r>
                    <w:rPr>
                      <w:rFonts w:ascii="Times New Roman" w:hAnsi="Times New Roman"/>
                      <w:kern w:val="0"/>
                      <w:szCs w:val="21"/>
                    </w:rPr>
                    <w:t>石方洞挖</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1072</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5</w:t>
                  </w:r>
                </w:p>
              </w:tc>
              <w:tc>
                <w:tcPr>
                  <w:tcW w:w="2130" w:type="dxa"/>
                  <w:noWrap/>
                  <w:vAlign w:val="center"/>
                </w:tcPr>
                <w:p>
                  <w:pPr>
                    <w:rPr>
                      <w:rFonts w:ascii="Times New Roman" w:hAnsi="Times New Roman"/>
                      <w:kern w:val="0"/>
                      <w:szCs w:val="21"/>
                    </w:rPr>
                  </w:pPr>
                  <w:r>
                    <w:rPr>
                      <w:rFonts w:ascii="Times New Roman" w:hAnsi="Times New Roman"/>
                      <w:kern w:val="0"/>
                      <w:szCs w:val="21"/>
                    </w:rPr>
                    <w:t>土石回填压实</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76438</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38</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1384</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55</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77915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6</w:t>
                  </w:r>
                </w:p>
              </w:tc>
              <w:tc>
                <w:tcPr>
                  <w:tcW w:w="2130" w:type="dxa"/>
                  <w:noWrap/>
                  <w:vAlign w:val="center"/>
                </w:tcPr>
                <w:p>
                  <w:pPr>
                    <w:rPr>
                      <w:rFonts w:ascii="Times New Roman" w:hAnsi="Times New Roman"/>
                      <w:kern w:val="0"/>
                      <w:szCs w:val="21"/>
                    </w:rPr>
                  </w:pPr>
                  <w:r>
                    <w:rPr>
                      <w:rFonts w:ascii="Times New Roman" w:hAnsi="Times New Roman"/>
                      <w:kern w:val="0"/>
                      <w:szCs w:val="21"/>
                    </w:rPr>
                    <w:t>沙壤土垫层</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3690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3690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7</w:t>
                  </w:r>
                </w:p>
              </w:tc>
              <w:tc>
                <w:tcPr>
                  <w:tcW w:w="2130" w:type="dxa"/>
                  <w:noWrap/>
                  <w:vAlign w:val="center"/>
                </w:tcPr>
                <w:p>
                  <w:pPr>
                    <w:rPr>
                      <w:rFonts w:ascii="Times New Roman" w:hAnsi="Times New Roman"/>
                      <w:kern w:val="0"/>
                      <w:szCs w:val="21"/>
                    </w:rPr>
                  </w:pPr>
                  <w:r>
                    <w:rPr>
                      <w:rFonts w:ascii="Times New Roman" w:hAnsi="Times New Roman"/>
                      <w:kern w:val="0"/>
                      <w:szCs w:val="21"/>
                    </w:rPr>
                    <w:t>碎石垫层</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1800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625</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2425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8</w:t>
                  </w:r>
                </w:p>
              </w:tc>
              <w:tc>
                <w:tcPr>
                  <w:tcW w:w="2130" w:type="dxa"/>
                  <w:noWrap/>
                  <w:vAlign w:val="center"/>
                </w:tcPr>
                <w:p>
                  <w:pPr>
                    <w:rPr>
                      <w:rFonts w:ascii="Times New Roman" w:hAnsi="Times New Roman"/>
                      <w:kern w:val="0"/>
                      <w:szCs w:val="21"/>
                    </w:rPr>
                  </w:pPr>
                  <w:r>
                    <w:rPr>
                      <w:rFonts w:ascii="Times New Roman" w:hAnsi="Times New Roman"/>
                      <w:kern w:val="0"/>
                      <w:szCs w:val="21"/>
                    </w:rPr>
                    <w:t>砂卵石垫层</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m³</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515</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9</w:t>
                  </w:r>
                </w:p>
              </w:tc>
              <w:tc>
                <w:tcPr>
                  <w:tcW w:w="2130" w:type="dxa"/>
                  <w:noWrap/>
                  <w:vAlign w:val="center"/>
                </w:tcPr>
                <w:p>
                  <w:pPr>
                    <w:rPr>
                      <w:rFonts w:ascii="Times New Roman" w:hAnsi="Times New Roman"/>
                      <w:kern w:val="0"/>
                      <w:szCs w:val="21"/>
                    </w:rPr>
                  </w:pPr>
                  <w:r>
                    <w:rPr>
                      <w:rFonts w:ascii="Times New Roman" w:hAnsi="Times New Roman"/>
                      <w:kern w:val="0"/>
                      <w:szCs w:val="21"/>
                    </w:rPr>
                    <w:t>砼浇筑</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r>
                    <w:rPr>
                      <w:rFonts w:ascii="Times New Roman" w:hAnsi="Times New Roman"/>
                      <w:kern w:val="0"/>
                      <w:szCs w:val="21"/>
                      <w:vertAlign w:val="superscript"/>
                    </w:rPr>
                    <w:t>3</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7842.2</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179</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2670.9</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108.6</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10801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10</w:t>
                  </w:r>
                </w:p>
              </w:tc>
              <w:tc>
                <w:tcPr>
                  <w:tcW w:w="2130" w:type="dxa"/>
                  <w:noWrap/>
                  <w:vAlign w:val="center"/>
                </w:tcPr>
                <w:p>
                  <w:pPr>
                    <w:rPr>
                      <w:rFonts w:ascii="Times New Roman" w:hAnsi="Times New Roman"/>
                      <w:kern w:val="0"/>
                      <w:szCs w:val="21"/>
                    </w:rPr>
                  </w:pPr>
                  <w:r>
                    <w:rPr>
                      <w:rFonts w:ascii="Times New Roman" w:hAnsi="Times New Roman"/>
                      <w:kern w:val="0"/>
                      <w:szCs w:val="21"/>
                    </w:rPr>
                    <w:t>钢筋制安</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t</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148</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27</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29.79</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13.6</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11</w:t>
                  </w:r>
                </w:p>
              </w:tc>
              <w:tc>
                <w:tcPr>
                  <w:tcW w:w="2130" w:type="dxa"/>
                  <w:noWrap/>
                  <w:vAlign w:val="center"/>
                </w:tcPr>
                <w:p>
                  <w:pPr>
                    <w:rPr>
                      <w:rFonts w:ascii="Times New Roman" w:hAnsi="Times New Roman"/>
                      <w:kern w:val="0"/>
                      <w:szCs w:val="21"/>
                    </w:rPr>
                  </w:pPr>
                  <w:r>
                    <w:rPr>
                      <w:rFonts w:ascii="Times New Roman" w:hAnsi="Times New Roman"/>
                      <w:kern w:val="0"/>
                      <w:szCs w:val="21"/>
                    </w:rPr>
                    <w:t>PE管</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100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27</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12</w:t>
                  </w:r>
                </w:p>
              </w:tc>
              <w:tc>
                <w:tcPr>
                  <w:tcW w:w="2130" w:type="dxa"/>
                  <w:noWrap/>
                  <w:vAlign w:val="center"/>
                </w:tcPr>
                <w:p>
                  <w:pPr>
                    <w:rPr>
                      <w:rFonts w:ascii="Times New Roman" w:hAnsi="Times New Roman"/>
                      <w:kern w:val="0"/>
                      <w:szCs w:val="21"/>
                    </w:rPr>
                  </w:pPr>
                  <w:r>
                    <w:rPr>
                      <w:rFonts w:ascii="Times New Roman" w:hAnsi="Times New Roman"/>
                      <w:kern w:val="0"/>
                      <w:szCs w:val="21"/>
                    </w:rPr>
                    <w:t>闸房</w:t>
                  </w:r>
                </w:p>
              </w:tc>
              <w:tc>
                <w:tcPr>
                  <w:tcW w:w="705" w:type="dxa"/>
                  <w:noWrap/>
                  <w:vAlign w:val="center"/>
                </w:tcPr>
                <w:p>
                  <w:pPr>
                    <w:jc w:val="center"/>
                    <w:rPr>
                      <w:rFonts w:ascii="Times New Roman" w:hAnsi="Times New Roman"/>
                      <w:kern w:val="0"/>
                      <w:szCs w:val="21"/>
                    </w:rPr>
                  </w:pPr>
                  <w:r>
                    <w:rPr>
                      <w:rFonts w:hint="eastAsia" w:ascii="Times New Roman" w:hAnsi="Times New Roman"/>
                      <w:kern w:val="0"/>
                      <w:szCs w:val="21"/>
                    </w:rPr>
                    <w:t>m</w:t>
                  </w:r>
                  <w:r>
                    <w:rPr>
                      <w:rFonts w:hint="eastAsia" w:ascii="Times New Roman" w:hAnsi="Times New Roman"/>
                      <w:kern w:val="0"/>
                      <w:szCs w:val="21"/>
                      <w:vertAlign w:val="superscript"/>
                    </w:rPr>
                    <w:t>2</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12</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99</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54</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42</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13</w:t>
                  </w:r>
                </w:p>
              </w:tc>
              <w:tc>
                <w:tcPr>
                  <w:tcW w:w="2130" w:type="dxa"/>
                  <w:noWrap/>
                  <w:vAlign w:val="center"/>
                </w:tcPr>
                <w:p>
                  <w:pPr>
                    <w:rPr>
                      <w:rFonts w:ascii="Times New Roman" w:hAnsi="Times New Roman"/>
                      <w:kern w:val="0"/>
                      <w:szCs w:val="21"/>
                    </w:rPr>
                  </w:pPr>
                  <w:r>
                    <w:rPr>
                      <w:rFonts w:ascii="Times New Roman" w:hAnsi="Times New Roman"/>
                      <w:kern w:val="0"/>
                      <w:szCs w:val="21"/>
                    </w:rPr>
                    <w:t>PVC排水管</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20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460</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14</w:t>
                  </w:r>
                </w:p>
              </w:tc>
              <w:tc>
                <w:tcPr>
                  <w:tcW w:w="2130" w:type="dxa"/>
                  <w:noWrap/>
                  <w:vAlign w:val="center"/>
                </w:tcPr>
                <w:p>
                  <w:pPr>
                    <w:rPr>
                      <w:rFonts w:ascii="Times New Roman" w:hAnsi="Times New Roman"/>
                      <w:kern w:val="0"/>
                      <w:szCs w:val="21"/>
                    </w:rPr>
                  </w:pPr>
                  <w:r>
                    <w:rPr>
                      <w:rFonts w:ascii="Times New Roman" w:hAnsi="Times New Roman"/>
                      <w:kern w:val="0"/>
                      <w:szCs w:val="21"/>
                    </w:rPr>
                    <w:t>沥青杉木板</w:t>
                  </w:r>
                </w:p>
              </w:tc>
              <w:tc>
                <w:tcPr>
                  <w:tcW w:w="705" w:type="dxa"/>
                  <w:noWrap/>
                  <w:vAlign w:val="center"/>
                </w:tcPr>
                <w:p>
                  <w:pPr>
                    <w:jc w:val="center"/>
                    <w:rPr>
                      <w:rFonts w:ascii="Times New Roman" w:hAnsi="Times New Roman"/>
                      <w:kern w:val="0"/>
                      <w:szCs w:val="21"/>
                    </w:rPr>
                  </w:pPr>
                  <w:r>
                    <w:rPr>
                      <w:rFonts w:hint="eastAsia" w:ascii="Times New Roman" w:hAnsi="Times New Roman"/>
                      <w:kern w:val="0"/>
                      <w:szCs w:val="21"/>
                    </w:rPr>
                    <w:t>m</w:t>
                  </w:r>
                  <w:r>
                    <w:rPr>
                      <w:rFonts w:hint="eastAsia" w:ascii="Times New Roman" w:hAnsi="Times New Roman"/>
                      <w:kern w:val="0"/>
                      <w:szCs w:val="21"/>
                      <w:vertAlign w:val="superscript"/>
                    </w:rPr>
                    <w:t>2</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141</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15</w:t>
                  </w:r>
                </w:p>
              </w:tc>
              <w:tc>
                <w:tcPr>
                  <w:tcW w:w="2130" w:type="dxa"/>
                  <w:noWrap/>
                  <w:vAlign w:val="center"/>
                </w:tcPr>
                <w:p>
                  <w:pPr>
                    <w:rPr>
                      <w:rFonts w:ascii="Times New Roman" w:hAnsi="Times New Roman"/>
                      <w:kern w:val="0"/>
                      <w:szCs w:val="21"/>
                    </w:rPr>
                  </w:pPr>
                  <w:r>
                    <w:rPr>
                      <w:rFonts w:ascii="Times New Roman" w:hAnsi="Times New Roman"/>
                      <w:kern w:val="0"/>
                      <w:szCs w:val="21"/>
                    </w:rPr>
                    <w:t>钢爬梯</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44</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20</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16</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16</w:t>
                  </w:r>
                </w:p>
              </w:tc>
              <w:tc>
                <w:tcPr>
                  <w:tcW w:w="2130" w:type="dxa"/>
                  <w:noWrap/>
                  <w:vAlign w:val="center"/>
                </w:tcPr>
                <w:p>
                  <w:pPr>
                    <w:rPr>
                      <w:rFonts w:ascii="Times New Roman" w:hAnsi="Times New Roman"/>
                      <w:kern w:val="0"/>
                      <w:szCs w:val="21"/>
                    </w:rPr>
                  </w:pPr>
                  <w:r>
                    <w:rPr>
                      <w:rFonts w:ascii="Times New Roman" w:hAnsi="Times New Roman"/>
                      <w:kern w:val="0"/>
                      <w:szCs w:val="21"/>
                    </w:rPr>
                    <w:t>螺旋钢管dn1020（厚8mm）</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m</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12800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17</w:t>
                  </w:r>
                </w:p>
              </w:tc>
              <w:tc>
                <w:tcPr>
                  <w:tcW w:w="2130" w:type="dxa"/>
                  <w:noWrap/>
                  <w:vAlign w:val="center"/>
                </w:tcPr>
                <w:p>
                  <w:pPr>
                    <w:rPr>
                      <w:rFonts w:ascii="Times New Roman" w:hAnsi="Times New Roman"/>
                      <w:kern w:val="0"/>
                      <w:szCs w:val="21"/>
                    </w:rPr>
                  </w:pPr>
                  <w:r>
                    <w:rPr>
                      <w:rFonts w:ascii="Times New Roman" w:hAnsi="Times New Roman"/>
                      <w:kern w:val="0"/>
                      <w:szCs w:val="21"/>
                    </w:rPr>
                    <w:t>管道标志桩</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个</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256</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18</w:t>
                  </w:r>
                </w:p>
              </w:tc>
              <w:tc>
                <w:tcPr>
                  <w:tcW w:w="2130" w:type="dxa"/>
                  <w:noWrap/>
                  <w:vAlign w:val="center"/>
                </w:tcPr>
                <w:p>
                  <w:pPr>
                    <w:rPr>
                      <w:rFonts w:ascii="Times New Roman" w:hAnsi="Times New Roman"/>
                      <w:kern w:val="0"/>
                      <w:szCs w:val="21"/>
                    </w:rPr>
                  </w:pPr>
                  <w:r>
                    <w:rPr>
                      <w:rFonts w:ascii="Times New Roman" w:hAnsi="Times New Roman"/>
                      <w:kern w:val="0"/>
                      <w:szCs w:val="21"/>
                    </w:rPr>
                    <w:t>阀门井（井径2.0m，井深2.0m，含井盖）</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座</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48</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19</w:t>
                  </w:r>
                </w:p>
              </w:tc>
              <w:tc>
                <w:tcPr>
                  <w:tcW w:w="2130" w:type="dxa"/>
                  <w:noWrap/>
                  <w:vAlign w:val="center"/>
                </w:tcPr>
                <w:p>
                  <w:pPr>
                    <w:rPr>
                      <w:rFonts w:ascii="Times New Roman" w:hAnsi="Times New Roman"/>
                      <w:kern w:val="0"/>
                      <w:szCs w:val="21"/>
                    </w:rPr>
                  </w:pPr>
                  <w:r>
                    <w:rPr>
                      <w:rFonts w:ascii="Times New Roman" w:hAnsi="Times New Roman"/>
                      <w:kern w:val="0"/>
                      <w:szCs w:val="21"/>
                    </w:rPr>
                    <w:t>阀门</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个</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58</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20</w:t>
                  </w:r>
                </w:p>
              </w:tc>
              <w:tc>
                <w:tcPr>
                  <w:tcW w:w="2130" w:type="dxa"/>
                  <w:noWrap/>
                  <w:vAlign w:val="center"/>
                </w:tcPr>
                <w:p>
                  <w:pPr>
                    <w:rPr>
                      <w:rFonts w:ascii="Times New Roman" w:hAnsi="Times New Roman"/>
                      <w:kern w:val="0"/>
                      <w:szCs w:val="21"/>
                    </w:rPr>
                  </w:pPr>
                  <w:r>
                    <w:rPr>
                      <w:rFonts w:ascii="Times New Roman" w:hAnsi="Times New Roman"/>
                      <w:kern w:val="0"/>
                      <w:szCs w:val="21"/>
                    </w:rPr>
                    <w:t>土工布</w:t>
                  </w:r>
                </w:p>
              </w:tc>
              <w:tc>
                <w:tcPr>
                  <w:tcW w:w="705" w:type="dxa"/>
                  <w:noWrap/>
                  <w:vAlign w:val="center"/>
                </w:tcPr>
                <w:p>
                  <w:pPr>
                    <w:jc w:val="center"/>
                    <w:rPr>
                      <w:rFonts w:ascii="Times New Roman" w:hAnsi="Times New Roman"/>
                      <w:kern w:val="0"/>
                      <w:szCs w:val="21"/>
                    </w:rPr>
                  </w:pPr>
                  <w:r>
                    <w:rPr>
                      <w:rFonts w:hint="eastAsia" w:ascii="Times New Roman" w:hAnsi="Times New Roman"/>
                      <w:kern w:val="0"/>
                      <w:szCs w:val="21"/>
                    </w:rPr>
                    <w:t>m</w:t>
                  </w:r>
                  <w:r>
                    <w:rPr>
                      <w:rFonts w:hint="eastAsia" w:ascii="Times New Roman" w:hAnsi="Times New Roman"/>
                      <w:kern w:val="0"/>
                      <w:szCs w:val="21"/>
                      <w:vertAlign w:val="superscript"/>
                    </w:rPr>
                    <w:t>2</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450</w:t>
                  </w: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21</w:t>
                  </w:r>
                </w:p>
              </w:tc>
              <w:tc>
                <w:tcPr>
                  <w:tcW w:w="2130" w:type="dxa"/>
                  <w:noWrap/>
                  <w:vAlign w:val="center"/>
                </w:tcPr>
                <w:p>
                  <w:pPr>
                    <w:rPr>
                      <w:rFonts w:ascii="Times New Roman" w:hAnsi="Times New Roman"/>
                      <w:kern w:val="0"/>
                      <w:szCs w:val="21"/>
                    </w:rPr>
                  </w:pPr>
                  <w:r>
                    <w:rPr>
                      <w:rFonts w:ascii="Times New Roman" w:hAnsi="Times New Roman"/>
                      <w:kern w:val="0"/>
                      <w:szCs w:val="21"/>
                    </w:rPr>
                    <w:t>金结制安</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t</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6.6</w:t>
                  </w:r>
                </w:p>
              </w:tc>
              <w:tc>
                <w:tcPr>
                  <w:tcW w:w="915" w:type="dxa"/>
                  <w:noWrap w:val="0"/>
                  <w:vAlign w:val="center"/>
                </w:tcPr>
                <w:p>
                  <w:pPr>
                    <w:jc w:val="center"/>
                    <w:rPr>
                      <w:rFonts w:ascii="Times New Roman" w:hAnsi="Times New Roman"/>
                      <w:kern w:val="0"/>
                      <w:szCs w:val="21"/>
                    </w:rPr>
                  </w:pPr>
                  <w:r>
                    <w:rPr>
                      <w:rFonts w:ascii="Times New Roman" w:hAnsi="Times New Roman"/>
                      <w:kern w:val="0"/>
                      <w:szCs w:val="21"/>
                    </w:rPr>
                    <w:t>31.9</w:t>
                  </w:r>
                </w:p>
              </w:tc>
              <w:tc>
                <w:tcPr>
                  <w:tcW w:w="975" w:type="dxa"/>
                  <w:noWrap w:val="0"/>
                  <w:vAlign w:val="center"/>
                </w:tcPr>
                <w:p>
                  <w:pPr>
                    <w:jc w:val="center"/>
                    <w:rPr>
                      <w:rFonts w:ascii="Times New Roman" w:hAnsi="Times New Roman"/>
                      <w:kern w:val="0"/>
                      <w:szCs w:val="21"/>
                    </w:rPr>
                  </w:pPr>
                  <w:r>
                    <w:rPr>
                      <w:rFonts w:ascii="Times New Roman" w:hAnsi="Times New Roman"/>
                      <w:kern w:val="0"/>
                      <w:szCs w:val="21"/>
                    </w:rPr>
                    <w:t>16.4</w:t>
                  </w:r>
                </w:p>
              </w:tc>
              <w:tc>
                <w:tcPr>
                  <w:tcW w:w="765" w:type="dxa"/>
                  <w:noWrap w:val="0"/>
                  <w:vAlign w:val="center"/>
                </w:tcPr>
                <w:p>
                  <w:pPr>
                    <w:jc w:val="center"/>
                    <w:rPr>
                      <w:rFonts w:ascii="Times New Roman" w:hAnsi="Times New Roman"/>
                      <w:kern w:val="0"/>
                      <w:szCs w:val="21"/>
                    </w:rPr>
                  </w:pPr>
                  <w:r>
                    <w:rPr>
                      <w:rFonts w:ascii="Times New Roman" w:hAnsi="Times New Roman"/>
                      <w:kern w:val="0"/>
                      <w:szCs w:val="21"/>
                    </w:rPr>
                    <w:t>11.5</w:t>
                  </w: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22</w:t>
                  </w:r>
                </w:p>
              </w:tc>
              <w:tc>
                <w:tcPr>
                  <w:tcW w:w="2130" w:type="dxa"/>
                  <w:noWrap/>
                  <w:vAlign w:val="center"/>
                </w:tcPr>
                <w:p>
                  <w:pPr>
                    <w:rPr>
                      <w:rFonts w:ascii="Times New Roman" w:hAnsi="Times New Roman"/>
                      <w:kern w:val="0"/>
                      <w:szCs w:val="21"/>
                    </w:rPr>
                  </w:pPr>
                  <w:r>
                    <w:rPr>
                      <w:rFonts w:ascii="Times New Roman" w:hAnsi="Times New Roman"/>
                      <w:kern w:val="0"/>
                      <w:szCs w:val="21"/>
                    </w:rPr>
                    <w:t>分水洞闸门</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套</w:t>
                  </w:r>
                </w:p>
              </w:tc>
              <w:tc>
                <w:tcPr>
                  <w:tcW w:w="900" w:type="dxa"/>
                  <w:noWrap w:val="0"/>
                  <w:vAlign w:val="center"/>
                </w:tcPr>
                <w:p>
                  <w:pPr>
                    <w:jc w:val="center"/>
                    <w:rPr>
                      <w:rFonts w:ascii="Times New Roman" w:hAnsi="Times New Roman"/>
                      <w:kern w:val="0"/>
                      <w:szCs w:val="21"/>
                    </w:rPr>
                  </w:pPr>
                  <w:r>
                    <w:rPr>
                      <w:rFonts w:ascii="Times New Roman" w:hAnsi="Times New Roman"/>
                      <w:kern w:val="0"/>
                      <w:szCs w:val="21"/>
                    </w:rPr>
                    <w:t>10</w:t>
                  </w: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23</w:t>
                  </w:r>
                </w:p>
              </w:tc>
              <w:tc>
                <w:tcPr>
                  <w:tcW w:w="2130" w:type="dxa"/>
                  <w:noWrap/>
                  <w:vAlign w:val="center"/>
                </w:tcPr>
                <w:p>
                  <w:pPr>
                    <w:rPr>
                      <w:rFonts w:ascii="Times New Roman" w:hAnsi="Times New Roman"/>
                      <w:kern w:val="0"/>
                      <w:szCs w:val="21"/>
                    </w:rPr>
                  </w:pPr>
                  <w:r>
                    <w:rPr>
                      <w:rFonts w:ascii="Times New Roman" w:hAnsi="Times New Roman"/>
                      <w:kern w:val="0"/>
                      <w:szCs w:val="21"/>
                    </w:rPr>
                    <w:t>管理房装修</w:t>
                  </w:r>
                </w:p>
              </w:tc>
              <w:tc>
                <w:tcPr>
                  <w:tcW w:w="705" w:type="dxa"/>
                  <w:noWrap/>
                  <w:vAlign w:val="center"/>
                </w:tcPr>
                <w:p>
                  <w:pPr>
                    <w:jc w:val="center"/>
                    <w:rPr>
                      <w:rFonts w:ascii="Times New Roman" w:hAnsi="Times New Roman"/>
                      <w:kern w:val="0"/>
                      <w:szCs w:val="21"/>
                    </w:rPr>
                  </w:pPr>
                  <w:r>
                    <w:rPr>
                      <w:rFonts w:hint="eastAsia" w:ascii="Times New Roman" w:hAnsi="Times New Roman"/>
                      <w:kern w:val="0"/>
                      <w:szCs w:val="21"/>
                    </w:rPr>
                    <w:t>m</w:t>
                  </w:r>
                  <w:r>
                    <w:rPr>
                      <w:rFonts w:hint="eastAsia" w:ascii="Times New Roman" w:hAnsi="Times New Roman"/>
                      <w:kern w:val="0"/>
                      <w:szCs w:val="21"/>
                      <w:vertAlign w:val="superscript"/>
                    </w:rPr>
                    <w:t>2</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60" w:type="dxa"/>
                  <w:noWrap w:val="0"/>
                  <w:vAlign w:val="center"/>
                </w:tcPr>
                <w:p>
                  <w:pPr>
                    <w:jc w:val="center"/>
                    <w:rPr>
                      <w:rFonts w:ascii="Times New Roman" w:hAnsi="Times New Roman"/>
                      <w:kern w:val="0"/>
                      <w:szCs w:val="21"/>
                    </w:rPr>
                  </w:pPr>
                  <w:r>
                    <w:rPr>
                      <w:rFonts w:ascii="Times New Roman" w:hAnsi="Times New Roman"/>
                      <w:kern w:val="0"/>
                      <w:szCs w:val="21"/>
                    </w:rPr>
                    <w:t>24</w:t>
                  </w:r>
                </w:p>
              </w:tc>
              <w:tc>
                <w:tcPr>
                  <w:tcW w:w="2130" w:type="dxa"/>
                  <w:noWrap/>
                  <w:vAlign w:val="center"/>
                </w:tcPr>
                <w:p>
                  <w:pPr>
                    <w:rPr>
                      <w:rFonts w:ascii="Times New Roman" w:hAnsi="Times New Roman"/>
                      <w:kern w:val="0"/>
                      <w:szCs w:val="21"/>
                    </w:rPr>
                  </w:pPr>
                  <w:r>
                    <w:rPr>
                      <w:rFonts w:ascii="Times New Roman" w:hAnsi="Times New Roman"/>
                      <w:kern w:val="0"/>
                      <w:szCs w:val="21"/>
                    </w:rPr>
                    <w:t>进库公路整治</w:t>
                  </w:r>
                </w:p>
              </w:tc>
              <w:tc>
                <w:tcPr>
                  <w:tcW w:w="705" w:type="dxa"/>
                  <w:noWrap/>
                  <w:vAlign w:val="center"/>
                </w:tcPr>
                <w:p>
                  <w:pPr>
                    <w:jc w:val="center"/>
                    <w:rPr>
                      <w:rFonts w:ascii="Times New Roman" w:hAnsi="Times New Roman"/>
                      <w:kern w:val="0"/>
                      <w:szCs w:val="21"/>
                    </w:rPr>
                  </w:pPr>
                  <w:r>
                    <w:rPr>
                      <w:rFonts w:ascii="Times New Roman" w:hAnsi="Times New Roman"/>
                      <w:kern w:val="0"/>
                      <w:szCs w:val="21"/>
                    </w:rPr>
                    <w:t>km</w:t>
                  </w:r>
                </w:p>
              </w:tc>
              <w:tc>
                <w:tcPr>
                  <w:tcW w:w="900" w:type="dxa"/>
                  <w:noWrap w:val="0"/>
                  <w:vAlign w:val="center"/>
                </w:tcPr>
                <w:p>
                  <w:pPr>
                    <w:jc w:val="center"/>
                    <w:rPr>
                      <w:rFonts w:ascii="Times New Roman" w:hAnsi="Times New Roman"/>
                      <w:kern w:val="0"/>
                      <w:szCs w:val="21"/>
                    </w:rPr>
                  </w:pPr>
                </w:p>
              </w:tc>
              <w:tc>
                <w:tcPr>
                  <w:tcW w:w="915" w:type="dxa"/>
                  <w:noWrap w:val="0"/>
                  <w:vAlign w:val="center"/>
                </w:tcPr>
                <w:p>
                  <w:pPr>
                    <w:jc w:val="center"/>
                    <w:rPr>
                      <w:rFonts w:ascii="Times New Roman" w:hAnsi="Times New Roman"/>
                      <w:kern w:val="0"/>
                      <w:szCs w:val="21"/>
                    </w:rPr>
                  </w:pPr>
                </w:p>
              </w:tc>
              <w:tc>
                <w:tcPr>
                  <w:tcW w:w="975" w:type="dxa"/>
                  <w:noWrap w:val="0"/>
                  <w:vAlign w:val="center"/>
                </w:tcPr>
                <w:p>
                  <w:pPr>
                    <w:jc w:val="center"/>
                    <w:rPr>
                      <w:rFonts w:ascii="Times New Roman" w:hAnsi="Times New Roman"/>
                      <w:kern w:val="0"/>
                      <w:szCs w:val="21"/>
                    </w:rPr>
                  </w:pPr>
                </w:p>
              </w:tc>
              <w:tc>
                <w:tcPr>
                  <w:tcW w:w="765" w:type="dxa"/>
                  <w:noWrap w:val="0"/>
                  <w:vAlign w:val="center"/>
                </w:tcPr>
                <w:p>
                  <w:pPr>
                    <w:jc w:val="center"/>
                    <w:rPr>
                      <w:rFonts w:ascii="Times New Roman" w:hAnsi="Times New Roman"/>
                      <w:kern w:val="0"/>
                      <w:szCs w:val="21"/>
                    </w:rPr>
                  </w:pPr>
                </w:p>
              </w:tc>
              <w:tc>
                <w:tcPr>
                  <w:tcW w:w="826" w:type="dxa"/>
                  <w:noWrap w:val="0"/>
                  <w:vAlign w:val="center"/>
                </w:tcPr>
                <w:p>
                  <w:pPr>
                    <w:jc w:val="center"/>
                    <w:rPr>
                      <w:rFonts w:ascii="Times New Roman" w:hAnsi="Times New Roman"/>
                      <w:kern w:val="0"/>
                      <w:szCs w:val="21"/>
                    </w:rPr>
                  </w:pPr>
                  <w:r>
                    <w:rPr>
                      <w:rFonts w:ascii="Times New Roman" w:hAnsi="Times New Roman"/>
                      <w:kern w:val="0"/>
                      <w:szCs w:val="21"/>
                    </w:rPr>
                    <w:t>4.0</w:t>
                  </w:r>
                </w:p>
              </w:tc>
            </w:tr>
          </w:tbl>
          <w:p>
            <w:pPr>
              <w:pStyle w:val="138"/>
              <w:ind w:firstLine="482"/>
              <w:rPr>
                <w:rFonts w:ascii="Times New Roman" w:hAnsi="Times New Roman"/>
                <w:b/>
                <w:color w:val="000000"/>
              </w:rPr>
            </w:pPr>
            <w:r>
              <w:rPr>
                <w:rFonts w:ascii="Times New Roman" w:hAnsi="Times New Roman"/>
                <w:b/>
                <w:color w:val="000000"/>
              </w:rPr>
              <w:t>3、工程建设所需原辅材料及机械设备</w:t>
            </w:r>
          </w:p>
          <w:p>
            <w:pPr>
              <w:pStyle w:val="138"/>
              <w:ind w:firstLine="482"/>
              <w:rPr>
                <w:rFonts w:ascii="Times New Roman" w:hAnsi="Times New Roman"/>
                <w:b/>
                <w:color w:val="000000"/>
              </w:rPr>
            </w:pPr>
            <w:r>
              <w:rPr>
                <w:rFonts w:ascii="Times New Roman" w:hAnsi="Times New Roman"/>
                <w:b/>
                <w:color w:val="000000"/>
              </w:rPr>
              <w:t>（1）原辅材料</w: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w:t>本工程所需所有材料均外购。主要原辅材料及其用量见表2-5。</w:t>
            </w:r>
          </w:p>
          <w:p>
            <w:pPr>
              <w:wordWrap w:val="0"/>
              <w:adjustRightInd w:val="0"/>
              <w:snapToGrid w:val="0"/>
              <w:spacing w:line="360" w:lineRule="auto"/>
              <w:ind w:firstLine="482" w:firstLineChars="200"/>
              <w:jc w:val="center"/>
              <w:rPr>
                <w:rFonts w:ascii="Times New Roman" w:hAnsi="Times New Roman"/>
                <w:b/>
                <w:color w:val="000000"/>
                <w:szCs w:val="21"/>
              </w:rPr>
            </w:pPr>
            <w:r>
              <w:rPr>
                <w:rFonts w:ascii="Times New Roman" w:hAnsi="Times New Roman"/>
                <w:b/>
                <w:color w:val="000000"/>
                <w:szCs w:val="21"/>
              </w:rPr>
              <w:t>表2-5  原辅材料及其用量</w:t>
            </w:r>
          </w:p>
          <w:tbl>
            <w:tblPr>
              <w:tblStyle w:val="39"/>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2746"/>
              <w:gridCol w:w="640"/>
              <w:gridCol w:w="870"/>
              <w:gridCol w:w="959"/>
              <w:gridCol w:w="942"/>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序号</w:t>
                  </w:r>
                </w:p>
              </w:tc>
              <w:tc>
                <w:tcPr>
                  <w:tcW w:w="1757"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材料名称</w:t>
                  </w:r>
                </w:p>
              </w:tc>
              <w:tc>
                <w:tcPr>
                  <w:tcW w:w="410"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单位</w:t>
                  </w:r>
                </w:p>
              </w:tc>
              <w:tc>
                <w:tcPr>
                  <w:tcW w:w="557"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用量</w:t>
                  </w:r>
                </w:p>
              </w:tc>
              <w:tc>
                <w:tcPr>
                  <w:tcW w:w="614"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第一年</w:t>
                  </w:r>
                </w:p>
              </w:tc>
              <w:tc>
                <w:tcPr>
                  <w:tcW w:w="603"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第二年</w:t>
                  </w:r>
                </w:p>
              </w:tc>
              <w:tc>
                <w:tcPr>
                  <w:tcW w:w="605"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
                      <w:bCs/>
                      <w:color w:val="000000"/>
                      <w:kern w:val="0"/>
                      <w:szCs w:val="21"/>
                    </w:rPr>
                  </w:pPr>
                  <w:r>
                    <w:rPr>
                      <w:rFonts w:ascii="Times New Roman" w:hAnsi="Times New Roman"/>
                      <w:b/>
                      <w:bCs/>
                      <w:color w:val="000000"/>
                      <w:kern w:val="0"/>
                      <w:szCs w:val="21"/>
                    </w:rPr>
                    <w:t>第三年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1</w:t>
                  </w:r>
                </w:p>
              </w:tc>
              <w:tc>
                <w:tcPr>
                  <w:tcW w:w="1757" w:type="pct"/>
                  <w:tcBorders>
                    <w:top w:val="single" w:color="auto" w:sz="4" w:space="0"/>
                    <w:left w:val="single" w:color="auto" w:sz="4" w:space="0"/>
                    <w:bottom w:val="single" w:color="auto" w:sz="4" w:space="0"/>
                    <w:right w:val="single" w:color="auto" w:sz="4" w:space="0"/>
                  </w:tcBorders>
                  <w:noWrap/>
                  <w:vAlign w:val="center"/>
                </w:tcPr>
                <w:p>
                  <w:pPr>
                    <w:spacing w:line="260" w:lineRule="exact"/>
                    <w:jc w:val="center"/>
                    <w:rPr>
                      <w:rFonts w:ascii="Times New Roman" w:hAnsi="Times New Roman"/>
                      <w:color w:val="000000"/>
                      <w:szCs w:val="21"/>
                    </w:rPr>
                  </w:pPr>
                  <w:r>
                    <w:rPr>
                      <w:rFonts w:ascii="Times New Roman" w:hAnsi="Times New Roman"/>
                      <w:color w:val="000000"/>
                      <w:szCs w:val="21"/>
                    </w:rPr>
                    <w:t>水泥</w:t>
                  </w:r>
                </w:p>
              </w:tc>
              <w:tc>
                <w:tcPr>
                  <w:tcW w:w="410" w:type="pct"/>
                  <w:tcBorders>
                    <w:top w:val="single" w:color="auto" w:sz="4" w:space="0"/>
                    <w:left w:val="single" w:color="auto" w:sz="4" w:space="0"/>
                    <w:bottom w:val="single" w:color="auto" w:sz="4" w:space="0"/>
                    <w:right w:val="single" w:color="auto" w:sz="4" w:space="0"/>
                  </w:tcBorders>
                  <w:noWrap/>
                  <w:vAlign w:val="center"/>
                </w:tcPr>
                <w:p>
                  <w:pPr>
                    <w:spacing w:line="260" w:lineRule="exact"/>
                    <w:jc w:val="center"/>
                    <w:rPr>
                      <w:rFonts w:ascii="Times New Roman" w:hAnsi="Times New Roman"/>
                      <w:color w:val="000000"/>
                      <w:szCs w:val="21"/>
                    </w:rPr>
                  </w:pPr>
                  <w:r>
                    <w:rPr>
                      <w:rFonts w:ascii="Times New Roman" w:hAnsi="Times New Roman"/>
                      <w:color w:val="000000"/>
                      <w:szCs w:val="21"/>
                    </w:rPr>
                    <w:t>t</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2903</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500</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1500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2</w:t>
                  </w:r>
                </w:p>
              </w:tc>
              <w:tc>
                <w:tcPr>
                  <w:tcW w:w="17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钢筋</w:t>
                  </w:r>
                </w:p>
              </w:tc>
              <w:tc>
                <w:tcPr>
                  <w:tcW w:w="410"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t</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234.17</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34.17</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150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3</w:t>
                  </w:r>
                </w:p>
              </w:tc>
              <w:tc>
                <w:tcPr>
                  <w:tcW w:w="17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气、柴油</w:t>
                  </w:r>
                </w:p>
              </w:tc>
              <w:tc>
                <w:tcPr>
                  <w:tcW w:w="410"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t</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122.38</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42.38</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60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4</w:t>
                  </w:r>
                </w:p>
              </w:tc>
              <w:tc>
                <w:tcPr>
                  <w:tcW w:w="17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砂</w:t>
                  </w:r>
                </w:p>
              </w:tc>
              <w:tc>
                <w:tcPr>
                  <w:tcW w:w="410"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m</w:t>
                  </w:r>
                  <w:r>
                    <w:rPr>
                      <w:rFonts w:ascii="Times New Roman" w:hAnsi="Times New Roman"/>
                      <w:szCs w:val="21"/>
                      <w:vertAlign w:val="superscript"/>
                      <w:lang w:bidi="ar"/>
                    </w:rPr>
                    <w:t>3</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4514</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800</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2500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5</w:t>
                  </w:r>
                </w:p>
              </w:tc>
              <w:tc>
                <w:tcPr>
                  <w:tcW w:w="17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卵石</w:t>
                  </w:r>
                </w:p>
              </w:tc>
              <w:tc>
                <w:tcPr>
                  <w:tcW w:w="410"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m</w:t>
                  </w:r>
                  <w:r>
                    <w:rPr>
                      <w:rFonts w:ascii="Times New Roman" w:hAnsi="Times New Roman"/>
                      <w:szCs w:val="21"/>
                      <w:vertAlign w:val="superscript"/>
                      <w:lang w:bidi="ar"/>
                    </w:rPr>
                    <w:t>3</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7114</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1500</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3800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6</w:t>
                  </w:r>
                </w:p>
              </w:tc>
              <w:tc>
                <w:tcPr>
                  <w:tcW w:w="17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砂砾石</w:t>
                  </w:r>
                </w:p>
              </w:tc>
              <w:tc>
                <w:tcPr>
                  <w:tcW w:w="410"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m</w:t>
                  </w:r>
                  <w:r>
                    <w:rPr>
                      <w:rFonts w:ascii="Times New Roman" w:hAnsi="Times New Roman"/>
                      <w:szCs w:val="21"/>
                      <w:vertAlign w:val="superscript"/>
                      <w:lang w:bidi="ar"/>
                    </w:rPr>
                    <w:t>3</w:t>
                  </w:r>
                </w:p>
              </w:tc>
              <w:tc>
                <w:tcPr>
                  <w:tcW w:w="557"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525</w:t>
                  </w:r>
                </w:p>
              </w:tc>
              <w:tc>
                <w:tcPr>
                  <w:tcW w:w="614"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125</w:t>
                  </w:r>
                </w:p>
              </w:tc>
              <w:tc>
                <w:tcPr>
                  <w:tcW w:w="603"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300</w:t>
                  </w:r>
                </w:p>
              </w:tc>
              <w:tc>
                <w:tcPr>
                  <w:tcW w:w="605" w:type="pct"/>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lang w:bidi="ar"/>
                    </w:rPr>
                  </w:pPr>
                  <w:r>
                    <w:rPr>
                      <w:rFonts w:ascii="Times New Roman" w:hAnsi="Times New Roman"/>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452" w:type="pct"/>
                  <w:tcBorders>
                    <w:top w:val="single" w:color="auto" w:sz="4" w:space="0"/>
                    <w:left w:val="single" w:color="auto" w:sz="4" w:space="0"/>
                    <w:bottom w:val="single" w:color="auto" w:sz="4" w:space="0"/>
                    <w:right w:val="single" w:color="auto" w:sz="4" w:space="0"/>
                  </w:tcBorders>
                  <w:noWrap/>
                  <w:vAlign w:val="center"/>
                </w:tcPr>
                <w:p>
                  <w:pPr>
                    <w:wordWrap w:val="0"/>
                    <w:autoSpaceDE w:val="0"/>
                    <w:autoSpaceDN w:val="0"/>
                    <w:adjustRightInd w:val="0"/>
                    <w:jc w:val="center"/>
                    <w:rPr>
                      <w:rFonts w:ascii="Times New Roman" w:hAnsi="Times New Roman"/>
                      <w:bCs/>
                      <w:color w:val="000000"/>
                      <w:kern w:val="0"/>
                      <w:szCs w:val="21"/>
                    </w:rPr>
                  </w:pPr>
                  <w:r>
                    <w:rPr>
                      <w:rFonts w:ascii="Times New Roman" w:hAnsi="Times New Roman"/>
                      <w:bCs/>
                      <w:color w:val="000000"/>
                      <w:kern w:val="0"/>
                      <w:szCs w:val="21"/>
                    </w:rPr>
                    <w:t>7</w:t>
                  </w:r>
                </w:p>
              </w:tc>
              <w:tc>
                <w:tcPr>
                  <w:tcW w:w="1757" w:type="pct"/>
                  <w:tcBorders>
                    <w:top w:val="single" w:color="auto" w:sz="4" w:space="0"/>
                    <w:left w:val="single" w:color="auto" w:sz="4" w:space="0"/>
                    <w:bottom w:val="single" w:color="auto" w:sz="4" w:space="0"/>
                    <w:right w:val="single" w:color="auto" w:sz="4" w:space="0"/>
                  </w:tcBorders>
                  <w:noWrap/>
                  <w:vAlign w:val="center"/>
                </w:tcPr>
                <w:p>
                  <w:pPr>
                    <w:spacing w:line="260" w:lineRule="exact"/>
                    <w:rPr>
                      <w:rFonts w:ascii="Times New Roman" w:hAnsi="Times New Roman"/>
                      <w:color w:val="000000"/>
                      <w:szCs w:val="21"/>
                    </w:rPr>
                  </w:pPr>
                  <w:r>
                    <w:rPr>
                      <w:rFonts w:ascii="Times New Roman" w:hAnsi="Times New Roman"/>
                      <w:color w:val="000000"/>
                      <w:szCs w:val="21"/>
                    </w:rPr>
                    <w:t>螺旋钢管dn1020（厚8mm）</w:t>
                  </w:r>
                </w:p>
              </w:tc>
              <w:tc>
                <w:tcPr>
                  <w:tcW w:w="410" w:type="pct"/>
                  <w:tcBorders>
                    <w:top w:val="single" w:color="auto" w:sz="4" w:space="0"/>
                    <w:left w:val="single" w:color="auto" w:sz="4" w:space="0"/>
                    <w:bottom w:val="single" w:color="auto" w:sz="4" w:space="0"/>
                    <w:right w:val="single" w:color="auto" w:sz="4" w:space="0"/>
                  </w:tcBorders>
                  <w:noWrap/>
                  <w:vAlign w:val="center"/>
                </w:tcPr>
                <w:p>
                  <w:pPr>
                    <w:spacing w:line="260" w:lineRule="exact"/>
                    <w:jc w:val="center"/>
                    <w:rPr>
                      <w:rFonts w:ascii="Times New Roman" w:hAnsi="Times New Roman"/>
                      <w:color w:val="000000"/>
                      <w:szCs w:val="21"/>
                    </w:rPr>
                  </w:pPr>
                  <w:r>
                    <w:rPr>
                      <w:rFonts w:ascii="Times New Roman" w:hAnsi="Times New Roman"/>
                      <w:color w:val="000000"/>
                      <w:szCs w:val="21"/>
                    </w:rPr>
                    <w:t>km</w:t>
                  </w:r>
                </w:p>
              </w:tc>
              <w:tc>
                <w:tcPr>
                  <w:tcW w:w="557"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12.8</w:t>
                  </w:r>
                </w:p>
              </w:tc>
              <w:tc>
                <w:tcPr>
                  <w:tcW w:w="614"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center"/>
                    <w:rPr>
                      <w:rFonts w:ascii="Times New Roman" w:hAnsi="Times New Roman"/>
                      <w:szCs w:val="21"/>
                      <w:lang w:bidi="ar"/>
                    </w:rPr>
                  </w:pPr>
                </w:p>
              </w:tc>
              <w:tc>
                <w:tcPr>
                  <w:tcW w:w="603"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center"/>
                    <w:rPr>
                      <w:rFonts w:ascii="Times New Roman" w:hAnsi="Times New Roman"/>
                      <w:szCs w:val="21"/>
                      <w:lang w:bidi="ar"/>
                    </w:rPr>
                  </w:pPr>
                </w:p>
              </w:tc>
              <w:tc>
                <w:tcPr>
                  <w:tcW w:w="60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center"/>
                    <w:rPr>
                      <w:rFonts w:ascii="Times New Roman" w:hAnsi="Times New Roman"/>
                      <w:szCs w:val="21"/>
                      <w:lang w:bidi="ar"/>
                    </w:rPr>
                  </w:pPr>
                </w:p>
              </w:tc>
            </w:tr>
          </w:tbl>
          <w:p>
            <w:pPr>
              <w:pStyle w:val="138"/>
              <w:rPr>
                <w:rFonts w:ascii="Times New Roman" w:hAnsi="Times New Roman"/>
                <w:color w:val="000000"/>
              </w:rPr>
            </w:pPr>
            <w:r>
              <w:rPr>
                <w:rFonts w:ascii="Times New Roman" w:hAnsi="Times New Roman"/>
                <w:color w:val="000000"/>
              </w:rPr>
              <w:t>根据地质资料砂、卵石、统砂石料在当地就近砂石料场购买供应，交通方便。</w:t>
            </w:r>
          </w:p>
          <w:p>
            <w:pPr>
              <w:pStyle w:val="138"/>
              <w:rPr>
                <w:rFonts w:ascii="Times New Roman" w:hAnsi="Times New Roman"/>
                <w:color w:val="000000"/>
              </w:rPr>
            </w:pPr>
            <w:r>
              <w:rPr>
                <w:rFonts w:ascii="Times New Roman" w:hAnsi="Times New Roman"/>
                <w:color w:val="000000"/>
              </w:rPr>
              <w:t>土石方填筑料：</w:t>
            </w:r>
            <w:r>
              <w:rPr>
                <w:rFonts w:ascii="Times New Roman" w:hAnsi="Times New Roman"/>
                <w:bCs/>
                <w:color w:val="000000"/>
              </w:rPr>
              <w:t>本工程土石方开挖及浆砌石拆除料约9.69万m</w:t>
            </w:r>
            <w:r>
              <w:rPr>
                <w:rFonts w:ascii="Times New Roman" w:hAnsi="Times New Roman"/>
                <w:bCs/>
                <w:color w:val="000000"/>
                <w:vertAlign w:val="superscript"/>
              </w:rPr>
              <w:t>3</w:t>
            </w:r>
            <w:r>
              <w:rPr>
                <w:rFonts w:ascii="Times New Roman" w:hAnsi="Times New Roman"/>
                <w:bCs/>
                <w:color w:val="000000"/>
              </w:rPr>
              <w:t>，土石回填约8.16万m</w:t>
            </w:r>
            <w:r>
              <w:rPr>
                <w:rFonts w:ascii="Times New Roman" w:hAnsi="Times New Roman"/>
                <w:bCs/>
                <w:color w:val="000000"/>
                <w:vertAlign w:val="superscript"/>
              </w:rPr>
              <w:t>3</w:t>
            </w:r>
            <w:r>
              <w:rPr>
                <w:rFonts w:ascii="Times New Roman" w:hAnsi="Times New Roman"/>
                <w:bCs/>
                <w:color w:val="000000"/>
              </w:rPr>
              <w:t>，本工程土石回填主要为建筑物后坡回填和青白渠管道回填，土石回填料要求相对较低，根据各渠道分段土石挖填平衡情况，本工程的回填料基本可全部利用开挖料而不外购。</w:t>
            </w:r>
          </w:p>
          <w:p>
            <w:pPr>
              <w:pStyle w:val="138"/>
              <w:rPr>
                <w:rFonts w:ascii="Times New Roman" w:hAnsi="Times New Roman"/>
                <w:color w:val="000000"/>
              </w:rPr>
            </w:pPr>
            <w:r>
              <w:rPr>
                <w:rFonts w:ascii="Times New Roman" w:hAnsi="Times New Roman"/>
                <w:color w:val="000000"/>
              </w:rPr>
              <w:t>回填料：主要用于管道回填，设计要求相对较低，应优先选用透水性好的砂石料，易碾压夯实。地表耕植土不能利用。工程开挖第四系堆积层坡积粉质粘土夹块碎石层，可满足设计要求，可利用。不足部份可直接在就近砂石料场购买，完全能够满足工程需要，交通运输方便。</w:t>
            </w:r>
          </w:p>
          <w:p>
            <w:pPr>
              <w:pStyle w:val="138"/>
              <w:ind w:firstLine="482"/>
              <w:rPr>
                <w:rFonts w:ascii="Times New Roman" w:hAnsi="Times New Roman"/>
                <w:b/>
                <w:bCs/>
                <w:color w:val="000000"/>
              </w:rPr>
            </w:pPr>
            <w:r>
              <w:rPr>
                <w:rFonts w:ascii="Times New Roman" w:hAnsi="Times New Roman"/>
                <w:b/>
                <w:bCs/>
                <w:color w:val="000000"/>
              </w:rPr>
              <w:t>（2）主要机械设备及数量</w: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w:t>本工程主要施工机械设备及数量见表2-6。</w:t>
            </w:r>
          </w:p>
          <w:p>
            <w:pPr>
              <w:wordWrap w:val="0"/>
              <w:adjustRightInd w:val="0"/>
              <w:snapToGrid w:val="0"/>
              <w:spacing w:line="360" w:lineRule="auto"/>
              <w:jc w:val="center"/>
              <w:rPr>
                <w:rFonts w:ascii="Times New Roman" w:hAnsi="Times New Roman"/>
                <w:b/>
                <w:color w:val="000000"/>
                <w:szCs w:val="21"/>
              </w:rPr>
            </w:pPr>
            <w:r>
              <w:rPr>
                <w:rFonts w:ascii="Times New Roman" w:hAnsi="Times New Roman"/>
                <w:b/>
                <w:color w:val="000000"/>
                <w:szCs w:val="21"/>
              </w:rPr>
              <w:t>表2-6  主要机械设备一览表</w:t>
            </w:r>
          </w:p>
          <w:tbl>
            <w:tblPr>
              <w:tblStyle w:val="39"/>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2345"/>
              <w:gridCol w:w="1797"/>
              <w:gridCol w:w="1173"/>
              <w:gridCol w:w="1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164" w:type="dxa"/>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序号</w:t>
                  </w:r>
                </w:p>
              </w:tc>
              <w:tc>
                <w:tcPr>
                  <w:tcW w:w="2345" w:type="dxa"/>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设备名称</w:t>
                  </w:r>
                </w:p>
              </w:tc>
              <w:tc>
                <w:tcPr>
                  <w:tcW w:w="1797" w:type="dxa"/>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规格型号</w:t>
                  </w:r>
                </w:p>
              </w:tc>
              <w:tc>
                <w:tcPr>
                  <w:tcW w:w="1173" w:type="dxa"/>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单位</w:t>
                  </w:r>
                </w:p>
              </w:tc>
              <w:tc>
                <w:tcPr>
                  <w:tcW w:w="1459" w:type="dxa"/>
                  <w:noWrap w:val="0"/>
                  <w:vAlign w:val="center"/>
                </w:tcPr>
                <w:p>
                  <w:pPr>
                    <w:wordWrap w:val="0"/>
                    <w:autoSpaceDE w:val="0"/>
                    <w:autoSpaceDN w:val="0"/>
                    <w:adjustRightInd w:val="0"/>
                    <w:jc w:val="center"/>
                    <w:rPr>
                      <w:rFonts w:ascii="Times New Roman" w:hAnsi="Times New Roman"/>
                      <w:b/>
                      <w:bCs/>
                      <w:color w:val="000000"/>
                      <w:szCs w:val="21"/>
                    </w:rPr>
                  </w:pPr>
                  <w:r>
                    <w:rPr>
                      <w:rFonts w:ascii="Times New Roman" w:hAnsi="Times New Roman"/>
                      <w:b/>
                      <w:bCs/>
                      <w:color w:val="000000"/>
                      <w:kern w:val="0"/>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38" w:type="dxa"/>
                  <w:gridSpan w:val="5"/>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一、土石方机械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1</w:t>
                  </w:r>
                </w:p>
              </w:tc>
              <w:tc>
                <w:tcPr>
                  <w:tcW w:w="2345"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挖掘机</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0.6m</w:t>
                  </w:r>
                  <w:r>
                    <w:rPr>
                      <w:rFonts w:ascii="Times New Roman" w:hAnsi="Times New Roman"/>
                      <w:szCs w:val="21"/>
                      <w:vertAlign w:val="superscript"/>
                      <w:lang w:bidi="ar"/>
                    </w:rPr>
                    <w:t>3</w:t>
                  </w:r>
                  <w:r>
                    <w:rPr>
                      <w:rFonts w:ascii="Times New Roman" w:hAnsi="Times New Roman"/>
                      <w:szCs w:val="21"/>
                      <w:lang w:bidi="ar"/>
                    </w:rPr>
                    <w:t>、1m</w:t>
                  </w:r>
                  <w:r>
                    <w:rPr>
                      <w:rFonts w:ascii="Times New Roman" w:hAnsi="Times New Roman"/>
                      <w:szCs w:val="21"/>
                      <w:vertAlign w:val="superscript"/>
                      <w:lang w:bidi="ar"/>
                    </w:rPr>
                    <w:t>3</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jc w:val="center"/>
                    <w:rPr>
                      <w:rFonts w:ascii="Times New Roman" w:hAnsi="Times New Roman"/>
                      <w:szCs w:val="21"/>
                      <w:lang w:bidi="ar"/>
                    </w:rPr>
                  </w:pPr>
                  <w:r>
                    <w:rPr>
                      <w:rFonts w:ascii="Times New Roman" w:hAnsi="Times New Roman"/>
                      <w:szCs w:val="21"/>
                      <w:lang w:bidi="ar"/>
                    </w:rPr>
                    <w:t>2</w:t>
                  </w:r>
                </w:p>
              </w:tc>
              <w:tc>
                <w:tcPr>
                  <w:tcW w:w="2345" w:type="dxa"/>
                  <w:noWrap w:val="0"/>
                  <w:vAlign w:val="center"/>
                </w:tcPr>
                <w:p>
                  <w:pPr>
                    <w:jc w:val="center"/>
                    <w:rPr>
                      <w:rFonts w:ascii="Times New Roman" w:hAnsi="Times New Roman"/>
                      <w:szCs w:val="21"/>
                      <w:lang w:bidi="ar"/>
                    </w:rPr>
                  </w:pPr>
                  <w:r>
                    <w:rPr>
                      <w:rFonts w:ascii="Times New Roman" w:hAnsi="Times New Roman"/>
                      <w:szCs w:val="21"/>
                      <w:lang w:bidi="ar"/>
                    </w:rPr>
                    <w:t>装载机</w:t>
                  </w:r>
                </w:p>
              </w:tc>
              <w:tc>
                <w:tcPr>
                  <w:tcW w:w="1797" w:type="dxa"/>
                  <w:noWrap w:val="0"/>
                  <w:vAlign w:val="center"/>
                </w:tcPr>
                <w:p>
                  <w:pPr>
                    <w:jc w:val="center"/>
                    <w:rPr>
                      <w:rFonts w:ascii="Times New Roman" w:hAnsi="Times New Roman"/>
                      <w:szCs w:val="21"/>
                      <w:lang w:bidi="ar"/>
                    </w:rPr>
                  </w:pPr>
                  <w:r>
                    <w:rPr>
                      <w:rFonts w:ascii="Times New Roman" w:hAnsi="Times New Roman"/>
                      <w:szCs w:val="21"/>
                      <w:lang w:bidi="ar"/>
                    </w:rPr>
                    <w:t>1m3</w:t>
                  </w:r>
                </w:p>
              </w:tc>
              <w:tc>
                <w:tcPr>
                  <w:tcW w:w="1173" w:type="dxa"/>
                  <w:noWrap w:val="0"/>
                  <w:vAlign w:val="center"/>
                </w:tcPr>
                <w:p>
                  <w:pPr>
                    <w:jc w:val="center"/>
                    <w:rPr>
                      <w:rFonts w:ascii="Times New Roman" w:hAnsi="Times New Roman"/>
                      <w:szCs w:val="21"/>
                      <w:lang w:bidi="ar"/>
                    </w:rPr>
                  </w:pPr>
                  <w:r>
                    <w:rPr>
                      <w:rFonts w:ascii="Times New Roman" w:hAnsi="Times New Roman"/>
                      <w:szCs w:val="21"/>
                      <w:lang w:bidi="ar"/>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jc w:val="center"/>
                    <w:rPr>
                      <w:rFonts w:ascii="Times New Roman" w:hAnsi="Times New Roman"/>
                      <w:szCs w:val="21"/>
                      <w:lang w:bidi="ar"/>
                    </w:rPr>
                  </w:pPr>
                  <w:r>
                    <w:rPr>
                      <w:rFonts w:ascii="Times New Roman" w:hAnsi="Times New Roman"/>
                      <w:szCs w:val="21"/>
                      <w:lang w:bidi="ar"/>
                    </w:rPr>
                    <w:t>3</w:t>
                  </w:r>
                </w:p>
              </w:tc>
              <w:tc>
                <w:tcPr>
                  <w:tcW w:w="2345" w:type="dxa"/>
                  <w:noWrap w:val="0"/>
                  <w:vAlign w:val="center"/>
                </w:tcPr>
                <w:p>
                  <w:pPr>
                    <w:jc w:val="center"/>
                    <w:rPr>
                      <w:rFonts w:ascii="Times New Roman" w:hAnsi="Times New Roman"/>
                      <w:szCs w:val="21"/>
                      <w:lang w:bidi="ar"/>
                    </w:rPr>
                  </w:pPr>
                  <w:r>
                    <w:rPr>
                      <w:rFonts w:ascii="Times New Roman" w:hAnsi="Times New Roman"/>
                      <w:szCs w:val="21"/>
                      <w:lang w:bidi="ar"/>
                    </w:rPr>
                    <w:t>推土机</w:t>
                  </w:r>
                </w:p>
              </w:tc>
              <w:tc>
                <w:tcPr>
                  <w:tcW w:w="1797" w:type="dxa"/>
                  <w:noWrap w:val="0"/>
                  <w:vAlign w:val="center"/>
                </w:tcPr>
                <w:p>
                  <w:pPr>
                    <w:jc w:val="center"/>
                    <w:rPr>
                      <w:rFonts w:ascii="Times New Roman" w:hAnsi="Times New Roman"/>
                      <w:szCs w:val="21"/>
                      <w:lang w:bidi="ar"/>
                    </w:rPr>
                  </w:pPr>
                  <w:r>
                    <w:rPr>
                      <w:rFonts w:ascii="Times New Roman" w:hAnsi="Times New Roman"/>
                      <w:szCs w:val="21"/>
                      <w:lang w:bidi="ar"/>
                    </w:rPr>
                    <w:t>D80</w:t>
                  </w:r>
                </w:p>
              </w:tc>
              <w:tc>
                <w:tcPr>
                  <w:tcW w:w="1173" w:type="dxa"/>
                  <w:noWrap w:val="0"/>
                  <w:vAlign w:val="center"/>
                </w:tcPr>
                <w:p>
                  <w:pPr>
                    <w:jc w:val="center"/>
                    <w:rPr>
                      <w:rFonts w:ascii="Times New Roman" w:hAnsi="Times New Roman"/>
                      <w:szCs w:val="21"/>
                      <w:lang w:bidi="ar"/>
                    </w:rPr>
                  </w:pPr>
                  <w:r>
                    <w:rPr>
                      <w:rFonts w:ascii="Times New Roman" w:hAnsi="Times New Roman"/>
                      <w:szCs w:val="21"/>
                      <w:lang w:bidi="ar"/>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jc w:val="center"/>
                    <w:rPr>
                      <w:rFonts w:ascii="Times New Roman" w:hAnsi="Times New Roman"/>
                      <w:szCs w:val="21"/>
                      <w:lang w:bidi="ar"/>
                    </w:rPr>
                  </w:pPr>
                  <w:r>
                    <w:rPr>
                      <w:rFonts w:ascii="Times New Roman" w:hAnsi="Times New Roman"/>
                      <w:szCs w:val="21"/>
                      <w:lang w:bidi="ar"/>
                    </w:rPr>
                    <w:t>4</w:t>
                  </w:r>
                </w:p>
              </w:tc>
              <w:tc>
                <w:tcPr>
                  <w:tcW w:w="2345" w:type="dxa"/>
                  <w:noWrap w:val="0"/>
                  <w:vAlign w:val="center"/>
                </w:tcPr>
                <w:p>
                  <w:pPr>
                    <w:jc w:val="center"/>
                    <w:rPr>
                      <w:rFonts w:ascii="Times New Roman" w:hAnsi="Times New Roman"/>
                      <w:szCs w:val="21"/>
                      <w:lang w:bidi="ar"/>
                    </w:rPr>
                  </w:pPr>
                  <w:r>
                    <w:rPr>
                      <w:rFonts w:ascii="Times New Roman" w:hAnsi="Times New Roman"/>
                      <w:szCs w:val="21"/>
                      <w:lang w:bidi="ar"/>
                    </w:rPr>
                    <w:t>风钻</w:t>
                  </w:r>
                </w:p>
              </w:tc>
              <w:tc>
                <w:tcPr>
                  <w:tcW w:w="1797" w:type="dxa"/>
                  <w:noWrap w:val="0"/>
                  <w:vAlign w:val="center"/>
                </w:tcPr>
                <w:p>
                  <w:pPr>
                    <w:jc w:val="center"/>
                    <w:rPr>
                      <w:rFonts w:ascii="Times New Roman" w:hAnsi="Times New Roman"/>
                      <w:szCs w:val="21"/>
                      <w:lang w:bidi="ar"/>
                    </w:rPr>
                  </w:pPr>
                  <w:r>
                    <w:rPr>
                      <w:rFonts w:ascii="Times New Roman" w:hAnsi="Times New Roman"/>
                      <w:szCs w:val="21"/>
                      <w:lang w:bidi="ar"/>
                    </w:rPr>
                    <w:t>YT23、Y30</w:t>
                  </w:r>
                </w:p>
              </w:tc>
              <w:tc>
                <w:tcPr>
                  <w:tcW w:w="1173" w:type="dxa"/>
                  <w:noWrap w:val="0"/>
                  <w:vAlign w:val="center"/>
                </w:tcPr>
                <w:p>
                  <w:pPr>
                    <w:jc w:val="center"/>
                    <w:rPr>
                      <w:rFonts w:ascii="Times New Roman" w:hAnsi="Times New Roman"/>
                      <w:szCs w:val="21"/>
                      <w:lang w:bidi="ar"/>
                    </w:rPr>
                  </w:pPr>
                  <w:r>
                    <w:rPr>
                      <w:rFonts w:ascii="Times New Roman" w:hAnsi="Times New Roman"/>
                      <w:szCs w:val="21"/>
                      <w:lang w:bidi="ar"/>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jc w:val="center"/>
                    <w:rPr>
                      <w:rFonts w:ascii="Times New Roman" w:hAnsi="Times New Roman"/>
                      <w:szCs w:val="21"/>
                      <w:lang w:bidi="ar"/>
                    </w:rPr>
                  </w:pPr>
                  <w:r>
                    <w:rPr>
                      <w:rFonts w:ascii="Times New Roman" w:hAnsi="Times New Roman"/>
                      <w:szCs w:val="21"/>
                      <w:lang w:bidi="ar"/>
                    </w:rPr>
                    <w:t>5</w:t>
                  </w:r>
                </w:p>
              </w:tc>
              <w:tc>
                <w:tcPr>
                  <w:tcW w:w="2345" w:type="dxa"/>
                  <w:noWrap w:val="0"/>
                  <w:vAlign w:val="center"/>
                </w:tcPr>
                <w:p>
                  <w:pPr>
                    <w:jc w:val="center"/>
                    <w:rPr>
                      <w:rFonts w:ascii="Times New Roman" w:hAnsi="Times New Roman"/>
                      <w:szCs w:val="21"/>
                      <w:lang w:bidi="ar"/>
                    </w:rPr>
                  </w:pPr>
                  <w:r>
                    <w:rPr>
                      <w:rFonts w:ascii="Times New Roman" w:hAnsi="Times New Roman"/>
                      <w:szCs w:val="21"/>
                      <w:lang w:bidi="ar"/>
                    </w:rPr>
                    <w:t>手风钻</w:t>
                  </w:r>
                </w:p>
              </w:tc>
              <w:tc>
                <w:tcPr>
                  <w:tcW w:w="1797" w:type="dxa"/>
                  <w:noWrap w:val="0"/>
                  <w:vAlign w:val="center"/>
                </w:tcPr>
                <w:p>
                  <w:pPr>
                    <w:jc w:val="center"/>
                    <w:rPr>
                      <w:rFonts w:ascii="Times New Roman" w:hAnsi="Times New Roman"/>
                      <w:szCs w:val="21"/>
                      <w:lang w:bidi="ar"/>
                    </w:rPr>
                  </w:pPr>
                  <w:r>
                    <w:rPr>
                      <w:rFonts w:ascii="Times New Roman" w:hAnsi="Times New Roman"/>
                      <w:szCs w:val="21"/>
                      <w:lang w:bidi="ar"/>
                    </w:rPr>
                    <w:t>01—30</w:t>
                  </w:r>
                </w:p>
              </w:tc>
              <w:tc>
                <w:tcPr>
                  <w:tcW w:w="1173" w:type="dxa"/>
                  <w:noWrap w:val="0"/>
                  <w:vAlign w:val="center"/>
                </w:tcPr>
                <w:p>
                  <w:pPr>
                    <w:jc w:val="center"/>
                    <w:rPr>
                      <w:rFonts w:ascii="Times New Roman" w:hAnsi="Times New Roman"/>
                      <w:szCs w:val="21"/>
                      <w:lang w:bidi="ar"/>
                    </w:rPr>
                  </w:pPr>
                  <w:r>
                    <w:rPr>
                      <w:rFonts w:ascii="Times New Roman" w:hAnsi="Times New Roman"/>
                      <w:szCs w:val="21"/>
                      <w:lang w:bidi="ar"/>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jc w:val="center"/>
                    <w:rPr>
                      <w:rFonts w:ascii="Times New Roman" w:hAnsi="Times New Roman"/>
                      <w:szCs w:val="21"/>
                      <w:lang w:bidi="ar"/>
                    </w:rPr>
                  </w:pPr>
                  <w:r>
                    <w:rPr>
                      <w:rFonts w:ascii="Times New Roman" w:hAnsi="Times New Roman"/>
                      <w:szCs w:val="21"/>
                      <w:lang w:bidi="ar"/>
                    </w:rPr>
                    <w:t>6</w:t>
                  </w:r>
                </w:p>
              </w:tc>
              <w:tc>
                <w:tcPr>
                  <w:tcW w:w="2345" w:type="dxa"/>
                  <w:noWrap w:val="0"/>
                  <w:vAlign w:val="center"/>
                </w:tcPr>
                <w:p>
                  <w:pPr>
                    <w:jc w:val="center"/>
                    <w:rPr>
                      <w:rFonts w:ascii="Times New Roman" w:hAnsi="Times New Roman"/>
                      <w:szCs w:val="21"/>
                      <w:lang w:bidi="ar"/>
                    </w:rPr>
                  </w:pPr>
                  <w:r>
                    <w:rPr>
                      <w:rFonts w:ascii="Times New Roman" w:hAnsi="Times New Roman"/>
                      <w:szCs w:val="21"/>
                      <w:lang w:bidi="ar"/>
                    </w:rPr>
                    <w:t>蛙式夯实机</w:t>
                  </w:r>
                </w:p>
              </w:tc>
              <w:tc>
                <w:tcPr>
                  <w:tcW w:w="1797" w:type="dxa"/>
                  <w:noWrap w:val="0"/>
                  <w:vAlign w:val="center"/>
                </w:tcPr>
                <w:p>
                  <w:pPr>
                    <w:jc w:val="center"/>
                    <w:rPr>
                      <w:rFonts w:ascii="Times New Roman" w:hAnsi="Times New Roman"/>
                      <w:szCs w:val="21"/>
                      <w:lang w:bidi="ar"/>
                    </w:rPr>
                  </w:pPr>
                  <w:r>
                    <w:rPr>
                      <w:rFonts w:ascii="Times New Roman" w:hAnsi="Times New Roman"/>
                      <w:szCs w:val="21"/>
                      <w:lang w:bidi="ar"/>
                    </w:rPr>
                    <w:t>HW150</w:t>
                  </w:r>
                </w:p>
              </w:tc>
              <w:tc>
                <w:tcPr>
                  <w:tcW w:w="1173" w:type="dxa"/>
                  <w:noWrap w:val="0"/>
                  <w:vAlign w:val="center"/>
                </w:tcPr>
                <w:p>
                  <w:pPr>
                    <w:jc w:val="center"/>
                    <w:rPr>
                      <w:rFonts w:ascii="Times New Roman" w:hAnsi="Times New Roman"/>
                      <w:szCs w:val="21"/>
                      <w:lang w:bidi="ar"/>
                    </w:rPr>
                  </w:pPr>
                  <w:r>
                    <w:rPr>
                      <w:rFonts w:ascii="Times New Roman" w:hAnsi="Times New Roman"/>
                      <w:szCs w:val="21"/>
                      <w:lang w:bidi="ar"/>
                    </w:rPr>
                    <w:t>台</w:t>
                  </w:r>
                </w:p>
              </w:tc>
              <w:tc>
                <w:tcPr>
                  <w:tcW w:w="1459" w:type="dxa"/>
                  <w:noWrap w:val="0"/>
                  <w:vAlign w:val="center"/>
                </w:tcPr>
                <w:p>
                  <w:pPr>
                    <w:jc w:val="center"/>
                    <w:rPr>
                      <w:rFonts w:ascii="Times New Roman" w:hAnsi="Times New Roman"/>
                      <w:szCs w:val="21"/>
                      <w:lang w:bidi="ar"/>
                    </w:rPr>
                  </w:pPr>
                  <w:r>
                    <w:rPr>
                      <w:rFonts w:ascii="Times New Roman" w:hAnsi="Times New Roman"/>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38" w:type="dxa"/>
                  <w:gridSpan w:val="5"/>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二、</w:t>
                  </w:r>
                  <w:r>
                    <w:rPr>
                      <w:rFonts w:ascii="Times New Roman" w:hAnsi="Times New Roman"/>
                      <w:szCs w:val="21"/>
                      <w:lang w:bidi="ar"/>
                    </w:rPr>
                    <w:t>混凝土浇筑机械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1</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插入式振捣</w:t>
                  </w:r>
                </w:p>
              </w:tc>
              <w:tc>
                <w:tcPr>
                  <w:tcW w:w="1797"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ZN35</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2</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插入式振捣器</w:t>
                  </w:r>
                </w:p>
              </w:tc>
              <w:tc>
                <w:tcPr>
                  <w:tcW w:w="1797"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ZN50</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38" w:type="dxa"/>
                  <w:gridSpan w:val="5"/>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三、</w:t>
                  </w:r>
                  <w:r>
                    <w:rPr>
                      <w:rFonts w:ascii="Times New Roman" w:hAnsi="Times New Roman"/>
                      <w:szCs w:val="21"/>
                      <w:lang w:bidi="ar"/>
                    </w:rPr>
                    <w:t>混凝土生产机械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1</w:t>
                  </w:r>
                </w:p>
              </w:tc>
              <w:tc>
                <w:tcPr>
                  <w:tcW w:w="2345"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砼拌和机</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0.4m</w:t>
                  </w:r>
                  <w:r>
                    <w:rPr>
                      <w:rFonts w:ascii="Times New Roman" w:hAnsi="Times New Roman"/>
                      <w:szCs w:val="21"/>
                      <w:vertAlign w:val="superscript"/>
                      <w:lang w:bidi="ar"/>
                    </w:rPr>
                    <w:t>3</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widowControl/>
                    <w:spacing w:line="240" w:lineRule="exact"/>
                    <w:jc w:val="center"/>
                    <w:rPr>
                      <w:rFonts w:ascii="Times New Roman" w:hAnsi="Times New Roman"/>
                      <w:color w:val="000000"/>
                      <w:szCs w:val="21"/>
                    </w:rPr>
                  </w:pPr>
                  <w:r>
                    <w:rPr>
                      <w:rFonts w:ascii="Times New Roman" w:hAnsi="Times New Roman"/>
                      <w:color w:val="000000"/>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38" w:type="dxa"/>
                  <w:gridSpan w:val="5"/>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四、运输机械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1</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自卸汽车</w:t>
                  </w:r>
                </w:p>
              </w:tc>
              <w:tc>
                <w:tcPr>
                  <w:tcW w:w="1797"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3.5t、5t</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辆</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2</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自卸汽车</w:t>
                  </w:r>
                </w:p>
              </w:tc>
              <w:tc>
                <w:tcPr>
                  <w:tcW w:w="1797"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10t</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辆</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3</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农用汽车</w:t>
                  </w:r>
                </w:p>
              </w:tc>
              <w:tc>
                <w:tcPr>
                  <w:tcW w:w="1797" w:type="dxa"/>
                  <w:noWrap w:val="0"/>
                  <w:vAlign w:val="center"/>
                </w:tcPr>
                <w:p>
                  <w:pPr>
                    <w:spacing w:line="260" w:lineRule="exact"/>
                    <w:jc w:val="center"/>
                    <w:rPr>
                      <w:rFonts w:ascii="Times New Roman" w:hAnsi="Times New Roman"/>
                      <w:color w:val="000000"/>
                      <w:szCs w:val="21"/>
                    </w:rPr>
                  </w:pP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辆</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4</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机动翻斗车</w:t>
                  </w:r>
                </w:p>
              </w:tc>
              <w:tc>
                <w:tcPr>
                  <w:tcW w:w="1797" w:type="dxa"/>
                  <w:noWrap w:val="0"/>
                  <w:vAlign w:val="center"/>
                </w:tcPr>
                <w:p>
                  <w:pPr>
                    <w:spacing w:line="260" w:lineRule="exact"/>
                    <w:jc w:val="center"/>
                    <w:rPr>
                      <w:rFonts w:ascii="Times New Roman" w:hAnsi="Times New Roman"/>
                      <w:color w:val="000000"/>
                      <w:szCs w:val="21"/>
                    </w:rPr>
                  </w:pP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辆</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5</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双胶轮车</w:t>
                  </w:r>
                </w:p>
              </w:tc>
              <w:tc>
                <w:tcPr>
                  <w:tcW w:w="1797" w:type="dxa"/>
                  <w:noWrap w:val="0"/>
                  <w:vAlign w:val="center"/>
                </w:tcPr>
                <w:p>
                  <w:pPr>
                    <w:spacing w:line="260" w:lineRule="exact"/>
                    <w:jc w:val="center"/>
                    <w:rPr>
                      <w:rFonts w:ascii="Times New Roman" w:hAnsi="Times New Roman"/>
                      <w:color w:val="000000"/>
                      <w:szCs w:val="21"/>
                    </w:rPr>
                  </w:pP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6</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载重汽车</w:t>
                  </w:r>
                </w:p>
              </w:tc>
              <w:tc>
                <w:tcPr>
                  <w:tcW w:w="1797"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5t、10t</w:t>
                  </w:r>
                </w:p>
              </w:tc>
              <w:tc>
                <w:tcPr>
                  <w:tcW w:w="1173"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辆</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38" w:type="dxa"/>
                  <w:gridSpan w:val="5"/>
                  <w:noWrap w:val="0"/>
                  <w:vAlign w:val="center"/>
                </w:tcPr>
                <w:p>
                  <w:pPr>
                    <w:spacing w:line="260" w:lineRule="exact"/>
                    <w:jc w:val="center"/>
                    <w:rPr>
                      <w:rFonts w:ascii="Times New Roman" w:hAnsi="Times New Roman"/>
                      <w:color w:val="000000"/>
                      <w:szCs w:val="21"/>
                    </w:rPr>
                  </w:pPr>
                  <w:r>
                    <w:rPr>
                      <w:rFonts w:ascii="Times New Roman" w:hAnsi="Times New Roman"/>
                      <w:color w:val="000000"/>
                      <w:szCs w:val="21"/>
                    </w:rPr>
                    <w:t>五、</w:t>
                  </w:r>
                  <w:r>
                    <w:rPr>
                      <w:rFonts w:ascii="Times New Roman" w:hAnsi="Times New Roman"/>
                      <w:szCs w:val="21"/>
                      <w:lang w:bidi="ar"/>
                    </w:rPr>
                    <w:t>风、水、电系统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1</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轴流风机</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28kw</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2</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空压机</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6m</w:t>
                  </w:r>
                  <w:r>
                    <w:rPr>
                      <w:rFonts w:ascii="Times New Roman" w:hAnsi="Times New Roman"/>
                      <w:szCs w:val="21"/>
                      <w:vertAlign w:val="superscript"/>
                      <w:lang w:bidi="ar"/>
                    </w:rPr>
                    <w:t>3</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3</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空压机</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3m</w:t>
                  </w:r>
                  <w:r>
                    <w:rPr>
                      <w:rFonts w:ascii="Times New Roman" w:hAnsi="Times New Roman"/>
                      <w:szCs w:val="21"/>
                      <w:vertAlign w:val="superscript"/>
                      <w:lang w:bidi="ar"/>
                    </w:rPr>
                    <w:t>3</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4</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水泵</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多型号</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64"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5</w:t>
                  </w:r>
                </w:p>
              </w:tc>
              <w:tc>
                <w:tcPr>
                  <w:tcW w:w="2345"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抽水泵</w:t>
                  </w:r>
                </w:p>
              </w:tc>
              <w:tc>
                <w:tcPr>
                  <w:tcW w:w="1797"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多型号</w:t>
                  </w:r>
                </w:p>
              </w:tc>
              <w:tc>
                <w:tcPr>
                  <w:tcW w:w="1173" w:type="dxa"/>
                  <w:noWrap w:val="0"/>
                  <w:vAlign w:val="center"/>
                </w:tcPr>
                <w:p>
                  <w:pPr>
                    <w:widowControl/>
                    <w:spacing w:line="240" w:lineRule="exact"/>
                    <w:jc w:val="center"/>
                    <w:rPr>
                      <w:rFonts w:ascii="Times New Roman" w:hAnsi="Times New Roman"/>
                      <w:color w:val="000000"/>
                      <w:szCs w:val="21"/>
                    </w:rPr>
                  </w:pPr>
                  <w:r>
                    <w:rPr>
                      <w:rFonts w:ascii="Times New Roman" w:hAnsi="Times New Roman"/>
                      <w:szCs w:val="21"/>
                      <w:lang w:bidi="ar"/>
                    </w:rPr>
                    <w:t>台</w:t>
                  </w:r>
                </w:p>
              </w:tc>
              <w:tc>
                <w:tcPr>
                  <w:tcW w:w="1459" w:type="dxa"/>
                  <w:noWrap w:val="0"/>
                  <w:vAlign w:val="center"/>
                </w:tcPr>
                <w:p>
                  <w:pPr>
                    <w:spacing w:line="260" w:lineRule="exact"/>
                    <w:jc w:val="center"/>
                    <w:rPr>
                      <w:rFonts w:ascii="Times New Roman" w:hAnsi="Times New Roman"/>
                      <w:color w:val="000000"/>
                      <w:szCs w:val="21"/>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938" w:type="dxa"/>
                  <w:gridSpan w:val="5"/>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七、其他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64"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1</w:t>
                  </w:r>
                </w:p>
              </w:tc>
              <w:tc>
                <w:tcPr>
                  <w:tcW w:w="2345"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汽车起重机</w:t>
                  </w:r>
                </w:p>
              </w:tc>
              <w:tc>
                <w:tcPr>
                  <w:tcW w:w="1797"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8、16t</w:t>
                  </w:r>
                </w:p>
              </w:tc>
              <w:tc>
                <w:tcPr>
                  <w:tcW w:w="1173"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辆</w:t>
                  </w:r>
                </w:p>
              </w:tc>
              <w:tc>
                <w:tcPr>
                  <w:tcW w:w="1459"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各1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64"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2</w:t>
                  </w:r>
                </w:p>
              </w:tc>
              <w:tc>
                <w:tcPr>
                  <w:tcW w:w="2345"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rPr>
                    <w:t>卷扬机</w:t>
                  </w:r>
                </w:p>
              </w:tc>
              <w:tc>
                <w:tcPr>
                  <w:tcW w:w="1797" w:type="dxa"/>
                  <w:noWrap w:val="0"/>
                  <w:vAlign w:val="center"/>
                </w:tcPr>
                <w:p>
                  <w:pPr>
                    <w:spacing w:line="260" w:lineRule="exact"/>
                    <w:jc w:val="center"/>
                    <w:rPr>
                      <w:rFonts w:ascii="Times New Roman" w:hAnsi="Times New Roman"/>
                      <w:szCs w:val="21"/>
                      <w:lang w:bidi="ar"/>
                    </w:rPr>
                  </w:pPr>
                  <w:r>
                    <w:rPr>
                      <w:rFonts w:ascii="Times New Roman" w:hAnsi="Times New Roman"/>
                      <w:szCs w:val="21"/>
                    </w:rPr>
                    <w:t>2~10t</w:t>
                  </w:r>
                </w:p>
              </w:tc>
              <w:tc>
                <w:tcPr>
                  <w:tcW w:w="1173"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台</w:t>
                  </w:r>
                </w:p>
              </w:tc>
              <w:tc>
                <w:tcPr>
                  <w:tcW w:w="1459" w:type="dxa"/>
                  <w:noWrap w:val="0"/>
                  <w:vAlign w:val="center"/>
                </w:tcPr>
                <w:p>
                  <w:pPr>
                    <w:spacing w:line="260" w:lineRule="exact"/>
                    <w:jc w:val="center"/>
                    <w:rPr>
                      <w:rFonts w:ascii="Times New Roman" w:hAnsi="Times New Roman"/>
                      <w:szCs w:val="21"/>
                      <w:lang w:bidi="ar"/>
                    </w:rPr>
                  </w:pPr>
                  <w:r>
                    <w:rPr>
                      <w:rFonts w:ascii="Times New Roman" w:hAnsi="Times New Roman"/>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64"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3</w:t>
                  </w:r>
                </w:p>
              </w:tc>
              <w:tc>
                <w:tcPr>
                  <w:tcW w:w="2345"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焊机</w:t>
                  </w:r>
                </w:p>
              </w:tc>
              <w:tc>
                <w:tcPr>
                  <w:tcW w:w="1797"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各类</w:t>
                  </w:r>
                </w:p>
              </w:tc>
              <w:tc>
                <w:tcPr>
                  <w:tcW w:w="1173"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台</w:t>
                  </w:r>
                </w:p>
              </w:tc>
              <w:tc>
                <w:tcPr>
                  <w:tcW w:w="1459" w:type="dxa"/>
                  <w:noWrap w:val="0"/>
                  <w:vAlign w:val="center"/>
                </w:tcPr>
                <w:p>
                  <w:pPr>
                    <w:spacing w:line="260" w:lineRule="exact"/>
                    <w:jc w:val="center"/>
                    <w:rPr>
                      <w:rFonts w:ascii="Times New Roman" w:hAnsi="Times New Roman"/>
                      <w:szCs w:val="21"/>
                      <w:lang w:bidi="ar"/>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64"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4</w:t>
                  </w:r>
                </w:p>
              </w:tc>
              <w:tc>
                <w:tcPr>
                  <w:tcW w:w="2345"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钢筋加工机械</w:t>
                  </w:r>
                </w:p>
              </w:tc>
              <w:tc>
                <w:tcPr>
                  <w:tcW w:w="1797"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套</w:t>
                  </w:r>
                </w:p>
              </w:tc>
              <w:tc>
                <w:tcPr>
                  <w:tcW w:w="1173"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套</w:t>
                  </w:r>
                </w:p>
              </w:tc>
              <w:tc>
                <w:tcPr>
                  <w:tcW w:w="1459" w:type="dxa"/>
                  <w:noWrap w:val="0"/>
                  <w:vAlign w:val="center"/>
                </w:tcPr>
                <w:p>
                  <w:pPr>
                    <w:spacing w:line="260" w:lineRule="exact"/>
                    <w:jc w:val="center"/>
                    <w:rPr>
                      <w:rFonts w:ascii="Times New Roman" w:hAnsi="Times New Roman"/>
                      <w:szCs w:val="21"/>
                      <w:lang w:bidi="ar"/>
                    </w:rPr>
                  </w:pPr>
                  <w:r>
                    <w:rPr>
                      <w:rFonts w:ascii="Times New Roman" w:hAnsi="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64"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5</w:t>
                  </w:r>
                </w:p>
              </w:tc>
              <w:tc>
                <w:tcPr>
                  <w:tcW w:w="2345" w:type="dxa"/>
                  <w:noWrap w:val="0"/>
                  <w:vAlign w:val="center"/>
                </w:tcPr>
                <w:p>
                  <w:pPr>
                    <w:widowControl/>
                    <w:spacing w:line="240" w:lineRule="exact"/>
                    <w:jc w:val="center"/>
                    <w:rPr>
                      <w:rFonts w:ascii="Times New Roman" w:hAnsi="Times New Roman"/>
                      <w:szCs w:val="21"/>
                      <w:lang w:bidi="ar"/>
                    </w:rPr>
                  </w:pPr>
                  <w:r>
                    <w:rPr>
                      <w:rFonts w:ascii="Times New Roman" w:hAnsi="Times New Roman"/>
                      <w:szCs w:val="21"/>
                      <w:lang w:bidi="ar"/>
                    </w:rPr>
                    <w:t>木材加工机械</w:t>
                  </w:r>
                </w:p>
              </w:tc>
              <w:tc>
                <w:tcPr>
                  <w:tcW w:w="1797"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套</w:t>
                  </w:r>
                </w:p>
              </w:tc>
              <w:tc>
                <w:tcPr>
                  <w:tcW w:w="1173" w:type="dxa"/>
                  <w:noWrap w:val="0"/>
                  <w:vAlign w:val="center"/>
                </w:tcPr>
                <w:p>
                  <w:pPr>
                    <w:spacing w:line="260" w:lineRule="exact"/>
                    <w:jc w:val="center"/>
                    <w:rPr>
                      <w:rFonts w:ascii="Times New Roman" w:hAnsi="Times New Roman"/>
                      <w:szCs w:val="21"/>
                      <w:lang w:bidi="ar"/>
                    </w:rPr>
                  </w:pPr>
                  <w:r>
                    <w:rPr>
                      <w:rFonts w:ascii="Times New Roman" w:hAnsi="Times New Roman"/>
                      <w:szCs w:val="21"/>
                    </w:rPr>
                    <w:t>套</w:t>
                  </w:r>
                </w:p>
              </w:tc>
              <w:tc>
                <w:tcPr>
                  <w:tcW w:w="1459" w:type="dxa"/>
                  <w:noWrap w:val="0"/>
                  <w:vAlign w:val="center"/>
                </w:tcPr>
                <w:p>
                  <w:pPr>
                    <w:spacing w:line="260" w:lineRule="exact"/>
                    <w:jc w:val="center"/>
                    <w:rPr>
                      <w:rFonts w:ascii="Times New Roman" w:hAnsi="Times New Roman"/>
                      <w:szCs w:val="21"/>
                      <w:lang w:bidi="ar"/>
                    </w:rPr>
                  </w:pPr>
                  <w:r>
                    <w:rPr>
                      <w:rFonts w:ascii="Times New Roman" w:hAnsi="Times New Roman"/>
                      <w:szCs w:val="21"/>
                    </w:rPr>
                    <w:t>10</w:t>
                  </w:r>
                </w:p>
              </w:tc>
            </w:tr>
          </w:tbl>
          <w:p>
            <w:pPr>
              <w:pStyle w:val="138"/>
              <w:ind w:firstLine="482"/>
              <w:rPr>
                <w:rFonts w:ascii="Times New Roman" w:hAnsi="Times New Roman"/>
                <w:b/>
                <w:color w:val="000000"/>
              </w:rPr>
            </w:pPr>
            <w:r>
              <w:rPr>
                <w:rFonts w:ascii="Times New Roman" w:hAnsi="Times New Roman"/>
                <w:b/>
                <w:color w:val="000000"/>
              </w:rPr>
              <w:t>4、公辅工程</w:t>
            </w:r>
          </w:p>
          <w:p>
            <w:pPr>
              <w:pStyle w:val="138"/>
              <w:ind w:firstLine="482"/>
              <w:rPr>
                <w:rFonts w:ascii="Times New Roman" w:hAnsi="Times New Roman"/>
                <w:b/>
                <w:color w:val="000000"/>
              </w:rPr>
            </w:pPr>
            <w:r>
              <w:rPr>
                <w:rFonts w:ascii="Times New Roman" w:hAnsi="Times New Roman"/>
                <w:b/>
                <w:color w:val="000000"/>
              </w:rPr>
              <w:t>（1）给水系统</w:t>
            </w:r>
          </w:p>
          <w:p>
            <w:pPr>
              <w:pStyle w:val="138"/>
              <w:rPr>
                <w:rFonts w:ascii="Times New Roman" w:hAnsi="Times New Roman"/>
                <w:bCs/>
                <w:color w:val="000000"/>
              </w:rPr>
            </w:pPr>
            <w:r>
              <w:rPr>
                <w:rFonts w:ascii="Times New Roman" w:hAnsi="Times New Roman"/>
                <w:bCs/>
                <w:color w:val="000000"/>
              </w:rPr>
              <w:t>本项目灌区渠道续建配套和节水改造工程，运营期不涉及用水。不设置给水系统。</w:t>
            </w:r>
          </w:p>
          <w:p>
            <w:pPr>
              <w:pStyle w:val="138"/>
              <w:ind w:left="480" w:leftChars="200" w:firstLine="0" w:firstLineChars="0"/>
              <w:rPr>
                <w:rFonts w:ascii="Times New Roman" w:hAnsi="Times New Roman"/>
                <w:b/>
                <w:color w:val="000000"/>
              </w:rPr>
            </w:pPr>
            <w:r>
              <w:rPr>
                <w:rFonts w:ascii="Times New Roman" w:hAnsi="Times New Roman"/>
                <w:b/>
                <w:color w:val="000000"/>
              </w:rPr>
              <w:t>（2）排水系统</w:t>
            </w:r>
          </w:p>
          <w:p>
            <w:pPr>
              <w:pStyle w:val="138"/>
              <w:ind w:left="480" w:leftChars="200" w:firstLine="0" w:firstLineChars="0"/>
              <w:rPr>
                <w:rFonts w:ascii="Times New Roman" w:hAnsi="Times New Roman"/>
                <w:bCs/>
                <w:color w:val="000000"/>
              </w:rPr>
            </w:pPr>
            <w:r>
              <w:rPr>
                <w:rFonts w:ascii="Times New Roman" w:hAnsi="Times New Roman"/>
                <w:bCs/>
                <w:color w:val="000000"/>
              </w:rPr>
              <w:t>本项目运营期无生产废水和生活污水产生。不需要设置排水系统。</w:t>
            </w:r>
          </w:p>
          <w:p>
            <w:pPr>
              <w:pStyle w:val="138"/>
              <w:ind w:left="480" w:leftChars="200" w:firstLine="0" w:firstLineChars="0"/>
              <w:rPr>
                <w:rFonts w:ascii="Times New Roman" w:hAnsi="Times New Roman"/>
                <w:b/>
                <w:color w:val="000000"/>
              </w:rPr>
            </w:pPr>
            <w:r>
              <w:rPr>
                <w:rFonts w:ascii="Times New Roman" w:hAnsi="Times New Roman"/>
                <w:b/>
                <w:color w:val="000000"/>
              </w:rPr>
              <w:t>（3）供电系统</w:t>
            </w:r>
          </w:p>
          <w:p>
            <w:pPr>
              <w:pStyle w:val="138"/>
              <w:ind w:left="480" w:leftChars="200" w:firstLine="0" w:firstLineChars="0"/>
              <w:rPr>
                <w:rFonts w:ascii="Times New Roman" w:hAnsi="Times New Roman"/>
                <w:bCs/>
                <w:color w:val="000000"/>
              </w:rPr>
            </w:pPr>
            <w:r>
              <w:rPr>
                <w:rFonts w:ascii="Times New Roman" w:hAnsi="Times New Roman"/>
                <w:bCs/>
                <w:color w:val="000000"/>
              </w:rPr>
              <w:t>运营期节制闸配备一台柴油发电机作为备用电源。</w:t>
            </w:r>
          </w:p>
          <w:p>
            <w:pPr>
              <w:pStyle w:val="138"/>
              <w:ind w:firstLine="482"/>
              <w:rPr>
                <w:rFonts w:ascii="Times New Roman" w:hAnsi="Times New Roman"/>
                <w:b/>
                <w:color w:val="000000"/>
              </w:rPr>
            </w:pPr>
            <w:r>
              <w:rPr>
                <w:rFonts w:ascii="Times New Roman" w:hAnsi="Times New Roman"/>
                <w:b/>
                <w:color w:val="000000"/>
              </w:rPr>
              <w:t>5、工作制度及劳动定员</w:t>
            </w:r>
          </w:p>
          <w:p>
            <w:pPr>
              <w:pStyle w:val="138"/>
              <w:rPr>
                <w:rFonts w:ascii="Times New Roman" w:hAnsi="Times New Roman"/>
                <w:bCs/>
                <w:color w:val="000000"/>
              </w:rPr>
            </w:pPr>
            <w:r>
              <w:rPr>
                <w:rFonts w:ascii="Times New Roman" w:hAnsi="Times New Roman"/>
                <w:bCs/>
                <w:color w:val="000000"/>
              </w:rPr>
              <w:t>本工程高峰劳动人数约150人</w:t>
            </w:r>
          </w:p>
          <w:p>
            <w:pPr>
              <w:pStyle w:val="138"/>
              <w:tabs>
                <w:tab w:val="left" w:pos="429"/>
              </w:tabs>
              <w:ind w:firstLine="482"/>
              <w:rPr>
                <w:rFonts w:ascii="Times New Roman" w:hAnsi="Times New Roman"/>
                <w:b/>
                <w:color w:val="000000"/>
              </w:rPr>
            </w:pPr>
            <w:r>
              <w:rPr>
                <w:rFonts w:ascii="Times New Roman" w:hAnsi="Times New Roman"/>
                <w:b/>
                <w:color w:val="000000"/>
              </w:rPr>
              <w:t>6、工程占地</w:t>
            </w:r>
          </w:p>
          <w:p>
            <w:pPr>
              <w:pStyle w:val="138"/>
              <w:rPr>
                <w:rFonts w:ascii="Times New Roman" w:hAnsi="Times New Roman"/>
                <w:color w:val="000000"/>
              </w:rPr>
            </w:pPr>
            <w:r>
              <w:rPr>
                <w:rFonts w:ascii="Times New Roman" w:hAnsi="Times New Roman"/>
                <w:color w:val="000000"/>
              </w:rPr>
              <w:t>工程总占地面积10.41hm</w:t>
            </w:r>
            <w:r>
              <w:rPr>
                <w:rFonts w:ascii="Times New Roman" w:hAnsi="Times New Roman"/>
                <w:color w:val="000000"/>
                <w:vertAlign w:val="superscript"/>
              </w:rPr>
              <w:t>2</w:t>
            </w:r>
            <w:r>
              <w:rPr>
                <w:rFonts w:ascii="Times New Roman" w:hAnsi="Times New Roman"/>
                <w:color w:val="000000"/>
              </w:rPr>
              <w:t>，其中永久占地3.64hm</w:t>
            </w:r>
            <w:r>
              <w:rPr>
                <w:rFonts w:ascii="Times New Roman" w:hAnsi="Times New Roman"/>
                <w:color w:val="000000"/>
                <w:vertAlign w:val="superscript"/>
              </w:rPr>
              <w:t>2</w:t>
            </w:r>
            <w:r>
              <w:rPr>
                <w:rFonts w:ascii="Times New Roman" w:hAnsi="Times New Roman"/>
                <w:color w:val="000000"/>
              </w:rPr>
              <w:t>，临时占地6.77hm</w:t>
            </w:r>
            <w:r>
              <w:rPr>
                <w:rFonts w:ascii="Times New Roman" w:hAnsi="Times New Roman"/>
                <w:color w:val="000000"/>
                <w:vertAlign w:val="superscript"/>
              </w:rPr>
              <w:t>2</w:t>
            </w:r>
            <w:r>
              <w:rPr>
                <w:rFonts w:ascii="Times New Roman" w:hAnsi="Times New Roman"/>
                <w:color w:val="000000"/>
              </w:rPr>
              <w:t>。主要占地类型为水域及水利设施用地、耕地、草地及林地，</w:t>
            </w:r>
            <w:r>
              <w:rPr>
                <w:rFonts w:ascii="Times New Roman" w:hAnsi="Times New Roman"/>
                <w:color w:val="000000"/>
                <w:shd w:val="clear" w:color="auto" w:fill="FFFF00"/>
              </w:rPr>
              <w:t>均不涉及基本农田、天然林等</w:t>
            </w:r>
            <w:r>
              <w:rPr>
                <w:rFonts w:ascii="Times New Roman" w:hAnsi="Times New Roman"/>
                <w:color w:val="000000"/>
              </w:rPr>
              <w:t>。</w:t>
            </w:r>
          </w:p>
          <w:p>
            <w:pPr>
              <w:jc w:val="right"/>
              <w:rPr>
                <w:rFonts w:ascii="Times New Roman" w:hAnsi="Times New Roman"/>
                <w:b/>
                <w:bCs/>
                <w:kern w:val="0"/>
              </w:rPr>
            </w:pPr>
            <w:r>
              <w:rPr>
                <w:rFonts w:ascii="Times New Roman" w:hAnsi="Times New Roman"/>
                <w:b/>
                <w:bCs/>
                <w:color w:val="000000"/>
                <w:kern w:val="0"/>
              </w:rPr>
              <w:t>表2-7   本项目</w:t>
            </w:r>
            <w:r>
              <w:rPr>
                <w:rFonts w:ascii="Times New Roman" w:hAnsi="Times New Roman"/>
                <w:b/>
                <w:bCs/>
                <w:kern w:val="0"/>
              </w:rPr>
              <w:t>工程占地特性表             单位：hm</w:t>
            </w:r>
            <w:r>
              <w:rPr>
                <w:rFonts w:ascii="Times New Roman" w:hAnsi="Times New Roman"/>
                <w:b/>
                <w:bCs/>
                <w:kern w:val="0"/>
                <w:vertAlign w:val="superscript"/>
              </w:rPr>
              <w:t>2</w:t>
            </w:r>
          </w:p>
          <w:tbl>
            <w:tblPr>
              <w:tblStyle w:val="39"/>
              <w:tblW w:w="789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775"/>
              <w:gridCol w:w="702"/>
              <w:gridCol w:w="1184"/>
              <w:gridCol w:w="1128"/>
              <w:gridCol w:w="1490"/>
              <w:gridCol w:w="8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2572" w:type="dxa"/>
                  <w:gridSpan w:val="2"/>
                  <w:vMerge w:val="restart"/>
                  <w:tcBorders>
                    <w:tl2br w:val="single" w:color="auto" w:sz="4" w:space="0"/>
                  </w:tcBorders>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 xml:space="preserve">              占地类型</w:t>
                  </w:r>
                </w:p>
                <w:p>
                  <w:pPr>
                    <w:adjustRightInd w:val="0"/>
                    <w:snapToGrid w:val="0"/>
                    <w:spacing w:line="240" w:lineRule="atLeast"/>
                    <w:rPr>
                      <w:rFonts w:ascii="Times New Roman" w:hAnsi="Times New Roman"/>
                      <w:snapToGrid w:val="0"/>
                      <w:szCs w:val="21"/>
                    </w:rPr>
                  </w:pPr>
                  <w:r>
                    <w:rPr>
                      <w:rFonts w:ascii="Times New Roman" w:hAnsi="Times New Roman"/>
                      <w:snapToGrid w:val="0"/>
                      <w:szCs w:val="21"/>
                    </w:rPr>
                    <w:t>项目分区</w:t>
                  </w:r>
                </w:p>
              </w:tc>
              <w:tc>
                <w:tcPr>
                  <w:tcW w:w="702"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耕地</w:t>
                  </w:r>
                </w:p>
              </w:tc>
              <w:tc>
                <w:tcPr>
                  <w:tcW w:w="1184"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林地</w:t>
                  </w:r>
                </w:p>
              </w:tc>
              <w:tc>
                <w:tcPr>
                  <w:tcW w:w="1128"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草地</w:t>
                  </w:r>
                </w:p>
              </w:tc>
              <w:tc>
                <w:tcPr>
                  <w:tcW w:w="1490"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水域及水利设施用地</w:t>
                  </w:r>
                </w:p>
              </w:tc>
              <w:tc>
                <w:tcPr>
                  <w:tcW w:w="821" w:type="dxa"/>
                  <w:vMerge w:val="restart"/>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小计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572" w:type="dxa"/>
                  <w:gridSpan w:val="2"/>
                  <w:vMerge w:val="continue"/>
                  <w:tcBorders>
                    <w:tl2br w:val="single" w:color="auto" w:sz="4" w:space="0"/>
                  </w:tcBorders>
                  <w:noWrap w:val="0"/>
                  <w:vAlign w:val="center"/>
                </w:tcPr>
                <w:p>
                  <w:pPr>
                    <w:adjustRightInd w:val="0"/>
                    <w:snapToGrid w:val="0"/>
                    <w:spacing w:line="240" w:lineRule="atLeast"/>
                    <w:jc w:val="center"/>
                    <w:rPr>
                      <w:rFonts w:ascii="Times New Roman" w:hAnsi="Times New Roman"/>
                      <w:snapToGrid w:val="0"/>
                      <w:szCs w:val="21"/>
                    </w:rPr>
                  </w:pPr>
                </w:p>
              </w:tc>
              <w:tc>
                <w:tcPr>
                  <w:tcW w:w="702"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旱地</w:t>
                  </w:r>
                </w:p>
              </w:tc>
              <w:tc>
                <w:tcPr>
                  <w:tcW w:w="1184"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其他林地</w:t>
                  </w:r>
                </w:p>
              </w:tc>
              <w:tc>
                <w:tcPr>
                  <w:tcW w:w="1128" w:type="dxa"/>
                  <w:noWrap w:val="0"/>
                  <w:vAlign w:val="center"/>
                </w:tcPr>
                <w:p>
                  <w:pPr>
                    <w:adjustRightInd w:val="0"/>
                    <w:snapToGrid w:val="0"/>
                    <w:spacing w:line="240" w:lineRule="atLeast"/>
                    <w:ind w:left="-120" w:leftChars="-50" w:right="-120" w:rightChars="-50"/>
                    <w:jc w:val="center"/>
                    <w:rPr>
                      <w:rFonts w:ascii="Times New Roman" w:hAnsi="Times New Roman"/>
                      <w:snapToGrid w:val="0"/>
                      <w:spacing w:val="-4"/>
                      <w:szCs w:val="21"/>
                    </w:rPr>
                  </w:pPr>
                  <w:r>
                    <w:rPr>
                      <w:rFonts w:ascii="Times New Roman" w:hAnsi="Times New Roman"/>
                      <w:snapToGrid w:val="0"/>
                      <w:spacing w:val="-4"/>
                      <w:szCs w:val="21"/>
                    </w:rPr>
                    <w:t>其他草地</w:t>
                  </w:r>
                </w:p>
              </w:tc>
              <w:tc>
                <w:tcPr>
                  <w:tcW w:w="1490" w:type="dxa"/>
                  <w:noWrap w:val="0"/>
                  <w:vAlign w:val="center"/>
                </w:tcPr>
                <w:p>
                  <w:pPr>
                    <w:adjustRightInd w:val="0"/>
                    <w:snapToGrid w:val="0"/>
                    <w:spacing w:line="240" w:lineRule="atLeast"/>
                    <w:ind w:left="-120" w:leftChars="-50" w:right="-120" w:rightChars="-50"/>
                    <w:jc w:val="center"/>
                    <w:rPr>
                      <w:rFonts w:ascii="Times New Roman" w:hAnsi="Times New Roman"/>
                      <w:snapToGrid w:val="0"/>
                      <w:spacing w:val="-4"/>
                      <w:szCs w:val="21"/>
                    </w:rPr>
                  </w:pPr>
                  <w:r>
                    <w:rPr>
                      <w:rFonts w:ascii="Times New Roman" w:hAnsi="Times New Roman"/>
                      <w:snapToGrid w:val="0"/>
                      <w:spacing w:val="-4"/>
                      <w:szCs w:val="21"/>
                    </w:rPr>
                    <w:t>沟渠</w:t>
                  </w:r>
                </w:p>
              </w:tc>
              <w:tc>
                <w:tcPr>
                  <w:tcW w:w="821" w:type="dxa"/>
                  <w:vMerge w:val="continue"/>
                  <w:noWrap w:val="0"/>
                  <w:vAlign w:val="center"/>
                </w:tcPr>
                <w:p>
                  <w:pPr>
                    <w:adjustRightInd w:val="0"/>
                    <w:snapToGrid w:val="0"/>
                    <w:spacing w:line="240" w:lineRule="atLeast"/>
                    <w:jc w:val="center"/>
                    <w:rPr>
                      <w:rFonts w:ascii="Times New Roman" w:hAnsi="Times New Roman"/>
                      <w:snapToGrid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exact"/>
              </w:trPr>
              <w:tc>
                <w:tcPr>
                  <w:tcW w:w="797"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永久</w:t>
                  </w:r>
                </w:p>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占地</w:t>
                  </w:r>
                </w:p>
              </w:tc>
              <w:tc>
                <w:tcPr>
                  <w:tcW w:w="1775" w:type="dxa"/>
                  <w:noWrap w:val="0"/>
                  <w:vAlign w:val="center"/>
                </w:tcPr>
                <w:p>
                  <w:pPr>
                    <w:adjustRightInd w:val="0"/>
                    <w:snapToGrid w:val="0"/>
                    <w:spacing w:line="240" w:lineRule="atLeast"/>
                    <w:ind w:left="-120" w:leftChars="-50" w:right="-120" w:rightChars="-50"/>
                    <w:jc w:val="center"/>
                    <w:rPr>
                      <w:rFonts w:ascii="Times New Roman" w:hAnsi="Times New Roman"/>
                      <w:snapToGrid w:val="0"/>
                      <w:szCs w:val="21"/>
                    </w:rPr>
                  </w:pPr>
                  <w:r>
                    <w:rPr>
                      <w:rFonts w:ascii="Times New Roman" w:hAnsi="Times New Roman"/>
                      <w:snapToGrid w:val="0"/>
                      <w:szCs w:val="21"/>
                    </w:rPr>
                    <w:t>主体工程占地区</w:t>
                  </w:r>
                </w:p>
              </w:tc>
              <w:tc>
                <w:tcPr>
                  <w:tcW w:w="702"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0.33</w:t>
                  </w:r>
                </w:p>
              </w:tc>
              <w:tc>
                <w:tcPr>
                  <w:tcW w:w="1184"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2.87</w:t>
                  </w:r>
                </w:p>
              </w:tc>
              <w:tc>
                <w:tcPr>
                  <w:tcW w:w="1128"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490"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0.44</w:t>
                  </w:r>
                </w:p>
              </w:tc>
              <w:tc>
                <w:tcPr>
                  <w:tcW w:w="821"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797" w:type="dxa"/>
                  <w:vMerge w:val="restart"/>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临时</w:t>
                  </w:r>
                </w:p>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占地</w:t>
                  </w:r>
                </w:p>
              </w:tc>
              <w:tc>
                <w:tcPr>
                  <w:tcW w:w="1775"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施工工区占地区</w:t>
                  </w:r>
                </w:p>
              </w:tc>
              <w:tc>
                <w:tcPr>
                  <w:tcW w:w="702"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0.51</w:t>
                  </w:r>
                </w:p>
              </w:tc>
              <w:tc>
                <w:tcPr>
                  <w:tcW w:w="1184"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128"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490"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821"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797" w:type="dxa"/>
                  <w:vMerge w:val="continue"/>
                  <w:noWrap w:val="0"/>
                  <w:vAlign w:val="center"/>
                </w:tcPr>
                <w:p>
                  <w:pPr>
                    <w:adjustRightInd w:val="0"/>
                    <w:snapToGrid w:val="0"/>
                    <w:spacing w:line="240" w:lineRule="atLeast"/>
                    <w:jc w:val="center"/>
                    <w:rPr>
                      <w:rFonts w:ascii="Times New Roman" w:hAnsi="Times New Roman"/>
                      <w:snapToGrid w:val="0"/>
                      <w:szCs w:val="21"/>
                    </w:rPr>
                  </w:pPr>
                </w:p>
              </w:tc>
              <w:tc>
                <w:tcPr>
                  <w:tcW w:w="1775"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弃渣场占地区</w:t>
                  </w:r>
                </w:p>
              </w:tc>
              <w:tc>
                <w:tcPr>
                  <w:tcW w:w="702"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184"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128"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0.05</w:t>
                  </w:r>
                </w:p>
              </w:tc>
              <w:tc>
                <w:tcPr>
                  <w:tcW w:w="1490"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821"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797" w:type="dxa"/>
                  <w:vMerge w:val="continue"/>
                  <w:noWrap w:val="0"/>
                  <w:vAlign w:val="center"/>
                </w:tcPr>
                <w:p>
                  <w:pPr>
                    <w:adjustRightInd w:val="0"/>
                    <w:snapToGrid w:val="0"/>
                    <w:spacing w:line="240" w:lineRule="atLeast"/>
                    <w:jc w:val="center"/>
                    <w:rPr>
                      <w:rFonts w:ascii="Times New Roman" w:hAnsi="Times New Roman"/>
                      <w:snapToGrid w:val="0"/>
                      <w:szCs w:val="21"/>
                    </w:rPr>
                  </w:pPr>
                </w:p>
              </w:tc>
              <w:tc>
                <w:tcPr>
                  <w:tcW w:w="1775"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施工道路区</w:t>
                  </w:r>
                </w:p>
              </w:tc>
              <w:tc>
                <w:tcPr>
                  <w:tcW w:w="702"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184"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1.20</w:t>
                  </w:r>
                </w:p>
              </w:tc>
              <w:tc>
                <w:tcPr>
                  <w:tcW w:w="1128"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490" w:type="dxa"/>
                  <w:noWrap w:val="0"/>
                  <w:vAlign w:val="center"/>
                </w:tcPr>
                <w:p>
                  <w:pPr>
                    <w:adjustRightInd w:val="0"/>
                    <w:snapToGrid w:val="0"/>
                    <w:spacing w:line="240" w:lineRule="atLeast"/>
                    <w:jc w:val="center"/>
                    <w:rPr>
                      <w:rFonts w:ascii="Times New Roman" w:hAnsi="Times New Roman"/>
                      <w:snapToGrid w:val="0"/>
                      <w:szCs w:val="21"/>
                    </w:rPr>
                  </w:pPr>
                </w:p>
              </w:tc>
              <w:tc>
                <w:tcPr>
                  <w:tcW w:w="821"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3" w:hRule="exact"/>
              </w:trPr>
              <w:tc>
                <w:tcPr>
                  <w:tcW w:w="797" w:type="dxa"/>
                  <w:vMerge w:val="continue"/>
                  <w:noWrap w:val="0"/>
                  <w:vAlign w:val="center"/>
                </w:tcPr>
                <w:p>
                  <w:pPr>
                    <w:adjustRightInd w:val="0"/>
                    <w:snapToGrid w:val="0"/>
                    <w:spacing w:line="240" w:lineRule="atLeast"/>
                    <w:jc w:val="center"/>
                    <w:rPr>
                      <w:rFonts w:ascii="Times New Roman" w:hAnsi="Times New Roman"/>
                      <w:snapToGrid w:val="0"/>
                      <w:szCs w:val="21"/>
                    </w:rPr>
                  </w:pPr>
                </w:p>
              </w:tc>
              <w:tc>
                <w:tcPr>
                  <w:tcW w:w="1775"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渠道施工作业带区</w:t>
                  </w:r>
                </w:p>
              </w:tc>
              <w:tc>
                <w:tcPr>
                  <w:tcW w:w="702"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0.45</w:t>
                  </w:r>
                </w:p>
              </w:tc>
              <w:tc>
                <w:tcPr>
                  <w:tcW w:w="1184"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4.56</w:t>
                  </w:r>
                </w:p>
              </w:tc>
              <w:tc>
                <w:tcPr>
                  <w:tcW w:w="1128"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1490"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w:t>
                  </w:r>
                </w:p>
              </w:tc>
              <w:tc>
                <w:tcPr>
                  <w:tcW w:w="821" w:type="dxa"/>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9" w:hRule="exact"/>
              </w:trPr>
              <w:tc>
                <w:tcPr>
                  <w:tcW w:w="2572" w:type="dxa"/>
                  <w:gridSpan w:val="2"/>
                  <w:noWrap w:val="0"/>
                  <w:vAlign w:val="center"/>
                </w:tcPr>
                <w:p>
                  <w:pPr>
                    <w:adjustRightInd w:val="0"/>
                    <w:snapToGrid w:val="0"/>
                    <w:spacing w:line="240" w:lineRule="atLeast"/>
                    <w:jc w:val="center"/>
                    <w:rPr>
                      <w:rFonts w:ascii="Times New Roman" w:hAnsi="Times New Roman"/>
                      <w:snapToGrid w:val="0"/>
                      <w:szCs w:val="21"/>
                    </w:rPr>
                  </w:pPr>
                  <w:r>
                    <w:rPr>
                      <w:rFonts w:ascii="Times New Roman" w:hAnsi="Times New Roman"/>
                      <w:snapToGrid w:val="0"/>
                      <w:szCs w:val="21"/>
                    </w:rPr>
                    <w:t>合  计</w:t>
                  </w:r>
                </w:p>
              </w:tc>
              <w:tc>
                <w:tcPr>
                  <w:tcW w:w="702" w:type="dxa"/>
                  <w:noWrap w:val="0"/>
                  <w:vAlign w:val="center"/>
                </w:tcPr>
                <w:p>
                  <w:pPr>
                    <w:adjustRightInd w:val="0"/>
                    <w:snapToGrid w:val="0"/>
                    <w:spacing w:line="240" w:lineRule="atLeast"/>
                    <w:jc w:val="center"/>
                    <w:rPr>
                      <w:rFonts w:ascii="Times New Roman" w:hAnsi="Times New Roman"/>
                      <w:bCs/>
                      <w:snapToGrid w:val="0"/>
                      <w:szCs w:val="21"/>
                    </w:rPr>
                  </w:pPr>
                  <w:r>
                    <w:rPr>
                      <w:rFonts w:ascii="Times New Roman" w:hAnsi="Times New Roman"/>
                      <w:bCs/>
                      <w:snapToGrid w:val="0"/>
                      <w:szCs w:val="21"/>
                    </w:rPr>
                    <w:t>1.29</w:t>
                  </w:r>
                </w:p>
              </w:tc>
              <w:tc>
                <w:tcPr>
                  <w:tcW w:w="1184" w:type="dxa"/>
                  <w:noWrap w:val="0"/>
                  <w:vAlign w:val="center"/>
                </w:tcPr>
                <w:p>
                  <w:pPr>
                    <w:adjustRightInd w:val="0"/>
                    <w:snapToGrid w:val="0"/>
                    <w:spacing w:line="240" w:lineRule="atLeast"/>
                    <w:jc w:val="center"/>
                    <w:rPr>
                      <w:rFonts w:ascii="Times New Roman" w:hAnsi="Times New Roman"/>
                      <w:bCs/>
                      <w:snapToGrid w:val="0"/>
                      <w:szCs w:val="21"/>
                    </w:rPr>
                  </w:pPr>
                  <w:r>
                    <w:rPr>
                      <w:rFonts w:ascii="Times New Roman" w:hAnsi="Times New Roman"/>
                      <w:bCs/>
                      <w:snapToGrid w:val="0"/>
                      <w:szCs w:val="21"/>
                    </w:rPr>
                    <w:t>8.63</w:t>
                  </w:r>
                </w:p>
              </w:tc>
              <w:tc>
                <w:tcPr>
                  <w:tcW w:w="1128" w:type="dxa"/>
                  <w:noWrap w:val="0"/>
                  <w:vAlign w:val="center"/>
                </w:tcPr>
                <w:p>
                  <w:pPr>
                    <w:adjustRightInd w:val="0"/>
                    <w:snapToGrid w:val="0"/>
                    <w:spacing w:line="240" w:lineRule="atLeast"/>
                    <w:jc w:val="center"/>
                    <w:rPr>
                      <w:rFonts w:ascii="Times New Roman" w:hAnsi="Times New Roman"/>
                      <w:bCs/>
                      <w:snapToGrid w:val="0"/>
                      <w:szCs w:val="21"/>
                    </w:rPr>
                  </w:pPr>
                  <w:r>
                    <w:rPr>
                      <w:rFonts w:ascii="Times New Roman" w:hAnsi="Times New Roman"/>
                      <w:bCs/>
                      <w:snapToGrid w:val="0"/>
                      <w:szCs w:val="21"/>
                    </w:rPr>
                    <w:t>0.05</w:t>
                  </w:r>
                </w:p>
              </w:tc>
              <w:tc>
                <w:tcPr>
                  <w:tcW w:w="1490" w:type="dxa"/>
                  <w:noWrap w:val="0"/>
                  <w:vAlign w:val="center"/>
                </w:tcPr>
                <w:p>
                  <w:pPr>
                    <w:adjustRightInd w:val="0"/>
                    <w:snapToGrid w:val="0"/>
                    <w:spacing w:line="240" w:lineRule="atLeast"/>
                    <w:jc w:val="center"/>
                    <w:rPr>
                      <w:rFonts w:ascii="Times New Roman" w:hAnsi="Times New Roman"/>
                      <w:bCs/>
                      <w:snapToGrid w:val="0"/>
                      <w:szCs w:val="21"/>
                    </w:rPr>
                  </w:pPr>
                  <w:r>
                    <w:rPr>
                      <w:rFonts w:ascii="Times New Roman" w:hAnsi="Times New Roman"/>
                      <w:bCs/>
                      <w:snapToGrid w:val="0"/>
                      <w:szCs w:val="21"/>
                    </w:rPr>
                    <w:t>0.44</w:t>
                  </w:r>
                </w:p>
              </w:tc>
              <w:tc>
                <w:tcPr>
                  <w:tcW w:w="821" w:type="dxa"/>
                  <w:noWrap w:val="0"/>
                  <w:vAlign w:val="center"/>
                </w:tcPr>
                <w:p>
                  <w:pPr>
                    <w:adjustRightInd w:val="0"/>
                    <w:snapToGrid w:val="0"/>
                    <w:spacing w:line="240" w:lineRule="atLeast"/>
                    <w:jc w:val="center"/>
                    <w:rPr>
                      <w:rFonts w:ascii="Times New Roman" w:hAnsi="Times New Roman"/>
                      <w:b/>
                      <w:snapToGrid w:val="0"/>
                      <w:szCs w:val="21"/>
                    </w:rPr>
                  </w:pPr>
                  <w:r>
                    <w:rPr>
                      <w:rFonts w:ascii="Times New Roman" w:hAnsi="Times New Roman"/>
                      <w:bCs/>
                      <w:snapToGrid w:val="0"/>
                      <w:szCs w:val="21"/>
                    </w:rPr>
                    <w:t>10.41</w:t>
                  </w:r>
                </w:p>
              </w:tc>
            </w:tr>
          </w:tbl>
          <w:p>
            <w:pPr>
              <w:pStyle w:val="138"/>
              <w:ind w:firstLine="482"/>
              <w:rPr>
                <w:rFonts w:ascii="Times New Roman" w:hAnsi="Times New Roman"/>
                <w:b/>
                <w:color w:val="000000"/>
              </w:rPr>
            </w:pPr>
            <w:r>
              <w:rPr>
                <w:rFonts w:ascii="Times New Roman" w:hAnsi="Times New Roman"/>
                <w:b/>
                <w:color w:val="000000"/>
              </w:rPr>
              <w:t>7、拆迁安置</w:t>
            </w:r>
          </w:p>
          <w:p>
            <w:pPr>
              <w:pStyle w:val="138"/>
              <w:rPr>
                <w:rFonts w:ascii="Times New Roman" w:hAnsi="Times New Roman"/>
                <w:color w:val="000000"/>
              </w:rPr>
            </w:pPr>
            <w:r>
              <w:rPr>
                <w:rFonts w:ascii="Times New Roman" w:hAnsi="Times New Roman"/>
                <w:color w:val="000000"/>
              </w:rPr>
              <w:t>本工程建设征地不涉及的房屋占用，无搬迁安置人口，不涉及园地，无生产安置人口。</w:t>
            </w:r>
          </w:p>
          <w:p>
            <w:pPr>
              <w:pStyle w:val="138"/>
              <w:ind w:firstLine="482"/>
              <w:rPr>
                <w:rFonts w:ascii="Times New Roman" w:hAnsi="Times New Roman"/>
                <w:b/>
                <w:bCs/>
                <w:color w:val="000000"/>
              </w:rPr>
            </w:pPr>
            <w:r>
              <w:rPr>
                <w:rFonts w:ascii="Times New Roman" w:hAnsi="Times New Roman"/>
                <w:b/>
                <w:bCs/>
                <w:color w:val="000000"/>
              </w:rPr>
              <w:t>8、项目资金来源</w:t>
            </w:r>
          </w:p>
          <w:p>
            <w:pPr>
              <w:pStyle w:val="138"/>
              <w:rPr>
                <w:rFonts w:ascii="Times New Roman" w:hAnsi="Times New Roman"/>
                <w:color w:val="000000"/>
              </w:rPr>
            </w:pPr>
            <w:r>
              <w:rPr>
                <w:rFonts w:ascii="Times New Roman" w:hAnsi="Times New Roman"/>
              </w:rPr>
              <w:t>本工程总投资为6253.62万元，资金来源分为两部分，其中中央和省级补助资金4377.53万元，占比70%；地方财政配套1876.09万元，占比30%。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2" w:type="pct"/>
            <w:noWrap w:val="0"/>
            <w:vAlign w:val="center"/>
          </w:tcPr>
          <w:p>
            <w:pPr>
              <w:adjustRightInd w:val="0"/>
              <w:snapToGrid w:val="0"/>
              <w:jc w:val="center"/>
              <w:rPr>
                <w:rFonts w:ascii="Times New Roman" w:hAnsi="Times New Roman"/>
                <w:color w:val="000000"/>
                <w:kern w:val="0"/>
                <w:sz w:val="24"/>
              </w:rPr>
            </w:pPr>
            <w:r>
              <w:rPr>
                <w:rFonts w:ascii="Times New Roman" w:hAnsi="Times New Roman"/>
                <w:color w:val="000000"/>
                <w:kern w:val="0"/>
                <w:sz w:val="24"/>
              </w:rPr>
              <w:t>总平面及现场布置</w:t>
            </w:r>
          </w:p>
        </w:tc>
        <w:tc>
          <w:tcPr>
            <w:tcW w:w="4767" w:type="pct"/>
            <w:noWrap w:val="0"/>
            <w:vAlign w:val="center"/>
          </w:tcPr>
          <w:p>
            <w:pPr>
              <w:pStyle w:val="138"/>
              <w:ind w:firstLine="0" w:firstLineChars="0"/>
              <w:rPr>
                <w:rFonts w:ascii="Times New Roman" w:hAnsi="Times New Roman"/>
                <w:b/>
                <w:color w:val="000000"/>
                <w:sz w:val="28"/>
                <w:szCs w:val="28"/>
              </w:rPr>
            </w:pPr>
            <w:r>
              <w:rPr>
                <w:rFonts w:ascii="Times New Roman" w:hAnsi="Times New Roman"/>
                <w:b/>
                <w:color w:val="000000"/>
                <w:sz w:val="28"/>
                <w:szCs w:val="28"/>
              </w:rPr>
              <w:t>1、总平面布置</w:t>
            </w:r>
          </w:p>
          <w:p>
            <w:pPr>
              <w:pStyle w:val="138"/>
              <w:rPr>
                <w:rFonts w:ascii="Times New Roman" w:hAnsi="Times New Roman"/>
                <w:bCs/>
                <w:color w:val="000000"/>
              </w:rPr>
            </w:pPr>
            <w:r>
              <w:rPr>
                <w:rFonts w:ascii="Times New Roman" w:hAnsi="Times New Roman"/>
                <w:bCs/>
                <w:color w:val="000000"/>
              </w:rPr>
              <w:t>本工程主要建设内容包括新建青白渠和对已有灌区渠道及建筑物整治两部分：其中新建青白渠管道总长12.8km，放水设施1座（青白渠进水闸），隧洞1座长180m，分水洞10处，交通便道3.0km。另外整治右干渠桩号14+802-16+605段明渠总长1.803km，节制闸1座，分水闸1座，泄洪闸3座，机耕桥4座，人行桥17座，山溪接水1处，分水洞4座，人行梯步2处；左干渠整治分水闸3座，泄洪闸8座，九龙干渠整治分水闸1座，泄洪闸2座，节制闸1座。管理房维修750m</w:t>
            </w:r>
            <w:r>
              <w:rPr>
                <w:rFonts w:ascii="Times New Roman" w:hAnsi="Times New Roman"/>
                <w:bCs/>
                <w:color w:val="000000"/>
                <w:vertAlign w:val="superscript"/>
              </w:rPr>
              <w:t>2</w:t>
            </w:r>
            <w:r>
              <w:rPr>
                <w:rFonts w:ascii="Times New Roman" w:hAnsi="Times New Roman"/>
                <w:bCs/>
                <w:color w:val="000000"/>
              </w:rPr>
              <w:t>和进库公路4.0km。</w:t>
            </w:r>
          </w:p>
          <w:p>
            <w:pPr>
              <w:pStyle w:val="138"/>
              <w:rPr>
                <w:rFonts w:hint="eastAsia" w:ascii="Times New Roman" w:hAnsi="Times New Roman"/>
                <w:bCs/>
                <w:color w:val="000000"/>
              </w:rPr>
            </w:pPr>
            <w:r>
              <w:rPr>
                <w:rFonts w:hint="eastAsia" w:ascii="宋体" w:hAnsi="宋体"/>
              </w:rPr>
              <w:t>本次高中水库中型灌区续建配套与节水改造项目不涉及渠首（水源）工程和排水工程，</w:t>
            </w:r>
            <w:r>
              <w:rPr>
                <w:rFonts w:hint="eastAsia" w:ascii="宋体" w:hAnsi="宋体" w:cs="宋体"/>
              </w:rPr>
              <w:t>本次新建和整治渠道均为傍山渠道，经核查，其整新建、治渠段与已成建筑物相距均较远，施工期间无安全影响。</w:t>
            </w:r>
          </w:p>
          <w:p>
            <w:pPr>
              <w:pStyle w:val="138"/>
              <w:numPr>
                <w:ilvl w:val="0"/>
                <w:numId w:val="10"/>
              </w:numPr>
              <w:ind w:firstLine="482"/>
              <w:rPr>
                <w:rFonts w:ascii="Times New Roman" w:hAnsi="Times New Roman"/>
                <w:b/>
                <w:color w:val="000000"/>
              </w:rPr>
            </w:pPr>
            <w:r>
              <w:rPr>
                <w:rFonts w:ascii="Times New Roman" w:hAnsi="Times New Roman"/>
                <w:b/>
                <w:color w:val="000000"/>
              </w:rPr>
              <w:t>骨干输配水工程</w:t>
            </w:r>
          </w:p>
          <w:p>
            <w:pPr>
              <w:pStyle w:val="138"/>
              <w:rPr>
                <w:rFonts w:ascii="Times New Roman" w:hAnsi="Times New Roman"/>
                <w:b/>
                <w:color w:val="000000"/>
              </w:rPr>
            </w:pPr>
            <w:r>
              <w:rPr>
                <w:rFonts w:ascii="Times New Roman" w:hAnsi="Times New Roman" w:eastAsia="汉仪书宋二S"/>
                <w:b/>
                <w:color w:val="000000"/>
              </w:rPr>
              <w:t>①</w:t>
            </w:r>
            <w:r>
              <w:rPr>
                <w:rFonts w:ascii="Times New Roman" w:hAnsi="Times New Roman"/>
                <w:b/>
                <w:color w:val="000000"/>
              </w:rPr>
              <w:t>新建青白渠</w:t>
            </w:r>
          </w:p>
          <w:p>
            <w:pPr>
              <w:pStyle w:val="138"/>
              <w:rPr>
                <w:rFonts w:ascii="Times New Roman" w:hAnsi="Times New Roman"/>
                <w:bCs/>
                <w:color w:val="000000"/>
              </w:rPr>
            </w:pPr>
            <w:r>
              <w:rPr>
                <w:rFonts w:ascii="Times New Roman" w:hAnsi="Times New Roman"/>
                <w:bCs/>
                <w:color w:val="000000"/>
              </w:rPr>
              <w:t>本工程将在高中水库库区棉洞冲处新建青白渠进水闸，闸后新建青白渠。渠道采用地埋管道输水，管道材料为钢管，管径1.0m，管道起点为青白渠进水闸后，</w:t>
            </w:r>
            <w:r>
              <w:rPr>
                <w:rFonts w:ascii="Times New Roman" w:hAnsi="Times New Roman"/>
              </w:rPr>
              <w:t>开挖180m隧洞穿过山体，管道穿过隧洞沿王沟1#支沟，将水引至水碾坝，该段管线总长900m，管道</w:t>
            </w:r>
            <w:r>
              <w:rPr>
                <w:rFonts w:ascii="Times New Roman" w:hAnsi="Times New Roman"/>
                <w:bCs/>
                <w:color w:val="000000"/>
              </w:rPr>
              <w:t>终点为楼子村标草坝处汇入磨池河，总长12800m。设计流量0.5m</w:t>
            </w:r>
            <w:r>
              <w:rPr>
                <w:rFonts w:ascii="Times New Roman" w:hAnsi="Times New Roman"/>
                <w:bCs/>
                <w:color w:val="000000"/>
                <w:vertAlign w:val="superscript"/>
              </w:rPr>
              <w:t>3</w:t>
            </w:r>
            <w:r>
              <w:rPr>
                <w:rFonts w:ascii="Times New Roman" w:hAnsi="Times New Roman"/>
                <w:bCs/>
                <w:color w:val="000000"/>
              </w:rPr>
              <w:t>/s，加大流量0.65m</w:t>
            </w:r>
            <w:r>
              <w:rPr>
                <w:rFonts w:ascii="Times New Roman" w:hAnsi="Times New Roman"/>
                <w:bCs/>
                <w:color w:val="000000"/>
                <w:vertAlign w:val="superscript"/>
              </w:rPr>
              <w:t>3</w:t>
            </w:r>
            <w:r>
              <w:rPr>
                <w:rFonts w:ascii="Times New Roman" w:hAnsi="Times New Roman"/>
                <w:bCs/>
                <w:color w:val="000000"/>
              </w:rPr>
              <w:t>/s，沿途灌溉乐山市市中区青平镇和白马镇，灌溉面积5388亩。高中水库正常蓄水位为407.04m，青白渠末端出水口水位为397.00m，落差为10.04m。</w:t>
            </w:r>
          </w:p>
          <w:p>
            <w:pPr>
              <w:pStyle w:val="138"/>
              <w:rPr>
                <w:rFonts w:ascii="Times New Roman" w:hAnsi="Times New Roman"/>
                <w:bCs/>
                <w:color w:val="000000"/>
              </w:rPr>
            </w:pPr>
            <w:r>
              <w:rPr>
                <w:rFonts w:ascii="Times New Roman" w:hAnsi="Times New Roman"/>
                <w:bCs/>
                <w:color w:val="000000"/>
              </w:rPr>
              <w:t>青白渠为管渠，管道大部分为地埋。管沟开挖断面为梯形，根据具体土质，边坡有所不同。一般情况下开挖边坡为1:0.75；沟底土层含水量较大时，开挖边坡为1:1；在陡坡管段，开挖边坡为1:0.5；在基岩管段，开挖边坡为1:0.3。</w:t>
            </w:r>
          </w:p>
          <w:p>
            <w:pPr>
              <w:pStyle w:val="138"/>
              <w:rPr>
                <w:rFonts w:ascii="Times New Roman" w:hAnsi="Times New Roman"/>
                <w:bCs/>
                <w:color w:val="000000"/>
              </w:rPr>
            </w:pPr>
            <w:r>
              <w:rPr>
                <w:rFonts w:ascii="Times New Roman" w:hAnsi="Times New Roman"/>
                <w:bCs/>
                <w:color w:val="000000"/>
              </w:rPr>
              <w:t>埋在水沟内时，敷设在原状土地基上，局部超挖部分应回填夯实。当沟底有地下水或沟底土层含水量较大时，管底以上10cm沙壤土回填。对岩石基础，应铺设厚度不小于0.1m的砂层。管道铺设后应及时进行回填，回填时应留出管道连接部位，连接部位应待管道水压试验合格后再行回填。回填时应先填实管底，再同时回填管道两侧，然后回填至管顶0.7m处。管道两侧及管顶以上0.7m内的回填土，不得含有碎石等杂物。回填土应每层夯实，每层厚度0.2</w:t>
            </w:r>
            <w:r>
              <w:rPr>
                <w:rFonts w:hint="eastAsia" w:ascii="Times New Roman" w:hAnsi="Times New Roman"/>
                <w:bCs/>
                <w:color w:val="000000"/>
              </w:rPr>
              <w:t>~</w:t>
            </w:r>
            <w:r>
              <w:rPr>
                <w:rFonts w:ascii="Times New Roman" w:hAnsi="Times New Roman"/>
                <w:bCs/>
                <w:color w:val="000000"/>
              </w:rPr>
              <w:t>0.3m，管道两侧及管顶0.2m以上内的回填土必须人工夯实，若管道埋置在坡度陡峭和地形变化较大的区域时，可采用C20砼浇筑固定管道。</w:t>
            </w:r>
          </w:p>
          <w:p>
            <w:pPr>
              <w:pStyle w:val="138"/>
              <w:rPr>
                <w:rFonts w:ascii="Times New Roman" w:hAnsi="Times New Roman"/>
                <w:bCs/>
                <w:color w:val="000000"/>
              </w:rPr>
            </w:pPr>
            <w:r>
              <w:rPr>
                <w:rFonts w:ascii="Times New Roman" w:hAnsi="Times New Roman"/>
                <w:bCs/>
                <w:color w:val="000000"/>
              </w:rPr>
              <w:t>管道与污水管交叉时，输水管应设在污水管上方，且不应有接口重叠。当输水管与污水管平行设置时，管外壁净距应不小于1.5m。</w:t>
            </w:r>
          </w:p>
          <w:p>
            <w:pPr>
              <w:pStyle w:val="138"/>
              <w:rPr>
                <w:rFonts w:ascii="Times New Roman" w:hAnsi="Times New Roman"/>
                <w:bCs/>
                <w:color w:val="000000"/>
              </w:rPr>
            </w:pPr>
            <w:r>
              <w:rPr>
                <w:rFonts w:ascii="Times New Roman" w:hAnsi="Times New Roman"/>
                <w:bCs/>
                <w:color w:val="000000"/>
              </w:rPr>
              <w:t>长距离无凸起点的管段每隔一定距离应设自动进（排）气阀。在管段低凹处应设泄水阀。</w:t>
            </w:r>
          </w:p>
          <w:p>
            <w:pPr>
              <w:pStyle w:val="138"/>
              <w:rPr>
                <w:rFonts w:ascii="Times New Roman" w:hAnsi="Times New Roman"/>
                <w:bCs/>
                <w:color w:val="000000"/>
              </w:rPr>
            </w:pPr>
            <w:r>
              <w:rPr>
                <w:rFonts w:ascii="Times New Roman" w:hAnsi="Times New Roman"/>
                <w:bCs/>
                <w:color w:val="000000"/>
              </w:rPr>
              <w:t>青白渠在适当的地方应设置放水阀DN500，放水阀连接灌溉斗渠。</w:t>
            </w:r>
          </w:p>
          <w:p>
            <w:pPr>
              <w:pStyle w:val="138"/>
              <w:rPr>
                <w:rFonts w:ascii="Times New Roman" w:hAnsi="Times New Roman"/>
                <w:b/>
                <w:color w:val="000000"/>
              </w:rPr>
            </w:pPr>
            <w:r>
              <w:rPr>
                <w:rFonts w:ascii="Times New Roman" w:hAnsi="Times New Roman" w:eastAsia="汉仪书宋二S"/>
                <w:b/>
                <w:color w:val="000000"/>
              </w:rPr>
              <w:t>②</w:t>
            </w:r>
            <w:r>
              <w:rPr>
                <w:rFonts w:ascii="Times New Roman" w:hAnsi="Times New Roman"/>
                <w:b/>
                <w:color w:val="000000"/>
              </w:rPr>
              <w:t>右干渠14+802-16+605明渠整治</w:t>
            </w:r>
          </w:p>
          <w:p>
            <w:pPr>
              <w:pStyle w:val="138"/>
              <w:rPr>
                <w:rFonts w:ascii="Times New Roman" w:hAnsi="Times New Roman"/>
              </w:rPr>
            </w:pPr>
            <w:r>
              <w:rPr>
                <w:rFonts w:ascii="Times New Roman" w:hAnsi="Times New Roman"/>
              </w:rPr>
              <w:t>右干渠渠首设计流量2.5m</w:t>
            </w:r>
            <w:r>
              <w:rPr>
                <w:rFonts w:ascii="Times New Roman" w:hAnsi="Times New Roman"/>
                <w:vertAlign w:val="superscript"/>
              </w:rPr>
              <w:t>3</w:t>
            </w:r>
            <w:r>
              <w:rPr>
                <w:rFonts w:ascii="Times New Roman" w:hAnsi="Times New Roman"/>
              </w:rPr>
              <w:t>/s，本次整治段14+802-16+605段设计流量0.7</w:t>
            </w:r>
            <w:r>
              <w:rPr>
                <w:rFonts w:hint="eastAsia" w:ascii="Times New Roman" w:hAnsi="Times New Roman"/>
              </w:rPr>
              <w:t>~</w:t>
            </w:r>
            <w:r>
              <w:rPr>
                <w:rFonts w:ascii="Times New Roman" w:hAnsi="Times New Roman"/>
              </w:rPr>
              <w:t>0.4m</w:t>
            </w:r>
            <w:r>
              <w:rPr>
                <w:rFonts w:ascii="Times New Roman" w:hAnsi="Times New Roman"/>
                <w:vertAlign w:val="superscript"/>
              </w:rPr>
              <w:t>3</w:t>
            </w:r>
            <w:r>
              <w:rPr>
                <w:rFonts w:ascii="Times New Roman" w:hAnsi="Times New Roman"/>
              </w:rPr>
              <w:t>/s，现状为未衬砌土渠，老化严重，带病运行多年，渠道负荷重，输水安全性降低，全渠渗漏严重，多处易发生管涌，水利用系数低。根据沿渠地形、地质条件，结合当地天然建筑材料条件以及可能选用的衬砌材料，并参照灌区内近年整治渠道所用材料，本次高中水库灌区整治渠段右支渠（14+802-16+605）明渠侧墙、底板衬砌均采用C20砼现浇衬护，糙率采用0.018。</w:t>
            </w:r>
          </w:p>
          <w:p>
            <w:pPr>
              <w:pStyle w:val="138"/>
              <w:rPr>
                <w:rFonts w:ascii="Times New Roman" w:hAnsi="Times New Roman"/>
              </w:rPr>
            </w:pPr>
            <w:r>
              <w:rPr>
                <w:rFonts w:ascii="Times New Roman" w:hAnsi="Times New Roman"/>
              </w:rPr>
              <w:t>右干渠整治段为土渠，未作衬砌处理，本次整治拟全线三面光衬砌，达到防渗减噪，稳固边坡，规整过水断面，使渠道输水通畅安全，水量利用充分。根据当地建材分布情况，渠道边坡采用C20砼衬护，厚20cm，边坡1:0.3，渠底采用C20砼现浇衬护，厚10cm。</w:t>
            </w:r>
          </w:p>
          <w:p>
            <w:pPr>
              <w:pStyle w:val="138"/>
              <w:rPr>
                <w:rFonts w:hint="eastAsia" w:ascii="Times New Roman" w:hAnsi="Times New Roman"/>
              </w:rPr>
            </w:pPr>
            <w:r>
              <w:rPr>
                <w:rFonts w:ascii="Times New Roman" w:hAnsi="Times New Roman"/>
              </w:rPr>
              <w:t>右干渠整治段明渠共分2种不同断面渠型，总长1803m</w:t>
            </w:r>
            <w:r>
              <w:rPr>
                <w:rFonts w:hint="eastAsia" w:ascii="Times New Roman" w:hAnsi="Times New Roman"/>
              </w:rPr>
              <w:t>。</w:t>
            </w:r>
          </w:p>
          <w:p>
            <w:pPr>
              <w:pStyle w:val="138"/>
              <w:ind w:firstLine="0" w:firstLineChars="0"/>
              <w:jc w:val="center"/>
              <w:rPr>
                <w:rFonts w:ascii="Times New Roman" w:hAnsi="Times New Roman"/>
              </w:rPr>
            </w:pPr>
            <w:r>
              <w:rPr>
                <w:rFonts w:hint="eastAsia" w:ascii="Times New Roman" w:hAnsi="Times New Roman"/>
                <w:b/>
                <w:bCs/>
              </w:rPr>
              <w:t xml:space="preserve">表2-8 </w:t>
            </w:r>
            <w:r>
              <w:rPr>
                <w:rFonts w:hint="eastAsia" w:ascii="Times New Roman" w:hAnsi="Times New Roman"/>
              </w:rPr>
              <w:t xml:space="preserve"> </w:t>
            </w:r>
            <w:r>
              <w:rPr>
                <w:rFonts w:hint="eastAsia"/>
                <w:b/>
              </w:rPr>
              <w:t>右干渠明渠整治段渠型特性表</w:t>
            </w:r>
          </w:p>
          <w:tbl>
            <w:tblPr>
              <w:tblStyle w:val="39"/>
              <w:tblW w:w="79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853"/>
              <w:gridCol w:w="994"/>
              <w:gridCol w:w="994"/>
              <w:gridCol w:w="900"/>
              <w:gridCol w:w="1439"/>
              <w:gridCol w:w="10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60"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渠型</w:t>
                  </w:r>
                </w:p>
              </w:tc>
              <w:tc>
                <w:tcPr>
                  <w:tcW w:w="1853"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桩号</w:t>
                  </w:r>
                </w:p>
              </w:tc>
              <w:tc>
                <w:tcPr>
                  <w:tcW w:w="994"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长度(m)</w:t>
                  </w:r>
                </w:p>
              </w:tc>
              <w:tc>
                <w:tcPr>
                  <w:tcW w:w="994"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底宽(m)</w:t>
                  </w:r>
                </w:p>
              </w:tc>
              <w:tc>
                <w:tcPr>
                  <w:tcW w:w="900"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边坡</w:t>
                  </w:r>
                </w:p>
              </w:tc>
              <w:tc>
                <w:tcPr>
                  <w:tcW w:w="1439"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设计流量(m</w:t>
                  </w:r>
                  <w:r>
                    <w:rPr>
                      <w:rFonts w:ascii="Times New Roman" w:hAnsi="Times New Roman"/>
                      <w:b/>
                      <w:bCs/>
                      <w:szCs w:val="21"/>
                      <w:vertAlign w:val="superscript"/>
                    </w:rPr>
                    <w:t>3</w:t>
                  </w:r>
                  <w:r>
                    <w:rPr>
                      <w:rFonts w:ascii="Times New Roman" w:hAnsi="Times New Roman"/>
                      <w:b/>
                      <w:bCs/>
                      <w:szCs w:val="21"/>
                    </w:rPr>
                    <w:t>/s)</w:t>
                  </w:r>
                </w:p>
              </w:tc>
              <w:tc>
                <w:tcPr>
                  <w:tcW w:w="1076" w:type="dxa"/>
                  <w:noWrap w:val="0"/>
                  <w:vAlign w:val="center"/>
                </w:tcPr>
                <w:p>
                  <w:pPr>
                    <w:spacing w:line="280" w:lineRule="exact"/>
                    <w:jc w:val="center"/>
                    <w:rPr>
                      <w:rFonts w:ascii="Times New Roman" w:hAnsi="Times New Roman"/>
                      <w:b/>
                      <w:bCs/>
                      <w:szCs w:val="21"/>
                    </w:rPr>
                  </w:pPr>
                  <w:r>
                    <w:rPr>
                      <w:rFonts w:ascii="Times New Roman" w:hAnsi="Times New Roman"/>
                      <w:b/>
                      <w:bCs/>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660" w:type="dxa"/>
                  <w:noWrap w:val="0"/>
                  <w:vAlign w:val="center"/>
                </w:tcPr>
                <w:p>
                  <w:pPr>
                    <w:spacing w:line="280" w:lineRule="exact"/>
                    <w:jc w:val="center"/>
                    <w:rPr>
                      <w:rFonts w:ascii="Times New Roman" w:hAnsi="Times New Roman"/>
                      <w:szCs w:val="21"/>
                    </w:rPr>
                  </w:pPr>
                  <w:r>
                    <w:rPr>
                      <w:rFonts w:ascii="Times New Roman" w:hAnsi="Times New Roman"/>
                      <w:szCs w:val="21"/>
                    </w:rPr>
                    <w:t>A型</w:t>
                  </w:r>
                </w:p>
              </w:tc>
              <w:tc>
                <w:tcPr>
                  <w:tcW w:w="1853" w:type="dxa"/>
                  <w:noWrap w:val="0"/>
                  <w:vAlign w:val="center"/>
                </w:tcPr>
                <w:p>
                  <w:pPr>
                    <w:widowControl/>
                    <w:spacing w:line="280" w:lineRule="exact"/>
                    <w:jc w:val="center"/>
                    <w:rPr>
                      <w:rFonts w:ascii="Times New Roman" w:hAnsi="Times New Roman"/>
                      <w:kern w:val="0"/>
                      <w:szCs w:val="21"/>
                    </w:rPr>
                  </w:pPr>
                  <w:r>
                    <w:rPr>
                      <w:rFonts w:ascii="Times New Roman" w:hAnsi="Times New Roman"/>
                      <w:kern w:val="0"/>
                      <w:szCs w:val="21"/>
                    </w:rPr>
                    <w:t>14+802-15+534</w:t>
                  </w:r>
                </w:p>
              </w:tc>
              <w:tc>
                <w:tcPr>
                  <w:tcW w:w="994" w:type="dxa"/>
                  <w:noWrap w:val="0"/>
                  <w:vAlign w:val="center"/>
                </w:tcPr>
                <w:p>
                  <w:pPr>
                    <w:spacing w:line="280" w:lineRule="exact"/>
                    <w:jc w:val="center"/>
                    <w:rPr>
                      <w:rFonts w:ascii="Times New Roman" w:hAnsi="Times New Roman"/>
                      <w:kern w:val="0"/>
                      <w:szCs w:val="21"/>
                    </w:rPr>
                  </w:pPr>
                  <w:r>
                    <w:rPr>
                      <w:rFonts w:ascii="Times New Roman" w:hAnsi="Times New Roman"/>
                      <w:kern w:val="0"/>
                      <w:szCs w:val="21"/>
                    </w:rPr>
                    <w:t>732</w:t>
                  </w:r>
                </w:p>
              </w:tc>
              <w:tc>
                <w:tcPr>
                  <w:tcW w:w="994" w:type="dxa"/>
                  <w:noWrap w:val="0"/>
                  <w:vAlign w:val="center"/>
                </w:tcPr>
                <w:p>
                  <w:pPr>
                    <w:widowControl/>
                    <w:spacing w:line="280" w:lineRule="exact"/>
                    <w:jc w:val="center"/>
                    <w:rPr>
                      <w:rFonts w:ascii="Times New Roman" w:hAnsi="Times New Roman"/>
                      <w:kern w:val="0"/>
                      <w:szCs w:val="21"/>
                    </w:rPr>
                  </w:pPr>
                  <w:r>
                    <w:rPr>
                      <w:rFonts w:ascii="Times New Roman" w:hAnsi="Times New Roman"/>
                      <w:kern w:val="0"/>
                      <w:szCs w:val="21"/>
                    </w:rPr>
                    <w:t>0.95</w:t>
                  </w:r>
                </w:p>
              </w:tc>
              <w:tc>
                <w:tcPr>
                  <w:tcW w:w="900" w:type="dxa"/>
                  <w:noWrap w:val="0"/>
                  <w:vAlign w:val="center"/>
                </w:tcPr>
                <w:p>
                  <w:pPr>
                    <w:spacing w:line="280" w:lineRule="exact"/>
                    <w:jc w:val="center"/>
                    <w:rPr>
                      <w:rFonts w:ascii="Times New Roman" w:hAnsi="Times New Roman"/>
                      <w:szCs w:val="21"/>
                    </w:rPr>
                  </w:pPr>
                  <w:r>
                    <w:rPr>
                      <w:rFonts w:ascii="Times New Roman" w:hAnsi="Times New Roman"/>
                      <w:szCs w:val="21"/>
                    </w:rPr>
                    <w:t>1:0.3</w:t>
                  </w:r>
                </w:p>
              </w:tc>
              <w:tc>
                <w:tcPr>
                  <w:tcW w:w="1439" w:type="dxa"/>
                  <w:noWrap w:val="0"/>
                  <w:vAlign w:val="center"/>
                </w:tcPr>
                <w:p>
                  <w:pPr>
                    <w:spacing w:line="280" w:lineRule="exact"/>
                    <w:jc w:val="center"/>
                    <w:rPr>
                      <w:rFonts w:ascii="Times New Roman" w:hAnsi="Times New Roman"/>
                      <w:szCs w:val="21"/>
                    </w:rPr>
                  </w:pPr>
                  <w:r>
                    <w:rPr>
                      <w:rFonts w:ascii="Times New Roman" w:hAnsi="Times New Roman"/>
                      <w:szCs w:val="21"/>
                    </w:rPr>
                    <w:t>0.7</w:t>
                  </w:r>
                </w:p>
              </w:tc>
              <w:tc>
                <w:tcPr>
                  <w:tcW w:w="1076" w:type="dxa"/>
                  <w:noWrap w:val="0"/>
                  <w:vAlign w:val="center"/>
                </w:tcPr>
                <w:p>
                  <w:pPr>
                    <w:spacing w:line="280" w:lineRule="exact"/>
                    <w:jc w:val="center"/>
                    <w:rPr>
                      <w:rFonts w:ascii="Times New Roman" w:hAnsi="Times New Roman"/>
                      <w:szCs w:val="21"/>
                    </w:rPr>
                  </w:pPr>
                  <w:r>
                    <w:rPr>
                      <w:rFonts w:ascii="Times New Roman" w:hAnsi="Times New Roman"/>
                      <w:szCs w:val="21"/>
                    </w:rPr>
                    <w:t>梯形明渠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60" w:type="dxa"/>
                  <w:noWrap w:val="0"/>
                  <w:vAlign w:val="center"/>
                </w:tcPr>
                <w:p>
                  <w:pPr>
                    <w:spacing w:line="280" w:lineRule="exact"/>
                    <w:jc w:val="center"/>
                    <w:rPr>
                      <w:rFonts w:ascii="Times New Roman" w:hAnsi="Times New Roman"/>
                      <w:szCs w:val="21"/>
                    </w:rPr>
                  </w:pPr>
                  <w:r>
                    <w:rPr>
                      <w:rFonts w:ascii="Times New Roman" w:hAnsi="Times New Roman"/>
                      <w:szCs w:val="21"/>
                    </w:rPr>
                    <w:t>B型</w:t>
                  </w:r>
                </w:p>
              </w:tc>
              <w:tc>
                <w:tcPr>
                  <w:tcW w:w="1853" w:type="dxa"/>
                  <w:noWrap w:val="0"/>
                  <w:vAlign w:val="center"/>
                </w:tcPr>
                <w:p>
                  <w:pPr>
                    <w:widowControl/>
                    <w:spacing w:line="280" w:lineRule="exact"/>
                    <w:jc w:val="center"/>
                    <w:rPr>
                      <w:rFonts w:ascii="Times New Roman" w:hAnsi="Times New Roman"/>
                      <w:kern w:val="0"/>
                      <w:szCs w:val="21"/>
                    </w:rPr>
                  </w:pPr>
                  <w:r>
                    <w:rPr>
                      <w:rFonts w:ascii="Times New Roman" w:hAnsi="Times New Roman"/>
                      <w:kern w:val="0"/>
                      <w:szCs w:val="21"/>
                    </w:rPr>
                    <w:t>15+534-16+605</w:t>
                  </w:r>
                </w:p>
              </w:tc>
              <w:tc>
                <w:tcPr>
                  <w:tcW w:w="994" w:type="dxa"/>
                  <w:noWrap w:val="0"/>
                  <w:vAlign w:val="center"/>
                </w:tcPr>
                <w:p>
                  <w:pPr>
                    <w:spacing w:line="280" w:lineRule="exact"/>
                    <w:jc w:val="center"/>
                    <w:rPr>
                      <w:rFonts w:ascii="Times New Roman" w:hAnsi="Times New Roman"/>
                      <w:kern w:val="0"/>
                      <w:szCs w:val="21"/>
                    </w:rPr>
                  </w:pPr>
                  <w:r>
                    <w:rPr>
                      <w:rFonts w:ascii="Times New Roman" w:hAnsi="Times New Roman"/>
                      <w:kern w:val="0"/>
                      <w:szCs w:val="21"/>
                    </w:rPr>
                    <w:t>1071</w:t>
                  </w:r>
                </w:p>
              </w:tc>
              <w:tc>
                <w:tcPr>
                  <w:tcW w:w="994" w:type="dxa"/>
                  <w:noWrap w:val="0"/>
                  <w:vAlign w:val="center"/>
                </w:tcPr>
                <w:p>
                  <w:pPr>
                    <w:widowControl/>
                    <w:spacing w:line="280" w:lineRule="exact"/>
                    <w:jc w:val="center"/>
                    <w:rPr>
                      <w:rFonts w:ascii="Times New Roman" w:hAnsi="Times New Roman"/>
                      <w:kern w:val="0"/>
                      <w:szCs w:val="21"/>
                    </w:rPr>
                  </w:pPr>
                  <w:r>
                    <w:rPr>
                      <w:rFonts w:ascii="Times New Roman" w:hAnsi="Times New Roman"/>
                      <w:kern w:val="0"/>
                      <w:szCs w:val="21"/>
                    </w:rPr>
                    <w:t>0.85</w:t>
                  </w:r>
                </w:p>
              </w:tc>
              <w:tc>
                <w:tcPr>
                  <w:tcW w:w="900" w:type="dxa"/>
                  <w:noWrap w:val="0"/>
                  <w:vAlign w:val="center"/>
                </w:tcPr>
                <w:p>
                  <w:pPr>
                    <w:spacing w:line="280" w:lineRule="exact"/>
                    <w:jc w:val="center"/>
                    <w:rPr>
                      <w:rFonts w:ascii="Times New Roman" w:hAnsi="Times New Roman"/>
                      <w:szCs w:val="21"/>
                    </w:rPr>
                  </w:pPr>
                  <w:r>
                    <w:rPr>
                      <w:rFonts w:ascii="Times New Roman" w:hAnsi="Times New Roman"/>
                      <w:szCs w:val="21"/>
                    </w:rPr>
                    <w:t>1:0.3</w:t>
                  </w:r>
                </w:p>
              </w:tc>
              <w:tc>
                <w:tcPr>
                  <w:tcW w:w="1439" w:type="dxa"/>
                  <w:noWrap w:val="0"/>
                  <w:vAlign w:val="center"/>
                </w:tcPr>
                <w:p>
                  <w:pPr>
                    <w:spacing w:line="280" w:lineRule="exact"/>
                    <w:jc w:val="center"/>
                    <w:rPr>
                      <w:rFonts w:ascii="Times New Roman" w:hAnsi="Times New Roman"/>
                      <w:szCs w:val="21"/>
                    </w:rPr>
                  </w:pPr>
                  <w:r>
                    <w:rPr>
                      <w:rFonts w:ascii="Times New Roman" w:hAnsi="Times New Roman"/>
                      <w:szCs w:val="21"/>
                    </w:rPr>
                    <w:t>0.4</w:t>
                  </w:r>
                </w:p>
              </w:tc>
              <w:tc>
                <w:tcPr>
                  <w:tcW w:w="1076" w:type="dxa"/>
                  <w:noWrap w:val="0"/>
                  <w:vAlign w:val="center"/>
                </w:tcPr>
                <w:p>
                  <w:pPr>
                    <w:spacing w:line="280" w:lineRule="exact"/>
                    <w:jc w:val="center"/>
                    <w:rPr>
                      <w:rFonts w:ascii="Times New Roman" w:hAnsi="Times New Roman"/>
                      <w:szCs w:val="21"/>
                    </w:rPr>
                  </w:pPr>
                  <w:r>
                    <w:rPr>
                      <w:rFonts w:ascii="Times New Roman" w:hAnsi="Times New Roman"/>
                      <w:szCs w:val="21"/>
                    </w:rPr>
                    <w:t>梯形明渠</w:t>
                  </w:r>
                </w:p>
              </w:tc>
            </w:tr>
          </w:tbl>
          <w:p>
            <w:pPr>
              <w:pStyle w:val="138"/>
              <w:ind w:left="0" w:leftChars="0" w:right="0" w:rightChars="0" w:firstLine="0" w:firstLineChars="0"/>
              <w:jc w:val="center"/>
              <w:rPr>
                <w:rFonts w:hint="eastAsia" w:ascii="Times New Roman" w:hAnsi="Times New Roman" w:eastAsia="宋体"/>
                <w:b/>
                <w:bCs/>
                <w:lang w:eastAsia="zh-CN"/>
              </w:rPr>
            </w:pPr>
            <w:r>
              <w:rPr>
                <w:rFonts w:hint="eastAsia" w:ascii="Times New Roman" w:hAnsi="Times New Roman" w:eastAsia="宋体"/>
                <w:b/>
                <w:bCs/>
                <w:lang w:eastAsia="zh-CN"/>
              </w:rPr>
              <w:drawing>
                <wp:inline distT="0" distB="0" distL="114300" distR="114300">
                  <wp:extent cx="4201160" cy="1916430"/>
                  <wp:effectExtent l="0" t="0" r="8890" b="7620"/>
                  <wp:docPr id="208" name="图片 23" descr="右干渠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3" descr="右干渠1_00"/>
                          <pic:cNvPicPr>
                            <a:picLocks noChangeAspect="1"/>
                          </pic:cNvPicPr>
                        </pic:nvPicPr>
                        <pic:blipFill>
                          <a:blip r:embed="rId38"/>
                          <a:srcRect l="9195" t="20586" r="6322" b="24919"/>
                          <a:stretch>
                            <a:fillRect/>
                          </a:stretch>
                        </pic:blipFill>
                        <pic:spPr>
                          <a:xfrm>
                            <a:off x="0" y="0"/>
                            <a:ext cx="4201160" cy="1916430"/>
                          </a:xfrm>
                          <a:prstGeom prst="rect">
                            <a:avLst/>
                          </a:prstGeom>
                          <a:noFill/>
                          <a:ln>
                            <a:noFill/>
                          </a:ln>
                        </pic:spPr>
                      </pic:pic>
                    </a:graphicData>
                  </a:graphic>
                </wp:inline>
              </w:drawing>
            </w:r>
          </w:p>
          <w:p>
            <w:pPr>
              <w:pStyle w:val="138"/>
              <w:ind w:left="0" w:leftChars="0" w:right="0" w:rightChars="0" w:firstLine="0" w:firstLineChars="0"/>
              <w:jc w:val="center"/>
              <w:rPr>
                <w:rFonts w:ascii="Times New Roman" w:hAnsi="Times New Roman"/>
                <w:b/>
                <w:bCs/>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2-3  右干渠整治段</w:t>
            </w:r>
            <w:r>
              <w:rPr>
                <w:rFonts w:hint="eastAsia" w:ascii="Times New Roman" w:hAnsi="Times New Roman"/>
                <w:b/>
                <w:bCs/>
                <w:sz w:val="21"/>
                <w:szCs w:val="21"/>
                <w:lang w:eastAsia="zh-CN"/>
              </w:rPr>
              <w:t>结构示意图</w:t>
            </w:r>
          </w:p>
          <w:p>
            <w:pPr>
              <w:pStyle w:val="138"/>
              <w:ind w:firstLine="482"/>
              <w:rPr>
                <w:rFonts w:ascii="Times New Roman" w:hAnsi="Times New Roman"/>
                <w:b/>
                <w:bCs/>
              </w:rPr>
            </w:pPr>
            <w:r>
              <w:rPr>
                <w:rFonts w:ascii="Times New Roman" w:hAnsi="Times New Roman"/>
                <w:b/>
                <w:bCs/>
              </w:rPr>
              <w:t>（2）骨干渠系建筑物及配套设施</w:t>
            </w:r>
          </w:p>
          <w:p>
            <w:pPr>
              <w:pStyle w:val="138"/>
              <w:rPr>
                <w:rFonts w:ascii="Times New Roman" w:hAnsi="Times New Roman"/>
                <w:b/>
                <w:bCs/>
              </w:rPr>
            </w:pPr>
            <w:r>
              <w:rPr>
                <w:rFonts w:ascii="Times New Roman" w:hAnsi="Times New Roman" w:eastAsia="汉仪书宋二S"/>
                <w:b/>
                <w:bCs/>
              </w:rPr>
              <w:t>①</w:t>
            </w:r>
            <w:r>
              <w:rPr>
                <w:rFonts w:ascii="Times New Roman" w:hAnsi="Times New Roman"/>
                <w:b/>
                <w:bCs/>
              </w:rPr>
              <w:t>青白渠隧洞</w:t>
            </w:r>
          </w:p>
          <w:p>
            <w:pPr>
              <w:pStyle w:val="138"/>
              <w:rPr>
                <w:rFonts w:ascii="Times New Roman" w:hAnsi="Times New Roman"/>
              </w:rPr>
            </w:pPr>
            <w:r>
              <w:rPr>
                <w:rFonts w:ascii="Times New Roman" w:hAnsi="Times New Roman"/>
              </w:rPr>
              <w:t>本次高中水库灌区新建隧洞1座，总长180m。</w:t>
            </w:r>
          </w:p>
          <w:p>
            <w:pPr>
              <w:pStyle w:val="138"/>
              <w:rPr>
                <w:rFonts w:ascii="Times New Roman" w:hAnsi="Times New Roman"/>
              </w:rPr>
            </w:pPr>
            <w:r>
              <w:rPr>
                <w:rFonts w:ascii="Times New Roman" w:hAnsi="Times New Roman"/>
              </w:rPr>
              <w:t>新建隧洞位于青白支渠0+040-0+220，隧洞为城门洞型，比降1/1000，底宽1.5，直墙高1.05m，1800拱，C30钢筋砼全断面衬砌厚40cm，洞顶900回填灌浆。</w:t>
            </w:r>
          </w:p>
          <w:p>
            <w:pPr>
              <w:pStyle w:val="138"/>
              <w:ind w:left="0" w:leftChars="0" w:right="0" w:rightChars="0" w:firstLine="0" w:firstLineChars="0"/>
              <w:jc w:val="both"/>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039995" cy="1633855"/>
                  <wp:effectExtent l="0" t="0" r="8255" b="4445"/>
                  <wp:docPr id="209" name="图片 24" descr="隧洞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4" descr="隧洞_00"/>
                          <pic:cNvPicPr>
                            <a:picLocks noChangeAspect="1"/>
                          </pic:cNvPicPr>
                        </pic:nvPicPr>
                        <pic:blipFill>
                          <a:blip r:embed="rId39"/>
                          <a:srcRect t="25189" b="28981"/>
                          <a:stretch>
                            <a:fillRect/>
                          </a:stretch>
                        </pic:blipFill>
                        <pic:spPr>
                          <a:xfrm>
                            <a:off x="0" y="0"/>
                            <a:ext cx="5039995" cy="1633855"/>
                          </a:xfrm>
                          <a:prstGeom prst="rect">
                            <a:avLst/>
                          </a:prstGeom>
                          <a:noFill/>
                          <a:ln>
                            <a:noFill/>
                          </a:ln>
                        </pic:spPr>
                      </pic:pic>
                    </a:graphicData>
                  </a:graphic>
                </wp:inline>
              </w:drawing>
            </w:r>
          </w:p>
          <w:p>
            <w:pPr>
              <w:pStyle w:val="138"/>
              <w:ind w:left="0" w:leftChars="0" w:right="0" w:rightChars="0" w:firstLine="0" w:firstLineChars="0"/>
              <w:jc w:val="center"/>
              <w:rPr>
                <w:rFonts w:hint="eastAsia" w:ascii="Times New Roman" w:hAnsi="Times New Roman" w:eastAsia="宋体"/>
                <w:lang w:eastAsia="zh-C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2-4  青白渠</w:t>
            </w:r>
            <w:r>
              <w:rPr>
                <w:rFonts w:hint="eastAsia" w:ascii="Times New Roman" w:hAnsi="Times New Roman"/>
                <w:b/>
                <w:bCs/>
                <w:sz w:val="21"/>
                <w:szCs w:val="21"/>
                <w:lang w:eastAsia="zh-CN"/>
              </w:rPr>
              <w:t>隧洞结构示意图</w:t>
            </w:r>
          </w:p>
          <w:p>
            <w:pPr>
              <w:pStyle w:val="223"/>
              <w:bidi w:val="0"/>
              <w:rPr>
                <w:b/>
                <w:bCs/>
              </w:rPr>
            </w:pPr>
            <w:r>
              <w:rPr>
                <w:b/>
                <w:bCs/>
              </w:rPr>
              <w:t>②放水设施</w:t>
            </w:r>
          </w:p>
          <w:p>
            <w:pPr>
              <w:pStyle w:val="138"/>
              <w:rPr>
                <w:rFonts w:ascii="Times New Roman" w:hAnsi="Times New Roman"/>
              </w:rPr>
            </w:pPr>
            <w:r>
              <w:rPr>
                <w:rFonts w:ascii="Times New Roman" w:hAnsi="Times New Roman"/>
              </w:rPr>
              <w:t>在新建青白渠进水处新建C25钢筋砼放水闸，该放水闸长3.5m，宽2.8m，高5.5m，放水闸基础为基岩，进口堰顶高程399.00m，采用1.5m×1.5m的潜孔平面滑动钢闸门及手电两用的螺杆式启闭机进行水量控制，放水闸后钢管采用C20砼进行外包保护。在放水竖井一侧与水库岸坡之间新建C25钢筋砼人行桥相连接，人行桥分三跨，单个跨度4.5m。并新建一条长13.5m，宽1.5m的C25砼人行道路通往放水塔。</w:t>
            </w:r>
          </w:p>
          <w:p>
            <w:pPr>
              <w:pStyle w:val="138"/>
              <w:ind w:left="0" w:leftChars="0" w:right="0" w:rightChars="0" w:firstLine="0" w:firstLineChars="0"/>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716145" cy="2976245"/>
                  <wp:effectExtent l="0" t="0" r="8255" b="14605"/>
                  <wp:docPr id="207" name="图片 25" descr="放水设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5" descr="放水设施_00"/>
                          <pic:cNvPicPr>
                            <a:picLocks noChangeAspect="1"/>
                          </pic:cNvPicPr>
                        </pic:nvPicPr>
                        <pic:blipFill>
                          <a:blip r:embed="rId40"/>
                          <a:srcRect l="1277" t="7224" r="3192" b="7530"/>
                          <a:stretch>
                            <a:fillRect/>
                          </a:stretch>
                        </pic:blipFill>
                        <pic:spPr>
                          <a:xfrm>
                            <a:off x="0" y="0"/>
                            <a:ext cx="4716145" cy="2976245"/>
                          </a:xfrm>
                          <a:prstGeom prst="rect">
                            <a:avLst/>
                          </a:prstGeom>
                          <a:noFill/>
                          <a:ln>
                            <a:noFill/>
                          </a:ln>
                        </pic:spPr>
                      </pic:pic>
                    </a:graphicData>
                  </a:graphic>
                </wp:inline>
              </w:drawing>
            </w:r>
          </w:p>
          <w:p>
            <w:pPr>
              <w:pStyle w:val="138"/>
              <w:ind w:left="0" w:leftChars="0" w:right="0" w:rightChars="0" w:firstLine="0" w:firstLineChars="0"/>
              <w:jc w:val="center"/>
              <w:rPr>
                <w:rFonts w:hint="default" w:ascii="Times New Roman" w:hAnsi="Times New Roman" w:eastAsia="宋体"/>
                <w:b/>
                <w:bCs/>
                <w:sz w:val="21"/>
                <w:szCs w:val="21"/>
                <w:lang w:val="en-US" w:eastAsia="zh-C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 xml:space="preserve">2-5  </w:t>
            </w:r>
            <w:r>
              <w:rPr>
                <w:rFonts w:hint="eastAsia" w:ascii="Times New Roman" w:hAnsi="Times New Roman"/>
                <w:b/>
                <w:bCs/>
                <w:sz w:val="21"/>
                <w:szCs w:val="21"/>
                <w:lang w:eastAsia="zh-CN"/>
              </w:rPr>
              <w:t>放水设施结构示意图</w:t>
            </w:r>
          </w:p>
          <w:p>
            <w:pPr>
              <w:pStyle w:val="138"/>
              <w:rPr>
                <w:rFonts w:ascii="Times New Roman" w:hAnsi="Times New Roman" w:eastAsia="汉仪书宋二S"/>
                <w:b/>
                <w:bCs/>
              </w:rPr>
            </w:pPr>
            <w:r>
              <w:rPr>
                <w:rFonts w:ascii="Times New Roman" w:hAnsi="Times New Roman" w:eastAsia="汉仪书宋二S"/>
                <w:b/>
                <w:bCs/>
              </w:rPr>
              <w:t>③</w:t>
            </w:r>
            <w:r>
              <w:rPr>
                <w:rFonts w:ascii="Times New Roman" w:hAnsi="Times New Roman"/>
                <w:b/>
                <w:bCs/>
              </w:rPr>
              <w:t>节制闸</w:t>
            </w:r>
          </w:p>
          <w:p>
            <w:pPr>
              <w:pStyle w:val="138"/>
              <w:rPr>
                <w:rFonts w:ascii="Times New Roman" w:hAnsi="Times New Roman"/>
              </w:rPr>
            </w:pPr>
            <w:r>
              <w:rPr>
                <w:rFonts w:hint="eastAsia" w:ascii="宋体" w:hAnsi="宋体" w:eastAsia="宋体" w:cs="宋体"/>
              </w:rPr>
              <w:t>本次整治灌区内整治节制闸2座，均为条石结构，因运行多年，闸门锈蚀，启闭不灵，漏水严重，启闭高度不够，不能发挥应有的调节水量功能。本次拟在原位拆除，改建为钢</w:t>
            </w:r>
            <w:r>
              <w:rPr>
                <w:rFonts w:ascii="Times New Roman" w:hAnsi="Times New Roman"/>
              </w:rPr>
              <w:t>筋砼结构，闸室仍设计为原孔数，同时更换平面钢闸门及手电两用螺杆式启闭机，配置一台柴油发电机作为备用电源，闸房同步进行改建。</w:t>
            </w:r>
          </w:p>
          <w:p>
            <w:pPr>
              <w:pStyle w:val="138"/>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1800225" cy="3369945"/>
                  <wp:effectExtent l="0" t="0" r="9525" b="1905"/>
                  <wp:docPr id="217" name="图片 26" descr="节制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6" descr="节制闸_00"/>
                          <pic:cNvPicPr>
                            <a:picLocks noChangeAspect="1"/>
                          </pic:cNvPicPr>
                        </pic:nvPicPr>
                        <pic:blipFill>
                          <a:blip r:embed="rId41"/>
                          <a:srcRect l="23038" t="3165" r="24529" b="4747"/>
                          <a:stretch>
                            <a:fillRect/>
                          </a:stretch>
                        </pic:blipFill>
                        <pic:spPr>
                          <a:xfrm>
                            <a:off x="0" y="0"/>
                            <a:ext cx="1800225" cy="3369945"/>
                          </a:xfrm>
                          <a:prstGeom prst="rect">
                            <a:avLst/>
                          </a:prstGeom>
                          <a:noFill/>
                          <a:ln>
                            <a:noFill/>
                          </a:ln>
                        </pic:spPr>
                      </pic:pic>
                    </a:graphicData>
                  </a:graphic>
                </wp:inline>
              </w:drawing>
            </w:r>
            <w:r>
              <w:rPr>
                <w:rFonts w:hint="eastAsia" w:ascii="Times New Roman" w:hAnsi="Times New Roman" w:eastAsia="宋体"/>
                <w:lang w:eastAsia="zh-CN"/>
              </w:rPr>
              <w:drawing>
                <wp:inline distT="0" distB="0" distL="114300" distR="114300">
                  <wp:extent cx="2771775" cy="3147695"/>
                  <wp:effectExtent l="0" t="0" r="9525" b="14605"/>
                  <wp:docPr id="218" name="图片 27" descr="节制闸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7" descr="节制闸1_00"/>
                          <pic:cNvPicPr>
                            <a:picLocks noChangeAspect="1"/>
                          </pic:cNvPicPr>
                        </pic:nvPicPr>
                        <pic:blipFill>
                          <a:blip r:embed="rId42"/>
                          <a:srcRect l="3810" t="12982" r="2771" b="12003"/>
                          <a:stretch>
                            <a:fillRect/>
                          </a:stretch>
                        </pic:blipFill>
                        <pic:spPr>
                          <a:xfrm>
                            <a:off x="0" y="0"/>
                            <a:ext cx="2771775" cy="3147695"/>
                          </a:xfrm>
                          <a:prstGeom prst="rect">
                            <a:avLst/>
                          </a:prstGeom>
                          <a:noFill/>
                          <a:ln>
                            <a:noFill/>
                          </a:ln>
                        </pic:spPr>
                      </pic:pic>
                    </a:graphicData>
                  </a:graphic>
                </wp:inline>
              </w:drawing>
            </w:r>
          </w:p>
          <w:p>
            <w:pPr>
              <w:pStyle w:val="138"/>
              <w:ind w:left="0" w:leftChars="0" w:right="0" w:rightChars="0" w:firstLine="0" w:firstLineChars="0"/>
              <w:jc w:val="center"/>
              <w:rPr>
                <w:rFonts w:hint="default" w:ascii="Times New Roman" w:hAnsi="Times New Roman" w:eastAsia="宋体"/>
                <w:b/>
                <w:bCs/>
                <w:sz w:val="21"/>
                <w:szCs w:val="21"/>
                <w:lang w:val="en-US" w:eastAsia="zh-C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 xml:space="preserve">2-6  </w:t>
            </w:r>
            <w:r>
              <w:rPr>
                <w:rFonts w:hint="eastAsia" w:ascii="Times New Roman" w:hAnsi="Times New Roman"/>
                <w:b/>
                <w:bCs/>
                <w:sz w:val="21"/>
                <w:szCs w:val="21"/>
                <w:lang w:eastAsia="zh-CN"/>
              </w:rPr>
              <w:t>节制闸结构示意图</w:t>
            </w:r>
          </w:p>
          <w:p>
            <w:pPr>
              <w:pStyle w:val="138"/>
              <w:rPr>
                <w:rFonts w:ascii="Times New Roman" w:hAnsi="Times New Roman" w:eastAsia="汉仪书宋二S"/>
                <w:b/>
                <w:bCs/>
              </w:rPr>
            </w:pPr>
            <w:r>
              <w:rPr>
                <w:rFonts w:ascii="Times New Roman" w:hAnsi="Times New Roman" w:eastAsia="汉仪书宋二S"/>
                <w:b/>
                <w:bCs/>
              </w:rPr>
              <w:t>④</w:t>
            </w:r>
            <w:r>
              <w:rPr>
                <w:rFonts w:ascii="Times New Roman" w:hAnsi="Times New Roman"/>
                <w:b/>
                <w:bCs/>
              </w:rPr>
              <w:t>泄洪闸</w:t>
            </w:r>
          </w:p>
          <w:p>
            <w:pPr>
              <w:spacing w:line="360" w:lineRule="auto"/>
              <w:ind w:firstLine="480" w:firstLineChars="200"/>
              <w:rPr>
                <w:rFonts w:ascii="Times New Roman" w:hAnsi="Times New Roman"/>
                <w:sz w:val="24"/>
              </w:rPr>
            </w:pPr>
            <w:r>
              <w:rPr>
                <w:rFonts w:ascii="Times New Roman" w:hAnsi="Times New Roman"/>
                <w:sz w:val="24"/>
              </w:rPr>
              <w:t>整治灌区内原有泄水闸13座，均为浆砌条石结构，因多年失修，闸室已沉降变形，闸门锈蚀严重，不能启闭，已不能发挥应有的泄洪功能。本次整治拟不改变闸的位置，全部拆除改建为钢筋砼结构，重新配置平面钢闸门及启闭机，配置一台柴油发电机作为备用电源。闸房同步进行改建。</w:t>
            </w:r>
          </w:p>
          <w:p>
            <w:pPr>
              <w:pStyle w:val="138"/>
              <w:rPr>
                <w:rFonts w:ascii="Times New Roman" w:hAnsi="Times New Roman" w:eastAsia="汉仪书宋二S"/>
                <w:b/>
                <w:bCs/>
              </w:rPr>
            </w:pPr>
            <w:r>
              <w:rPr>
                <w:rFonts w:ascii="Times New Roman" w:hAnsi="Times New Roman" w:eastAsia="汉仪书宋二S"/>
                <w:b/>
                <w:bCs/>
              </w:rPr>
              <w:t>⑤</w:t>
            </w:r>
            <w:r>
              <w:rPr>
                <w:rFonts w:hint="eastAsia" w:ascii="宋体" w:hAnsi="宋体" w:eastAsia="宋体" w:cs="宋体"/>
                <w:b/>
                <w:bCs/>
              </w:rPr>
              <w:t>分水闸</w:t>
            </w:r>
          </w:p>
          <w:p>
            <w:pPr>
              <w:pStyle w:val="138"/>
              <w:rPr>
                <w:rFonts w:ascii="Times New Roman" w:hAnsi="Times New Roman"/>
              </w:rPr>
            </w:pPr>
            <w:r>
              <w:rPr>
                <w:rFonts w:ascii="Times New Roman" w:hAnsi="Times New Roman"/>
              </w:rPr>
              <w:t>本次整治灌区内共有5条较大支渠，支渠分水建筑物十分简陋，均为有口无闸，不利于计量供水，科学管理。本次整治拟将分水闸拆除后，改建为钢筋砼结构，并安装露顶平面滑动钢闸门和螺杆式启闭机进行控制，闸上建闸房保护。</w:t>
            </w:r>
          </w:p>
          <w:p>
            <w:pPr>
              <w:pStyle w:val="2"/>
              <w:rPr>
                <w:rFonts w:hint="eastAsia" w:ascii="Times New Roman" w:hAnsi="Times New Roman" w:eastAsia="宋体"/>
                <w:sz w:val="24"/>
                <w:lang w:eastAsia="zh-CN"/>
              </w:rPr>
            </w:pPr>
            <w:r>
              <w:rPr>
                <w:rFonts w:hint="eastAsia" w:ascii="Times New Roman" w:hAnsi="Times New Roman" w:eastAsia="宋体"/>
                <w:sz w:val="24"/>
                <w:lang w:eastAsia="zh-CN"/>
              </w:rPr>
              <w:drawing>
                <wp:inline distT="0" distB="0" distL="114300" distR="114300">
                  <wp:extent cx="4715510" cy="2297430"/>
                  <wp:effectExtent l="0" t="0" r="8890" b="7620"/>
                  <wp:docPr id="219" name="图片 28" descr="泄洪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8" descr="泄洪闸_00"/>
                          <pic:cNvPicPr>
                            <a:picLocks noChangeAspect="1"/>
                          </pic:cNvPicPr>
                        </pic:nvPicPr>
                        <pic:blipFill>
                          <a:blip r:embed="rId43"/>
                          <a:srcRect l="958" t="18147" r="4214" b="16522"/>
                          <a:stretch>
                            <a:fillRect/>
                          </a:stretch>
                        </pic:blipFill>
                        <pic:spPr>
                          <a:xfrm>
                            <a:off x="0" y="0"/>
                            <a:ext cx="4715510" cy="2297430"/>
                          </a:xfrm>
                          <a:prstGeom prst="rect">
                            <a:avLst/>
                          </a:prstGeom>
                          <a:noFill/>
                          <a:ln>
                            <a:noFill/>
                          </a:ln>
                        </pic:spPr>
                      </pic:pic>
                    </a:graphicData>
                  </a:graphic>
                </wp:inline>
              </w:drawing>
            </w:r>
          </w:p>
          <w:p>
            <w:pPr>
              <w:pStyle w:val="138"/>
              <w:ind w:left="0" w:leftChars="0" w:right="0" w:rightChars="0" w:firstLine="0" w:firstLineChars="0"/>
              <w:jc w:val="center"/>
              <w:rPr>
                <w:rFonts w:ascii="Times New Roman" w:hAnsi="Times New Roma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2-7  分水闸、泄洪</w:t>
            </w:r>
            <w:r>
              <w:rPr>
                <w:rFonts w:hint="eastAsia" w:ascii="Times New Roman" w:hAnsi="Times New Roman"/>
                <w:b/>
                <w:bCs/>
                <w:sz w:val="21"/>
                <w:szCs w:val="21"/>
                <w:lang w:eastAsia="zh-CN"/>
              </w:rPr>
              <w:t>闸结构示意图</w:t>
            </w:r>
          </w:p>
          <w:p>
            <w:pPr>
              <w:pStyle w:val="223"/>
              <w:bidi w:val="0"/>
              <w:rPr>
                <w:b/>
                <w:bCs/>
              </w:rPr>
            </w:pPr>
            <w:r>
              <w:rPr>
                <w:b/>
                <w:bCs/>
              </w:rPr>
              <w:t>⑥分水洞</w:t>
            </w:r>
          </w:p>
          <w:p>
            <w:pPr>
              <w:spacing w:line="360" w:lineRule="auto"/>
              <w:ind w:firstLine="480" w:firstLineChars="200"/>
              <w:rPr>
                <w:rFonts w:ascii="Times New Roman" w:hAnsi="Times New Roman"/>
                <w:sz w:val="24"/>
              </w:rPr>
            </w:pPr>
            <w:r>
              <w:rPr>
                <w:rFonts w:ascii="Times New Roman" w:hAnsi="Times New Roman"/>
                <w:sz w:val="24"/>
              </w:rPr>
              <w:t>本次整治渠道段内14座分水洞，这些分水洞结构简陋，均为落后的瓦管放水形式，多数放水洞瓦管破损，有洞无门，或采用临时木门挡水，漏水严重。</w:t>
            </w:r>
          </w:p>
          <w:p>
            <w:pPr>
              <w:pStyle w:val="223"/>
              <w:bidi w:val="0"/>
            </w:pPr>
            <w:r>
              <w:rPr>
                <w:rFonts w:ascii="Times New Roman" w:hAnsi="Times New Roman"/>
              </w:rPr>
              <w:t>本</w:t>
            </w:r>
            <w:r>
              <w:t>次拟将该14座分水洞全部拆除重新埋设砼预制管，采用成套铸铁阀门挡水、放水，阀门直径0.3*0.3，并在闸门后适当位置设置三角埝量水设施进行科学管理，计量供水。</w:t>
            </w:r>
          </w:p>
          <w:p>
            <w:pPr>
              <w:pStyle w:val="223"/>
              <w:bidi w:val="0"/>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5039995" cy="2750820"/>
                  <wp:effectExtent l="0" t="0" r="8255" b="11430"/>
                  <wp:docPr id="220" name="图片 29" descr="分水洞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9" descr="分水洞_00"/>
                          <pic:cNvPicPr>
                            <a:picLocks noChangeAspect="1"/>
                          </pic:cNvPicPr>
                        </pic:nvPicPr>
                        <pic:blipFill>
                          <a:blip r:embed="rId44"/>
                          <a:srcRect l="1532" t="13814" r="1532" b="11375"/>
                          <a:stretch>
                            <a:fillRect/>
                          </a:stretch>
                        </pic:blipFill>
                        <pic:spPr>
                          <a:xfrm>
                            <a:off x="0" y="0"/>
                            <a:ext cx="5039995" cy="2750820"/>
                          </a:xfrm>
                          <a:prstGeom prst="rect">
                            <a:avLst/>
                          </a:prstGeom>
                          <a:noFill/>
                          <a:ln>
                            <a:noFill/>
                          </a:ln>
                        </pic:spPr>
                      </pic:pic>
                    </a:graphicData>
                  </a:graphic>
                </wp:inline>
              </w:drawing>
            </w:r>
          </w:p>
          <w:p>
            <w:pPr>
              <w:pStyle w:val="138"/>
              <w:ind w:left="0" w:leftChars="0" w:right="0" w:rightChars="0" w:firstLine="0" w:firstLineChars="0"/>
              <w:jc w:val="cente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2-8  分水洞</w:t>
            </w:r>
            <w:r>
              <w:rPr>
                <w:rFonts w:hint="eastAsia" w:ascii="Times New Roman" w:hAnsi="Times New Roman"/>
                <w:b/>
                <w:bCs/>
                <w:sz w:val="21"/>
                <w:szCs w:val="21"/>
                <w:lang w:eastAsia="zh-CN"/>
              </w:rPr>
              <w:t>结构示意图</w:t>
            </w:r>
          </w:p>
          <w:p>
            <w:pPr>
              <w:pStyle w:val="223"/>
              <w:bidi w:val="0"/>
              <w:rPr>
                <w:b/>
                <w:bCs/>
              </w:rPr>
            </w:pPr>
            <w:r>
              <w:rPr>
                <w:b/>
                <w:bCs/>
              </w:rPr>
              <w:t>⑦机耕桥</w:t>
            </w:r>
          </w:p>
          <w:p>
            <w:pPr>
              <w:pStyle w:val="223"/>
              <w:bidi w:val="0"/>
            </w:pPr>
            <w:r>
              <w:t>本次整治机耕桥4座，均因建成年代久远，坏损严重，宽度也不满足要求，无护栏，加之渠道整治断面发生变化。本次采取拆除并在原址进行重建。</w:t>
            </w:r>
          </w:p>
          <w:p>
            <w:pPr>
              <w:pStyle w:val="223"/>
              <w:bidi w:val="0"/>
              <w:rPr>
                <w:rFonts w:ascii="Times New Roman" w:hAnsi="Times New Roman"/>
              </w:rPr>
            </w:pPr>
            <w:r>
              <w:t>机耕桥设计荷</w:t>
            </w:r>
            <w:r>
              <w:rPr>
                <w:rFonts w:ascii="Times New Roman" w:hAnsi="Times New Roman"/>
              </w:rPr>
              <w:t>载等级按“10吨荷载”考虑，钢筋砼平桥结构，桥面板为单跨简支板梁，设计桥面宽为4.0m，桥墩采用C20砼梯形断面结构。</w:t>
            </w:r>
          </w:p>
          <w:p>
            <w:pPr>
              <w:pStyle w:val="223"/>
              <w:bidi w:val="0"/>
              <w:ind w:left="0" w:leftChars="0" w:right="0" w:rightChars="0" w:firstLine="0" w:firstLineChars="0"/>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505960" cy="1649730"/>
                  <wp:effectExtent l="0" t="0" r="8890" b="7620"/>
                  <wp:docPr id="221" name="图片 30" descr="机耕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0" descr="机耕桥_00"/>
                          <pic:cNvPicPr>
                            <a:picLocks noChangeAspect="1"/>
                          </pic:cNvPicPr>
                        </pic:nvPicPr>
                        <pic:blipFill>
                          <a:blip r:embed="rId45"/>
                          <a:srcRect l="5554" t="27086" r="3831" b="26003"/>
                          <a:stretch>
                            <a:fillRect/>
                          </a:stretch>
                        </pic:blipFill>
                        <pic:spPr>
                          <a:xfrm>
                            <a:off x="0" y="0"/>
                            <a:ext cx="4505960" cy="1649730"/>
                          </a:xfrm>
                          <a:prstGeom prst="rect">
                            <a:avLst/>
                          </a:prstGeom>
                          <a:noFill/>
                          <a:ln>
                            <a:noFill/>
                          </a:ln>
                        </pic:spPr>
                      </pic:pic>
                    </a:graphicData>
                  </a:graphic>
                </wp:inline>
              </w:drawing>
            </w:r>
          </w:p>
          <w:p>
            <w:pPr>
              <w:pStyle w:val="138"/>
              <w:ind w:left="0" w:leftChars="0" w:right="0" w:rightChars="0" w:firstLine="0" w:firstLineChars="0"/>
              <w:jc w:val="cente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2-9  机耕桥</w:t>
            </w:r>
            <w:r>
              <w:rPr>
                <w:rFonts w:hint="eastAsia" w:ascii="Times New Roman" w:hAnsi="Times New Roman"/>
                <w:b/>
                <w:bCs/>
                <w:sz w:val="21"/>
                <w:szCs w:val="21"/>
                <w:lang w:eastAsia="zh-CN"/>
              </w:rPr>
              <w:t>结构示意图</w:t>
            </w:r>
          </w:p>
          <w:p>
            <w:pPr>
              <w:pStyle w:val="223"/>
              <w:bidi w:val="0"/>
              <w:rPr>
                <w:b/>
                <w:bCs/>
              </w:rPr>
            </w:pPr>
            <w:r>
              <w:rPr>
                <w:b/>
                <w:bCs/>
              </w:rPr>
              <w:t>⑧人行桥</w:t>
            </w:r>
          </w:p>
          <w:p>
            <w:pPr>
              <w:pStyle w:val="223"/>
              <w:bidi w:val="0"/>
            </w:pPr>
            <w:r>
              <w:t>本次整治段内有17座人行桥不能正常运行，要么缩窄了渠道，造成堵水，要么已基本损坏，要么桥面太窄，行走危险，为满足渠道两岸村民的交通要求，方便沿渠两岸村民的农耕及生活，对本次整治渠段内这17座人行桥拆除重建。采用单跨简支板桥结构，桥面宽2.0m。</w:t>
            </w:r>
          </w:p>
          <w:p>
            <w:pPr>
              <w:pStyle w:val="223"/>
              <w:bidi w:val="0"/>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4848860" cy="2002155"/>
                  <wp:effectExtent l="0" t="0" r="8890" b="17145"/>
                  <wp:docPr id="222" name="图片 31" descr="人行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1" descr="人行桥_00"/>
                          <pic:cNvPicPr>
                            <a:picLocks noChangeAspect="1"/>
                          </pic:cNvPicPr>
                        </pic:nvPicPr>
                        <pic:blipFill>
                          <a:blip r:embed="rId46"/>
                          <a:srcRect l="1149" t="21669" r="1341" b="21397"/>
                          <a:stretch>
                            <a:fillRect/>
                          </a:stretch>
                        </pic:blipFill>
                        <pic:spPr>
                          <a:xfrm>
                            <a:off x="0" y="0"/>
                            <a:ext cx="4848860" cy="2002155"/>
                          </a:xfrm>
                          <a:prstGeom prst="rect">
                            <a:avLst/>
                          </a:prstGeom>
                          <a:noFill/>
                          <a:ln>
                            <a:noFill/>
                          </a:ln>
                        </pic:spPr>
                      </pic:pic>
                    </a:graphicData>
                  </a:graphic>
                </wp:inline>
              </w:drawing>
            </w:r>
          </w:p>
          <w:p>
            <w:pPr>
              <w:pStyle w:val="223"/>
              <w:bidi w:val="0"/>
              <w:ind w:left="0" w:leftChars="0" w:right="0" w:rightChars="0" w:firstLine="0" w:firstLineChars="0"/>
              <w:jc w:val="cente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2-10  机耕桥</w:t>
            </w:r>
            <w:r>
              <w:rPr>
                <w:rFonts w:hint="eastAsia" w:ascii="Times New Roman" w:hAnsi="Times New Roman"/>
                <w:b/>
                <w:bCs/>
                <w:sz w:val="21"/>
                <w:szCs w:val="21"/>
                <w:lang w:eastAsia="zh-CN"/>
              </w:rPr>
              <w:t>结构示意图</w:t>
            </w:r>
          </w:p>
          <w:p>
            <w:pPr>
              <w:pStyle w:val="223"/>
              <w:bidi w:val="0"/>
              <w:rPr>
                <w:b/>
                <w:bCs/>
              </w:rPr>
            </w:pPr>
            <w:r>
              <w:rPr>
                <w:b/>
                <w:bCs/>
              </w:rPr>
              <w:t>⑨便民梯步</w:t>
            </w:r>
          </w:p>
          <w:p>
            <w:pPr>
              <w:pStyle w:val="223"/>
              <w:bidi w:val="0"/>
            </w:pPr>
            <w:r>
              <w:t>整治渠道段现有便民梯步2处，因渠道整治，这些便民梯步将受损，将此2处便民梯步根据整治后的渠道断面，在原址拆除重建。梯步宽1.0m，采用C20砼结构，由渠顶伸至渠底。</w:t>
            </w:r>
          </w:p>
          <w:p>
            <w:pPr>
              <w:pStyle w:val="223"/>
              <w:bidi w:val="0"/>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2663825" cy="1795780"/>
                  <wp:effectExtent l="0" t="0" r="3175" b="13970"/>
                  <wp:docPr id="223" name="图片 32" descr="梯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2" descr="梯步_00"/>
                          <pic:cNvPicPr>
                            <a:picLocks noChangeAspect="1"/>
                          </pic:cNvPicPr>
                        </pic:nvPicPr>
                        <pic:blipFill>
                          <a:blip r:embed="rId47"/>
                          <a:srcRect l="3448" t="6230" r="9961" b="11375"/>
                          <a:stretch>
                            <a:fillRect/>
                          </a:stretch>
                        </pic:blipFill>
                        <pic:spPr>
                          <a:xfrm>
                            <a:off x="0" y="0"/>
                            <a:ext cx="2663825" cy="1795780"/>
                          </a:xfrm>
                          <a:prstGeom prst="rect">
                            <a:avLst/>
                          </a:prstGeom>
                          <a:noFill/>
                          <a:ln>
                            <a:noFill/>
                          </a:ln>
                        </pic:spPr>
                      </pic:pic>
                    </a:graphicData>
                  </a:graphic>
                </wp:inline>
              </w:drawing>
            </w:r>
          </w:p>
          <w:p>
            <w:pPr>
              <w:pStyle w:val="223"/>
              <w:bidi w:val="0"/>
              <w:ind w:left="0" w:leftChars="0" w:right="0" w:rightChars="0" w:firstLine="0" w:firstLineChars="0"/>
              <w:jc w:val="center"/>
              <w:rPr>
                <w:rFonts w:hint="eastAsia" w:eastAsia="宋体"/>
                <w:lang w:eastAsia="zh-C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2-11  便民梯步</w:t>
            </w:r>
            <w:r>
              <w:rPr>
                <w:rFonts w:hint="eastAsia" w:ascii="Times New Roman" w:hAnsi="Times New Roman"/>
                <w:b/>
                <w:bCs/>
                <w:sz w:val="21"/>
                <w:szCs w:val="21"/>
                <w:lang w:eastAsia="zh-CN"/>
              </w:rPr>
              <w:t>结构示意图</w:t>
            </w:r>
          </w:p>
          <w:p>
            <w:pPr>
              <w:pStyle w:val="223"/>
              <w:bidi w:val="0"/>
              <w:rPr>
                <w:b/>
                <w:bCs/>
              </w:rPr>
            </w:pPr>
            <w:r>
              <w:rPr>
                <w:b/>
                <w:bCs/>
              </w:rPr>
              <w:t>⑩管理设施</w:t>
            </w:r>
          </w:p>
          <w:p>
            <w:pPr>
              <w:pStyle w:val="223"/>
              <w:bidi w:val="0"/>
              <w:rPr>
                <w:rFonts w:ascii="Times New Roman" w:hAnsi="Times New Roman"/>
              </w:rPr>
            </w:pPr>
            <w:r>
              <w:t>高中水库管理处办公楼面积750</w:t>
            </w:r>
            <w:r>
              <w:rPr>
                <w:rFonts w:hint="eastAsia"/>
              </w:rPr>
              <w:t>m</w:t>
            </w:r>
            <w:r>
              <w:rPr>
                <w:rFonts w:hint="eastAsia"/>
                <w:vertAlign w:val="superscript"/>
              </w:rPr>
              <w:t>2</w:t>
            </w:r>
            <w:r>
              <w:t>，由于年久失修，出现屋顶漏雨，外墙瓷砖局部掉落，电线老化等问题，本次拟对办公内进行维修，内容包含：外墙砖更换、内墙翻新、电线更换、栏杆更</w:t>
            </w:r>
            <w:r>
              <w:rPr>
                <w:rFonts w:ascii="Times New Roman" w:hAnsi="Times New Roman"/>
              </w:rPr>
              <w:t>换、门窗更换等。另整治进库公路4km。</w:t>
            </w:r>
          </w:p>
          <w:p>
            <w:pPr>
              <w:pStyle w:val="138"/>
              <w:ind w:firstLine="562"/>
              <w:rPr>
                <w:rFonts w:ascii="Times New Roman" w:hAnsi="Times New Roman"/>
                <w:b/>
                <w:color w:val="000000"/>
                <w:sz w:val="28"/>
                <w:szCs w:val="28"/>
              </w:rPr>
            </w:pPr>
            <w:r>
              <w:rPr>
                <w:rFonts w:ascii="Times New Roman" w:hAnsi="Times New Roman"/>
                <w:b/>
                <w:color w:val="000000"/>
                <w:sz w:val="28"/>
                <w:szCs w:val="28"/>
              </w:rPr>
              <w:t>2、施工布置</w:t>
            </w:r>
          </w:p>
          <w:p>
            <w:pPr>
              <w:pStyle w:val="138"/>
              <w:ind w:firstLine="482"/>
              <w:rPr>
                <w:rFonts w:ascii="Times New Roman" w:hAnsi="Times New Roman"/>
                <w:b/>
                <w:color w:val="000000"/>
              </w:rPr>
            </w:pPr>
            <w:r>
              <w:rPr>
                <w:rFonts w:ascii="Times New Roman" w:hAnsi="Times New Roman"/>
                <w:b/>
                <w:color w:val="000000"/>
              </w:rPr>
              <w:t>（1）布置条件和原则</w:t>
            </w:r>
          </w:p>
          <w:p>
            <w:pPr>
              <w:pStyle w:val="138"/>
              <w:rPr>
                <w:rFonts w:ascii="Times New Roman" w:hAnsi="Times New Roman"/>
                <w:bCs/>
                <w:color w:val="000000"/>
              </w:rPr>
            </w:pPr>
            <w:r>
              <w:rPr>
                <w:rFonts w:ascii="Times New Roman" w:hAnsi="Times New Roman"/>
                <w:bCs/>
                <w:color w:val="000000"/>
              </w:rPr>
              <w:t>1）布置条件</w:t>
            </w:r>
          </w:p>
          <w:p>
            <w:pPr>
              <w:pStyle w:val="138"/>
              <w:rPr>
                <w:rFonts w:ascii="Times New Roman" w:hAnsi="Times New Roman"/>
                <w:bCs/>
                <w:color w:val="000000"/>
              </w:rPr>
            </w:pPr>
            <w:r>
              <w:rPr>
                <w:rFonts w:ascii="Times New Roman" w:hAnsi="Times New Roman"/>
                <w:bCs/>
                <w:color w:val="000000"/>
              </w:rPr>
              <w:t>本项目为新建和整治渠道项目，渠道多为傍山渠，沿线场地较为局促。</w:t>
            </w:r>
          </w:p>
          <w:p>
            <w:pPr>
              <w:pStyle w:val="138"/>
              <w:rPr>
                <w:rFonts w:ascii="Times New Roman" w:hAnsi="Times New Roman"/>
                <w:bCs/>
                <w:color w:val="000000"/>
              </w:rPr>
            </w:pPr>
            <w:r>
              <w:rPr>
                <w:rFonts w:ascii="Times New Roman" w:hAnsi="Times New Roman"/>
                <w:bCs/>
                <w:color w:val="000000"/>
              </w:rPr>
              <w:t>2）布置原则</w:t>
            </w:r>
          </w:p>
          <w:p>
            <w:pPr>
              <w:pStyle w:val="138"/>
              <w:rPr>
                <w:rFonts w:ascii="Times New Roman" w:hAnsi="Times New Roman"/>
                <w:bCs/>
                <w:color w:val="000000"/>
              </w:rPr>
            </w:pPr>
            <w:r>
              <w:rPr>
                <w:rFonts w:ascii="Times New Roman" w:hAnsi="Times New Roman"/>
                <w:bCs/>
                <w:color w:val="000000"/>
              </w:rPr>
              <w:t>根据本工程的布置特点、地形和场地条件，施工总布置应遵循因地制宜，有利生产、便于管理、经济合理的原则。原渠道及渠系建筑物整治段充分利用渠道已经确定的管护范围，滩地、荒地，少占或不占耕地布置原则。</w:t>
            </w:r>
          </w:p>
          <w:p>
            <w:pPr>
              <w:pStyle w:val="138"/>
              <w:ind w:firstLine="482"/>
              <w:rPr>
                <w:rFonts w:ascii="Times New Roman" w:hAnsi="Times New Roman"/>
                <w:b/>
                <w:color w:val="000000"/>
              </w:rPr>
            </w:pPr>
            <w:r>
              <w:rPr>
                <w:rFonts w:ascii="Times New Roman" w:hAnsi="Times New Roman"/>
                <w:b/>
                <w:color w:val="000000"/>
              </w:rPr>
              <w:t>（2）分区布置规划</w:t>
            </w:r>
          </w:p>
          <w:p>
            <w:pPr>
              <w:pStyle w:val="138"/>
              <w:rPr>
                <w:rFonts w:ascii="Times New Roman" w:hAnsi="Times New Roman"/>
                <w:bCs/>
                <w:color w:val="000000"/>
              </w:rPr>
            </w:pPr>
            <w:r>
              <w:rPr>
                <w:rFonts w:ascii="Times New Roman" w:hAnsi="Times New Roman"/>
                <w:bCs/>
                <w:color w:val="000000"/>
              </w:rPr>
              <w:t>分区布置按布置原则规划工区，各渠道的工区原则上按控制2~4km渠段的整治施工为依据划分工区。工区内主要布置有仓库、钢筋、木材加工厂、和停车场、砂石料堆放场、砼拌和站、供风站、供水系统、生产设施等，生活设施</w:t>
            </w:r>
            <w:r>
              <w:rPr>
                <w:rFonts w:hint="eastAsia" w:ascii="Times New Roman" w:hAnsi="Times New Roman"/>
                <w:bCs/>
                <w:color w:val="000000"/>
                <w:lang w:eastAsia="zh-CN"/>
              </w:rPr>
              <w:t>租用当地民房</w:t>
            </w:r>
            <w:r>
              <w:rPr>
                <w:rFonts w:ascii="Times New Roman" w:hAnsi="Times New Roman"/>
                <w:bCs/>
                <w:color w:val="000000"/>
              </w:rPr>
              <w:t>。</w:t>
            </w:r>
          </w:p>
          <w:p>
            <w:pPr>
              <w:pStyle w:val="138"/>
              <w:ind w:firstLine="0" w:firstLineChars="0"/>
              <w:jc w:val="center"/>
              <w:rPr>
                <w:rFonts w:ascii="Times New Roman" w:hAnsi="Times New Roman"/>
                <w:bCs/>
                <w:color w:val="000000"/>
              </w:rPr>
            </w:pPr>
            <w:r>
              <w:rPr>
                <w:rFonts w:ascii="Times New Roman" w:hAnsi="Times New Roman"/>
                <w:b/>
                <w:color w:val="000000"/>
                <w:sz w:val="21"/>
                <w:szCs w:val="21"/>
              </w:rPr>
              <w:t>表2-</w:t>
            </w:r>
            <w:r>
              <w:rPr>
                <w:rFonts w:hint="eastAsia" w:ascii="Times New Roman" w:hAnsi="Times New Roman"/>
                <w:b/>
                <w:color w:val="000000"/>
                <w:sz w:val="21"/>
                <w:szCs w:val="21"/>
              </w:rPr>
              <w:t>9</w:t>
            </w:r>
            <w:r>
              <w:rPr>
                <w:rFonts w:ascii="Times New Roman" w:hAnsi="Times New Roman"/>
                <w:b/>
                <w:color w:val="000000"/>
                <w:sz w:val="21"/>
                <w:szCs w:val="21"/>
              </w:rPr>
              <w:t xml:space="preserve">  临时工程量统计表</w:t>
            </w:r>
          </w:p>
          <w:tbl>
            <w:tblPr>
              <w:tblStyle w:val="39"/>
              <w:tblW w:w="7935" w:type="dxa"/>
              <w:jc w:val="center"/>
              <w:tblLayout w:type="fixed"/>
              <w:tblCellMar>
                <w:top w:w="0" w:type="dxa"/>
                <w:left w:w="108" w:type="dxa"/>
                <w:bottom w:w="0" w:type="dxa"/>
                <w:right w:w="108" w:type="dxa"/>
              </w:tblCellMar>
            </w:tblPr>
            <w:tblGrid>
              <w:gridCol w:w="613"/>
              <w:gridCol w:w="2772"/>
              <w:gridCol w:w="662"/>
              <w:gridCol w:w="701"/>
              <w:gridCol w:w="772"/>
              <w:gridCol w:w="681"/>
              <w:gridCol w:w="832"/>
              <w:gridCol w:w="902"/>
            </w:tblGrid>
            <w:tr>
              <w:tblPrEx>
                <w:tblCellMar>
                  <w:top w:w="0" w:type="dxa"/>
                  <w:left w:w="108" w:type="dxa"/>
                  <w:bottom w:w="0" w:type="dxa"/>
                  <w:right w:w="108" w:type="dxa"/>
                </w:tblCellMar>
              </w:tblPrEx>
              <w:trPr>
                <w:trHeight w:val="525" w:hRule="atLeast"/>
                <w:jc w:val="center"/>
              </w:trPr>
              <w:tc>
                <w:tcPr>
                  <w:tcW w:w="613" w:type="dxa"/>
                  <w:tcBorders>
                    <w:top w:val="single" w:color="auto" w:sz="12" w:space="0"/>
                    <w:left w:val="single" w:color="auto" w:sz="12"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编号</w:t>
                  </w:r>
                </w:p>
              </w:tc>
              <w:tc>
                <w:tcPr>
                  <w:tcW w:w="2772"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项目</w:t>
                  </w:r>
                </w:p>
              </w:tc>
              <w:tc>
                <w:tcPr>
                  <w:tcW w:w="662"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单位</w:t>
                  </w:r>
                </w:p>
              </w:tc>
              <w:tc>
                <w:tcPr>
                  <w:tcW w:w="701"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青白渠</w:t>
                  </w:r>
                </w:p>
              </w:tc>
              <w:tc>
                <w:tcPr>
                  <w:tcW w:w="772"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左干渠</w:t>
                  </w:r>
                </w:p>
              </w:tc>
              <w:tc>
                <w:tcPr>
                  <w:tcW w:w="681"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右干渠</w:t>
                  </w:r>
                </w:p>
              </w:tc>
              <w:tc>
                <w:tcPr>
                  <w:tcW w:w="832" w:type="dxa"/>
                  <w:tcBorders>
                    <w:top w:val="single" w:color="auto" w:sz="12" w:space="0"/>
                    <w:left w:val="single" w:color="auto" w:sz="4" w:space="0"/>
                    <w:bottom w:val="single" w:color="auto" w:sz="4" w:space="0"/>
                    <w:right w:val="single" w:color="auto" w:sz="4"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九龙分   干渠</w:t>
                  </w:r>
                </w:p>
              </w:tc>
              <w:tc>
                <w:tcPr>
                  <w:tcW w:w="902" w:type="dxa"/>
                  <w:tcBorders>
                    <w:top w:val="single" w:color="auto" w:sz="12" w:space="0"/>
                    <w:left w:val="single" w:color="auto" w:sz="4" w:space="0"/>
                    <w:bottom w:val="single" w:color="auto" w:sz="4" w:space="0"/>
                    <w:right w:val="single" w:color="auto" w:sz="12" w:space="0"/>
                  </w:tcBorders>
                  <w:noWrap w:val="0"/>
                  <w:vAlign w:val="center"/>
                </w:tcPr>
                <w:p>
                  <w:pPr>
                    <w:widowControl/>
                    <w:spacing w:line="300" w:lineRule="exact"/>
                    <w:jc w:val="center"/>
                    <w:rPr>
                      <w:rFonts w:ascii="Times New Roman" w:hAnsi="Times New Roman"/>
                      <w:b/>
                      <w:bCs/>
                      <w:kern w:val="0"/>
                      <w:szCs w:val="21"/>
                    </w:rPr>
                  </w:pPr>
                  <w:r>
                    <w:rPr>
                      <w:rFonts w:ascii="Times New Roman" w:hAnsi="Times New Roman"/>
                      <w:b/>
                      <w:bCs/>
                      <w:kern w:val="0"/>
                      <w:szCs w:val="21"/>
                    </w:rPr>
                    <w:t>合计</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一</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工区</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个</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5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4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12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二</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施工交通</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新建施工公路</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km</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3.0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3.00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三</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场外供电</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85KW柴油发电机组</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台套</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5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四</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房屋建筑工程</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仓库</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220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40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50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20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330.00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办公用房</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120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140.00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钢筋加工用房</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20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140.00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木材加工用房</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110.00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值班房</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40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20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170.00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生活用房</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2</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1200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160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320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160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1840.00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bottom"/>
                </w:tcPr>
                <w:p>
                  <w:pPr>
                    <w:jc w:val="center"/>
                    <w:rPr>
                      <w:rFonts w:ascii="Times New Roman" w:hAnsi="Times New Roman"/>
                      <w:szCs w:val="21"/>
                    </w:rPr>
                  </w:pPr>
                  <w:r>
                    <w:rPr>
                      <w:rFonts w:ascii="Times New Roman" w:hAnsi="Times New Roman"/>
                      <w:szCs w:val="21"/>
                    </w:rPr>
                    <w:t>五</w:t>
                  </w: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砼拌和站</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bottom"/>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内设2台0.4m</w:t>
                  </w:r>
                  <w:r>
                    <w:rPr>
                      <w:rFonts w:ascii="Times New Roman" w:hAnsi="Times New Roman"/>
                      <w:szCs w:val="21"/>
                      <w:vertAlign w:val="superscript"/>
                    </w:rPr>
                    <w:t>3</w:t>
                  </w:r>
                  <w:r>
                    <w:rPr>
                      <w:rFonts w:ascii="Times New Roman" w:hAnsi="Times New Roman"/>
                      <w:szCs w:val="21"/>
                    </w:rPr>
                    <w:t>移动式拌和机</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座</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5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4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2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12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bottom"/>
                </w:tcPr>
                <w:p>
                  <w:pPr>
                    <w:jc w:val="center"/>
                    <w:rPr>
                      <w:rFonts w:ascii="Times New Roman" w:hAnsi="Times New Roman"/>
                      <w:szCs w:val="21"/>
                    </w:rPr>
                  </w:pPr>
                  <w:r>
                    <w:rPr>
                      <w:rFonts w:ascii="Times New Roman" w:hAnsi="Times New Roman"/>
                      <w:szCs w:val="21"/>
                    </w:rPr>
                    <w:t>六</w:t>
                  </w: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提水泵站</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bottom"/>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提水泵站(20m</w:t>
                  </w:r>
                  <w:r>
                    <w:rPr>
                      <w:rFonts w:ascii="Times New Roman" w:hAnsi="Times New Roman"/>
                      <w:szCs w:val="21"/>
                      <w:vertAlign w:val="superscript"/>
                    </w:rPr>
                    <w:t>3</w:t>
                  </w:r>
                  <w:r>
                    <w:rPr>
                      <w:rFonts w:ascii="Times New Roman" w:hAnsi="Times New Roman"/>
                      <w:szCs w:val="21"/>
                    </w:rPr>
                    <w:t>/h)</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座</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5 </w:t>
                  </w:r>
                </w:p>
              </w:tc>
              <w:tc>
                <w:tcPr>
                  <w:tcW w:w="772" w:type="dxa"/>
                  <w:tcBorders>
                    <w:top w:val="single" w:color="auto" w:sz="4" w:space="0"/>
                    <w:left w:val="single" w:color="auto" w:sz="4" w:space="0"/>
                    <w:bottom w:val="single" w:color="auto" w:sz="4" w:space="0"/>
                    <w:right w:val="single" w:color="auto" w:sz="4" w:space="0"/>
                  </w:tcBorders>
                  <w:noWrap w:val="0"/>
                  <w:vAlign w:val="bottom"/>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832" w:type="dxa"/>
                  <w:tcBorders>
                    <w:top w:val="single" w:color="auto" w:sz="4" w:space="0"/>
                    <w:left w:val="single" w:color="auto" w:sz="4" w:space="0"/>
                    <w:bottom w:val="single" w:color="auto" w:sz="4" w:space="0"/>
                    <w:right w:val="single" w:color="auto" w:sz="4" w:space="0"/>
                  </w:tcBorders>
                  <w:noWrap w:val="0"/>
                  <w:vAlign w:val="bottom"/>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6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bottom"/>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提水泵站(10m</w:t>
                  </w:r>
                  <w:r>
                    <w:rPr>
                      <w:rFonts w:ascii="Times New Roman" w:hAnsi="Times New Roman"/>
                      <w:szCs w:val="21"/>
                      <w:vertAlign w:val="superscript"/>
                    </w:rPr>
                    <w:t>3</w:t>
                  </w:r>
                  <w:r>
                    <w:rPr>
                      <w:rFonts w:ascii="Times New Roman" w:hAnsi="Times New Roman"/>
                      <w:szCs w:val="21"/>
                    </w:rPr>
                    <w:t>/h)</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座</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 xml:space="preserve">4 </w:t>
                  </w: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 xml:space="preserve">2 </w:t>
                  </w: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6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r>
                    <w:rPr>
                      <w:rFonts w:ascii="Times New Roman" w:hAnsi="Times New Roman"/>
                      <w:szCs w:val="21"/>
                    </w:rPr>
                    <w:t>七</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其他</w:t>
                  </w:r>
                </w:p>
              </w:tc>
              <w:tc>
                <w:tcPr>
                  <w:tcW w:w="66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hint="eastAsia" w:ascii="Times New Roman" w:hAnsi="Times New Roman"/>
                      <w:szCs w:val="21"/>
                    </w:rPr>
                  </w:pPr>
                  <w:r>
                    <w:rPr>
                      <w:rFonts w:hint="eastAsia" w:ascii="Times New Roman" w:hAnsi="Times New Roman"/>
                      <w:szCs w:val="21"/>
                    </w:rPr>
                    <w:t>1</w:t>
                  </w:r>
                </w:p>
              </w:tc>
              <w:tc>
                <w:tcPr>
                  <w:tcW w:w="2772" w:type="dxa"/>
                  <w:tcBorders>
                    <w:top w:val="single" w:color="auto" w:sz="4" w:space="0"/>
                    <w:left w:val="single" w:color="auto" w:sz="4" w:space="0"/>
                    <w:bottom w:val="single" w:color="auto" w:sz="4" w:space="0"/>
                    <w:right w:val="single" w:color="auto" w:sz="4" w:space="0"/>
                  </w:tcBorders>
                  <w:noWrap/>
                  <w:vAlign w:val="center"/>
                </w:tcPr>
                <w:p>
                  <w:pPr>
                    <w:rPr>
                      <w:rFonts w:ascii="Times New Roman" w:hAnsi="Times New Roman"/>
                      <w:szCs w:val="21"/>
                    </w:rPr>
                  </w:pPr>
                  <w:r>
                    <w:rPr>
                      <w:rFonts w:ascii="Times New Roman" w:hAnsi="Times New Roman"/>
                      <w:szCs w:val="21"/>
                    </w:rPr>
                    <w:t>隧洞临时支护</w:t>
                  </w:r>
                </w:p>
              </w:tc>
              <w:tc>
                <w:tcPr>
                  <w:tcW w:w="66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喷砼</w:t>
                  </w:r>
                </w:p>
              </w:tc>
              <w:tc>
                <w:tcPr>
                  <w:tcW w:w="662" w:type="dxa"/>
                  <w:tcBorders>
                    <w:top w:val="single" w:color="auto" w:sz="4" w:space="0"/>
                    <w:left w:val="single" w:color="auto" w:sz="4" w:space="0"/>
                    <w:bottom w:val="single" w:color="auto" w:sz="4" w:space="0"/>
                    <w:right w:val="single" w:color="auto" w:sz="4" w:space="0"/>
                  </w:tcBorders>
                  <w:noWrap w:val="0"/>
                  <w:vAlign w:val="bottom"/>
                </w:tcPr>
                <w:p>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3</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35 </w:t>
                  </w:r>
                </w:p>
              </w:tc>
              <w:tc>
                <w:tcPr>
                  <w:tcW w:w="77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35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锚杆（ф20，L=2m）</w:t>
                  </w:r>
                </w:p>
              </w:tc>
              <w:tc>
                <w:tcPr>
                  <w:tcW w:w="662" w:type="dxa"/>
                  <w:tcBorders>
                    <w:top w:val="single" w:color="auto" w:sz="4" w:space="0"/>
                    <w:left w:val="single" w:color="auto" w:sz="4" w:space="0"/>
                    <w:bottom w:val="single" w:color="auto" w:sz="4" w:space="0"/>
                    <w:right w:val="single" w:color="auto" w:sz="4" w:space="0"/>
                  </w:tcBorders>
                  <w:noWrap/>
                  <w:vAlign w:val="bottom"/>
                </w:tcPr>
                <w:p>
                  <w:pPr>
                    <w:jc w:val="center"/>
                    <w:rPr>
                      <w:rFonts w:ascii="Times New Roman" w:hAnsi="Times New Roman"/>
                      <w:szCs w:val="21"/>
                    </w:rPr>
                  </w:pPr>
                  <w:r>
                    <w:rPr>
                      <w:rFonts w:ascii="Times New Roman" w:hAnsi="Times New Roman"/>
                      <w:szCs w:val="21"/>
                    </w:rPr>
                    <w:t>根</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150 </w:t>
                  </w:r>
                </w:p>
              </w:tc>
              <w:tc>
                <w:tcPr>
                  <w:tcW w:w="77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150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4"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4" w:space="0"/>
                    <w:right w:val="single" w:color="auto" w:sz="4" w:space="0"/>
                  </w:tcBorders>
                  <w:noWrap/>
                  <w:vAlign w:val="bottom"/>
                </w:tcPr>
                <w:p>
                  <w:pPr>
                    <w:rPr>
                      <w:rFonts w:ascii="Times New Roman" w:hAnsi="Times New Roman"/>
                      <w:szCs w:val="21"/>
                    </w:rPr>
                  </w:pPr>
                  <w:r>
                    <w:rPr>
                      <w:rFonts w:ascii="Times New Roman" w:hAnsi="Times New Roman"/>
                      <w:szCs w:val="21"/>
                    </w:rPr>
                    <w:t>挂钢筋网</w:t>
                  </w:r>
                </w:p>
              </w:tc>
              <w:tc>
                <w:tcPr>
                  <w:tcW w:w="662" w:type="dxa"/>
                  <w:tcBorders>
                    <w:top w:val="single" w:color="auto" w:sz="4" w:space="0"/>
                    <w:left w:val="single" w:color="auto" w:sz="4" w:space="0"/>
                    <w:bottom w:val="single" w:color="auto" w:sz="4" w:space="0"/>
                    <w:right w:val="single" w:color="auto" w:sz="4" w:space="0"/>
                  </w:tcBorders>
                  <w:noWrap/>
                  <w:vAlign w:val="bottom"/>
                </w:tcPr>
                <w:p>
                  <w:pPr>
                    <w:jc w:val="center"/>
                    <w:rPr>
                      <w:rFonts w:ascii="Times New Roman" w:hAnsi="Times New Roman"/>
                      <w:szCs w:val="21"/>
                    </w:rPr>
                  </w:pPr>
                  <w:r>
                    <w:rPr>
                      <w:rFonts w:ascii="Times New Roman" w:hAnsi="Times New Roman"/>
                      <w:szCs w:val="21"/>
                    </w:rPr>
                    <w:t>t</w:t>
                  </w:r>
                </w:p>
              </w:tc>
              <w:tc>
                <w:tcPr>
                  <w:tcW w:w="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 xml:space="preserve">1 </w:t>
                  </w:r>
                </w:p>
              </w:tc>
              <w:tc>
                <w:tcPr>
                  <w:tcW w:w="77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4" w:space="0"/>
                    <w:right w:val="single" w:color="auto" w:sz="4" w:space="0"/>
                  </w:tcBorders>
                  <w:noWrap/>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4"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 </w:t>
                  </w:r>
                </w:p>
              </w:tc>
            </w:tr>
            <w:tr>
              <w:tblPrEx>
                <w:tblCellMar>
                  <w:top w:w="0" w:type="dxa"/>
                  <w:left w:w="108" w:type="dxa"/>
                  <w:bottom w:w="0" w:type="dxa"/>
                  <w:right w:w="108" w:type="dxa"/>
                </w:tblCellMar>
              </w:tblPrEx>
              <w:trPr>
                <w:trHeight w:val="315" w:hRule="atLeast"/>
                <w:jc w:val="center"/>
              </w:trPr>
              <w:tc>
                <w:tcPr>
                  <w:tcW w:w="613" w:type="dxa"/>
                  <w:tcBorders>
                    <w:top w:val="single" w:color="auto" w:sz="4" w:space="0"/>
                    <w:left w:val="single" w:color="auto" w:sz="12" w:space="0"/>
                    <w:bottom w:val="single" w:color="auto" w:sz="12" w:space="0"/>
                    <w:right w:val="single" w:color="auto" w:sz="4" w:space="0"/>
                  </w:tcBorders>
                  <w:noWrap/>
                  <w:vAlign w:val="center"/>
                </w:tcPr>
                <w:p>
                  <w:pPr>
                    <w:jc w:val="center"/>
                    <w:rPr>
                      <w:rFonts w:ascii="Times New Roman" w:hAnsi="Times New Roman"/>
                      <w:szCs w:val="21"/>
                    </w:rPr>
                  </w:pPr>
                </w:p>
              </w:tc>
              <w:tc>
                <w:tcPr>
                  <w:tcW w:w="2772" w:type="dxa"/>
                  <w:tcBorders>
                    <w:top w:val="single" w:color="auto" w:sz="4" w:space="0"/>
                    <w:left w:val="single" w:color="auto" w:sz="4" w:space="0"/>
                    <w:bottom w:val="single" w:color="auto" w:sz="12" w:space="0"/>
                    <w:right w:val="single" w:color="auto" w:sz="4" w:space="0"/>
                  </w:tcBorders>
                  <w:noWrap/>
                  <w:vAlign w:val="bottom"/>
                </w:tcPr>
                <w:p>
                  <w:pPr>
                    <w:rPr>
                      <w:rFonts w:ascii="Times New Roman" w:hAnsi="Times New Roman"/>
                      <w:szCs w:val="21"/>
                    </w:rPr>
                  </w:pPr>
                  <w:r>
                    <w:rPr>
                      <w:rFonts w:ascii="Times New Roman" w:hAnsi="Times New Roman"/>
                      <w:szCs w:val="21"/>
                    </w:rPr>
                    <w:t>钢支撑</w:t>
                  </w:r>
                </w:p>
              </w:tc>
              <w:tc>
                <w:tcPr>
                  <w:tcW w:w="662" w:type="dxa"/>
                  <w:tcBorders>
                    <w:top w:val="single" w:color="auto" w:sz="4" w:space="0"/>
                    <w:left w:val="single" w:color="auto" w:sz="4" w:space="0"/>
                    <w:bottom w:val="single" w:color="auto" w:sz="12" w:space="0"/>
                    <w:right w:val="single" w:color="auto" w:sz="4" w:space="0"/>
                  </w:tcBorders>
                  <w:noWrap/>
                  <w:vAlign w:val="bottom"/>
                </w:tcPr>
                <w:p>
                  <w:pPr>
                    <w:jc w:val="center"/>
                    <w:rPr>
                      <w:rFonts w:ascii="Times New Roman" w:hAnsi="Times New Roman"/>
                      <w:szCs w:val="21"/>
                    </w:rPr>
                  </w:pPr>
                  <w:r>
                    <w:rPr>
                      <w:rFonts w:ascii="Times New Roman" w:hAnsi="Times New Roman"/>
                      <w:szCs w:val="21"/>
                    </w:rPr>
                    <w:t>t</w:t>
                  </w:r>
                </w:p>
              </w:tc>
              <w:tc>
                <w:tcPr>
                  <w:tcW w:w="701" w:type="dxa"/>
                  <w:tcBorders>
                    <w:top w:val="single" w:color="auto" w:sz="4" w:space="0"/>
                    <w:left w:val="single" w:color="auto" w:sz="4" w:space="0"/>
                    <w:bottom w:val="single" w:color="auto" w:sz="12" w:space="0"/>
                    <w:right w:val="single" w:color="auto" w:sz="4" w:space="0"/>
                  </w:tcBorders>
                  <w:noWrap w:val="0"/>
                  <w:vAlign w:val="center"/>
                </w:tcPr>
                <w:p>
                  <w:pPr>
                    <w:jc w:val="center"/>
                    <w:rPr>
                      <w:rFonts w:ascii="Times New Roman" w:hAnsi="Times New Roman"/>
                      <w:szCs w:val="21"/>
                    </w:rPr>
                  </w:pPr>
                  <w:r>
                    <w:rPr>
                      <w:rFonts w:ascii="Times New Roman" w:hAnsi="Times New Roman"/>
                      <w:szCs w:val="21"/>
                    </w:rPr>
                    <w:t>15</w:t>
                  </w:r>
                </w:p>
              </w:tc>
              <w:tc>
                <w:tcPr>
                  <w:tcW w:w="772" w:type="dxa"/>
                  <w:tcBorders>
                    <w:top w:val="single" w:color="auto" w:sz="4" w:space="0"/>
                    <w:left w:val="single" w:color="auto" w:sz="4" w:space="0"/>
                    <w:bottom w:val="single" w:color="auto" w:sz="12" w:space="0"/>
                    <w:right w:val="single" w:color="auto" w:sz="4" w:space="0"/>
                  </w:tcBorders>
                  <w:noWrap/>
                  <w:vAlign w:val="center"/>
                </w:tcPr>
                <w:p>
                  <w:pPr>
                    <w:jc w:val="center"/>
                    <w:rPr>
                      <w:rFonts w:ascii="Times New Roman" w:hAnsi="Times New Roman"/>
                      <w:szCs w:val="21"/>
                    </w:rPr>
                  </w:pPr>
                </w:p>
              </w:tc>
              <w:tc>
                <w:tcPr>
                  <w:tcW w:w="681" w:type="dxa"/>
                  <w:tcBorders>
                    <w:top w:val="single" w:color="auto" w:sz="4" w:space="0"/>
                    <w:left w:val="single" w:color="auto" w:sz="4" w:space="0"/>
                    <w:bottom w:val="single" w:color="auto" w:sz="12" w:space="0"/>
                    <w:right w:val="single" w:color="auto" w:sz="4" w:space="0"/>
                  </w:tcBorders>
                  <w:noWrap w:val="0"/>
                  <w:vAlign w:val="center"/>
                </w:tcPr>
                <w:p>
                  <w:pPr>
                    <w:jc w:val="center"/>
                    <w:rPr>
                      <w:rFonts w:ascii="Times New Roman" w:hAnsi="Times New Roman"/>
                      <w:szCs w:val="21"/>
                    </w:rPr>
                  </w:pPr>
                </w:p>
              </w:tc>
              <w:tc>
                <w:tcPr>
                  <w:tcW w:w="832" w:type="dxa"/>
                  <w:tcBorders>
                    <w:top w:val="single" w:color="auto" w:sz="4" w:space="0"/>
                    <w:left w:val="single" w:color="auto" w:sz="4" w:space="0"/>
                    <w:bottom w:val="single" w:color="auto" w:sz="12" w:space="0"/>
                    <w:right w:val="single" w:color="auto" w:sz="4" w:space="0"/>
                  </w:tcBorders>
                  <w:noWrap/>
                  <w:vAlign w:val="center"/>
                </w:tcPr>
                <w:p>
                  <w:pPr>
                    <w:jc w:val="center"/>
                    <w:rPr>
                      <w:rFonts w:ascii="Times New Roman" w:hAnsi="Times New Roman"/>
                      <w:szCs w:val="21"/>
                    </w:rPr>
                  </w:pPr>
                </w:p>
              </w:tc>
              <w:tc>
                <w:tcPr>
                  <w:tcW w:w="902" w:type="dxa"/>
                  <w:tcBorders>
                    <w:top w:val="single" w:color="auto" w:sz="4" w:space="0"/>
                    <w:left w:val="single" w:color="auto" w:sz="4" w:space="0"/>
                    <w:bottom w:val="single" w:color="auto" w:sz="12" w:space="0"/>
                    <w:right w:val="single" w:color="auto" w:sz="12" w:space="0"/>
                  </w:tcBorders>
                  <w:noWrap w:val="0"/>
                  <w:vAlign w:val="center"/>
                </w:tcPr>
                <w:p>
                  <w:pPr>
                    <w:jc w:val="center"/>
                    <w:rPr>
                      <w:rFonts w:ascii="Times New Roman" w:hAnsi="Times New Roman"/>
                      <w:szCs w:val="21"/>
                    </w:rPr>
                  </w:pPr>
                  <w:r>
                    <w:rPr>
                      <w:rFonts w:ascii="Times New Roman" w:hAnsi="Times New Roman"/>
                      <w:szCs w:val="21"/>
                    </w:rPr>
                    <w:t xml:space="preserve">15 </w:t>
                  </w:r>
                </w:p>
              </w:tc>
            </w:tr>
          </w:tbl>
          <w:p>
            <w:pPr>
              <w:pStyle w:val="138"/>
              <w:ind w:firstLine="482"/>
              <w:rPr>
                <w:rFonts w:ascii="Times New Roman" w:hAnsi="Times New Roman"/>
                <w:b/>
                <w:color w:val="000000"/>
              </w:rPr>
            </w:pPr>
            <w:r>
              <w:rPr>
                <w:rFonts w:ascii="Times New Roman" w:hAnsi="Times New Roman"/>
                <w:b/>
                <w:color w:val="000000"/>
              </w:rPr>
              <w:t>（3）仓库及临时建筑设施</w:t>
            </w:r>
          </w:p>
          <w:p>
            <w:pPr>
              <w:pStyle w:val="138"/>
              <w:rPr>
                <w:rFonts w:ascii="Times New Roman" w:hAnsi="Times New Roman"/>
                <w:bCs/>
                <w:color w:val="000000"/>
              </w:rPr>
            </w:pPr>
            <w:r>
              <w:rPr>
                <w:rFonts w:ascii="Times New Roman" w:hAnsi="Times New Roman"/>
                <w:bCs/>
                <w:color w:val="000000"/>
              </w:rPr>
              <w:t>1）特殊仓库</w:t>
            </w:r>
          </w:p>
          <w:p>
            <w:pPr>
              <w:spacing w:line="360" w:lineRule="auto"/>
              <w:ind w:firstLine="480" w:firstLineChars="200"/>
              <w:rPr>
                <w:rFonts w:ascii="Times New Roman" w:hAnsi="Times New Roman"/>
                <w:sz w:val="24"/>
              </w:rPr>
            </w:pPr>
            <w:r>
              <w:rPr>
                <w:rFonts w:ascii="Times New Roman" w:hAnsi="Times New Roman"/>
                <w:sz w:val="24"/>
              </w:rPr>
              <w:t>炸药库：本工程渠道石方开挖量小，主要采用人工或破碎机开挖，因此工地不设置炸药库。</w:t>
            </w:r>
          </w:p>
          <w:p>
            <w:pPr>
              <w:spacing w:line="360" w:lineRule="auto"/>
              <w:ind w:firstLine="480" w:firstLineChars="200"/>
              <w:rPr>
                <w:rFonts w:ascii="Times New Roman" w:hAnsi="Times New Roman"/>
                <w:sz w:val="24"/>
              </w:rPr>
            </w:pPr>
            <w:r>
              <w:rPr>
                <w:rFonts w:ascii="Times New Roman" w:hAnsi="Times New Roman"/>
                <w:sz w:val="24"/>
              </w:rPr>
              <w:t>油库：本工程施工占线长，分散，量小，施工时段短，渠道沿线城(乡)镇交通方便供应充足，不设集中油库。</w:t>
            </w:r>
          </w:p>
          <w:p>
            <w:pPr>
              <w:pStyle w:val="138"/>
              <w:rPr>
                <w:rFonts w:hint="eastAsia" w:ascii="Times New Roman" w:hAnsi="Times New Roman"/>
                <w:bCs/>
                <w:color w:val="000000"/>
              </w:rPr>
            </w:pPr>
            <w:r>
              <w:rPr>
                <w:rFonts w:ascii="Times New Roman" w:hAnsi="Times New Roman"/>
              </w:rPr>
              <w:t>中心仓库：本渠道整治工程各工区根据需要设10、50m</w:t>
            </w:r>
            <w:r>
              <w:rPr>
                <w:rFonts w:ascii="Times New Roman" w:hAnsi="Times New Roman"/>
                <w:vertAlign w:val="superscript"/>
              </w:rPr>
              <w:t>2</w:t>
            </w:r>
            <w:r>
              <w:rPr>
                <w:rFonts w:ascii="Times New Roman" w:hAnsi="Times New Roman"/>
              </w:rPr>
              <w:t>中心仓库</w:t>
            </w:r>
            <w:r>
              <w:rPr>
                <w:rFonts w:hint="eastAsia" w:ascii="Times New Roman" w:hAnsi="Times New Roman"/>
              </w:rPr>
              <w:t>。</w:t>
            </w:r>
          </w:p>
          <w:p>
            <w:pPr>
              <w:pStyle w:val="138"/>
              <w:rPr>
                <w:rFonts w:ascii="Times New Roman" w:hAnsi="Times New Roman"/>
                <w:bCs/>
                <w:color w:val="000000"/>
              </w:rPr>
            </w:pPr>
            <w:r>
              <w:rPr>
                <w:rFonts w:ascii="Times New Roman" w:hAnsi="Times New Roman"/>
                <w:bCs/>
                <w:color w:val="000000"/>
              </w:rPr>
              <w:t>2）临时建筑</w:t>
            </w:r>
          </w:p>
          <w:p>
            <w:pPr>
              <w:pStyle w:val="138"/>
              <w:rPr>
                <w:rFonts w:ascii="Times New Roman" w:hAnsi="Times New Roman"/>
                <w:bCs/>
                <w:color w:val="000000"/>
              </w:rPr>
            </w:pPr>
            <w:r>
              <w:rPr>
                <w:rFonts w:ascii="Times New Roman" w:hAnsi="Times New Roman"/>
                <w:bCs/>
                <w:color w:val="000000"/>
              </w:rPr>
              <w:t>生活福利建筑：按本工程施工工期不同分别设置，各工区按施工高峰人数人平4m</w:t>
            </w:r>
            <w:r>
              <w:rPr>
                <w:rFonts w:ascii="Times New Roman" w:hAnsi="Times New Roman"/>
                <w:bCs/>
                <w:color w:val="000000"/>
                <w:vertAlign w:val="superscript"/>
              </w:rPr>
              <w:t>2</w:t>
            </w:r>
            <w:r>
              <w:rPr>
                <w:rFonts w:ascii="Times New Roman" w:hAnsi="Times New Roman"/>
                <w:bCs/>
                <w:color w:val="000000"/>
              </w:rPr>
              <w:t>设置。</w:t>
            </w:r>
          </w:p>
          <w:p>
            <w:pPr>
              <w:pStyle w:val="138"/>
              <w:rPr>
                <w:rFonts w:ascii="Times New Roman" w:hAnsi="Times New Roman"/>
                <w:bCs/>
                <w:color w:val="000000"/>
              </w:rPr>
            </w:pPr>
            <w:r>
              <w:rPr>
                <w:rFonts w:ascii="Times New Roman" w:hAnsi="Times New Roman"/>
                <w:bCs/>
                <w:color w:val="000000"/>
              </w:rPr>
              <w:t>生产管理临时建筑</w:t>
            </w:r>
            <w:r>
              <w:rPr>
                <w:rFonts w:hint="eastAsia" w:ascii="Times New Roman" w:hAnsi="Times New Roman"/>
                <w:bCs/>
                <w:color w:val="000000"/>
              </w:rPr>
              <w:t>：</w:t>
            </w:r>
            <w:r>
              <w:rPr>
                <w:rFonts w:ascii="Times New Roman" w:hAnsi="Times New Roman"/>
                <w:bCs/>
                <w:color w:val="000000"/>
              </w:rPr>
              <w:t>生产管理建筑主要为办公室、安全值班室及消防站等临建工程，按本工程施工工期不同分别设置</w:t>
            </w:r>
            <w:r>
              <w:rPr>
                <w:rFonts w:hint="eastAsia" w:ascii="Times New Roman" w:hAnsi="Times New Roman"/>
                <w:bCs/>
                <w:color w:val="000000"/>
              </w:rPr>
              <w:t>，就近租用民房</w:t>
            </w:r>
            <w:r>
              <w:rPr>
                <w:rFonts w:ascii="Times New Roman" w:hAnsi="Times New Roman"/>
                <w:bCs/>
                <w:color w:val="000000"/>
              </w:rPr>
              <w:t>。</w:t>
            </w:r>
          </w:p>
          <w:p>
            <w:pPr>
              <w:pStyle w:val="138"/>
              <w:ind w:firstLine="0" w:firstLineChars="0"/>
              <w:rPr>
                <w:rFonts w:ascii="Times New Roman" w:hAnsi="Times New Roman"/>
                <w:b/>
                <w:color w:val="000000"/>
                <w:sz w:val="28"/>
                <w:szCs w:val="28"/>
              </w:rPr>
            </w:pPr>
            <w:r>
              <w:rPr>
                <w:rFonts w:ascii="Times New Roman" w:hAnsi="Times New Roman"/>
                <w:b/>
                <w:color w:val="000000"/>
                <w:sz w:val="28"/>
                <w:szCs w:val="28"/>
              </w:rPr>
              <w:t>3、施工方式及临时施工工程</w:t>
            </w:r>
          </w:p>
          <w:p>
            <w:pPr>
              <w:pStyle w:val="138"/>
              <w:ind w:firstLine="482"/>
              <w:rPr>
                <w:rFonts w:ascii="Times New Roman" w:hAnsi="Times New Roman"/>
                <w:b/>
                <w:bCs/>
                <w:kern w:val="2"/>
                <w:lang w:bidi="ar"/>
              </w:rPr>
            </w:pPr>
            <w:r>
              <w:rPr>
                <w:rFonts w:ascii="Times New Roman" w:hAnsi="Times New Roman"/>
                <w:b/>
                <w:bCs/>
                <w:kern w:val="2"/>
                <w:lang w:bidi="ar"/>
              </w:rPr>
              <w:t>（1）施工交通运输</w:t>
            </w:r>
          </w:p>
          <w:p>
            <w:pPr>
              <w:spacing w:line="360" w:lineRule="auto"/>
              <w:ind w:firstLine="480" w:firstLineChars="200"/>
              <w:rPr>
                <w:rFonts w:ascii="Times New Roman" w:hAnsi="Times New Roman"/>
                <w:color w:val="000000"/>
                <w:sz w:val="24"/>
              </w:rPr>
            </w:pPr>
            <w:r>
              <w:rPr>
                <w:rFonts w:ascii="Times New Roman" w:hAnsi="Times New Roman"/>
                <w:color w:val="000000"/>
                <w:sz w:val="24"/>
              </w:rPr>
              <w:t>1）对外交通运输</w:t>
            </w:r>
          </w:p>
          <w:p>
            <w:pPr>
              <w:spacing w:line="360" w:lineRule="auto"/>
              <w:ind w:firstLine="480" w:firstLineChars="200"/>
              <w:rPr>
                <w:rFonts w:ascii="Times New Roman" w:hAnsi="Times New Roman"/>
                <w:sz w:val="24"/>
              </w:rPr>
            </w:pPr>
            <w:r>
              <w:rPr>
                <w:rFonts w:ascii="Times New Roman" w:hAnsi="Times New Roman"/>
                <w:sz w:val="24"/>
              </w:rPr>
              <w:t>工程区位于乐山市市中区青平镇范围内，工程区内公路较多，乡村公路网四通八达，跨工程区而过，工程区距距青平镇约平均距离约4km，距乐山城区平均距离约23km，有乡道及乐井大道和348国道相连，本工程施工交通运输以公路为主，对外交通较为方便。</w:t>
            </w:r>
          </w:p>
          <w:p>
            <w:pPr>
              <w:spacing w:line="360" w:lineRule="auto"/>
              <w:ind w:firstLine="480" w:firstLineChars="200"/>
              <w:rPr>
                <w:rFonts w:ascii="Times New Roman" w:hAnsi="Times New Roman"/>
                <w:color w:val="000000"/>
                <w:sz w:val="24"/>
              </w:rPr>
            </w:pPr>
            <w:r>
              <w:rPr>
                <w:rFonts w:ascii="Times New Roman" w:hAnsi="Times New Roman"/>
                <w:color w:val="000000"/>
                <w:sz w:val="24"/>
              </w:rPr>
              <w:t>2）场内交通运输</w:t>
            </w:r>
          </w:p>
          <w:p>
            <w:pPr>
              <w:pStyle w:val="138"/>
              <w:rPr>
                <w:rFonts w:ascii="Times New Roman" w:hAnsi="Times New Roman"/>
                <w:color w:val="000000"/>
              </w:rPr>
            </w:pPr>
            <w:r>
              <w:rPr>
                <w:rFonts w:ascii="Times New Roman" w:hAnsi="Times New Roman"/>
                <w:color w:val="000000"/>
              </w:rPr>
              <w:t>根据主体工程布置，本工程新建青白渠进口处需修建长度约3km的施工进场公路与对外交通公路相接。青白渠管道沿线交通拟利用开挖的管道平台和临时弃渣形成施工交通，其余渠道整治利用已有的机耕道路形成施工交通，不单独设置交通道路。考虑本工程整治材料运输等会对已成乡村机耕道造成一定破坏，约需对7km乡村道路进行维护。</w:t>
            </w:r>
          </w:p>
          <w:p>
            <w:pPr>
              <w:pStyle w:val="138"/>
              <w:rPr>
                <w:rFonts w:ascii="Times New Roman" w:hAnsi="Times New Roman"/>
                <w:color w:val="000000"/>
              </w:rPr>
            </w:pPr>
            <w:r>
              <w:rPr>
                <w:rFonts w:ascii="Times New Roman" w:hAnsi="Times New Roman"/>
                <w:color w:val="000000"/>
              </w:rPr>
              <w:t>新建施工进场公路设计为机耕道，路面宽3.5m，局部加宽至7m会车错车，为四级泥结石道路。</w:t>
            </w:r>
          </w:p>
          <w:p>
            <w:pPr>
              <w:pStyle w:val="138"/>
              <w:ind w:firstLine="482"/>
              <w:rPr>
                <w:rFonts w:ascii="Times New Roman" w:hAnsi="Times New Roman"/>
                <w:b/>
                <w:bCs/>
                <w:kern w:val="2"/>
                <w:lang w:bidi="ar"/>
              </w:rPr>
            </w:pPr>
            <w:r>
              <w:rPr>
                <w:rFonts w:ascii="Times New Roman" w:hAnsi="Times New Roman"/>
                <w:b/>
                <w:bCs/>
                <w:kern w:val="2"/>
                <w:lang w:bidi="ar"/>
              </w:rPr>
              <w:t>（2）施工工区设施</w:t>
            </w:r>
          </w:p>
          <w:p>
            <w:pPr>
              <w:pStyle w:val="138"/>
              <w:rPr>
                <w:rFonts w:ascii="Times New Roman" w:hAnsi="Times New Roman"/>
                <w:kern w:val="2"/>
                <w:lang w:bidi="ar"/>
              </w:rPr>
            </w:pPr>
            <w:r>
              <w:rPr>
                <w:rFonts w:ascii="Times New Roman" w:hAnsi="Times New Roman"/>
                <w:kern w:val="2"/>
                <w:lang w:bidi="ar"/>
              </w:rPr>
              <w:t>1）</w:t>
            </w:r>
            <w:r>
              <w:rPr>
                <w:rFonts w:ascii="Times New Roman" w:hAnsi="Times New Roman"/>
              </w:rPr>
              <w:t>砼拌和系统</w:t>
            </w:r>
          </w:p>
          <w:p>
            <w:pPr>
              <w:pStyle w:val="138"/>
              <w:rPr>
                <w:rFonts w:ascii="Times New Roman" w:hAnsi="Times New Roman"/>
                <w:kern w:val="2"/>
                <w:lang w:bidi="ar"/>
              </w:rPr>
            </w:pPr>
            <w:r>
              <w:rPr>
                <w:rFonts w:ascii="Times New Roman" w:hAnsi="Times New Roman"/>
                <w:kern w:val="2"/>
                <w:lang w:bidi="ar"/>
              </w:rPr>
              <w:t>由于工程砼浇筑点分散，砼拌和站分别设在各施工区，每个施工区设1座移动式拌和机站，其中左干渠、九龙分干渠和陈家3支渠拌和站内设1台0.4m</w:t>
            </w:r>
            <w:r>
              <w:rPr>
                <w:rFonts w:ascii="Times New Roman" w:hAnsi="Times New Roman"/>
                <w:kern w:val="2"/>
                <w:vertAlign w:val="superscript"/>
                <w:lang w:bidi="ar"/>
              </w:rPr>
              <w:t>3</w:t>
            </w:r>
            <w:r>
              <w:rPr>
                <w:rFonts w:ascii="Times New Roman" w:hAnsi="Times New Roman"/>
                <w:kern w:val="2"/>
                <w:lang w:bidi="ar"/>
              </w:rPr>
              <w:t>砼拌和机外，其余各工区均设2台0.4m</w:t>
            </w:r>
            <w:r>
              <w:rPr>
                <w:rFonts w:ascii="Times New Roman" w:hAnsi="Times New Roman"/>
                <w:kern w:val="2"/>
                <w:vertAlign w:val="superscript"/>
                <w:lang w:bidi="ar"/>
              </w:rPr>
              <w:t>3</w:t>
            </w:r>
            <w:r>
              <w:rPr>
                <w:rFonts w:ascii="Times New Roman" w:hAnsi="Times New Roman"/>
                <w:kern w:val="2"/>
                <w:lang w:bidi="ar"/>
              </w:rPr>
              <w:t>砼拌和机。结合施工工区布置，本工程共需设置13座砼拌和站。</w:t>
            </w:r>
          </w:p>
          <w:p>
            <w:pPr>
              <w:pStyle w:val="138"/>
              <w:rPr>
                <w:rFonts w:ascii="Times New Roman" w:hAnsi="Times New Roman"/>
                <w:kern w:val="2"/>
                <w:lang w:bidi="ar"/>
              </w:rPr>
            </w:pPr>
            <w:r>
              <w:rPr>
                <w:rFonts w:ascii="Times New Roman" w:hAnsi="Times New Roman"/>
                <w:kern w:val="2"/>
                <w:lang w:bidi="ar"/>
              </w:rPr>
              <w:t>2）风、水、电系统</w:t>
            </w:r>
          </w:p>
          <w:p>
            <w:pPr>
              <w:pStyle w:val="138"/>
              <w:rPr>
                <w:rFonts w:ascii="Times New Roman" w:hAnsi="Times New Roman"/>
                <w:kern w:val="2"/>
                <w:lang w:bidi="ar"/>
              </w:rPr>
            </w:pPr>
            <w:r>
              <w:rPr>
                <w:rFonts w:ascii="Times New Roman" w:hAnsi="Times New Roman"/>
                <w:kern w:val="2"/>
                <w:lang w:bidi="ar"/>
              </w:rPr>
              <w:t>①施工供风</w:t>
            </w:r>
          </w:p>
          <w:p>
            <w:pPr>
              <w:pStyle w:val="138"/>
              <w:rPr>
                <w:rFonts w:ascii="Times New Roman" w:hAnsi="Times New Roman"/>
                <w:kern w:val="2"/>
                <w:lang w:bidi="ar"/>
              </w:rPr>
            </w:pPr>
            <w:r>
              <w:rPr>
                <w:rFonts w:ascii="Times New Roman" w:hAnsi="Times New Roman"/>
                <w:kern w:val="2"/>
                <w:lang w:bidi="ar"/>
              </w:rPr>
              <w:t>本工程施工供风主要为渠道石方明挖和石方洞挖，以及砼浇筑供风，因施工工作面分散，所以供风系统采用分散布置，供风点根据具体情况采用3m</w:t>
            </w:r>
            <w:r>
              <w:rPr>
                <w:rFonts w:ascii="Times New Roman" w:hAnsi="Times New Roman"/>
                <w:kern w:val="2"/>
                <w:vertAlign w:val="superscript"/>
                <w:lang w:bidi="ar"/>
              </w:rPr>
              <w:t>3</w:t>
            </w:r>
            <w:r>
              <w:rPr>
                <w:rFonts w:ascii="Times New Roman" w:hAnsi="Times New Roman"/>
                <w:kern w:val="2"/>
                <w:lang w:bidi="ar"/>
              </w:rPr>
              <w:t>/分或6m</w:t>
            </w:r>
            <w:r>
              <w:rPr>
                <w:rFonts w:ascii="Times New Roman" w:hAnsi="Times New Roman"/>
                <w:kern w:val="2"/>
                <w:vertAlign w:val="superscript"/>
                <w:lang w:bidi="ar"/>
              </w:rPr>
              <w:t>3</w:t>
            </w:r>
            <w:r>
              <w:rPr>
                <w:rFonts w:ascii="Times New Roman" w:hAnsi="Times New Roman"/>
                <w:kern w:val="2"/>
                <w:lang w:bidi="ar"/>
              </w:rPr>
              <w:t>/分移动式空压机供风。</w:t>
            </w:r>
          </w:p>
          <w:p>
            <w:pPr>
              <w:pStyle w:val="138"/>
              <w:rPr>
                <w:rFonts w:ascii="Times New Roman" w:hAnsi="Times New Roman"/>
                <w:kern w:val="2"/>
                <w:lang w:bidi="ar"/>
              </w:rPr>
            </w:pPr>
            <w:r>
              <w:rPr>
                <w:rFonts w:ascii="Times New Roman" w:hAnsi="Times New Roman"/>
                <w:kern w:val="2"/>
                <w:lang w:bidi="ar"/>
              </w:rPr>
              <w:t>②施工供水</w:t>
            </w:r>
          </w:p>
          <w:p>
            <w:pPr>
              <w:pStyle w:val="138"/>
              <w:rPr>
                <w:rFonts w:ascii="Times New Roman" w:hAnsi="Times New Roman"/>
                <w:kern w:val="2"/>
                <w:lang w:bidi="ar"/>
              </w:rPr>
            </w:pPr>
            <w:r>
              <w:rPr>
                <w:rFonts w:ascii="Times New Roman" w:hAnsi="Times New Roman"/>
                <w:kern w:val="2"/>
                <w:lang w:bidi="ar"/>
              </w:rPr>
              <w:t>渠道沿线水源点较多，渠道断流施工时间山溪沟仍有少量水流以及灌区的塘堰均可作为工程施工水源，根据水源条件采用拦截溪沟水，建抽水泵站，蓄水池等多种措施解决。</w:t>
            </w:r>
          </w:p>
          <w:p>
            <w:pPr>
              <w:pStyle w:val="138"/>
              <w:rPr>
                <w:rFonts w:ascii="Times New Roman" w:hAnsi="Times New Roman"/>
                <w:kern w:val="2"/>
                <w:lang w:bidi="ar"/>
              </w:rPr>
            </w:pPr>
            <w:r>
              <w:rPr>
                <w:rFonts w:ascii="Times New Roman" w:hAnsi="Times New Roman"/>
                <w:kern w:val="2"/>
                <w:lang w:bidi="ar"/>
              </w:rPr>
              <w:t>③施工供电</w:t>
            </w:r>
          </w:p>
          <w:p>
            <w:pPr>
              <w:pStyle w:val="138"/>
              <w:rPr>
                <w:rFonts w:ascii="Times New Roman" w:hAnsi="Times New Roman"/>
                <w:kern w:val="2"/>
                <w:lang w:bidi="ar"/>
              </w:rPr>
            </w:pPr>
            <w:r>
              <w:rPr>
                <w:rFonts w:ascii="Times New Roman" w:hAnsi="Times New Roman"/>
                <w:kern w:val="2"/>
                <w:lang w:bidi="ar"/>
              </w:rPr>
              <w:t>灌区内电力较为丰富，国家电网、地方电网及其降压站用户交错分布，因此本工程大部分渠道可由电网供电，部分地处偏僻，加之渠道流量较小，施工用电负荷较小，架设10KV输电线路设降压站供施工用电不经济，拟采用柴油机发电形成施工电源。</w:t>
            </w:r>
          </w:p>
          <w:p>
            <w:pPr>
              <w:pStyle w:val="138"/>
              <w:rPr>
                <w:rFonts w:ascii="Times New Roman" w:hAnsi="Times New Roman"/>
                <w:kern w:val="2"/>
                <w:lang w:bidi="ar"/>
              </w:rPr>
            </w:pPr>
            <w:r>
              <w:rPr>
                <w:rFonts w:ascii="Times New Roman" w:hAnsi="Times New Roman"/>
                <w:kern w:val="2"/>
                <w:lang w:bidi="ar"/>
              </w:rPr>
              <w:t>④施工通信</w:t>
            </w:r>
          </w:p>
          <w:p>
            <w:pPr>
              <w:pStyle w:val="138"/>
              <w:rPr>
                <w:rFonts w:ascii="Times New Roman" w:hAnsi="Times New Roman"/>
                <w:bCs/>
                <w:color w:val="000000"/>
              </w:rPr>
            </w:pPr>
            <w:r>
              <w:rPr>
                <w:rFonts w:ascii="Times New Roman" w:hAnsi="Times New Roman"/>
                <w:kern w:val="2"/>
                <w:lang w:bidi="ar"/>
              </w:rPr>
              <w:t>充分利用各管理站、场的有线、无线通讯设施。主要施工场地可自备移动电话做场内信息联系。</w:t>
            </w:r>
          </w:p>
          <w:p>
            <w:pPr>
              <w:pStyle w:val="138"/>
              <w:ind w:firstLine="482"/>
              <w:rPr>
                <w:rFonts w:ascii="Times New Roman" w:hAnsi="Times New Roman"/>
                <w:b/>
                <w:color w:val="000000"/>
              </w:rPr>
            </w:pPr>
            <w:r>
              <w:rPr>
                <w:rFonts w:ascii="Times New Roman" w:hAnsi="Times New Roman"/>
                <w:b/>
                <w:color w:val="000000"/>
              </w:rPr>
              <w:t>（3）施工企业建筑</w:t>
            </w:r>
          </w:p>
          <w:p>
            <w:pPr>
              <w:pStyle w:val="138"/>
              <w:rPr>
                <w:rFonts w:ascii="Times New Roman" w:hAnsi="Times New Roman"/>
                <w:bCs/>
                <w:color w:val="000000"/>
              </w:rPr>
            </w:pPr>
            <w:r>
              <w:rPr>
                <w:rFonts w:ascii="Times New Roman" w:hAnsi="Times New Roman"/>
                <w:bCs/>
                <w:color w:val="000000"/>
              </w:rPr>
              <w:t>1）机修、汽修</w:t>
            </w:r>
          </w:p>
          <w:p>
            <w:pPr>
              <w:pStyle w:val="138"/>
              <w:rPr>
                <w:rFonts w:ascii="Times New Roman" w:hAnsi="Times New Roman"/>
                <w:bCs/>
                <w:color w:val="000000"/>
              </w:rPr>
            </w:pPr>
            <w:r>
              <w:rPr>
                <w:rFonts w:ascii="Times New Roman" w:hAnsi="Times New Roman"/>
                <w:bCs/>
                <w:color w:val="000000"/>
              </w:rPr>
              <w:t>本工程施工机械、汽车修理以当地机修、汽修企业为依托，工区内不再设置机修、汽修场。</w:t>
            </w:r>
          </w:p>
          <w:p>
            <w:pPr>
              <w:pStyle w:val="138"/>
              <w:rPr>
                <w:rFonts w:ascii="Times New Roman" w:hAnsi="Times New Roman"/>
                <w:bCs/>
                <w:color w:val="000000"/>
              </w:rPr>
            </w:pPr>
            <w:r>
              <w:rPr>
                <w:rFonts w:ascii="Times New Roman" w:hAnsi="Times New Roman"/>
                <w:bCs/>
                <w:color w:val="000000"/>
              </w:rPr>
              <w:t>2）施工机械停放场</w:t>
            </w:r>
          </w:p>
          <w:p>
            <w:pPr>
              <w:pStyle w:val="138"/>
              <w:rPr>
                <w:rFonts w:ascii="Times New Roman" w:hAnsi="Times New Roman"/>
                <w:bCs/>
                <w:color w:val="000000"/>
              </w:rPr>
            </w:pPr>
            <w:r>
              <w:rPr>
                <w:rFonts w:ascii="Times New Roman" w:hAnsi="Times New Roman"/>
                <w:bCs/>
                <w:color w:val="000000"/>
              </w:rPr>
              <w:t>本工程新建青白渠与明渠整治以民工队伍为主，施工机械较少，各施工区内分段集中设置施工机械及汽车停放场。</w:t>
            </w:r>
          </w:p>
          <w:p>
            <w:pPr>
              <w:pStyle w:val="138"/>
              <w:rPr>
                <w:rFonts w:ascii="Times New Roman" w:hAnsi="Times New Roman"/>
                <w:bCs/>
                <w:color w:val="000000"/>
              </w:rPr>
            </w:pPr>
            <w:r>
              <w:rPr>
                <w:rFonts w:ascii="Times New Roman" w:hAnsi="Times New Roman"/>
                <w:bCs/>
                <w:color w:val="000000"/>
              </w:rPr>
              <w:t>3）综合加工系统</w:t>
            </w:r>
          </w:p>
          <w:p>
            <w:pPr>
              <w:pStyle w:val="138"/>
              <w:rPr>
                <w:rFonts w:ascii="Times New Roman" w:hAnsi="Times New Roman"/>
                <w:bCs/>
                <w:color w:val="000000"/>
              </w:rPr>
            </w:pPr>
            <w:r>
              <w:rPr>
                <w:rFonts w:ascii="Times New Roman" w:hAnsi="Times New Roman"/>
                <w:bCs/>
                <w:color w:val="000000"/>
              </w:rPr>
              <w:t>综合加工系统包括钢筋加工场，模板（木材）加工场等。本工程钢筋、木材、砼预制构件用量较少，且沿渠分散供应，为便于生产管理，本工程的钢筋及模板根据各渠道的情况在各工区分散布置。</w:t>
            </w:r>
          </w:p>
          <w:p>
            <w:pPr>
              <w:pStyle w:val="138"/>
              <w:rPr>
                <w:rFonts w:ascii="Times New Roman" w:hAnsi="Times New Roman"/>
                <w:bCs/>
                <w:color w:val="000000"/>
              </w:rPr>
            </w:pPr>
            <w:r>
              <w:rPr>
                <w:rFonts w:ascii="Times New Roman" w:hAnsi="Times New Roman"/>
                <w:bCs/>
                <w:color w:val="000000"/>
              </w:rPr>
              <w:t>钢筋加工厂：根据施工总布置相应的钢筋加工一班制生产，高峰时段设二班生产，配断筋机、弯筋机等简易加工设备。</w:t>
            </w:r>
          </w:p>
          <w:p>
            <w:pPr>
              <w:pStyle w:val="138"/>
              <w:rPr>
                <w:rFonts w:ascii="Times New Roman" w:hAnsi="Times New Roman"/>
                <w:bCs/>
                <w:color w:val="000000"/>
              </w:rPr>
            </w:pPr>
            <w:r>
              <w:rPr>
                <w:rFonts w:ascii="Times New Roman" w:hAnsi="Times New Roman"/>
                <w:bCs/>
                <w:color w:val="000000"/>
              </w:rPr>
              <w:t>模板（木材）加工厂：设一般性木材加工厂，设据木、改木简易设备，模板生产在各工区设加工车间。</w:t>
            </w:r>
          </w:p>
          <w:p>
            <w:pPr>
              <w:pStyle w:val="138"/>
              <w:ind w:firstLine="482"/>
              <w:rPr>
                <w:rFonts w:ascii="Times New Roman" w:hAnsi="Times New Roman"/>
                <w:b/>
                <w:color w:val="000000"/>
              </w:rPr>
            </w:pPr>
            <w:r>
              <w:rPr>
                <w:rFonts w:ascii="Times New Roman" w:hAnsi="Times New Roman"/>
                <w:b/>
                <w:color w:val="000000"/>
              </w:rPr>
              <w:t>（4）</w:t>
            </w:r>
            <w:r>
              <w:rPr>
                <w:rFonts w:ascii="Times New Roman" w:hAnsi="Times New Roman"/>
                <w:b/>
                <w:bCs/>
              </w:rPr>
              <w:t>土石方平衡及</w:t>
            </w:r>
            <w:r>
              <w:rPr>
                <w:rFonts w:ascii="Times New Roman" w:hAnsi="Times New Roman"/>
                <w:b/>
                <w:color w:val="000000"/>
              </w:rPr>
              <w:t>渣场规划</w:t>
            </w:r>
          </w:p>
          <w:p>
            <w:pPr>
              <w:pStyle w:val="138"/>
              <w:rPr>
                <w:rFonts w:hint="eastAsia" w:ascii="Times New Roman" w:hAnsi="Times New Roman" w:eastAsia="宋体"/>
                <w:lang w:eastAsia="zh-CN"/>
              </w:rPr>
            </w:pPr>
            <w:r>
              <w:rPr>
                <w:rFonts w:ascii="Times New Roman" w:hAnsi="Times New Roman"/>
                <w:lang w:val="zh-CN"/>
              </w:rPr>
              <w:t>本工程土石方开挖总量</w:t>
            </w:r>
            <w:r>
              <w:rPr>
                <w:rFonts w:ascii="Times New Roman" w:hAnsi="Times New Roman"/>
              </w:rPr>
              <w:t>9.69万m</w:t>
            </w:r>
            <w:r>
              <w:rPr>
                <w:rFonts w:ascii="Times New Roman" w:hAnsi="Times New Roman"/>
                <w:vertAlign w:val="superscript"/>
              </w:rPr>
              <w:t>3</w:t>
            </w:r>
            <w:r>
              <w:rPr>
                <w:rFonts w:ascii="Times New Roman" w:hAnsi="Times New Roman"/>
              </w:rPr>
              <w:t>（自然方，含砌体和砼拆除量），其中土方开挖7.72万m</w:t>
            </w:r>
            <w:r>
              <w:rPr>
                <w:rFonts w:ascii="Times New Roman" w:hAnsi="Times New Roman"/>
                <w:vertAlign w:val="superscript"/>
              </w:rPr>
              <w:t>3</w:t>
            </w:r>
            <w:r>
              <w:rPr>
                <w:rFonts w:ascii="Times New Roman" w:hAnsi="Times New Roman"/>
              </w:rPr>
              <w:t>、石方明挖1.84万m</w:t>
            </w:r>
            <w:r>
              <w:rPr>
                <w:rFonts w:ascii="Times New Roman" w:hAnsi="Times New Roman"/>
                <w:vertAlign w:val="superscript"/>
              </w:rPr>
              <w:t>3</w:t>
            </w:r>
            <w:r>
              <w:rPr>
                <w:rFonts w:ascii="Times New Roman" w:hAnsi="Times New Roman"/>
              </w:rPr>
              <w:t>、石方洞挖0.11万m</w:t>
            </w:r>
            <w:r>
              <w:rPr>
                <w:rFonts w:ascii="Times New Roman" w:hAnsi="Times New Roman"/>
                <w:vertAlign w:val="superscript"/>
              </w:rPr>
              <w:t>3</w:t>
            </w:r>
            <w:r>
              <w:rPr>
                <w:rFonts w:ascii="Times New Roman" w:hAnsi="Times New Roman"/>
              </w:rPr>
              <w:t>、</w:t>
            </w:r>
            <w:r>
              <w:rPr>
                <w:rFonts w:ascii="Times New Roman" w:hAnsi="Times New Roman"/>
                <w:lang w:val="zh-CN"/>
              </w:rPr>
              <w:t>土石方回填</w:t>
            </w:r>
            <w:r>
              <w:rPr>
                <w:rFonts w:ascii="Times New Roman" w:hAnsi="Times New Roman"/>
              </w:rPr>
              <w:t>8.16万m</w:t>
            </w:r>
            <w:r>
              <w:rPr>
                <w:rFonts w:ascii="Times New Roman" w:hAnsi="Times New Roman"/>
                <w:vertAlign w:val="superscript"/>
              </w:rPr>
              <w:t>3</w:t>
            </w:r>
            <w:r>
              <w:rPr>
                <w:rFonts w:ascii="Times New Roman" w:hAnsi="Times New Roman"/>
              </w:rPr>
              <w:t>（压实方，需自然方8.19万m</w:t>
            </w:r>
            <w:r>
              <w:rPr>
                <w:rFonts w:ascii="Times New Roman" w:hAnsi="Times New Roman"/>
                <w:vertAlign w:val="superscript"/>
              </w:rPr>
              <w:t>3</w:t>
            </w:r>
            <w:r>
              <w:rPr>
                <w:rFonts w:ascii="Times New Roman" w:hAnsi="Times New Roman"/>
              </w:rPr>
              <w:t>）</w:t>
            </w:r>
            <w:r>
              <w:rPr>
                <w:rFonts w:ascii="Times New Roman" w:hAnsi="Times New Roman"/>
                <w:lang w:val="zh-CN"/>
              </w:rPr>
              <w:t>，经各渠道平衡，总弃渣量</w:t>
            </w:r>
            <w:r>
              <w:rPr>
                <w:rFonts w:ascii="Times New Roman" w:hAnsi="Times New Roman"/>
              </w:rPr>
              <w:t>1.50</w:t>
            </w:r>
            <w:r>
              <w:rPr>
                <w:rFonts w:ascii="Times New Roman" w:hAnsi="Times New Roman"/>
                <w:lang w:val="zh-CN"/>
              </w:rPr>
              <w:t>万m</w:t>
            </w:r>
            <w:r>
              <w:rPr>
                <w:rFonts w:ascii="Times New Roman" w:hAnsi="Times New Roman"/>
                <w:vertAlign w:val="superscript"/>
                <w:lang w:val="zh-CN"/>
              </w:rPr>
              <w:t>3</w:t>
            </w:r>
            <w:r>
              <w:rPr>
                <w:rFonts w:ascii="Times New Roman" w:hAnsi="Times New Roman"/>
                <w:lang w:val="zh-CN"/>
              </w:rPr>
              <w:t>（自然方），其中</w:t>
            </w:r>
            <w:r>
              <w:rPr>
                <w:rFonts w:ascii="Times New Roman" w:hAnsi="Times New Roman"/>
              </w:rPr>
              <w:t>1.30万</w:t>
            </w:r>
            <w:r>
              <w:rPr>
                <w:rFonts w:ascii="Times New Roman" w:hAnsi="Times New Roman"/>
                <w:lang w:val="zh-CN"/>
              </w:rPr>
              <w:t>m</w:t>
            </w:r>
            <w:r>
              <w:rPr>
                <w:rFonts w:ascii="Times New Roman" w:hAnsi="Times New Roman"/>
                <w:vertAlign w:val="superscript"/>
                <w:lang w:val="zh-CN"/>
              </w:rPr>
              <w:t>3</w:t>
            </w:r>
            <w:r>
              <w:rPr>
                <w:rFonts w:ascii="Times New Roman" w:hAnsi="Times New Roman"/>
                <w:lang w:val="zh-CN"/>
              </w:rPr>
              <w:t>（自然方）</w:t>
            </w:r>
            <w:r>
              <w:rPr>
                <w:rFonts w:ascii="Times New Roman" w:hAnsi="Times New Roman"/>
              </w:rPr>
              <w:t>弃渣分布在12.80km新建渠道沿线，因弃渣量较小，且较分散，全部</w:t>
            </w:r>
            <w:r>
              <w:rPr>
                <w:rFonts w:ascii="Times New Roman" w:hAnsi="Times New Roman"/>
                <w:lang w:val="zh-CN"/>
              </w:rPr>
              <w:t>用于渠道施工作业带范围内平铺回填</w:t>
            </w:r>
            <w:r>
              <w:rPr>
                <w:rFonts w:ascii="Times New Roman" w:hAnsi="Times New Roman"/>
              </w:rPr>
              <w:t>，</w:t>
            </w:r>
            <w:r>
              <w:rPr>
                <w:rFonts w:ascii="Times New Roman" w:hAnsi="Times New Roman"/>
                <w:bCs/>
                <w:color w:val="000000"/>
                <w:kern w:val="0"/>
                <w:szCs w:val="21"/>
              </w:rPr>
              <w:t>另外0.20万m</w:t>
            </w:r>
            <w:r>
              <w:rPr>
                <w:rFonts w:ascii="Times New Roman" w:hAnsi="Times New Roman"/>
                <w:bCs/>
                <w:color w:val="000000"/>
                <w:kern w:val="0"/>
                <w:szCs w:val="21"/>
                <w:vertAlign w:val="superscript"/>
              </w:rPr>
              <w:t>3</w:t>
            </w:r>
            <w:r>
              <w:rPr>
                <w:rFonts w:hint="eastAsia" w:ascii="Times New Roman" w:hAnsi="Times New Roman"/>
                <w:bCs/>
                <w:color w:val="000000"/>
                <w:kern w:val="0"/>
                <w:szCs w:val="21"/>
                <w:lang w:eastAsia="zh-CN"/>
              </w:rPr>
              <w:t>回填渠道低洼地带，</w:t>
            </w:r>
            <w:r>
              <w:t>不设置集中弃渣场</w:t>
            </w:r>
            <w:r>
              <w:rPr>
                <w:rFonts w:hint="eastAsia"/>
                <w:lang w:eastAsia="zh-CN"/>
              </w:rPr>
              <w:t>。</w:t>
            </w:r>
          </w:p>
          <w:p>
            <w:pPr>
              <w:pStyle w:val="138"/>
              <w:ind w:firstLine="482"/>
              <w:rPr>
                <w:rFonts w:ascii="Times New Roman" w:hAnsi="Times New Roman"/>
                <w:b/>
                <w:color w:val="000000"/>
              </w:rPr>
            </w:pPr>
            <w:r>
              <w:rPr>
                <w:rFonts w:ascii="Times New Roman" w:hAnsi="Times New Roman"/>
                <w:b/>
                <w:color w:val="000000"/>
              </w:rPr>
              <w:t>（5）施工临时占地</w:t>
            </w:r>
          </w:p>
          <w:p>
            <w:pPr>
              <w:pStyle w:val="138"/>
              <w:rPr>
                <w:rFonts w:ascii="Times New Roman" w:hAnsi="Times New Roman"/>
                <w:bCs/>
                <w:color w:val="000000"/>
              </w:rPr>
            </w:pPr>
            <w:r>
              <w:rPr>
                <w:rFonts w:ascii="Times New Roman" w:hAnsi="Times New Roman"/>
                <w:bCs/>
                <w:color w:val="000000"/>
              </w:rPr>
              <w:t>本工程</w:t>
            </w:r>
            <w:r>
              <w:rPr>
                <w:rFonts w:ascii="Times New Roman" w:hAnsi="Times New Roman"/>
              </w:rPr>
              <w:t>占地面积10.41hm</w:t>
            </w:r>
            <w:r>
              <w:rPr>
                <w:rFonts w:ascii="Times New Roman" w:hAnsi="Times New Roman"/>
                <w:vertAlign w:val="superscript"/>
              </w:rPr>
              <w:t>2</w:t>
            </w:r>
            <w:r>
              <w:rPr>
                <w:rFonts w:ascii="Times New Roman" w:hAnsi="Times New Roman"/>
              </w:rPr>
              <w:t>，其中永久占地3.64hm</w:t>
            </w:r>
            <w:r>
              <w:rPr>
                <w:rFonts w:ascii="Times New Roman" w:hAnsi="Times New Roman"/>
                <w:vertAlign w:val="superscript"/>
              </w:rPr>
              <w:t>2</w:t>
            </w:r>
            <w:r>
              <w:rPr>
                <w:rFonts w:ascii="Times New Roman" w:hAnsi="Times New Roman"/>
              </w:rPr>
              <w:t>，</w:t>
            </w:r>
            <w:r>
              <w:rPr>
                <w:rFonts w:ascii="Times New Roman" w:hAnsi="Times New Roman"/>
                <w:bCs/>
                <w:color w:val="000000"/>
              </w:rPr>
              <w:t>临时占地6.77hm</w:t>
            </w:r>
            <w:r>
              <w:rPr>
                <w:rFonts w:ascii="Times New Roman" w:hAnsi="Times New Roman"/>
                <w:bCs/>
                <w:color w:val="000000"/>
                <w:vertAlign w:val="superscript"/>
              </w:rPr>
              <w:t>2</w:t>
            </w:r>
            <w:r>
              <w:rPr>
                <w:rFonts w:ascii="Times New Roman" w:hAnsi="Times New Roman"/>
                <w:bCs/>
                <w:color w:val="000000"/>
              </w:rPr>
              <w:t>（计101.55亩）。临时占地中施工工区占地0.51hm</w:t>
            </w:r>
            <w:r>
              <w:rPr>
                <w:rFonts w:ascii="Times New Roman" w:hAnsi="Times New Roman"/>
                <w:bCs/>
                <w:color w:val="000000"/>
                <w:vertAlign w:val="superscript"/>
              </w:rPr>
              <w:t>2</w:t>
            </w:r>
            <w:r>
              <w:rPr>
                <w:rFonts w:ascii="Times New Roman" w:hAnsi="Times New Roman"/>
                <w:bCs/>
                <w:color w:val="000000"/>
              </w:rPr>
              <w:t>（计7.65亩）；施工集中弃渣占地0.05hm</w:t>
            </w:r>
            <w:r>
              <w:rPr>
                <w:rFonts w:ascii="Times New Roman" w:hAnsi="Times New Roman"/>
                <w:bCs/>
                <w:color w:val="000000"/>
                <w:vertAlign w:val="superscript"/>
              </w:rPr>
              <w:t>2</w:t>
            </w:r>
            <w:r>
              <w:rPr>
                <w:rFonts w:ascii="Times New Roman" w:hAnsi="Times New Roman"/>
                <w:bCs/>
                <w:color w:val="000000"/>
              </w:rPr>
              <w:t>（计0.75亩）；施工交通占地1.20hm</w:t>
            </w:r>
            <w:r>
              <w:rPr>
                <w:rFonts w:ascii="Times New Roman" w:hAnsi="Times New Roman"/>
                <w:bCs/>
                <w:color w:val="000000"/>
                <w:vertAlign w:val="superscript"/>
              </w:rPr>
              <w:t>2</w:t>
            </w:r>
            <w:r>
              <w:rPr>
                <w:rFonts w:ascii="Times New Roman" w:hAnsi="Times New Roman"/>
                <w:bCs/>
                <w:color w:val="000000"/>
              </w:rPr>
              <w:t>（计18亩）；施工沿渠影响占地面积(临时堆渣与交通）5.01hm</w:t>
            </w:r>
            <w:r>
              <w:rPr>
                <w:rFonts w:ascii="Times New Roman" w:hAnsi="Times New Roman"/>
                <w:bCs/>
                <w:color w:val="000000"/>
                <w:vertAlign w:val="superscript"/>
              </w:rPr>
              <w:t>2</w:t>
            </w:r>
            <w:r>
              <w:rPr>
                <w:rFonts w:ascii="Times New Roman" w:hAnsi="Times New Roman"/>
                <w:bCs/>
                <w:color w:val="000000"/>
              </w:rPr>
              <w:t>（计75.15亩）。</w:t>
            </w:r>
          </w:p>
          <w:p>
            <w:pPr>
              <w:pStyle w:val="138"/>
              <w:ind w:firstLine="422"/>
              <w:jc w:val="center"/>
              <w:rPr>
                <w:rFonts w:ascii="Times New Roman" w:hAnsi="Times New Roman"/>
              </w:rPr>
            </w:pPr>
            <w:r>
              <w:rPr>
                <w:rFonts w:ascii="Times New Roman" w:hAnsi="Times New Roman"/>
                <w:b/>
                <w:color w:val="000000"/>
                <w:sz w:val="21"/>
                <w:szCs w:val="21"/>
              </w:rPr>
              <w:t>表2-</w:t>
            </w:r>
            <w:r>
              <w:rPr>
                <w:rFonts w:hint="eastAsia" w:ascii="Times New Roman" w:hAnsi="Times New Roman"/>
                <w:b/>
                <w:color w:val="000000"/>
                <w:sz w:val="21"/>
                <w:szCs w:val="21"/>
              </w:rPr>
              <w:t>10</w:t>
            </w:r>
            <w:r>
              <w:rPr>
                <w:rFonts w:ascii="Times New Roman" w:hAnsi="Times New Roman"/>
                <w:b/>
                <w:color w:val="000000"/>
                <w:sz w:val="21"/>
                <w:szCs w:val="21"/>
              </w:rPr>
              <w:t xml:space="preserve">  临时工程量统计表</w:t>
            </w:r>
          </w:p>
          <w:tbl>
            <w:tblPr>
              <w:tblStyle w:val="39"/>
              <w:tblW w:w="7916" w:type="dxa"/>
              <w:jc w:val="center"/>
              <w:tblLayout w:type="fixed"/>
              <w:tblCellMar>
                <w:top w:w="0" w:type="dxa"/>
                <w:left w:w="108" w:type="dxa"/>
                <w:bottom w:w="0" w:type="dxa"/>
                <w:right w:w="108" w:type="dxa"/>
              </w:tblCellMar>
            </w:tblPr>
            <w:tblGrid>
              <w:gridCol w:w="575"/>
              <w:gridCol w:w="2298"/>
              <w:gridCol w:w="817"/>
              <w:gridCol w:w="883"/>
              <w:gridCol w:w="813"/>
              <w:gridCol w:w="786"/>
              <w:gridCol w:w="901"/>
              <w:gridCol w:w="843"/>
            </w:tblGrid>
            <w:tr>
              <w:tblPrEx>
                <w:tblCellMar>
                  <w:top w:w="0" w:type="dxa"/>
                  <w:left w:w="108" w:type="dxa"/>
                  <w:bottom w:w="0" w:type="dxa"/>
                  <w:right w:w="108" w:type="dxa"/>
                </w:tblCellMar>
              </w:tblPrEx>
              <w:trPr>
                <w:trHeight w:val="525" w:hRule="atLeast"/>
                <w:jc w:val="center"/>
              </w:trPr>
              <w:tc>
                <w:tcPr>
                  <w:tcW w:w="57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编号</w:t>
                  </w:r>
                </w:p>
              </w:tc>
              <w:tc>
                <w:tcPr>
                  <w:tcW w:w="229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项目</w:t>
                  </w:r>
                </w:p>
              </w:tc>
              <w:tc>
                <w:tcPr>
                  <w:tcW w:w="8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单位</w:t>
                  </w:r>
                </w:p>
              </w:tc>
              <w:tc>
                <w:tcPr>
                  <w:tcW w:w="88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青白渠</w:t>
                  </w:r>
                </w:p>
              </w:tc>
              <w:tc>
                <w:tcPr>
                  <w:tcW w:w="8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左干渠</w:t>
                  </w:r>
                </w:p>
              </w:tc>
              <w:tc>
                <w:tcPr>
                  <w:tcW w:w="78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右干渠</w:t>
                  </w:r>
                </w:p>
              </w:tc>
              <w:tc>
                <w:tcPr>
                  <w:tcW w:w="90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九龙分   干渠</w:t>
                  </w:r>
                </w:p>
              </w:tc>
              <w:tc>
                <w:tcPr>
                  <w:tcW w:w="84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Times New Roman" w:hAnsi="Times New Roman"/>
                      <w:b/>
                      <w:bCs/>
                      <w:kern w:val="0"/>
                      <w:szCs w:val="21"/>
                    </w:rPr>
                  </w:pPr>
                  <w:r>
                    <w:rPr>
                      <w:rFonts w:ascii="Times New Roman" w:hAnsi="Times New Roman"/>
                      <w:b/>
                      <w:bCs/>
                      <w:kern w:val="0"/>
                      <w:szCs w:val="21"/>
                    </w:rPr>
                    <w:t>合计</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一</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工区</w:t>
                  </w:r>
                </w:p>
              </w:tc>
              <w:tc>
                <w:tcPr>
                  <w:tcW w:w="817" w:type="dxa"/>
                  <w:tcBorders>
                    <w:top w:val="nil"/>
                    <w:left w:val="nil"/>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个</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5</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4</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2</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12</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二</w:t>
                  </w:r>
                </w:p>
              </w:tc>
              <w:tc>
                <w:tcPr>
                  <w:tcW w:w="7341" w:type="dxa"/>
                  <w:gridSpan w:val="7"/>
                  <w:tcBorders>
                    <w:top w:val="nil"/>
                    <w:left w:val="nil"/>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弃渣平衡</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1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开挖总量（含拆除量）</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9.3186</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0.0097</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0.3498</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0.0141</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9.69</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2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回填量（压实方）</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8.0128</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0.0038</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0.1384</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0.0055</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8.16</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3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回填利用料（自然方）</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8.0202</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0.0045</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0.1633</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0.0065</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8.19</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4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弃渣总量</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1.2984</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0.0052</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0.1865</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0.0076</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1.50</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沿渠堆放弃渣量</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1.2984</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0.0052</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0.0076</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1.30</w:t>
                  </w:r>
                </w:p>
              </w:tc>
            </w:tr>
            <w:tr>
              <w:tblPrEx>
                <w:tblCellMar>
                  <w:top w:w="0" w:type="dxa"/>
                  <w:left w:w="108" w:type="dxa"/>
                  <w:bottom w:w="0" w:type="dxa"/>
                  <w:right w:w="108" w:type="dxa"/>
                </w:tblCellMar>
              </w:tblPrEx>
              <w:trPr>
                <w:trHeight w:val="402"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集中弃渣</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万m</w:t>
                  </w:r>
                  <w:r>
                    <w:rPr>
                      <w:rFonts w:ascii="Times New Roman" w:hAnsi="Times New Roman"/>
                      <w:kern w:val="0"/>
                      <w:szCs w:val="21"/>
                      <w:vertAlign w:val="superscript"/>
                    </w:rPr>
                    <w:t>3</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0.2</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0.20</w:t>
                  </w:r>
                </w:p>
              </w:tc>
            </w:tr>
            <w:tr>
              <w:tblPrEx>
                <w:tblCellMar>
                  <w:top w:w="0" w:type="dxa"/>
                  <w:left w:w="108" w:type="dxa"/>
                  <w:bottom w:w="0" w:type="dxa"/>
                  <w:right w:w="108" w:type="dxa"/>
                </w:tblCellMar>
              </w:tblPrEx>
              <w:trPr>
                <w:trHeight w:val="402"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三</w:t>
                  </w:r>
                </w:p>
              </w:tc>
              <w:tc>
                <w:tcPr>
                  <w:tcW w:w="7341" w:type="dxa"/>
                  <w:gridSpan w:val="7"/>
                  <w:tcBorders>
                    <w:top w:val="nil"/>
                    <w:left w:val="nil"/>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占地</w:t>
                  </w:r>
                </w:p>
              </w:tc>
            </w:tr>
            <w:tr>
              <w:tblPrEx>
                <w:tblCellMar>
                  <w:top w:w="0" w:type="dxa"/>
                  <w:left w:w="108" w:type="dxa"/>
                  <w:bottom w:w="0" w:type="dxa"/>
                  <w:right w:w="108" w:type="dxa"/>
                </w:tblCellMar>
              </w:tblPrEx>
              <w:trPr>
                <w:trHeight w:val="529"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1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工区占地面积</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hm</w:t>
                  </w:r>
                  <w:r>
                    <w:rPr>
                      <w:rFonts w:ascii="Times New Roman" w:hAnsi="Times New Roman"/>
                      <w:kern w:val="0"/>
                      <w:szCs w:val="21"/>
                      <w:vertAlign w:val="superscript"/>
                    </w:rPr>
                    <w:t>2</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0.37</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0.04</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0.08</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0.02</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0.51</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2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施工交通占地面积</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hm</w:t>
                  </w:r>
                  <w:r>
                    <w:rPr>
                      <w:rFonts w:ascii="Times New Roman" w:hAnsi="Times New Roman"/>
                      <w:kern w:val="0"/>
                      <w:szCs w:val="21"/>
                      <w:vertAlign w:val="superscript"/>
                    </w:rPr>
                    <w:t>2</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1.20</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1.20</w:t>
                  </w:r>
                </w:p>
              </w:tc>
            </w:tr>
            <w:tr>
              <w:tblPrEx>
                <w:tblCellMar>
                  <w:top w:w="0" w:type="dxa"/>
                  <w:left w:w="108" w:type="dxa"/>
                  <w:bottom w:w="0" w:type="dxa"/>
                  <w:right w:w="108" w:type="dxa"/>
                </w:tblCellMar>
              </w:tblPrEx>
              <w:trPr>
                <w:trHeight w:val="510"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3 </w:t>
                  </w:r>
                </w:p>
              </w:tc>
              <w:tc>
                <w:tcPr>
                  <w:tcW w:w="2298" w:type="dxa"/>
                  <w:tcBorders>
                    <w:top w:val="nil"/>
                    <w:left w:val="nil"/>
                    <w:bottom w:val="single" w:color="auto" w:sz="4" w:space="0"/>
                    <w:right w:val="single" w:color="auto" w:sz="4" w:space="0"/>
                  </w:tcBorders>
                  <w:noWrap w:val="0"/>
                  <w:vAlign w:val="center"/>
                </w:tcPr>
                <w:p>
                  <w:pPr>
                    <w:widowControl/>
                    <w:jc w:val="left"/>
                    <w:rPr>
                      <w:rFonts w:ascii="Times New Roman" w:hAnsi="Times New Roman"/>
                      <w:kern w:val="0"/>
                      <w:szCs w:val="21"/>
                    </w:rPr>
                  </w:pPr>
                  <w:r>
                    <w:rPr>
                      <w:rFonts w:ascii="Times New Roman" w:hAnsi="Times New Roman"/>
                      <w:kern w:val="0"/>
                      <w:szCs w:val="21"/>
                    </w:rPr>
                    <w:t>施工沿渠影响占地面积(临时堆渣与交通）</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hm</w:t>
                  </w:r>
                  <w:r>
                    <w:rPr>
                      <w:rFonts w:ascii="Times New Roman" w:hAnsi="Times New Roman"/>
                      <w:kern w:val="0"/>
                      <w:szCs w:val="21"/>
                      <w:vertAlign w:val="superscript"/>
                    </w:rPr>
                    <w:t>2</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5.0</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0.005</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0.005</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5.01</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4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集中弃渣场面积</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hm</w:t>
                  </w:r>
                  <w:r>
                    <w:rPr>
                      <w:rFonts w:ascii="Times New Roman" w:hAnsi="Times New Roman"/>
                      <w:kern w:val="0"/>
                      <w:szCs w:val="21"/>
                      <w:vertAlign w:val="superscript"/>
                    </w:rPr>
                    <w:t>2</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0.05</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0.05</w:t>
                  </w:r>
                </w:p>
              </w:tc>
            </w:tr>
            <w:tr>
              <w:tblPrEx>
                <w:tblCellMar>
                  <w:top w:w="0" w:type="dxa"/>
                  <w:left w:w="108" w:type="dxa"/>
                  <w:bottom w:w="0" w:type="dxa"/>
                  <w:right w:w="108" w:type="dxa"/>
                </w:tblCellMar>
              </w:tblPrEx>
              <w:trPr>
                <w:trHeight w:val="315" w:hRule="atLeast"/>
                <w:jc w:val="center"/>
              </w:trPr>
              <w:tc>
                <w:tcPr>
                  <w:tcW w:w="575" w:type="dxa"/>
                  <w:tcBorders>
                    <w:top w:val="nil"/>
                    <w:left w:val="single" w:color="auto" w:sz="4" w:space="0"/>
                    <w:bottom w:val="single" w:color="auto" w:sz="4" w:space="0"/>
                    <w:right w:val="single" w:color="auto" w:sz="4" w:space="0"/>
                  </w:tcBorders>
                  <w:noWrap/>
                  <w:vAlign w:val="center"/>
                </w:tcPr>
                <w:p>
                  <w:pPr>
                    <w:widowControl/>
                    <w:jc w:val="center"/>
                    <w:rPr>
                      <w:rFonts w:ascii="Times New Roman" w:hAnsi="Times New Roman"/>
                      <w:kern w:val="0"/>
                      <w:szCs w:val="21"/>
                    </w:rPr>
                  </w:pPr>
                  <w:r>
                    <w:rPr>
                      <w:rFonts w:ascii="Times New Roman" w:hAnsi="Times New Roman"/>
                      <w:kern w:val="0"/>
                      <w:szCs w:val="21"/>
                    </w:rPr>
                    <w:t xml:space="preserve">5 </w:t>
                  </w:r>
                </w:p>
              </w:tc>
              <w:tc>
                <w:tcPr>
                  <w:tcW w:w="2298" w:type="dxa"/>
                  <w:tcBorders>
                    <w:top w:val="nil"/>
                    <w:left w:val="nil"/>
                    <w:bottom w:val="single" w:color="auto" w:sz="4" w:space="0"/>
                    <w:right w:val="single" w:color="auto" w:sz="4" w:space="0"/>
                  </w:tcBorders>
                  <w:noWrap/>
                  <w:vAlign w:val="center"/>
                </w:tcPr>
                <w:p>
                  <w:pPr>
                    <w:widowControl/>
                    <w:jc w:val="left"/>
                    <w:rPr>
                      <w:rFonts w:ascii="Times New Roman" w:hAnsi="Times New Roman"/>
                      <w:kern w:val="0"/>
                      <w:szCs w:val="21"/>
                    </w:rPr>
                  </w:pPr>
                  <w:r>
                    <w:rPr>
                      <w:rFonts w:ascii="Times New Roman" w:hAnsi="Times New Roman"/>
                      <w:kern w:val="0"/>
                      <w:szCs w:val="21"/>
                    </w:rPr>
                    <w:t>临时占地面积合计</w:t>
                  </w:r>
                </w:p>
              </w:tc>
              <w:tc>
                <w:tcPr>
                  <w:tcW w:w="817"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hm</w:t>
                  </w:r>
                  <w:r>
                    <w:rPr>
                      <w:rFonts w:ascii="Times New Roman" w:hAnsi="Times New Roman"/>
                      <w:kern w:val="0"/>
                      <w:szCs w:val="21"/>
                      <w:vertAlign w:val="superscript"/>
                    </w:rPr>
                    <w:t>2</w:t>
                  </w:r>
                </w:p>
              </w:tc>
              <w:tc>
                <w:tcPr>
                  <w:tcW w:w="88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6.57</w:t>
                  </w:r>
                </w:p>
              </w:tc>
              <w:tc>
                <w:tcPr>
                  <w:tcW w:w="81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0.045</w:t>
                  </w:r>
                </w:p>
              </w:tc>
              <w:tc>
                <w:tcPr>
                  <w:tcW w:w="786"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0.13</w:t>
                  </w:r>
                </w:p>
              </w:tc>
              <w:tc>
                <w:tcPr>
                  <w:tcW w:w="901"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0.025</w:t>
                  </w:r>
                </w:p>
              </w:tc>
              <w:tc>
                <w:tcPr>
                  <w:tcW w:w="843" w:type="dxa"/>
                  <w:tcBorders>
                    <w:top w:val="nil"/>
                    <w:left w:val="nil"/>
                    <w:bottom w:val="single" w:color="auto" w:sz="4" w:space="0"/>
                    <w:right w:val="single" w:color="auto" w:sz="4" w:space="0"/>
                  </w:tcBorders>
                  <w:noWrap w:val="0"/>
                  <w:vAlign w:val="center"/>
                </w:tcPr>
                <w:p>
                  <w:pPr>
                    <w:widowControl/>
                    <w:jc w:val="center"/>
                    <w:rPr>
                      <w:rFonts w:ascii="Times New Roman" w:hAnsi="Times New Roman"/>
                      <w:kern w:val="0"/>
                      <w:szCs w:val="21"/>
                    </w:rPr>
                  </w:pPr>
                  <w:r>
                    <w:rPr>
                      <w:rFonts w:ascii="Times New Roman" w:hAnsi="Times New Roman"/>
                      <w:kern w:val="0"/>
                      <w:szCs w:val="21"/>
                    </w:rPr>
                    <w:t>6.77</w:t>
                  </w:r>
                </w:p>
              </w:tc>
            </w:tr>
          </w:tbl>
          <w:p>
            <w:pPr>
              <w:pStyle w:val="138"/>
              <w:ind w:firstLine="0" w:firstLineChars="0"/>
              <w:rPr>
                <w:rFonts w:ascii="Times New Roman" w:hAnsi="Times New Roman"/>
                <w:bCs/>
                <w:color w:val="00000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232" w:type="pct"/>
            <w:noWrap w:val="0"/>
            <w:vAlign w:val="center"/>
          </w:tcPr>
          <w:p>
            <w:pPr>
              <w:adjustRightInd w:val="0"/>
              <w:snapToGrid w:val="0"/>
              <w:jc w:val="center"/>
              <w:rPr>
                <w:rFonts w:ascii="Times New Roman" w:hAnsi="Times New Roman"/>
                <w:color w:val="000000"/>
                <w:kern w:val="0"/>
                <w:szCs w:val="21"/>
              </w:rPr>
            </w:pPr>
            <w:r>
              <w:rPr>
                <w:rFonts w:ascii="Times New Roman" w:hAnsi="Times New Roman"/>
                <w:color w:val="000000"/>
                <w:kern w:val="0"/>
                <w:sz w:val="24"/>
              </w:rPr>
              <w:t>施工方案</w:t>
            </w:r>
          </w:p>
        </w:tc>
        <w:tc>
          <w:tcPr>
            <w:tcW w:w="4767" w:type="pct"/>
            <w:noWrap w:val="0"/>
            <w:vAlign w:val="center"/>
          </w:tcPr>
          <w:p>
            <w:pPr>
              <w:spacing w:line="360" w:lineRule="auto"/>
              <w:rPr>
                <w:rFonts w:ascii="Times New Roman" w:hAnsi="Times New Roman"/>
                <w:b/>
                <w:bCs/>
                <w:color w:val="000000"/>
                <w:sz w:val="28"/>
                <w:szCs w:val="28"/>
              </w:rPr>
            </w:pPr>
            <w:r>
              <w:rPr>
                <w:rFonts w:ascii="Times New Roman" w:hAnsi="Times New Roman"/>
                <w:b/>
                <w:bCs/>
                <w:color w:val="000000"/>
                <w:sz w:val="28"/>
                <w:szCs w:val="28"/>
              </w:rPr>
              <w:t>1、主要建筑材料来源</w:t>
            </w:r>
          </w:p>
          <w:p>
            <w:pPr>
              <w:spacing w:line="360" w:lineRule="auto"/>
              <w:ind w:firstLine="480" w:firstLineChars="200"/>
              <w:rPr>
                <w:rFonts w:ascii="Times New Roman" w:hAnsi="Times New Roman"/>
                <w:color w:val="000000"/>
                <w:sz w:val="24"/>
              </w:rPr>
            </w:pPr>
            <w:r>
              <w:rPr>
                <w:rFonts w:ascii="Times New Roman" w:hAnsi="Times New Roman"/>
                <w:color w:val="000000"/>
                <w:sz w:val="24"/>
              </w:rPr>
              <w:t>根据地质资料砂、卵石、统砂石料在当地购买，交通方便。</w:t>
            </w:r>
          </w:p>
          <w:p>
            <w:pPr>
              <w:spacing w:line="360" w:lineRule="auto"/>
              <w:rPr>
                <w:rFonts w:ascii="Times New Roman" w:hAnsi="Times New Roman"/>
                <w:b/>
                <w:bCs/>
                <w:color w:val="000000"/>
                <w:sz w:val="28"/>
                <w:szCs w:val="28"/>
              </w:rPr>
            </w:pPr>
            <w:r>
              <w:rPr>
                <w:rFonts w:ascii="Times New Roman" w:hAnsi="Times New Roman"/>
                <w:b/>
                <w:bCs/>
                <w:color w:val="000000"/>
                <w:sz w:val="28"/>
                <w:szCs w:val="28"/>
              </w:rPr>
              <w:t>2、施工时序及建设周期</w:t>
            </w:r>
          </w:p>
          <w:p>
            <w:pPr>
              <w:spacing w:line="360" w:lineRule="auto"/>
              <w:ind w:firstLine="480" w:firstLineChars="200"/>
              <w:rPr>
                <w:rFonts w:ascii="Times New Roman" w:hAnsi="Times New Roman"/>
                <w:sz w:val="24"/>
              </w:rPr>
            </w:pPr>
            <w:r>
              <w:rPr>
                <w:rFonts w:ascii="Times New Roman" w:hAnsi="Times New Roman"/>
                <w:sz w:val="24"/>
                <w:lang w:bidi="ar"/>
              </w:rPr>
              <w:t>本工程为新建青白渠地埋式管道暗渠和渠道整治，按《施工组织设计规范》SL303-2017规定，本阶段将施工时段划分为四个阶段。即工程筹建期、工程准备、主体工程施工期、工程完建期，而工程总工期为后三个阶段之和。</w:t>
            </w:r>
          </w:p>
          <w:p>
            <w:pPr>
              <w:spacing w:line="360" w:lineRule="auto"/>
              <w:ind w:firstLine="480" w:firstLineChars="200"/>
              <w:rPr>
                <w:rFonts w:ascii="Times New Roman" w:hAnsi="Times New Roman"/>
                <w:sz w:val="24"/>
              </w:rPr>
            </w:pPr>
            <w:r>
              <w:rPr>
                <w:rFonts w:ascii="Times New Roman" w:hAnsi="Times New Roman"/>
                <w:sz w:val="24"/>
              </w:rPr>
              <w:t>筹建期：</w:t>
            </w:r>
            <w:r>
              <w:rPr>
                <w:rFonts w:ascii="Times New Roman" w:hAnsi="Times New Roman"/>
                <w:sz w:val="24"/>
                <w:lang w:bidi="ar"/>
              </w:rPr>
              <w:t>本阶段拟为第一年3月至9月计7个月，工程筹建期不计入总工期。</w:t>
            </w:r>
          </w:p>
          <w:p>
            <w:pPr>
              <w:spacing w:line="360" w:lineRule="auto"/>
              <w:ind w:firstLine="480" w:firstLineChars="200"/>
              <w:rPr>
                <w:rFonts w:ascii="Times New Roman" w:hAnsi="Times New Roman"/>
                <w:sz w:val="24"/>
              </w:rPr>
            </w:pPr>
            <w:r>
              <w:rPr>
                <w:rFonts w:ascii="Times New Roman" w:hAnsi="Times New Roman"/>
                <w:sz w:val="24"/>
              </w:rPr>
              <w:t>施工准备期：由施工队伍完成场内公路、场地平整、施工风、水、电供应系统、砼拌和系统、机修、汽修及综合加工系统、生产生活及生活福利性房屋建筑。初期准备工期安排在第一年10月。</w:t>
            </w:r>
          </w:p>
          <w:p>
            <w:pPr>
              <w:spacing w:line="360" w:lineRule="auto"/>
              <w:ind w:firstLine="480" w:firstLineChars="200"/>
              <w:rPr>
                <w:rFonts w:ascii="Times New Roman" w:hAnsi="Times New Roman"/>
                <w:sz w:val="24"/>
              </w:rPr>
            </w:pPr>
            <w:r>
              <w:rPr>
                <w:rFonts w:ascii="Times New Roman" w:hAnsi="Times New Roman"/>
                <w:sz w:val="24"/>
              </w:rPr>
              <w:t>主体工程施工期：第一年11月至第二年3月完成青白渠前段和左干渠、右干渠及九龙干渠工程，青白渠放水</w:t>
            </w:r>
            <w:r>
              <w:rPr>
                <w:rFonts w:hint="eastAsia" w:ascii="Times New Roman" w:hAnsi="Times New Roman"/>
                <w:sz w:val="24"/>
              </w:rPr>
              <w:t>设施</w:t>
            </w:r>
            <w:r>
              <w:rPr>
                <w:rFonts w:ascii="Times New Roman" w:hAnsi="Times New Roman"/>
                <w:sz w:val="24"/>
              </w:rPr>
              <w:t>在第二年4月至6月完成；第二年11月至第三年3月完成青白渠后段渠道新建工程。</w:t>
            </w:r>
          </w:p>
          <w:p>
            <w:pPr>
              <w:spacing w:line="360" w:lineRule="auto"/>
              <w:ind w:firstLine="480" w:firstLineChars="200"/>
              <w:rPr>
                <w:rFonts w:ascii="Times New Roman" w:hAnsi="Times New Roman" w:eastAsia="黑体"/>
              </w:rPr>
            </w:pPr>
            <w:r>
              <w:rPr>
                <w:rFonts w:ascii="Times New Roman" w:hAnsi="Times New Roman"/>
                <w:sz w:val="24"/>
              </w:rPr>
              <w:t>完建期：施工完建期计划在第三年4月，完成工程配套设施和各部位的尾工，退场清理及竣工验收。</w:t>
            </w:r>
          </w:p>
          <w:p>
            <w:pPr>
              <w:spacing w:line="360" w:lineRule="auto"/>
              <w:rPr>
                <w:rFonts w:ascii="Times New Roman" w:hAnsi="Times New Roman"/>
                <w:b/>
                <w:bCs/>
                <w:color w:val="000000"/>
                <w:sz w:val="28"/>
                <w:szCs w:val="28"/>
              </w:rPr>
            </w:pPr>
            <w:r>
              <w:rPr>
                <w:rFonts w:ascii="Times New Roman" w:hAnsi="Times New Roman"/>
                <w:b/>
                <w:bCs/>
                <w:color w:val="000000"/>
                <w:sz w:val="28"/>
                <w:szCs w:val="28"/>
              </w:rPr>
              <w:t>3、施工导流</w:t>
            </w:r>
          </w:p>
          <w:p>
            <w:pPr>
              <w:pStyle w:val="138"/>
              <w:rPr>
                <w:rFonts w:ascii="Times New Roman" w:hAnsi="Times New Roman"/>
                <w:color w:val="000000"/>
              </w:rPr>
            </w:pPr>
            <w:r>
              <w:rPr>
                <w:rFonts w:ascii="Times New Roman" w:hAnsi="Times New Roman"/>
                <w:color w:val="000000"/>
              </w:rPr>
              <w:t>本工程除新建的青白渠放水塔在库区内修建，需考虑其导流外，其余各渠道均为已成渠道的整治工程，在枯水期整治时可关闭渠首的进水闸，各渠道即可对下游渠道进行整治，而不需导流。</w:t>
            </w:r>
          </w:p>
          <w:p>
            <w:pPr>
              <w:pStyle w:val="138"/>
              <w:ind w:firstLine="482"/>
              <w:rPr>
                <w:rFonts w:ascii="Times New Roman" w:hAnsi="Times New Roman"/>
                <w:b/>
                <w:color w:val="000000"/>
              </w:rPr>
            </w:pPr>
            <w:r>
              <w:rPr>
                <w:rFonts w:ascii="Times New Roman" w:hAnsi="Times New Roman"/>
                <w:b/>
                <w:color w:val="000000"/>
              </w:rPr>
              <w:t>（1）导流标准</w:t>
            </w:r>
          </w:p>
          <w:p>
            <w:pPr>
              <w:pStyle w:val="138"/>
              <w:rPr>
                <w:rFonts w:ascii="Times New Roman" w:hAnsi="Times New Roman"/>
                <w:color w:val="000000"/>
              </w:rPr>
            </w:pPr>
            <w:r>
              <w:rPr>
                <w:rFonts w:ascii="Times New Roman" w:hAnsi="Times New Roman"/>
                <w:color w:val="000000"/>
              </w:rPr>
              <w:t>本次列入整治的高中水库灌区，左干渠渠首设计流量1.5m</w:t>
            </w:r>
            <w:r>
              <w:rPr>
                <w:rFonts w:ascii="Times New Roman" w:hAnsi="Times New Roman"/>
                <w:color w:val="000000"/>
                <w:vertAlign w:val="superscript"/>
              </w:rPr>
              <w:t>3</w:t>
            </w:r>
            <w:r>
              <w:rPr>
                <w:rFonts w:ascii="Times New Roman" w:hAnsi="Times New Roman"/>
                <w:color w:val="000000"/>
              </w:rPr>
              <w:t>/s，右干渠渠首设计流量2.5m</w:t>
            </w:r>
            <w:r>
              <w:rPr>
                <w:rFonts w:ascii="Times New Roman" w:hAnsi="Times New Roman"/>
                <w:color w:val="000000"/>
                <w:vertAlign w:val="superscript"/>
              </w:rPr>
              <w:t>3</w:t>
            </w:r>
            <w:r>
              <w:rPr>
                <w:rFonts w:ascii="Times New Roman" w:hAnsi="Times New Roman"/>
                <w:color w:val="000000"/>
              </w:rPr>
              <w:t>/s，九龙干渠渠首设计流量1.0m</w:t>
            </w:r>
            <w:r>
              <w:rPr>
                <w:rFonts w:ascii="Times New Roman" w:hAnsi="Times New Roman"/>
                <w:color w:val="000000"/>
                <w:vertAlign w:val="superscript"/>
              </w:rPr>
              <w:t>3</w:t>
            </w:r>
            <w:r>
              <w:rPr>
                <w:rFonts w:ascii="Times New Roman" w:hAnsi="Times New Roman"/>
                <w:color w:val="000000"/>
              </w:rPr>
              <w:t>/s，新建青白渠渠首设计流量0.5m</w:t>
            </w:r>
            <w:r>
              <w:rPr>
                <w:rFonts w:ascii="Times New Roman" w:hAnsi="Times New Roman"/>
                <w:color w:val="000000"/>
                <w:vertAlign w:val="superscript"/>
              </w:rPr>
              <w:t>3</w:t>
            </w:r>
            <w:r>
              <w:rPr>
                <w:rFonts w:ascii="Times New Roman" w:hAnsi="Times New Roman"/>
                <w:color w:val="000000"/>
              </w:rPr>
              <w:t>/s。根据中华人民共和国国家标准《灌溉与排水工程设计标准》（GB50288—2018）及《水利水电工程等级划分及洪水标准》（SL252—2017）之规定本工程渠道及渠系建筑物级别为5级，设计洪水标准为10年一遇。</w:t>
            </w:r>
          </w:p>
          <w:p>
            <w:pPr>
              <w:pStyle w:val="138"/>
              <w:ind w:left="480" w:leftChars="200" w:firstLine="0" w:firstLineChars="0"/>
              <w:rPr>
                <w:rFonts w:ascii="Times New Roman" w:hAnsi="Times New Roman"/>
                <w:color w:val="000000"/>
              </w:rPr>
            </w:pPr>
            <w:r>
              <w:rPr>
                <w:rFonts w:ascii="Times New Roman" w:hAnsi="Times New Roman"/>
                <w:b/>
                <w:color w:val="000000"/>
              </w:rPr>
              <w:t>（2）导流方式</w:t>
            </w:r>
          </w:p>
          <w:p>
            <w:pPr>
              <w:pStyle w:val="138"/>
              <w:rPr>
                <w:rFonts w:ascii="Times New Roman" w:hAnsi="Times New Roman"/>
                <w:color w:val="000000"/>
              </w:rPr>
            </w:pPr>
            <w:r>
              <w:rPr>
                <w:rFonts w:ascii="Times New Roman" w:hAnsi="Times New Roman"/>
                <w:color w:val="000000"/>
              </w:rPr>
              <w:t>青白渠放水塔最低施工高程397.50m，高中水库死水位390.60m，正常蓄水位407.04m，左干渠放水设施底高程396.60m，左干渠设计流量1.5m</w:t>
            </w:r>
            <w:r>
              <w:rPr>
                <w:rFonts w:ascii="Times New Roman" w:hAnsi="Times New Roman"/>
                <w:color w:val="000000"/>
                <w:vertAlign w:val="superscript"/>
              </w:rPr>
              <w:t>3</w:t>
            </w:r>
            <w:r>
              <w:rPr>
                <w:rFonts w:ascii="Times New Roman" w:hAnsi="Times New Roman"/>
                <w:color w:val="000000"/>
              </w:rPr>
              <w:t>/s，右干渠放水设施底高程390.50m，右干渠设计流量2.5m</w:t>
            </w:r>
            <w:r>
              <w:rPr>
                <w:rFonts w:ascii="Times New Roman" w:hAnsi="Times New Roman"/>
                <w:color w:val="000000"/>
                <w:vertAlign w:val="superscript"/>
              </w:rPr>
              <w:t>3</w:t>
            </w:r>
            <w:r>
              <w:rPr>
                <w:rFonts w:ascii="Times New Roman" w:hAnsi="Times New Roman"/>
                <w:color w:val="000000"/>
              </w:rPr>
              <w:t>/s。</w:t>
            </w:r>
          </w:p>
          <w:p>
            <w:pPr>
              <w:pStyle w:val="138"/>
              <w:rPr>
                <w:rFonts w:ascii="Times New Roman" w:hAnsi="Times New Roman"/>
                <w:color w:val="000000"/>
              </w:rPr>
            </w:pPr>
            <w:r>
              <w:rPr>
                <w:rFonts w:ascii="Times New Roman" w:hAnsi="Times New Roman"/>
                <w:color w:val="000000"/>
              </w:rPr>
              <w:t>根据水文资料，高中水库为充囤水库，水库自身集雨面积约6.31km</w:t>
            </w:r>
            <w:r>
              <w:rPr>
                <w:rFonts w:ascii="Times New Roman" w:hAnsi="Times New Roman"/>
                <w:color w:val="000000"/>
                <w:vertAlign w:val="superscript"/>
              </w:rPr>
              <w:t>2</w:t>
            </w:r>
            <w:r>
              <w:rPr>
                <w:rFonts w:ascii="Times New Roman" w:hAnsi="Times New Roman"/>
                <w:color w:val="000000"/>
              </w:rPr>
              <w:t>，集雨面积小，蓄水主要通过棉花堰调取泥溪河水充囤。高中水库青白渠渠首放水</w:t>
            </w:r>
            <w:r>
              <w:rPr>
                <w:rFonts w:hint="eastAsia" w:ascii="Times New Roman" w:hAnsi="Times New Roman"/>
                <w:color w:val="000000"/>
              </w:rPr>
              <w:t>设施</w:t>
            </w:r>
            <w:r>
              <w:rPr>
                <w:rFonts w:ascii="Times New Roman" w:hAnsi="Times New Roman"/>
                <w:color w:val="000000"/>
              </w:rPr>
              <w:t>位于库区内，施工期为4~6月，涉及主汛期，根据库容曲线，397.50m相应库容为220万m</w:t>
            </w:r>
            <w:r>
              <w:rPr>
                <w:rFonts w:ascii="Times New Roman" w:hAnsi="Times New Roman"/>
                <w:color w:val="000000"/>
                <w:vertAlign w:val="superscript"/>
              </w:rPr>
              <w:t>3</w:t>
            </w:r>
            <w:r>
              <w:rPr>
                <w:rFonts w:ascii="Times New Roman" w:hAnsi="Times New Roman"/>
                <w:color w:val="000000"/>
              </w:rPr>
              <w:t>，395.50m相应库容为127万m</w:t>
            </w:r>
            <w:r>
              <w:rPr>
                <w:rFonts w:ascii="Times New Roman" w:hAnsi="Times New Roman"/>
                <w:color w:val="000000"/>
                <w:vertAlign w:val="superscript"/>
              </w:rPr>
              <w:t>3</w:t>
            </w:r>
            <w:r>
              <w:rPr>
                <w:rFonts w:ascii="Times New Roman" w:hAnsi="Times New Roman"/>
                <w:color w:val="000000"/>
              </w:rPr>
              <w:t>，库容差93万m</w:t>
            </w:r>
            <w:r>
              <w:rPr>
                <w:rFonts w:ascii="Times New Roman" w:hAnsi="Times New Roman"/>
                <w:color w:val="000000"/>
                <w:vertAlign w:val="superscript"/>
              </w:rPr>
              <w:t>3</w:t>
            </w:r>
            <w:r>
              <w:rPr>
                <w:rFonts w:ascii="Times New Roman" w:hAnsi="Times New Roman"/>
                <w:color w:val="000000"/>
              </w:rPr>
              <w:t>，可满足5年一遇洪水消纳要求。同时为确保安全，棉花堰进水口在施工期应一直处于关闭状态，并且在遭遇大暴雨时，应该停止施工，开启左右干渠进行放水（合计放水流量4m</w:t>
            </w:r>
            <w:r>
              <w:rPr>
                <w:rFonts w:ascii="Times New Roman" w:hAnsi="Times New Roman"/>
                <w:color w:val="000000"/>
                <w:vertAlign w:val="superscript"/>
              </w:rPr>
              <w:t>3</w:t>
            </w:r>
            <w:r>
              <w:rPr>
                <w:rFonts w:ascii="Times New Roman" w:hAnsi="Times New Roman"/>
                <w:color w:val="000000"/>
              </w:rPr>
              <w:t>/s）。</w:t>
            </w:r>
          </w:p>
          <w:p>
            <w:pPr>
              <w:pStyle w:val="138"/>
              <w:rPr>
                <w:rFonts w:ascii="Times New Roman" w:hAnsi="Times New Roman"/>
                <w:color w:val="000000"/>
              </w:rPr>
            </w:pPr>
            <w:r>
              <w:rPr>
                <w:rFonts w:ascii="Times New Roman" w:hAnsi="Times New Roman"/>
                <w:color w:val="000000"/>
              </w:rPr>
              <w:t>结合已完成的高中水库除险加固整治工程施工方案，本次青白渠放水</w:t>
            </w:r>
            <w:r>
              <w:rPr>
                <w:rFonts w:hint="eastAsia" w:ascii="Times New Roman" w:hAnsi="Times New Roman"/>
                <w:color w:val="000000"/>
              </w:rPr>
              <w:t>设施</w:t>
            </w:r>
            <w:r>
              <w:rPr>
                <w:rFonts w:ascii="Times New Roman" w:hAnsi="Times New Roman"/>
                <w:color w:val="000000"/>
              </w:rPr>
              <w:t>的施工，高中水库可提前进行春灌放水，在4月初，即将水库库水位降至高程397.00m，在4月~5月可结合春灌放水，继续将水位在5月底降至396.5m，同时保持4月至6月，关闭高中水库棉花堰进水闸，青白渠放水</w:t>
            </w:r>
            <w:r>
              <w:rPr>
                <w:rFonts w:hint="eastAsia" w:ascii="Times New Roman" w:hAnsi="Times New Roman"/>
                <w:color w:val="000000"/>
              </w:rPr>
              <w:t>设施</w:t>
            </w:r>
            <w:r>
              <w:rPr>
                <w:rFonts w:ascii="Times New Roman" w:hAnsi="Times New Roman"/>
                <w:color w:val="000000"/>
              </w:rPr>
              <w:t>可在无水状态下施工，而不设导流建筑物，在6月底，青白渠放水</w:t>
            </w:r>
            <w:r>
              <w:rPr>
                <w:rFonts w:hint="eastAsia" w:ascii="Times New Roman" w:hAnsi="Times New Roman"/>
                <w:color w:val="000000"/>
              </w:rPr>
              <w:t>设施</w:t>
            </w:r>
            <w:r>
              <w:rPr>
                <w:rFonts w:ascii="Times New Roman" w:hAnsi="Times New Roman"/>
                <w:color w:val="000000"/>
              </w:rPr>
              <w:t>施工完成，并具备下闸挡水条件。4至6月水库来水由左右干渠下泄和水库库容消纳。</w:t>
            </w:r>
          </w:p>
          <w:p>
            <w:pPr>
              <w:spacing w:line="360" w:lineRule="auto"/>
              <w:rPr>
                <w:rFonts w:ascii="Times New Roman" w:hAnsi="Times New Roman"/>
                <w:b/>
                <w:bCs/>
                <w:color w:val="000000"/>
                <w:sz w:val="28"/>
                <w:szCs w:val="28"/>
              </w:rPr>
            </w:pPr>
            <w:r>
              <w:rPr>
                <w:rFonts w:ascii="Times New Roman" w:hAnsi="Times New Roman"/>
                <w:b/>
                <w:bCs/>
                <w:color w:val="000000"/>
                <w:sz w:val="28"/>
                <w:szCs w:val="28"/>
              </w:rPr>
              <w:t>4、施工工艺</w:t>
            </w:r>
          </w:p>
          <w:p>
            <w:pPr>
              <w:pStyle w:val="138"/>
              <w:ind w:firstLine="482"/>
              <w:rPr>
                <w:rFonts w:ascii="Times New Roman" w:hAnsi="Times New Roman"/>
                <w:b/>
                <w:color w:val="000000"/>
              </w:rPr>
            </w:pPr>
            <w:r>
              <w:rPr>
                <w:rFonts w:ascii="Times New Roman" w:hAnsi="Times New Roman"/>
                <w:b/>
                <w:color w:val="000000"/>
              </w:rPr>
              <w:t>（1）新建青白渠</w:t>
            </w:r>
            <w:r>
              <w:rPr>
                <w:rFonts w:hint="eastAsia" w:ascii="Times New Roman" w:hAnsi="Times New Roman"/>
                <w:b/>
                <w:color w:val="000000"/>
              </w:rPr>
              <w:t>地埋</w:t>
            </w:r>
            <w:r>
              <w:rPr>
                <w:rFonts w:ascii="Times New Roman" w:hAnsi="Times New Roman"/>
                <w:b/>
                <w:bCs/>
              </w:rPr>
              <w:t>管道施工</w:t>
            </w:r>
          </w:p>
          <w:p>
            <w:pPr>
              <w:pStyle w:val="138"/>
              <w:rPr>
                <w:rFonts w:ascii="Times New Roman" w:hAnsi="Times New Roman"/>
                <w:color w:val="000000"/>
              </w:rPr>
            </w:pPr>
            <w:r>
              <w:rPr>
                <w:rFonts w:ascii="Times New Roman" w:hAnsi="Times New Roman"/>
                <w:bCs/>
                <w:color w:val="000000"/>
              </w:rPr>
              <w:t>新建青白渠</w:t>
            </w:r>
            <w:r>
              <w:rPr>
                <w:rFonts w:hint="eastAsia" w:ascii="Times New Roman" w:hAnsi="Times New Roman"/>
                <w:bCs/>
                <w:color w:val="000000"/>
              </w:rPr>
              <w:t>地埋</w:t>
            </w:r>
            <w:r>
              <w:rPr>
                <w:rFonts w:ascii="Times New Roman" w:hAnsi="Times New Roman"/>
                <w:bCs/>
                <w:color w:val="000000"/>
              </w:rPr>
              <w:t>管道施工段施工</w:t>
            </w:r>
            <w:r>
              <w:rPr>
                <w:rFonts w:ascii="Times New Roman" w:hAnsi="Times New Roman"/>
                <w:color w:val="000000"/>
              </w:rPr>
              <w:t>工艺流程及产污节点图如下图所示：</w:t>
            </w:r>
          </w:p>
          <w:p>
            <w:pPr>
              <w:pStyle w:val="138"/>
              <w:rPr>
                <w:rFonts w:ascii="Times New Roman" w:hAnsi="Times New Roman"/>
                <w:color w:val="000000"/>
              </w:rPr>
            </w:pPr>
            <w:r>
              <w:rPr>
                <w:rFonts w:ascii="Times New Roman" w:hAnsi="Times New Roman"/>
                <w:color w:val="000000"/>
              </w:rPr>
              <mc:AlternateContent>
                <mc:Choice Requires="wps">
                  <w:drawing>
                    <wp:anchor distT="0" distB="0" distL="114300" distR="114300" simplePos="0" relativeHeight="251670528" behindDoc="0" locked="0" layoutInCell="1" allowOverlap="1">
                      <wp:simplePos x="0" y="0"/>
                      <wp:positionH relativeFrom="column">
                        <wp:posOffset>3109595</wp:posOffset>
                      </wp:positionH>
                      <wp:positionV relativeFrom="paragraph">
                        <wp:posOffset>235585</wp:posOffset>
                      </wp:positionV>
                      <wp:extent cx="1935480" cy="314325"/>
                      <wp:effectExtent l="0" t="0" r="0" b="0"/>
                      <wp:wrapNone/>
                      <wp:docPr id="210" name="矩形 210"/>
                      <wp:cNvGraphicFramePr/>
                      <a:graphic xmlns:a="http://schemas.openxmlformats.org/drawingml/2006/main">
                        <a:graphicData uri="http://schemas.microsoft.com/office/word/2010/wordprocessingShape">
                          <wps:wsp>
                            <wps:cNvSpPr/>
                            <wps:spPr>
                              <a:xfrm>
                                <a:off x="0" y="0"/>
                                <a:ext cx="1935480" cy="314325"/>
                              </a:xfrm>
                              <a:prstGeom prst="rect">
                                <a:avLst/>
                              </a:prstGeom>
                              <a:noFill/>
                              <a:ln>
                                <a:noFill/>
                              </a:ln>
                            </wps:spPr>
                            <wps:txbx>
                              <w:txbxContent>
                                <w:p>
                                  <w:r>
                                    <w:rPr>
                                      <w:rFonts w:hint="eastAsia"/>
                                    </w:rPr>
                                    <w:t>固废、扬尘、噪音、植被破坏</w:t>
                                  </w:r>
                                </w:p>
                                <w:p/>
                              </w:txbxContent>
                            </wps:txbx>
                            <wps:bodyPr upright="1"/>
                          </wps:wsp>
                        </a:graphicData>
                      </a:graphic>
                    </wp:anchor>
                  </w:drawing>
                </mc:Choice>
                <mc:Fallback>
                  <w:pict>
                    <v:rect id="_x0000_s1026" o:spid="_x0000_s1026" o:spt="1" style="position:absolute;left:0pt;margin-left:244.85pt;margin-top:18.55pt;height:24.75pt;width:152.4pt;z-index:251670528;mso-width-relative:page;mso-height-relative:page;" filled="f" stroked="f" coordsize="21600,21600" o:gfxdata="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PSCPP2wAAAAkBAAAP&#10;AAAAAAAAAAEAIAAAACIAAABkcnMvZG93bnJldi54bWxQSwECFAAUAAAACACHTuJAuOJI96MBAABF&#10;AwAADgAAAAAAAAABACAAAAAqAQAAZHJzL2Uyb0RvYy54bWxQSwUGAAAAAAYABgBZAQAAPwUAAAAA&#10;">
                      <v:path/>
                      <v:fill on="f" focussize="0,0"/>
                      <v:stroke on="f"/>
                      <v:imagedata o:title=""/>
                      <o:lock v:ext="edit" aspectratio="f"/>
                      <v:textbox>
                        <w:txbxContent>
                          <w:p>
                            <w:r>
                              <w:rPr>
                                <w:rFonts w:hint="eastAsia"/>
                              </w:rPr>
                              <w:t>固废、扬尘、噪音、植被破坏</w:t>
                            </w:r>
                          </w:p>
                          <w:p/>
                        </w:txbxContent>
                      </v:textbox>
                    </v:rect>
                  </w:pict>
                </mc:Fallback>
              </mc:AlternateContent>
            </w:r>
            <w:r>
              <w:rPr>
                <w:rFonts w:ascii="Times New Roman" w:hAnsi="Times New Roman"/>
                <w:color w:val="000000"/>
              </w:rPr>
              <mc:AlternateContent>
                <mc:Choice Requires="wps">
                  <w:drawing>
                    <wp:anchor distT="0" distB="0" distL="114300" distR="114300" simplePos="0" relativeHeight="251672576" behindDoc="0" locked="0" layoutInCell="1" allowOverlap="1">
                      <wp:simplePos x="0" y="0"/>
                      <wp:positionH relativeFrom="column">
                        <wp:posOffset>1772285</wp:posOffset>
                      </wp:positionH>
                      <wp:positionV relativeFrom="paragraph">
                        <wp:posOffset>191770</wp:posOffset>
                      </wp:positionV>
                      <wp:extent cx="943610" cy="270510"/>
                      <wp:effectExtent l="4445" t="5080" r="23495" b="10160"/>
                      <wp:wrapNone/>
                      <wp:docPr id="224" name="矩形 224"/>
                      <wp:cNvGraphicFramePr/>
                      <a:graphic xmlns:a="http://schemas.openxmlformats.org/drawingml/2006/main">
                        <a:graphicData uri="http://schemas.microsoft.com/office/word/2010/wordprocessingShape">
                          <wps:wsp>
                            <wps:cNvSpPr/>
                            <wps:spPr>
                              <a:xfrm>
                                <a:off x="0" y="0"/>
                                <a:ext cx="943610" cy="2705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土方开挖</w:t>
                                  </w:r>
                                </w:p>
                              </w:txbxContent>
                            </wps:txbx>
                            <wps:bodyPr upright="1"/>
                          </wps:wsp>
                        </a:graphicData>
                      </a:graphic>
                    </wp:anchor>
                  </w:drawing>
                </mc:Choice>
                <mc:Fallback>
                  <w:pict>
                    <v:rect id="_x0000_s1026" o:spid="_x0000_s1026" o:spt="1" style="position:absolute;left:0pt;margin-left:139.55pt;margin-top:15.1pt;height:21.3pt;width:74.3pt;z-index:251672576;mso-width-relative:page;mso-height-relative:page;" fillcolor="#FFFFFF" filled="t" stroked="t" coordsize="21600,21600" o:gfxdata="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SMjatcAAAAJAQAADwAAAAAAAAABACAAAAAiAAAAZHJz&#10;L2Rvd25yZXYueG1sUEsBAhQAFAAAAAgAh07iQJAwUGAFAgAAOgQAAA4AAAAAAAAAAQAgAAAAJgEA&#10;AGRycy9lMm9Eb2MueG1sUEsFBgAAAAAGAAYAWQEAAJ0FAAAAAA==&#10;">
                      <v:path/>
                      <v:fill on="t" focussize="0,0"/>
                      <v:stroke/>
                      <v:imagedata o:title=""/>
                      <o:lock v:ext="edit" aspectratio="f"/>
                      <v:textbox>
                        <w:txbxContent>
                          <w:p>
                            <w:pPr>
                              <w:jc w:val="center"/>
                            </w:pPr>
                            <w:r>
                              <w:rPr>
                                <w:rFonts w:hint="eastAsia"/>
                              </w:rPr>
                              <w:t>土方开挖</w:t>
                            </w:r>
                          </w:p>
                        </w:txbxContent>
                      </v:textbox>
                    </v:rect>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673600" behindDoc="0" locked="0" layoutInCell="1" allowOverlap="1">
                      <wp:simplePos x="0" y="0"/>
                      <wp:positionH relativeFrom="column">
                        <wp:posOffset>2734945</wp:posOffset>
                      </wp:positionH>
                      <wp:positionV relativeFrom="paragraph">
                        <wp:posOffset>27305</wp:posOffset>
                      </wp:positionV>
                      <wp:extent cx="349885" cy="0"/>
                      <wp:effectExtent l="0" t="38100" r="12065" b="38100"/>
                      <wp:wrapNone/>
                      <wp:docPr id="225" name="直接箭头连接符 225"/>
                      <wp:cNvGraphicFramePr/>
                      <a:graphic xmlns:a="http://schemas.openxmlformats.org/drawingml/2006/main">
                        <a:graphicData uri="http://schemas.microsoft.com/office/word/2010/wordprocessingShape">
                          <wps:wsp>
                            <wps:cNvCnPr>
                              <a:stCxn id="224" idx="2"/>
                              <a:endCxn id="13" idx="0"/>
                            </wps:cNvCnPr>
                            <wps:spPr>
                              <a:xfrm>
                                <a:off x="0" y="0"/>
                                <a:ext cx="349885" cy="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15.35pt;margin-top:2.15pt;height:0pt;width:27.55pt;z-index:251673600;mso-width-relative:page;mso-height-relative:page;" filled="f" stroked="t" coordsize="21600,21600" o:gfxdata="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y7WLzT&#10;AAAABwEAAA8AAAAAAAAAAQAgAAAAIgAAAGRycy9kb3ducmV2LnhtbFBLAQIUABQAAAAIAIdO4kC4&#10;1q+SJQIAAEMEAAAOAAAAAAAAAAEAIAAAACIBAABkcnMvZTJvRG9jLnhtbFBLBQYAAAAABgAGAFkB&#10;AAC5BQ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71552" behindDoc="0" locked="0" layoutInCell="1" allowOverlap="1">
                      <wp:simplePos x="0" y="0"/>
                      <wp:positionH relativeFrom="column">
                        <wp:posOffset>2244090</wp:posOffset>
                      </wp:positionH>
                      <wp:positionV relativeFrom="paragraph">
                        <wp:posOffset>165735</wp:posOffset>
                      </wp:positionV>
                      <wp:extent cx="7620" cy="184785"/>
                      <wp:effectExtent l="33655" t="0" r="34925" b="5715"/>
                      <wp:wrapNone/>
                      <wp:docPr id="226" name="直接箭头连接符 226"/>
                      <wp:cNvGraphicFramePr/>
                      <a:graphic xmlns:a="http://schemas.openxmlformats.org/drawingml/2006/main">
                        <a:graphicData uri="http://schemas.microsoft.com/office/word/2010/wordprocessingShape">
                          <wps:wsp>
                            <wps:cNvCnPr>
                              <a:stCxn id="224" idx="2"/>
                              <a:endCxn id="13" idx="0"/>
                            </wps:cNvCnPr>
                            <wps:spPr>
                              <a:xfrm>
                                <a:off x="0" y="0"/>
                                <a:ext cx="7620" cy="18478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76.7pt;margin-top:13.05pt;height:14.55pt;width:0.6pt;z-index:251671552;mso-width-relative:page;mso-height-relative:page;" filled="f" stroked="t" coordsize="21600,21600" o:gfxdata="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yAjBw2gAAAAkBAAAPAAAAAAAAAAEAIAAAACIAAABkcnMvZG93bnJldi54bWxQSwECFAAU&#10;AAAACACHTuJAk1hGsigCAABHBAAADgAAAAAAAAABACAAAAApAQAAZHJzL2Uyb0RvYy54bWxQSwUG&#10;AAAAAAYABgBZAQAAwwUAAAAA&#10;">
                      <v:fill on="f" focussize="0,0"/>
                      <v:stroke color="#000000" joinstyle="round" endarrow="block"/>
                      <v:imagedata o:title=""/>
                      <o:lock v:ext="edit" aspectratio="f"/>
                    </v:shape>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676672" behindDoc="0" locked="0" layoutInCell="1" allowOverlap="1">
                      <wp:simplePos x="0" y="0"/>
                      <wp:positionH relativeFrom="column">
                        <wp:posOffset>3070860</wp:posOffset>
                      </wp:positionH>
                      <wp:positionV relativeFrom="paragraph">
                        <wp:posOffset>83820</wp:posOffset>
                      </wp:positionV>
                      <wp:extent cx="1931035" cy="294005"/>
                      <wp:effectExtent l="0" t="0" r="12065" b="10795"/>
                      <wp:wrapNone/>
                      <wp:docPr id="227" name="矩形 227"/>
                      <wp:cNvGraphicFramePr/>
                      <a:graphic xmlns:a="http://schemas.openxmlformats.org/drawingml/2006/main">
                        <a:graphicData uri="http://schemas.microsoft.com/office/word/2010/wordprocessingShape">
                          <wps:wsp>
                            <wps:cNvSpPr/>
                            <wps:spPr>
                              <a:xfrm>
                                <a:off x="0" y="0"/>
                                <a:ext cx="1931035" cy="294005"/>
                              </a:xfrm>
                              <a:prstGeom prst="rect">
                                <a:avLst/>
                              </a:prstGeom>
                              <a:solidFill>
                                <a:srgbClr val="FFFFFF"/>
                              </a:solidFill>
                              <a:ln>
                                <a:noFill/>
                              </a:ln>
                              <a:effectLst/>
                            </wps:spPr>
                            <wps:txbx>
                              <w:txbxContent>
                                <w:p>
                                  <w:r>
                                    <w:rPr>
                                      <w:rFonts w:hint="eastAsia"/>
                                    </w:rPr>
                                    <w:t>固废、扬尘、噪音、植被破坏</w:t>
                                  </w:r>
                                </w:p>
                                <w:p/>
                              </w:txbxContent>
                            </wps:txbx>
                            <wps:bodyPr upright="1"/>
                          </wps:wsp>
                        </a:graphicData>
                      </a:graphic>
                    </wp:anchor>
                  </w:drawing>
                </mc:Choice>
                <mc:Fallback>
                  <w:pict>
                    <v:rect id="_x0000_s1026" o:spid="_x0000_s1026" o:spt="1" style="position:absolute;left:0pt;margin-left:241.8pt;margin-top:6.6pt;height:23.15pt;width:152.05pt;z-index:251676672;mso-width-relative:page;mso-height-relative:page;" fillcolor="#FFFFFF" filled="t" stroked="f" coordsize="21600,21600" o:gfxdata="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0CFzPtgAAAAJAQAADwAAAAAAAAABACAAAAAiAAAAZHJzL2Rvd25yZXYueG1sUEsB&#10;AhQAFAAAAAgAh07iQDRTSxK8AQAAfAMAAA4AAAAAAAAAAQAgAAAAJwEAAGRycy9lMm9Eb2MueG1s&#10;UEsFBgAAAAAGAAYAWQEAAFUFAAAAAA==&#10;">
                      <v:path/>
                      <v:fill on="t" focussize="0,0"/>
                      <v:stroke on="f"/>
                      <v:imagedata o:title=""/>
                      <o:lock v:ext="edit" aspectratio="f"/>
                      <v:textbox>
                        <w:txbxContent>
                          <w:p>
                            <w:r>
                              <w:rPr>
                                <w:rFonts w:hint="eastAsia"/>
                              </w:rPr>
                              <w:t>固废、扬尘、噪音、植被破坏</w:t>
                            </w:r>
                          </w:p>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77696" behindDoc="0" locked="0" layoutInCell="1" allowOverlap="1">
                      <wp:simplePos x="0" y="0"/>
                      <wp:positionH relativeFrom="column">
                        <wp:posOffset>2759710</wp:posOffset>
                      </wp:positionH>
                      <wp:positionV relativeFrom="paragraph">
                        <wp:posOffset>220345</wp:posOffset>
                      </wp:positionV>
                      <wp:extent cx="273050" cy="1270"/>
                      <wp:effectExtent l="0" t="37465" r="12700" b="37465"/>
                      <wp:wrapNone/>
                      <wp:docPr id="228" name="直接箭头连接符 228"/>
                      <wp:cNvGraphicFramePr/>
                      <a:graphic xmlns:a="http://schemas.openxmlformats.org/drawingml/2006/main">
                        <a:graphicData uri="http://schemas.microsoft.com/office/word/2010/wordprocessingShape">
                          <wps:wsp>
                            <wps:cNvCnPr>
                              <a:stCxn id="224" idx="2"/>
                              <a:endCxn id="13" idx="0"/>
                            </wps:cNvCnPr>
                            <wps:spPr>
                              <a:xfrm>
                                <a:off x="0" y="0"/>
                                <a:ext cx="273050" cy="127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17.3pt;margin-top:17.35pt;height:0.1pt;width:21.5pt;z-index:251677696;mso-width-relative:page;mso-height-relative:page;" filled="f" stroked="t" coordsize="21600,21600" o:gfxdata="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2&#10;CS9u1QAAAAkBAAAPAAAAAAAAAAEAIAAAACIAAABkcnMvZG93bnJldi54bWxQSwECFAAUAAAACACH&#10;TuJACg9v4CcCAABGBAAADgAAAAAAAAABACAAAAAkAQAAZHJzL2Uyb0RvYy54bWxQSwUGAAAAAAYA&#10;BgBZAQAAvQU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74624" behindDoc="0" locked="0" layoutInCell="1" allowOverlap="1">
                      <wp:simplePos x="0" y="0"/>
                      <wp:positionH relativeFrom="column">
                        <wp:posOffset>1772285</wp:posOffset>
                      </wp:positionH>
                      <wp:positionV relativeFrom="paragraph">
                        <wp:posOffset>54610</wp:posOffset>
                      </wp:positionV>
                      <wp:extent cx="958850" cy="270510"/>
                      <wp:effectExtent l="5080" t="5080" r="7620" b="10160"/>
                      <wp:wrapNone/>
                      <wp:docPr id="13" name="矩形 13"/>
                      <wp:cNvGraphicFramePr/>
                      <a:graphic xmlns:a="http://schemas.openxmlformats.org/drawingml/2006/main">
                        <a:graphicData uri="http://schemas.microsoft.com/office/word/2010/wordprocessingShape">
                          <wps:wsp>
                            <wps:cNvSpPr/>
                            <wps:spPr>
                              <a:xfrm>
                                <a:off x="0" y="0"/>
                                <a:ext cx="958850" cy="2705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石方开挖</w:t>
                                  </w:r>
                                </w:p>
                              </w:txbxContent>
                            </wps:txbx>
                            <wps:bodyPr upright="1"/>
                          </wps:wsp>
                        </a:graphicData>
                      </a:graphic>
                    </wp:anchor>
                  </w:drawing>
                </mc:Choice>
                <mc:Fallback>
                  <w:pict>
                    <v:rect id="_x0000_s1026" o:spid="_x0000_s1026" o:spt="1" style="position:absolute;left:0pt;margin-left:139.55pt;margin-top:4.3pt;height:21.3pt;width:75.5pt;z-index:251674624;mso-width-relative:page;mso-height-relative:page;" fillcolor="#FFFFFF" filled="t" stroked="t" coordsize="21600,21600" o:gfxdata="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yO5wtYAAAAIAQAADwAAAAAAAAABACAAAAAiAAAAZHJz&#10;L2Rvd25yZXYueG1sUEsBAhQAFAAAAAgAh07iQOmE3dgGAgAAOAQAAA4AAAAAAAAAAQAgAAAAJQEA&#10;AGRycy9lMm9Eb2MueG1sUEsFBgAAAAAGAAYAWQEAAJ0FAAAAAA==&#10;">
                      <v:path/>
                      <v:fill on="t" focussize="0,0"/>
                      <v:stroke/>
                      <v:imagedata o:title=""/>
                      <o:lock v:ext="edit" aspectratio="f"/>
                      <v:textbox>
                        <w:txbxContent>
                          <w:p>
                            <w:pPr>
                              <w:jc w:val="center"/>
                            </w:pPr>
                            <w:r>
                              <w:rPr>
                                <w:rFonts w:hint="eastAsia"/>
                              </w:rPr>
                              <w:t>石方开挖</w:t>
                            </w:r>
                          </w:p>
                        </w:txbxContent>
                      </v:textbox>
                    </v:rect>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675648" behindDoc="0" locked="0" layoutInCell="1" allowOverlap="1">
                      <wp:simplePos x="0" y="0"/>
                      <wp:positionH relativeFrom="column">
                        <wp:posOffset>2239645</wp:posOffset>
                      </wp:positionH>
                      <wp:positionV relativeFrom="paragraph">
                        <wp:posOffset>70485</wp:posOffset>
                      </wp:positionV>
                      <wp:extent cx="635" cy="220345"/>
                      <wp:effectExtent l="37465" t="0" r="38100" b="8255"/>
                      <wp:wrapNone/>
                      <wp:docPr id="10" name="直接箭头连接符 10"/>
                      <wp:cNvGraphicFramePr/>
                      <a:graphic xmlns:a="http://schemas.openxmlformats.org/drawingml/2006/main">
                        <a:graphicData uri="http://schemas.microsoft.com/office/word/2010/wordprocessingShape">
                          <wps:wsp>
                            <wps:cNvCnPr>
                              <a:stCxn id="224" idx="2"/>
                              <a:endCxn id="13" idx="0"/>
                            </wps:cNvCnPr>
                            <wps:spPr>
                              <a:xfrm>
                                <a:off x="0" y="0"/>
                                <a:ext cx="635" cy="22034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76.35pt;margin-top:5.55pt;height:17.35pt;width:0.05pt;z-index:251675648;mso-width-relative:page;mso-height-relative:page;" filled="f" stroked="t" coordsize="21600,21600" o:gfxdata="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JFqxN2QAAAAkBAAAPAAAAAAAAAAEAIAAAACIAAABkcnMvZG93bnJldi54bWxQSwECFAAUAAAA&#10;CACHTuJAlckJAiYCAABEBAAADgAAAAAAAAABACAAAAAoAQAAZHJzL2Uyb0RvYy54bWxQSwUGAAAA&#10;AAYABgBZAQAAwAUAAAAA&#10;">
                      <v:fill on="f" focussize="0,0"/>
                      <v:stroke color="#000000" joinstyle="round" endarrow="block"/>
                      <v:imagedata o:title=""/>
                      <o:lock v:ext="edit" aspectratio="f"/>
                    </v:shape>
                  </w:pict>
                </mc:Fallback>
              </mc:AlternateContent>
            </w:r>
          </w:p>
          <w:p>
            <w:pPr>
              <w:adjustRightInd w:val="0"/>
              <w:snapToGrid w:val="0"/>
              <w:spacing w:line="360" w:lineRule="auto"/>
              <w:ind w:firstLine="480" w:firstLineChars="200"/>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679744" behindDoc="0" locked="0" layoutInCell="1" allowOverlap="1">
                      <wp:simplePos x="0" y="0"/>
                      <wp:positionH relativeFrom="column">
                        <wp:posOffset>3253105</wp:posOffset>
                      </wp:positionH>
                      <wp:positionV relativeFrom="paragraph">
                        <wp:posOffset>29210</wp:posOffset>
                      </wp:positionV>
                      <wp:extent cx="1354455" cy="280670"/>
                      <wp:effectExtent l="0" t="0" r="17145" b="5080"/>
                      <wp:wrapNone/>
                      <wp:docPr id="229" name="矩形 229"/>
                      <wp:cNvGraphicFramePr/>
                      <a:graphic xmlns:a="http://schemas.openxmlformats.org/drawingml/2006/main">
                        <a:graphicData uri="http://schemas.microsoft.com/office/word/2010/wordprocessingShape">
                          <wps:wsp>
                            <wps:cNvSpPr/>
                            <wps:spPr>
                              <a:xfrm>
                                <a:off x="0" y="0"/>
                                <a:ext cx="1354455" cy="280670"/>
                              </a:xfrm>
                              <a:prstGeom prst="rect">
                                <a:avLst/>
                              </a:prstGeom>
                              <a:solidFill>
                                <a:srgbClr val="FFFFFF"/>
                              </a:solidFill>
                              <a:ln>
                                <a:noFill/>
                              </a:ln>
                              <a:effectLst/>
                            </wps:spPr>
                            <wps:txbx>
                              <w:txbxContent>
                                <w:p>
                                  <w:r>
                                    <w:rPr>
                                      <w:rFonts w:hint="eastAsia"/>
                                    </w:rPr>
                                    <w:t>噪声、扬尘</w:t>
                                  </w:r>
                                </w:p>
                              </w:txbxContent>
                            </wps:txbx>
                            <wps:bodyPr upright="1"/>
                          </wps:wsp>
                        </a:graphicData>
                      </a:graphic>
                    </wp:anchor>
                  </w:drawing>
                </mc:Choice>
                <mc:Fallback>
                  <w:pict>
                    <v:rect id="_x0000_s1026" o:spid="_x0000_s1026" o:spt="1" style="position:absolute;left:0pt;margin-left:256.15pt;margin-top:2.3pt;height:22.1pt;width:106.65pt;z-index:251679744;mso-width-relative:page;mso-height-relative:page;" fillcolor="#FFFFFF" filled="t" stroked="f" coordsize="21600,21600" o:gfxdata="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lH6PrWAAAACAEAAA8AAAAAAAAAAQAgAAAAIgAAAGRycy9kb3ducmV2LnhtbFBL&#10;AQIUABQAAAAIAIdO4kBjI2ecvwEAAHwDAAAOAAAAAAAAAAEAIAAAACUBAABkcnMvZTJvRG9jLnht&#10;bFBLBQYAAAAABgAGAFkBAABWBQAAAAA=&#10;">
                      <v:path/>
                      <v:fill on="t" focussize="0,0"/>
                      <v:stroke on="f"/>
                      <v:imagedata o:title=""/>
                      <o:lock v:ext="edit" aspectratio="f"/>
                      <v:textbox>
                        <w:txbxContent>
                          <w:p>
                            <w:r>
                              <w:rPr>
                                <w:rFonts w:hint="eastAsia"/>
                              </w:rPr>
                              <w:t>噪声、扬尘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80768" behindDoc="0" locked="0" layoutInCell="1" allowOverlap="1">
                      <wp:simplePos x="0" y="0"/>
                      <wp:positionH relativeFrom="column">
                        <wp:posOffset>2799080</wp:posOffset>
                      </wp:positionH>
                      <wp:positionV relativeFrom="paragraph">
                        <wp:posOffset>173355</wp:posOffset>
                      </wp:positionV>
                      <wp:extent cx="445135" cy="0"/>
                      <wp:effectExtent l="0" t="38100" r="12065" b="38100"/>
                      <wp:wrapNone/>
                      <wp:docPr id="230" name="直接箭头连接符 230"/>
                      <wp:cNvGraphicFramePr/>
                      <a:graphic xmlns:a="http://schemas.openxmlformats.org/drawingml/2006/main">
                        <a:graphicData uri="http://schemas.microsoft.com/office/word/2010/wordprocessingShape">
                          <wps:wsp>
                            <wps:cNvCnPr>
                              <a:stCxn id="224" idx="2"/>
                              <a:endCxn id="13" idx="0"/>
                            </wps:cNvCnPr>
                            <wps:spPr>
                              <a:xfrm>
                                <a:off x="0" y="0"/>
                                <a:ext cx="445135" cy="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20.4pt;margin-top:13.65pt;height:0pt;width:35.05pt;z-index:251680768;mso-width-relative:page;mso-height-relative:page;" filled="f" stroked="t" coordsize="21600,21600" o:gfxdata="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stqUTV&#10;AAAACQEAAA8AAAAAAAAAAQAgAAAAIgAAAGRycy9kb3ducmV2LnhtbFBLAQIUABQAAAAIAIdO4kAl&#10;sgEjIwIAAEMEAAAOAAAAAAAAAAEAIAAAACQBAABkcnMvZTJvRG9jLnhtbFBLBQYAAAAABgAGAFkB&#10;AAC5BQ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78720" behindDoc="0" locked="0" layoutInCell="1" allowOverlap="1">
                      <wp:simplePos x="0" y="0"/>
                      <wp:positionH relativeFrom="column">
                        <wp:posOffset>1802765</wp:posOffset>
                      </wp:positionH>
                      <wp:positionV relativeFrom="paragraph">
                        <wp:posOffset>12700</wp:posOffset>
                      </wp:positionV>
                      <wp:extent cx="973455" cy="279400"/>
                      <wp:effectExtent l="5080" t="4445" r="12065" b="20955"/>
                      <wp:wrapNone/>
                      <wp:docPr id="4" name="矩形 4"/>
                      <wp:cNvGraphicFramePr/>
                      <a:graphic xmlns:a="http://schemas.openxmlformats.org/drawingml/2006/main">
                        <a:graphicData uri="http://schemas.microsoft.com/office/word/2010/wordprocessingShape">
                          <wps:wsp>
                            <wps:cNvSpPr/>
                            <wps:spPr>
                              <a:xfrm>
                                <a:off x="0" y="0"/>
                                <a:ext cx="973455"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szCs w:val="21"/>
                                    </w:rPr>
                                  </w:pPr>
                                  <w:r>
                                    <w:rPr>
                                      <w:rFonts w:hint="eastAsia"/>
                                      <w:szCs w:val="21"/>
                                      <w:lang w:bidi="ar"/>
                                    </w:rPr>
                                    <w:t>土石回填</w:t>
                                  </w:r>
                                </w:p>
                              </w:txbxContent>
                            </wps:txbx>
                            <wps:bodyPr upright="1"/>
                          </wps:wsp>
                        </a:graphicData>
                      </a:graphic>
                    </wp:anchor>
                  </w:drawing>
                </mc:Choice>
                <mc:Fallback>
                  <w:pict>
                    <v:rect id="_x0000_s1026" o:spid="_x0000_s1026" o:spt="1" style="position:absolute;left:0pt;margin-left:141.95pt;margin-top:1pt;height:22pt;width:76.65pt;z-index:251678720;mso-width-relative:page;mso-height-relative:page;" fillcolor="#FFFFFF" filled="t" stroked="t" coordsize="21600,21600" o:gfxdata="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Ugc/vWAAAACAEAAA8AAAAAAAAAAQAgAAAAIgAAAGRy&#10;cy9kb3ducmV2LnhtbFBLAQIUABQAAAAIAIdO4kD/K9pzBwIAADYEAAAOAAAAAAAAAAEAIAAAACUB&#10;AABkcnMvZTJvRG9jLnhtbFBLBQYAAAAABgAGAFkBAACeBQAAAAA=&#10;">
                      <v:path/>
                      <v:fill on="t" focussize="0,0"/>
                      <v:stroke/>
                      <v:imagedata o:title=""/>
                      <o:lock v:ext="edit" aspectratio="f"/>
                      <v:textbox>
                        <w:txbxContent>
                          <w:p>
                            <w:pPr>
                              <w:jc w:val="center"/>
                              <w:rPr>
                                <w:szCs w:val="21"/>
                              </w:rPr>
                            </w:pPr>
                            <w:r>
                              <w:rPr>
                                <w:rFonts w:hint="eastAsia"/>
                                <w:szCs w:val="21"/>
                                <w:lang w:bidi="ar"/>
                              </w:rPr>
                              <w:t>土石回填</w:t>
                            </w:r>
                          </w:p>
                        </w:txbxContent>
                      </v:textbox>
                    </v:rect>
                  </w:pict>
                </mc:Fallback>
              </mc:AlternateContent>
            </w:r>
          </w:p>
          <w:p>
            <w:pPr>
              <w:spacing w:line="360" w:lineRule="auto"/>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692032" behindDoc="0" locked="0" layoutInCell="1" allowOverlap="1">
                      <wp:simplePos x="0" y="0"/>
                      <wp:positionH relativeFrom="column">
                        <wp:posOffset>3182620</wp:posOffset>
                      </wp:positionH>
                      <wp:positionV relativeFrom="paragraph">
                        <wp:posOffset>267335</wp:posOffset>
                      </wp:positionV>
                      <wp:extent cx="1600835" cy="271780"/>
                      <wp:effectExtent l="0" t="0" r="0" b="0"/>
                      <wp:wrapNone/>
                      <wp:docPr id="231" name="矩形 231"/>
                      <wp:cNvGraphicFramePr/>
                      <a:graphic xmlns:a="http://schemas.openxmlformats.org/drawingml/2006/main">
                        <a:graphicData uri="http://schemas.microsoft.com/office/word/2010/wordprocessingShape">
                          <wps:wsp>
                            <wps:cNvSpPr/>
                            <wps:spPr>
                              <a:xfrm>
                                <a:off x="0" y="0"/>
                                <a:ext cx="1600835" cy="271780"/>
                              </a:xfrm>
                              <a:prstGeom prst="rect">
                                <a:avLst/>
                              </a:prstGeom>
                              <a:noFill/>
                              <a:ln>
                                <a:noFill/>
                              </a:ln>
                              <a:effectLst/>
                            </wps:spPr>
                            <wps:txbx>
                              <w:txbxContent>
                                <w:p>
                                  <w:r>
                                    <w:rPr>
                                      <w:rFonts w:hint="eastAsia"/>
                                    </w:rPr>
                                    <w:t>噪声、扬尘</w:t>
                                  </w:r>
                                </w:p>
                              </w:txbxContent>
                            </wps:txbx>
                            <wps:bodyPr upright="1"/>
                          </wps:wsp>
                        </a:graphicData>
                      </a:graphic>
                    </wp:anchor>
                  </w:drawing>
                </mc:Choice>
                <mc:Fallback>
                  <w:pict>
                    <v:rect id="_x0000_s1026" o:spid="_x0000_s1026" o:spt="1" style="position:absolute;left:0pt;margin-left:250.6pt;margin-top:21.05pt;height:21.4pt;width:126.05pt;z-index:251692032;mso-width-relative:page;mso-height-relative:page;" filled="f" stroked="f" coordsize="21600,21600" o:gfxdata="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JRO0kDbAAAA&#10;CQEAAA8AAAAAAAAAAQAgAAAAIgAAAGRycy9kb3ducmV2LnhtbFBLAQIUABQAAAAIAIdO4kArot4F&#10;qAEAAFMDAAAOAAAAAAAAAAEAIAAAACoBAABkcnMvZTJvRG9jLnhtbFBLBQYAAAAABgAGAFkBAABE&#10;BQAAAAA=&#10;">
                      <v:path/>
                      <v:fill on="f" focussize="0,0"/>
                      <v:stroke on="f"/>
                      <v:imagedata o:title=""/>
                      <o:lock v:ext="edit" aspectratio="f"/>
                      <v:textbox>
                        <w:txbxContent>
                          <w:p>
                            <w:r>
                              <w:rPr>
                                <w:rFonts w:hint="eastAsia"/>
                              </w:rPr>
                              <w:t>噪声、扬尘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89312" behindDoc="0" locked="0" layoutInCell="1" allowOverlap="1">
                      <wp:simplePos x="0" y="0"/>
                      <wp:positionH relativeFrom="column">
                        <wp:posOffset>1834515</wp:posOffset>
                      </wp:positionH>
                      <wp:positionV relativeFrom="paragraph">
                        <wp:posOffset>240665</wp:posOffset>
                      </wp:positionV>
                      <wp:extent cx="914400" cy="278130"/>
                      <wp:effectExtent l="4445" t="4445" r="14605" b="22225"/>
                      <wp:wrapNone/>
                      <wp:docPr id="232" name="矩形 232"/>
                      <wp:cNvGraphicFramePr/>
                      <a:graphic xmlns:a="http://schemas.openxmlformats.org/drawingml/2006/main">
                        <a:graphicData uri="http://schemas.microsoft.com/office/word/2010/wordprocessingShape">
                          <wps:wsp>
                            <wps:cNvSpPr/>
                            <wps:spPr>
                              <a:xfrm>
                                <a:off x="0" y="0"/>
                                <a:ext cx="914400" cy="2781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沙壤土垫层</w:t>
                                  </w:r>
                                </w:p>
                              </w:txbxContent>
                            </wps:txbx>
                            <wps:bodyPr upright="1"/>
                          </wps:wsp>
                        </a:graphicData>
                      </a:graphic>
                    </wp:anchor>
                  </w:drawing>
                </mc:Choice>
                <mc:Fallback>
                  <w:pict>
                    <v:rect id="_x0000_s1026" o:spid="_x0000_s1026" o:spt="1" style="position:absolute;left:0pt;margin-left:144.45pt;margin-top:18.95pt;height:21.9pt;width:72pt;z-index:251789312;mso-width-relative:page;mso-height-relative:page;" fillcolor="#FFFFFF" filled="t" stroked="t" coordsize="21600,21600" o:gfxdata="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N2yTXYAAAACQEAAA8AAAAAAAAAAQAgAAAAIgAAAGRy&#10;cy9kb3ducmV2LnhtbFBLAQIUABQAAAAIAIdO4kBjIxztBQIAACwEAAAOAAAAAAAAAAEAIAAAACcB&#10;AABkcnMvZTJvRG9jLnhtbFBLBQYAAAAABgAGAFkBAACeBQAAAAA=&#10;">
                      <v:path/>
                      <v:fill on="t" color2="#FFFFFF" focussize="0,0"/>
                      <v:stroke joinstyle="miter"/>
                      <v:imagedata o:title=""/>
                      <o:lock v:ext="edit" aspectratio="f"/>
                      <v:textbox>
                        <w:txbxContent>
                          <w:p>
                            <w:pPr>
                              <w:jc w:val="center"/>
                            </w:pPr>
                            <w:r>
                              <w:rPr>
                                <w:rFonts w:hint="eastAsia"/>
                              </w:rPr>
                              <w:t>沙壤土垫层</w:t>
                            </w:r>
                          </w:p>
                        </w:txbxContent>
                      </v:textbox>
                    </v:rect>
                  </w:pict>
                </mc:Fallback>
              </mc:AlternateContent>
            </w:r>
            <w:r>
              <w:rPr>
                <w:rFonts w:ascii="Times New Roman" w:hAnsi="Times New Roman"/>
                <w:color w:val="000000"/>
              </w:rPr>
              <mc:AlternateContent>
                <mc:Choice Requires="wps">
                  <w:drawing>
                    <wp:anchor distT="0" distB="0" distL="114300" distR="114300" simplePos="0" relativeHeight="251681792" behindDoc="0" locked="0" layoutInCell="1" allowOverlap="1">
                      <wp:simplePos x="0" y="0"/>
                      <wp:positionH relativeFrom="column">
                        <wp:posOffset>2289810</wp:posOffset>
                      </wp:positionH>
                      <wp:positionV relativeFrom="paragraph">
                        <wp:posOffset>29210</wp:posOffset>
                      </wp:positionV>
                      <wp:extent cx="1905" cy="211455"/>
                      <wp:effectExtent l="36830" t="0" r="37465" b="17145"/>
                      <wp:wrapNone/>
                      <wp:docPr id="12" name="直接箭头连接符 12"/>
                      <wp:cNvGraphicFramePr/>
                      <a:graphic xmlns:a="http://schemas.openxmlformats.org/drawingml/2006/main">
                        <a:graphicData uri="http://schemas.microsoft.com/office/word/2010/wordprocessingShape">
                          <wps:wsp>
                            <wps:cNvCnPr>
                              <a:stCxn id="4" idx="2"/>
                              <a:endCxn id="232" idx="0"/>
                            </wps:cNvCnPr>
                            <wps:spPr>
                              <a:xfrm>
                                <a:off x="0" y="0"/>
                                <a:ext cx="1905" cy="21145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80.3pt;margin-top:2.3pt;height:16.65pt;width:0.15pt;z-index:251681792;mso-width-relative:page;mso-height-relative:page;" filled="f" stroked="t" coordsize="21600,21600" o:gfxdata="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LBX0f1wAAAAgBAAAPAAAAAAAAAAEAIAAAACIAAABkcnMvZG93bnJldi54bWxQSwECFAAUAAAA&#10;CACHTuJAo0ymhigCAABEBAAADgAAAAAAAAABACAAAAAmAQAAZHJzL2Uyb0RvYy54bWxQSwUGAAAA&#10;AAYABgBZAQAAwAUAAAAA&#10;">
                      <v:fill on="f" focussize="0,0"/>
                      <v:stroke color="#000000" joinstyle="round" endarrow="block"/>
                      <v:imagedata o:title=""/>
                      <o:lock v:ext="edit" aspectratio="f"/>
                    </v:shape>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rPr>
              <mc:AlternateContent>
                <mc:Choice Requires="wps">
                  <w:drawing>
                    <wp:anchor distT="0" distB="0" distL="114300" distR="114300" simplePos="0" relativeHeight="251695104" behindDoc="0" locked="0" layoutInCell="1" allowOverlap="1">
                      <wp:simplePos x="0" y="0"/>
                      <wp:positionH relativeFrom="column">
                        <wp:posOffset>53340</wp:posOffset>
                      </wp:positionH>
                      <wp:positionV relativeFrom="paragraph">
                        <wp:posOffset>215900</wp:posOffset>
                      </wp:positionV>
                      <wp:extent cx="1066800" cy="319405"/>
                      <wp:effectExtent l="5080" t="4445" r="13970" b="19050"/>
                      <wp:wrapNone/>
                      <wp:docPr id="233" name="矩形 233"/>
                      <wp:cNvGraphicFramePr/>
                      <a:graphic xmlns:a="http://schemas.openxmlformats.org/drawingml/2006/main">
                        <a:graphicData uri="http://schemas.microsoft.com/office/word/2010/wordprocessingShape">
                          <wps:wsp>
                            <wps:cNvSpPr/>
                            <wps:spPr>
                              <a:xfrm>
                                <a:off x="0" y="0"/>
                                <a:ext cx="1066800" cy="31940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外购砂石、骨料</w:t>
                                  </w:r>
                                </w:p>
                              </w:txbxContent>
                            </wps:txbx>
                            <wps:bodyPr upright="1"/>
                          </wps:wsp>
                        </a:graphicData>
                      </a:graphic>
                    </wp:anchor>
                  </w:drawing>
                </mc:Choice>
                <mc:Fallback>
                  <w:pict>
                    <v:rect id="_x0000_s1026" o:spid="_x0000_s1026" o:spt="1" style="position:absolute;left:0pt;margin-left:4.2pt;margin-top:17pt;height:25.15pt;width:84pt;z-index:251695104;mso-width-relative:page;mso-height-relative:page;" fillcolor="#FFFFFF" filled="t" stroked="t" coordsize="21600,21600" o:gfxdata="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7Tw9zUAAAABwEAAA8AAAAAAAAAAQAgAAAAIgAAAGRycy9kb3du&#10;cmV2LnhtbFBLAQIUABQAAAAIAIdO4kDpNy70AwIAAC0EAAAOAAAAAAAAAAEAIAAAACMBAABkcnMv&#10;ZTJvRG9jLnhtbFBLBQYAAAAABgAGAFkBAACYBQAAAAA=&#10;">
                      <v:path/>
                      <v:fill on="t" focussize="0,0"/>
                      <v:stroke/>
                      <v:imagedata o:title=""/>
                      <o:lock v:ext="edit" aspectratio="f"/>
                      <v:textbox>
                        <w:txbxContent>
                          <w:p>
                            <w:r>
                              <w:rPr>
                                <w:rFonts w:hint="eastAsia"/>
                              </w:rPr>
                              <w:t>外购砂石、骨料</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91008" behindDoc="0" locked="0" layoutInCell="1" allowOverlap="1">
                      <wp:simplePos x="0" y="0"/>
                      <wp:positionH relativeFrom="column">
                        <wp:posOffset>2767330</wp:posOffset>
                      </wp:positionH>
                      <wp:positionV relativeFrom="paragraph">
                        <wp:posOffset>107950</wp:posOffset>
                      </wp:positionV>
                      <wp:extent cx="421005" cy="0"/>
                      <wp:effectExtent l="0" t="38100" r="17145" b="38100"/>
                      <wp:wrapNone/>
                      <wp:docPr id="234" name="直接箭头连接符 234"/>
                      <wp:cNvGraphicFramePr/>
                      <a:graphic xmlns:a="http://schemas.openxmlformats.org/drawingml/2006/main">
                        <a:graphicData uri="http://schemas.microsoft.com/office/word/2010/wordprocessingShape">
                          <wps:wsp>
                            <wps:cNvCnPr>
                              <a:stCxn id="244" idx="2"/>
                              <a:endCxn id="18" idx="0"/>
                            </wps:cNvCnPr>
                            <wps:spPr>
                              <a:xfrm>
                                <a:off x="0" y="0"/>
                                <a:ext cx="421005" cy="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17.9pt;margin-top:8.5pt;height:0pt;width:33.15pt;z-index:251691008;mso-width-relative:page;mso-height-relative:page;" filled="f" stroked="t" coordsize="21600,21600" o:gfxdata="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2+BX&#10;89QAAAAJAQAADwAAAAAAAAABACAAAAAiAAAAZHJzL2Rvd25yZXYueG1sUEsBAhQAFAAAAAgAh07i&#10;QLziLDEmAgAAQwQAAA4AAAAAAAAAAQAgAAAAIwEAAGRycy9lMm9Eb2MueG1sUEsFBgAAAAAGAAYA&#10;WQEAALsFA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82816" behindDoc="0" locked="0" layoutInCell="1" allowOverlap="1">
                      <wp:simplePos x="0" y="0"/>
                      <wp:positionH relativeFrom="column">
                        <wp:posOffset>2291715</wp:posOffset>
                      </wp:positionH>
                      <wp:positionV relativeFrom="paragraph">
                        <wp:posOffset>239395</wp:posOffset>
                      </wp:positionV>
                      <wp:extent cx="2540" cy="247650"/>
                      <wp:effectExtent l="36195" t="0" r="37465" b="0"/>
                      <wp:wrapNone/>
                      <wp:docPr id="16" name="直接箭头连接符 16"/>
                      <wp:cNvGraphicFramePr/>
                      <a:graphic xmlns:a="http://schemas.openxmlformats.org/drawingml/2006/main">
                        <a:graphicData uri="http://schemas.microsoft.com/office/word/2010/wordprocessingShape">
                          <wps:wsp>
                            <wps:cNvCnPr>
                              <a:stCxn id="232" idx="2"/>
                              <a:endCxn id="239" idx="0"/>
                            </wps:cNvCnPr>
                            <wps:spPr>
                              <a:xfrm>
                                <a:off x="0" y="0"/>
                                <a:ext cx="2540" cy="24765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80.45pt;margin-top:18.85pt;height:19.5pt;width:0.2pt;z-index:251682816;mso-width-relative:page;mso-height-relative:page;" filled="f" stroked="t" coordsize="21600,21600" o:gfxdata="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kAuHb2gAAAAkBAAAPAAAAAAAAAAEAIAAAACIAAABkcnMvZG93bnJldi54bWxQSwECFAAU&#10;AAAACACHTuJAy1HjpigCAABGBAAADgAAAAAAAAABACAAAAApAQAAZHJzL2Uyb0RvYy54bWxQSwUG&#10;AAAAAAYABgBZAQAAwwUAAAAA&#10;">
                      <v:fill on="f" focussize="0,0"/>
                      <v:stroke color="#000000" joinstyle="round" endarrow="block"/>
                      <v:imagedata o:title=""/>
                      <o:lock v:ext="edit" aspectratio="f"/>
                    </v:shape>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rPr>
              <mc:AlternateContent>
                <mc:Choice Requires="wps">
                  <w:drawing>
                    <wp:anchor distT="0" distB="0" distL="114300" distR="114300" simplePos="0" relativeHeight="251698176" behindDoc="0" locked="0" layoutInCell="1" allowOverlap="1">
                      <wp:simplePos x="0" y="0"/>
                      <wp:positionH relativeFrom="column">
                        <wp:posOffset>1213485</wp:posOffset>
                      </wp:positionH>
                      <wp:positionV relativeFrom="paragraph">
                        <wp:posOffset>162560</wp:posOffset>
                      </wp:positionV>
                      <wp:extent cx="581025" cy="452120"/>
                      <wp:effectExtent l="0" t="0" r="9525" b="5080"/>
                      <wp:wrapNone/>
                      <wp:docPr id="235" name="矩形 235"/>
                      <wp:cNvGraphicFramePr/>
                      <a:graphic xmlns:a="http://schemas.openxmlformats.org/drawingml/2006/main">
                        <a:graphicData uri="http://schemas.microsoft.com/office/word/2010/wordprocessingShape">
                          <wps:wsp>
                            <wps:cNvSpPr/>
                            <wps:spPr>
                              <a:xfrm>
                                <a:off x="0" y="0"/>
                                <a:ext cx="581025" cy="452120"/>
                              </a:xfrm>
                              <a:prstGeom prst="rect">
                                <a:avLst/>
                              </a:prstGeom>
                              <a:solidFill>
                                <a:srgbClr val="FFFFFF"/>
                              </a:solidFill>
                              <a:ln>
                                <a:noFill/>
                              </a:ln>
                              <a:effectLst/>
                            </wps:spPr>
                            <wps:txbx>
                              <w:txbxContent>
                                <w:p>
                                  <w:r>
                                    <w:rPr>
                                      <w:rFonts w:hint="eastAsia"/>
                                    </w:rPr>
                                    <w:t>噪声、粉尘</w:t>
                                  </w:r>
                                </w:p>
                              </w:txbxContent>
                            </wps:txbx>
                            <wps:bodyPr upright="1"/>
                          </wps:wsp>
                        </a:graphicData>
                      </a:graphic>
                    </wp:anchor>
                  </w:drawing>
                </mc:Choice>
                <mc:Fallback>
                  <w:pict>
                    <v:rect id="_x0000_s1026" o:spid="_x0000_s1026" o:spt="1" style="position:absolute;left:0pt;margin-left:95.55pt;margin-top:12.8pt;height:35.6pt;width:45.75pt;z-index:251698176;mso-width-relative:page;mso-height-relative:page;" fillcolor="#FFFFFF" filled="t" stroked="f" coordsize="21600,21600" o:gfxdata="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9MbBdYAAAAJAQAADwAAAAAAAAABACAAAAAiAAAAZHJzL2Rvd25yZXYueG1sUEsBAhQA&#10;FAAAAAgAh07iQBD3cBy7AQAAewMAAA4AAAAAAAAAAQAgAAAAJQEAAGRycy9lMm9Eb2MueG1sUEsF&#10;BgAAAAAGAAYAWQEAAFIFAAAAAA==&#10;">
                      <v:path/>
                      <v:fill on="t" focussize="0,0"/>
                      <v:stroke on="f"/>
                      <v:imagedata o:title=""/>
                      <o:lock v:ext="edit" aspectratio="f"/>
                      <v:textbox>
                        <w:txbxContent>
                          <w:p>
                            <w:r>
                              <w:rPr>
                                <w:rFonts w:hint="eastAsia"/>
                              </w:rPr>
                              <w:t>噪声、粉尘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68480" behindDoc="0" locked="0" layoutInCell="1" allowOverlap="1">
                      <wp:simplePos x="0" y="0"/>
                      <wp:positionH relativeFrom="column">
                        <wp:posOffset>584835</wp:posOffset>
                      </wp:positionH>
                      <wp:positionV relativeFrom="paragraph">
                        <wp:posOffset>189230</wp:posOffset>
                      </wp:positionV>
                      <wp:extent cx="1905" cy="433705"/>
                      <wp:effectExtent l="37465" t="0" r="36830" b="4445"/>
                      <wp:wrapNone/>
                      <wp:docPr id="236" name="直接箭头连接符 236"/>
                      <wp:cNvGraphicFramePr/>
                      <a:graphic xmlns:a="http://schemas.openxmlformats.org/drawingml/2006/main">
                        <a:graphicData uri="http://schemas.microsoft.com/office/word/2010/wordprocessingShape">
                          <wps:wsp>
                            <wps:cNvCnPr>
                              <a:stCxn id="233" idx="2"/>
                              <a:endCxn id="241" idx="0"/>
                            </wps:cNvCnPr>
                            <wps:spPr>
                              <a:xfrm flipH="1">
                                <a:off x="0" y="0"/>
                                <a:ext cx="1905" cy="43370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margin-left:46.05pt;margin-top:14.9pt;height:34.15pt;width:0.15pt;z-index:251668480;mso-width-relative:page;mso-height-relative:page;" filled="f" stroked="t" coordsize="21600,21600" o:gfxdata="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El0qtcAAAAHAQAADwAAAAAAAAABACAAAAAiAAAAZHJzL2Rvd25yZXYueG1sUEsB&#10;AhQAFAAAAAgAh07iQK8DDpYvAgAAUgQAAA4AAAAAAAAAAQAgAAAAJgEAAGRycy9lMm9Eb2MueG1s&#10;UEsFBgAAAAAGAAYAWQEAAMcFAAAAAA==&#10;">
                      <v:fill on="f" focussize="0,0"/>
                      <v:stroke color="#000000" joinstyle="round"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94080" behindDoc="0" locked="0" layoutInCell="1" allowOverlap="1">
                      <wp:simplePos x="0" y="0"/>
                      <wp:positionH relativeFrom="column">
                        <wp:posOffset>3114040</wp:posOffset>
                      </wp:positionH>
                      <wp:positionV relativeFrom="paragraph">
                        <wp:posOffset>151130</wp:posOffset>
                      </wp:positionV>
                      <wp:extent cx="1400175" cy="334645"/>
                      <wp:effectExtent l="0" t="0" r="9525" b="8255"/>
                      <wp:wrapNone/>
                      <wp:docPr id="237" name="矩形 237"/>
                      <wp:cNvGraphicFramePr/>
                      <a:graphic xmlns:a="http://schemas.openxmlformats.org/drawingml/2006/main">
                        <a:graphicData uri="http://schemas.microsoft.com/office/word/2010/wordprocessingShape">
                          <wps:wsp>
                            <wps:cNvSpPr/>
                            <wps:spPr>
                              <a:xfrm>
                                <a:off x="0" y="0"/>
                                <a:ext cx="1400175" cy="334645"/>
                              </a:xfrm>
                              <a:prstGeom prst="rect">
                                <a:avLst/>
                              </a:prstGeom>
                              <a:solidFill>
                                <a:srgbClr val="FFFFFF"/>
                              </a:solidFill>
                              <a:ln>
                                <a:noFill/>
                              </a:ln>
                              <a:effectLst/>
                            </wps:spPr>
                            <wps:txbx>
                              <w:txbxContent>
                                <w:p>
                                  <w:r>
                                    <w:rPr>
                                      <w:rFonts w:hint="eastAsia"/>
                                    </w:rPr>
                                    <w:t>噪声、扬尘</w:t>
                                  </w:r>
                                </w:p>
                              </w:txbxContent>
                            </wps:txbx>
                            <wps:bodyPr upright="1"/>
                          </wps:wsp>
                        </a:graphicData>
                      </a:graphic>
                    </wp:anchor>
                  </w:drawing>
                </mc:Choice>
                <mc:Fallback>
                  <w:pict>
                    <v:rect id="_x0000_s1026" o:spid="_x0000_s1026" o:spt="1" style="position:absolute;left:0pt;margin-left:245.2pt;margin-top:11.9pt;height:26.35pt;width:110.25pt;z-index:251694080;mso-width-relative:page;mso-height-relative:page;" fillcolor="#FFFFFF" filled="t" stroked="f" coordsize="21600,21600" o:gfxdata="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L+rydcAAAAJAQAADwAAAAAAAAABACAAAAAiAAAAZHJzL2Rvd25yZXYueG1sUEsB&#10;AhQAFAAAAAgAh07iQLfQQna9AQAAfAMAAA4AAAAAAAAAAQAgAAAAJgEAAGRycy9lMm9Eb2MueG1s&#10;UEsFBgAAAAAGAAYAWQEAAFUFAAAAAA==&#10;">
                      <v:path/>
                      <v:fill on="t" focussize="0,0"/>
                      <v:stroke on="f"/>
                      <v:imagedata o:title=""/>
                      <o:lock v:ext="edit" aspectratio="f"/>
                      <v:textbox>
                        <w:txbxContent>
                          <w:p>
                            <w:r>
                              <w:rPr>
                                <w:rFonts w:hint="eastAsia"/>
                              </w:rPr>
                              <w:t>噪声、扬尘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93056" behindDoc="0" locked="0" layoutInCell="1" allowOverlap="1">
                      <wp:simplePos x="0" y="0"/>
                      <wp:positionH relativeFrom="column">
                        <wp:posOffset>2749550</wp:posOffset>
                      </wp:positionH>
                      <wp:positionV relativeFrom="paragraph">
                        <wp:posOffset>276225</wp:posOffset>
                      </wp:positionV>
                      <wp:extent cx="360680" cy="0"/>
                      <wp:effectExtent l="0" t="38100" r="1270" b="38100"/>
                      <wp:wrapNone/>
                      <wp:docPr id="238" name="直接箭头连接符 238"/>
                      <wp:cNvGraphicFramePr/>
                      <a:graphic xmlns:a="http://schemas.openxmlformats.org/drawingml/2006/main">
                        <a:graphicData uri="http://schemas.microsoft.com/office/word/2010/wordprocessingShape">
                          <wps:wsp>
                            <wps:cNvCnPr>
                              <a:stCxn id="244" idx="2"/>
                              <a:endCxn id="18" idx="0"/>
                            </wps:cNvCnPr>
                            <wps:spPr>
                              <a:xfrm>
                                <a:off x="0" y="0"/>
                                <a:ext cx="360680" cy="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16.5pt;margin-top:21.75pt;height:0pt;width:28.4pt;z-index:251693056;mso-width-relative:page;mso-height-relative:page;" filled="f" stroked="t" coordsize="21600,21600" o:gfxdata="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zn&#10;Pd/VAAAACQEAAA8AAAAAAAAAAQAgAAAAIgAAAGRycy9kb3ducmV2LnhtbFBLAQIUABQAAAAIAIdO&#10;4kBPTV2IJgIAAEMEAAAOAAAAAAAAAAEAIAAAACQBAABkcnMvZTJvRG9jLnhtbFBLBQYAAAAABgAG&#10;AFkBAAC8BQ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90336" behindDoc="0" locked="0" layoutInCell="1" allowOverlap="1">
                      <wp:simplePos x="0" y="0"/>
                      <wp:positionH relativeFrom="column">
                        <wp:posOffset>1852930</wp:posOffset>
                      </wp:positionH>
                      <wp:positionV relativeFrom="paragraph">
                        <wp:posOffset>141605</wp:posOffset>
                      </wp:positionV>
                      <wp:extent cx="882650" cy="254635"/>
                      <wp:effectExtent l="4445" t="4445" r="8255" b="7620"/>
                      <wp:wrapNone/>
                      <wp:docPr id="239" name="矩形 239"/>
                      <wp:cNvGraphicFramePr/>
                      <a:graphic xmlns:a="http://schemas.openxmlformats.org/drawingml/2006/main">
                        <a:graphicData uri="http://schemas.microsoft.com/office/word/2010/wordprocessingShape">
                          <wps:wsp>
                            <wps:cNvSpPr/>
                            <wps:spPr>
                              <a:xfrm>
                                <a:off x="0" y="0"/>
                                <a:ext cx="882650" cy="2546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碎石垫层</w:t>
                                  </w:r>
                                </w:p>
                              </w:txbxContent>
                            </wps:txbx>
                            <wps:bodyPr upright="1"/>
                          </wps:wsp>
                        </a:graphicData>
                      </a:graphic>
                    </wp:anchor>
                  </w:drawing>
                </mc:Choice>
                <mc:Fallback>
                  <w:pict>
                    <v:rect id="_x0000_s1026" o:spid="_x0000_s1026" o:spt="1" style="position:absolute;left:0pt;margin-left:145.9pt;margin-top:11.15pt;height:20.05pt;width:69.5pt;z-index:251790336;mso-width-relative:page;mso-height-relative:page;" fillcolor="#FFFFFF" filled="t" stroked="t" coordsize="21600,21600" o:gfxdata="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YolI/XAAAACQEAAA8AAAAAAAAAAQAgAAAAIgAAAGRycy9k&#10;b3ducmV2LnhtbFBLAQIUABQAAAAIAIdO4kC58ZiOAwIAACwEAAAOAAAAAAAAAAEAIAAAACYBAABk&#10;cnMvZTJvRG9jLnhtbFBLBQYAAAAABgAGAFkBAACbBQAAAAA=&#10;">
                      <v:path/>
                      <v:fill on="t" color2="#FFFFFF" focussize="0,0"/>
                      <v:stroke joinstyle="miter"/>
                      <v:imagedata o:title=""/>
                      <o:lock v:ext="edit" aspectratio="f"/>
                      <v:textbox>
                        <w:txbxContent>
                          <w:p>
                            <w:pPr>
                              <w:jc w:val="center"/>
                              <w:rPr>
                                <w:rFonts w:hint="eastAsia"/>
                              </w:rPr>
                            </w:pPr>
                            <w:r>
                              <w:rPr>
                                <w:rFonts w:hint="eastAsia"/>
                              </w:rPr>
                              <w:t>碎石垫层</w:t>
                            </w:r>
                          </w:p>
                        </w:txbxContent>
                      </v:textbox>
                    </v:rect>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sz w:val="24"/>
              </w:rPr>
              <mc:AlternateContent>
                <mc:Choice Requires="wps">
                  <w:drawing>
                    <wp:anchor distT="0" distB="0" distL="114300" distR="114300" simplePos="0" relativeHeight="251697152" behindDoc="0" locked="0" layoutInCell="1" allowOverlap="1">
                      <wp:simplePos x="0" y="0"/>
                      <wp:positionH relativeFrom="column">
                        <wp:posOffset>941705</wp:posOffset>
                      </wp:positionH>
                      <wp:positionV relativeFrom="paragraph">
                        <wp:posOffset>105410</wp:posOffset>
                      </wp:positionV>
                      <wp:extent cx="219075" cy="171450"/>
                      <wp:effectExtent l="3175" t="0" r="6350" b="19050"/>
                      <wp:wrapNone/>
                      <wp:docPr id="240" name="直接箭头连接符 240"/>
                      <wp:cNvGraphicFramePr/>
                      <a:graphic xmlns:a="http://schemas.openxmlformats.org/drawingml/2006/main">
                        <a:graphicData uri="http://schemas.microsoft.com/office/word/2010/wordprocessingShape">
                          <wps:wsp>
                            <wps:cNvCnPr>
                              <a:stCxn id="233" idx="2"/>
                              <a:endCxn id="241" idx="0"/>
                            </wps:cNvCnPr>
                            <wps:spPr>
                              <a:xfrm flipV="1">
                                <a:off x="0" y="0"/>
                                <a:ext cx="219075" cy="17145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flip:y;margin-left:74.15pt;margin-top:8.3pt;height:13.5pt;width:17.25pt;z-index:251697152;mso-width-relative:page;mso-height-relative:page;" filled="f" stroked="t" coordsize="21600,21600" o:gfxdata="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wpYPbTAAAACQEAAA8AAAAAAAAAAQAgAAAAIgAAAGRycy9kb3ducmV2LnhtbFBLAQIU&#10;ABQAAAAIAIdO4kBj+pzCMQIAAFMEAAAOAAAAAAAAAAEAIAAAACIBAABkcnMvZTJvRG9jLnhtbFBL&#10;BQYAAAAABgAGAFkBAADFBQ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96128" behindDoc="0" locked="0" layoutInCell="1" allowOverlap="1">
                      <wp:simplePos x="0" y="0"/>
                      <wp:positionH relativeFrom="column">
                        <wp:posOffset>215265</wp:posOffset>
                      </wp:positionH>
                      <wp:positionV relativeFrom="paragraph">
                        <wp:posOffset>276860</wp:posOffset>
                      </wp:positionV>
                      <wp:extent cx="738505" cy="281940"/>
                      <wp:effectExtent l="4445" t="5080" r="19050" b="17780"/>
                      <wp:wrapNone/>
                      <wp:docPr id="241" name="矩形 241"/>
                      <wp:cNvGraphicFramePr/>
                      <a:graphic xmlns:a="http://schemas.openxmlformats.org/drawingml/2006/main">
                        <a:graphicData uri="http://schemas.microsoft.com/office/word/2010/wordprocessingShape">
                          <wps:wsp>
                            <wps:cNvSpPr/>
                            <wps:spPr>
                              <a:xfrm>
                                <a:off x="0" y="0"/>
                                <a:ext cx="738505" cy="281940"/>
                              </a:xfrm>
                              <a:prstGeom prst="rect">
                                <a:avLst/>
                              </a:prstGeom>
                              <a:solidFill>
                                <a:srgbClr val="FFFFFF"/>
                              </a:solidFill>
                              <a:ln w="3175" cap="flat" cmpd="sng">
                                <a:solidFill>
                                  <a:srgbClr val="000000"/>
                                </a:solidFill>
                                <a:prstDash val="solid"/>
                                <a:miter/>
                                <a:headEnd type="none" w="med" len="med"/>
                                <a:tailEnd type="none" w="med" len="med"/>
                              </a:ln>
                              <a:effectLst/>
                            </wps:spPr>
                            <wps:txbx>
                              <w:txbxContent>
                                <w:p>
                                  <w:pPr>
                                    <w:jc w:val="center"/>
                                  </w:pPr>
                                  <w:r>
                                    <w:rPr>
                                      <w:rFonts w:hint="eastAsia"/>
                                    </w:rPr>
                                    <w:t>砼拌合</w:t>
                                  </w:r>
                                </w:p>
                              </w:txbxContent>
                            </wps:txbx>
                            <wps:bodyPr upright="1"/>
                          </wps:wsp>
                        </a:graphicData>
                      </a:graphic>
                    </wp:anchor>
                  </w:drawing>
                </mc:Choice>
                <mc:Fallback>
                  <w:pict>
                    <v:rect id="_x0000_s1026" o:spid="_x0000_s1026" o:spt="1" style="position:absolute;left:0pt;margin-left:16.95pt;margin-top:21.8pt;height:22.2pt;width:58.15pt;z-index:251696128;mso-width-relative:page;mso-height-relative:page;" fillcolor="#FFFFFF" filled="t" stroked="t" coordsize="21600,21600" o:gfxdata="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Idh69UAAAAIAQAADwAAAAAAAAABACAAAAAiAAAA&#10;ZHJzL2Rvd25yZXYueG1sUEsBAhQAFAAAAAgAh07iQC4WV8YKAgAAOgQAAA4AAAAAAAAAAQAgAAAA&#10;JAEAAGRycy9lMm9Eb2MueG1sUEsFBgAAAAAGAAYAWQEAAKAFAAAAAA==&#10;">
                      <v:path/>
                      <v:fill on="t" focussize="0,0"/>
                      <v:stroke weight="0.25pt"/>
                      <v:imagedata o:title=""/>
                      <o:lock v:ext="edit" aspectratio="f"/>
                      <v:textbox>
                        <w:txbxContent>
                          <w:p>
                            <w:pPr>
                              <w:jc w:val="center"/>
                            </w:pPr>
                            <w:r>
                              <w:rPr>
                                <w:rFonts w:hint="eastAsia"/>
                              </w:rPr>
                              <w:t>砼拌合</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91360" behindDoc="0" locked="0" layoutInCell="1" allowOverlap="1">
                      <wp:simplePos x="0" y="0"/>
                      <wp:positionH relativeFrom="column">
                        <wp:posOffset>1829435</wp:posOffset>
                      </wp:positionH>
                      <wp:positionV relativeFrom="paragraph">
                        <wp:posOffset>278765</wp:posOffset>
                      </wp:positionV>
                      <wp:extent cx="914400" cy="278130"/>
                      <wp:effectExtent l="4445" t="4445" r="14605" b="22225"/>
                      <wp:wrapNone/>
                      <wp:docPr id="6" name="矩形 6"/>
                      <wp:cNvGraphicFramePr/>
                      <a:graphic xmlns:a="http://schemas.openxmlformats.org/drawingml/2006/main">
                        <a:graphicData uri="http://schemas.microsoft.com/office/word/2010/wordprocessingShape">
                          <wps:wsp>
                            <wps:cNvSpPr/>
                            <wps:spPr>
                              <a:xfrm>
                                <a:off x="0" y="0"/>
                                <a:ext cx="914400" cy="27813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砼浇筑</w:t>
                                  </w:r>
                                </w:p>
                                <w:p/>
                                <w:p/>
                              </w:txbxContent>
                            </wps:txbx>
                            <wps:bodyPr upright="1"/>
                          </wps:wsp>
                        </a:graphicData>
                      </a:graphic>
                    </wp:anchor>
                  </w:drawing>
                </mc:Choice>
                <mc:Fallback>
                  <w:pict>
                    <v:rect id="_x0000_s1026" o:spid="_x0000_s1026" o:spt="1" style="position:absolute;left:0pt;margin-left:144.05pt;margin-top:21.95pt;height:21.9pt;width:72pt;z-index:251791360;mso-width-relative:page;mso-height-relative:page;" fillcolor="#FFFFFF" filled="t" stroked="t" coordsize="21600,21600" o:gfxdata="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lNTgdgAAAAJAQAADwAAAAAAAAABACAAAAAiAAAA&#10;ZHJzL2Rvd25yZXYueG1sUEsBAhQAFAAAAAgAh07iQEFYE8EHAgAANgQAAA4AAAAAAAAAAQAgAAAA&#10;JwEAAGRycy9lMm9Eb2MueG1sUEsFBgAAAAAGAAYAWQEAAKAFAAAAAA==&#10;">
                      <v:path/>
                      <v:fill on="t" focussize="0,0"/>
                      <v:stroke/>
                      <v:imagedata o:title=""/>
                      <o:lock v:ext="edit" aspectratio="f"/>
                      <v:textbox>
                        <w:txbxContent>
                          <w:p>
                            <w:pPr>
                              <w:jc w:val="center"/>
                            </w:pPr>
                            <w:r>
                              <w:rPr>
                                <w:rFonts w:hint="eastAsia"/>
                              </w:rPr>
                              <w:t>砼浇筑</w:t>
                            </w:r>
                          </w:p>
                          <w:p/>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86912" behindDoc="0" locked="0" layoutInCell="1" allowOverlap="1">
                      <wp:simplePos x="0" y="0"/>
                      <wp:positionH relativeFrom="column">
                        <wp:posOffset>3197225</wp:posOffset>
                      </wp:positionH>
                      <wp:positionV relativeFrom="paragraph">
                        <wp:posOffset>345440</wp:posOffset>
                      </wp:positionV>
                      <wp:extent cx="1557655" cy="349885"/>
                      <wp:effectExtent l="0" t="0" r="4445" b="12065"/>
                      <wp:wrapNone/>
                      <wp:docPr id="14" name="矩形 14"/>
                      <wp:cNvGraphicFramePr/>
                      <a:graphic xmlns:a="http://schemas.openxmlformats.org/drawingml/2006/main">
                        <a:graphicData uri="http://schemas.microsoft.com/office/word/2010/wordprocessingShape">
                          <wps:wsp>
                            <wps:cNvSpPr/>
                            <wps:spPr>
                              <a:xfrm>
                                <a:off x="0" y="0"/>
                                <a:ext cx="1557655" cy="349885"/>
                              </a:xfrm>
                              <a:prstGeom prst="rect">
                                <a:avLst/>
                              </a:prstGeom>
                              <a:solidFill>
                                <a:srgbClr val="FFFFFF"/>
                              </a:solidFill>
                              <a:ln>
                                <a:noFill/>
                              </a:ln>
                              <a:effectLst/>
                            </wps:spPr>
                            <wps:txbx>
                              <w:txbxContent>
                                <w:p>
                                  <w:r>
                                    <w:rPr>
                                      <w:rFonts w:hint="eastAsia"/>
                                    </w:rPr>
                                    <w:t>噪声、扬尘</w:t>
                                  </w:r>
                                </w:p>
                              </w:txbxContent>
                            </wps:txbx>
                            <wps:bodyPr upright="1"/>
                          </wps:wsp>
                        </a:graphicData>
                      </a:graphic>
                    </wp:anchor>
                  </w:drawing>
                </mc:Choice>
                <mc:Fallback>
                  <w:pict>
                    <v:rect id="_x0000_s1026" o:spid="_x0000_s1026" o:spt="1" style="position:absolute;left:0pt;margin-left:251.75pt;margin-top:27.2pt;height:27.55pt;width:122.65pt;z-index:251686912;mso-width-relative:page;mso-height-relative:page;" fillcolor="#FFFFFF" filled="t" stroked="f" coordsize="21600,21600" o:gfxdata="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odHxtdgAAAAKAQAADwAAAAAAAAABACAAAAAiAAAAZHJzL2Rvd25yZXYueG1sUEsB&#10;AhQAFAAAAAgAh07iQJs3qg+8AQAAegMAAA4AAAAAAAAAAQAgAAAAJwEAAGRycy9lMm9Eb2MueG1s&#10;UEsFBgAAAAAGAAYAWQEAAFUFAAAAAA==&#10;">
                      <v:path/>
                      <v:fill on="t" focussize="0,0"/>
                      <v:stroke on="f"/>
                      <v:imagedata o:title=""/>
                      <o:lock v:ext="edit" aspectratio="f"/>
                      <v:textbox>
                        <w:txbxContent>
                          <w:p>
                            <w:r>
                              <w:rPr>
                                <w:rFonts w:hint="eastAsia"/>
                              </w:rPr>
                              <w:t>噪声、扬尘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83840" behindDoc="0" locked="0" layoutInCell="1" allowOverlap="1">
                      <wp:simplePos x="0" y="0"/>
                      <wp:positionH relativeFrom="column">
                        <wp:posOffset>2286635</wp:posOffset>
                      </wp:positionH>
                      <wp:positionV relativeFrom="paragraph">
                        <wp:posOffset>50165</wp:posOffset>
                      </wp:positionV>
                      <wp:extent cx="7620" cy="228600"/>
                      <wp:effectExtent l="35560" t="0" r="33020" b="0"/>
                      <wp:wrapNone/>
                      <wp:docPr id="11" name="直接箭头连接符 11"/>
                      <wp:cNvGraphicFramePr/>
                      <a:graphic xmlns:a="http://schemas.openxmlformats.org/drawingml/2006/main">
                        <a:graphicData uri="http://schemas.microsoft.com/office/word/2010/wordprocessingShape">
                          <wps:wsp>
                            <wps:cNvCnPr>
                              <a:stCxn id="239" idx="2"/>
                              <a:endCxn id="6" idx="0"/>
                            </wps:cNvCnPr>
                            <wps:spPr>
                              <a:xfrm flipH="1">
                                <a:off x="0" y="0"/>
                                <a:ext cx="7620" cy="22860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margin-left:180.05pt;margin-top:3.95pt;height:18pt;width:0.6pt;z-index:251683840;mso-width-relative:page;mso-height-relative:page;" filled="f" stroked="t" coordsize="21600,21600" o:gfxdata="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algmS2QAAAAgBAAAPAAAAAAAAAAEAIAAAACIAAABkcnMvZG93bnJldi54bWxQ&#10;SwECFAAUAAAACACHTuJA7bpbyy8CAABOBAAADgAAAAAAAAABACAAAAAoAQAAZHJzL2Uyb0RvYy54&#10;bWxQSwUGAAAAAAYABgBZAQAAyQUAAAAA&#10;">
                      <v:fill on="f" focussize="0,0"/>
                      <v:stroke color="#000000" joinstyle="round" endarrow="block"/>
                      <v:imagedata o:title=""/>
                      <o:lock v:ext="edit" aspectratio="f"/>
                    </v:shape>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sz w:val="24"/>
              </w:rPr>
              <mc:AlternateContent>
                <mc:Choice Requires="wps">
                  <w:drawing>
                    <wp:anchor distT="0" distB="0" distL="114300" distR="114300" simplePos="0" relativeHeight="251684864" behindDoc="0" locked="0" layoutInCell="1" allowOverlap="1">
                      <wp:simplePos x="0" y="0"/>
                      <wp:positionH relativeFrom="column">
                        <wp:posOffset>941705</wp:posOffset>
                      </wp:positionH>
                      <wp:positionV relativeFrom="paragraph">
                        <wp:posOffset>116205</wp:posOffset>
                      </wp:positionV>
                      <wp:extent cx="875665" cy="0"/>
                      <wp:effectExtent l="0" t="38100" r="635" b="38100"/>
                      <wp:wrapNone/>
                      <wp:docPr id="242" name="直接箭头连接符 242"/>
                      <wp:cNvGraphicFramePr/>
                      <a:graphic xmlns:a="http://schemas.openxmlformats.org/drawingml/2006/main">
                        <a:graphicData uri="http://schemas.microsoft.com/office/word/2010/wordprocessingShape">
                          <wps:wsp>
                            <wps:cNvCnPr>
                              <a:stCxn id="239" idx="2"/>
                              <a:endCxn id="6" idx="0"/>
                            </wps:cNvCnPr>
                            <wps:spPr>
                              <a:xfrm>
                                <a:off x="0" y="0"/>
                                <a:ext cx="875665" cy="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74.15pt;margin-top:9.15pt;height:0pt;width:68.95pt;z-index:251684864;mso-width-relative:page;mso-height-relative:page;" filled="f" stroked="t" coordsize="21600,21600" o:gfxdata="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v7&#10;V0vXAAAACQEAAA8AAAAAAAAAAQAgAAAAIgAAAGRycy9kb3ducmV2LnhtbFBLAQIUABQAAAAIAIdO&#10;4kAEZa6mJAIAAEMEAAAOAAAAAAAAAAEAIAAAACYBAABkcnMvZTJvRG9jLnhtbFBLBQYAAAAABgAG&#10;AFkBAAC8BQAAAAA=&#10;">
                      <v:fill on="f" focussize="0,0"/>
                      <v:stroke color="#000000" joinstyle="round"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85888" behindDoc="0" locked="0" layoutInCell="1" allowOverlap="1">
                      <wp:simplePos x="0" y="0"/>
                      <wp:positionH relativeFrom="column">
                        <wp:posOffset>2769235</wp:posOffset>
                      </wp:positionH>
                      <wp:positionV relativeFrom="paragraph">
                        <wp:posOffset>109220</wp:posOffset>
                      </wp:positionV>
                      <wp:extent cx="405130" cy="0"/>
                      <wp:effectExtent l="0" t="38100" r="13970" b="38100"/>
                      <wp:wrapNone/>
                      <wp:docPr id="17" name="直接箭头连接符 17"/>
                      <wp:cNvGraphicFramePr/>
                      <a:graphic xmlns:a="http://schemas.openxmlformats.org/drawingml/2006/main">
                        <a:graphicData uri="http://schemas.microsoft.com/office/word/2010/wordprocessingShape">
                          <wps:wsp>
                            <wps:cNvCnPr>
                              <a:stCxn id="241" idx="3"/>
                              <a:endCxn id="6" idx="1"/>
                            </wps:cNvCnPr>
                            <wps:spPr>
                              <a:xfrm>
                                <a:off x="0" y="0"/>
                                <a:ext cx="405130" cy="0"/>
                              </a:xfrm>
                              <a:prstGeom prst="straightConnector1">
                                <a:avLst/>
                              </a:prstGeom>
                              <a:ln w="9525" cap="flat" cmpd="sng">
                                <a:solidFill>
                                  <a:srgbClr val="000000"/>
                                </a:solidFill>
                                <a:prstDash val="dash"/>
                                <a:headEnd type="none" w="med" len="med"/>
                                <a:tailEnd type="triangle" w="med" len="med"/>
                              </a:ln>
                              <a:effectLst/>
                            </wps:spPr>
                            <wps:bodyPr/>
                          </wps:wsp>
                        </a:graphicData>
                      </a:graphic>
                    </wp:anchor>
                  </w:drawing>
                </mc:Choice>
                <mc:Fallback>
                  <w:pict>
                    <v:shape id="_x0000_s1026" o:spid="_x0000_s1026" o:spt="32" type="#_x0000_t32" style="position:absolute;left:0pt;margin-left:218.05pt;margin-top:8.6pt;height:0pt;width:31.9pt;z-index:251685888;mso-width-relative:page;mso-height-relative:page;" filled="f" stroked="t" coordsize="21600,21600" o:gfxdata="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sDOjV&#10;1AAAAAkBAAAPAAAAAAAAAAEAIAAAACIAAABkcnMvZG93bnJldi54bWxQSwECFAAUAAAACACHTuJA&#10;aFEgIiUCAABABAAADgAAAAAAAAABACAAAAAjAQAAZHJzL2Uyb0RvYy54bWxQSwUGAAAAAAYABgBZ&#10;AQAAugUAAAAA&#10;">
                      <v:fill on="f" focussize="0,0"/>
                      <v:stroke color="#000000" joinstyle="round"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687936" behindDoc="0" locked="0" layoutInCell="1" allowOverlap="1">
                      <wp:simplePos x="0" y="0"/>
                      <wp:positionH relativeFrom="column">
                        <wp:posOffset>2286635</wp:posOffset>
                      </wp:positionH>
                      <wp:positionV relativeFrom="paragraph">
                        <wp:posOffset>211455</wp:posOffset>
                      </wp:positionV>
                      <wp:extent cx="6985" cy="200660"/>
                      <wp:effectExtent l="33655" t="0" r="35560" b="8890"/>
                      <wp:wrapNone/>
                      <wp:docPr id="243" name="直接箭头连接符 243"/>
                      <wp:cNvGraphicFramePr/>
                      <a:graphic xmlns:a="http://schemas.openxmlformats.org/drawingml/2006/main">
                        <a:graphicData uri="http://schemas.microsoft.com/office/word/2010/wordprocessingShape">
                          <wps:wsp>
                            <wps:cNvCnPr>
                              <a:stCxn id="6" idx="2"/>
                              <a:endCxn id="244" idx="0"/>
                            </wps:cNvCnPr>
                            <wps:spPr>
                              <a:xfrm>
                                <a:off x="0" y="0"/>
                                <a:ext cx="6985" cy="20066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80.05pt;margin-top:16.65pt;height:15.8pt;width:0.55pt;z-index:251687936;mso-width-relative:page;mso-height-relative:page;" filled="f" stroked="t" coordsize="21600,21600" o:gfxdata="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gxN6jZAAAACQEAAA8AAAAAAAAAAQAgAAAAIgAAAGRycy9kb3ducmV2LnhtbFBLAQIUABQA&#10;AAAIAIdO4kDkW0iwKAIAAEYEAAAOAAAAAAAAAAEAIAAAACgBAABkcnMvZTJvRG9jLnhtbFBLBQYA&#10;AAAABgAGAFkBAADCBQAAAAA=&#10;">
                      <v:fill on="f" focussize="0,0"/>
                      <v:stroke color="#000000" joinstyle="round" endarrow="block"/>
                      <v:imagedata o:title=""/>
                      <o:lock v:ext="edit" aspectratio="f"/>
                    </v:shape>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sz w:val="24"/>
              </w:rPr>
              <mc:AlternateContent>
                <mc:Choice Requires="wps">
                  <w:drawing>
                    <wp:anchor distT="0" distB="0" distL="114300" distR="114300" simplePos="0" relativeHeight="251792384" behindDoc="0" locked="0" layoutInCell="1" allowOverlap="1">
                      <wp:simplePos x="0" y="0"/>
                      <wp:positionH relativeFrom="column">
                        <wp:posOffset>1547495</wp:posOffset>
                      </wp:positionH>
                      <wp:positionV relativeFrom="paragraph">
                        <wp:posOffset>66040</wp:posOffset>
                      </wp:positionV>
                      <wp:extent cx="1491615" cy="304800"/>
                      <wp:effectExtent l="4445" t="5080" r="8890" b="13970"/>
                      <wp:wrapNone/>
                      <wp:docPr id="244" name="矩形 244"/>
                      <wp:cNvGraphicFramePr/>
                      <a:graphic xmlns:a="http://schemas.openxmlformats.org/drawingml/2006/main">
                        <a:graphicData uri="http://schemas.microsoft.com/office/word/2010/wordprocessingShape">
                          <wps:wsp>
                            <wps:cNvSpPr/>
                            <wps:spPr>
                              <a:xfrm>
                                <a:off x="0" y="0"/>
                                <a:ext cx="1491615"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钢管制安、闸门安装</w:t>
                                  </w:r>
                                </w:p>
                              </w:txbxContent>
                            </wps:txbx>
                            <wps:bodyPr upright="1"/>
                          </wps:wsp>
                        </a:graphicData>
                      </a:graphic>
                    </wp:anchor>
                  </w:drawing>
                </mc:Choice>
                <mc:Fallback>
                  <w:pict>
                    <v:rect id="_x0000_s1026" o:spid="_x0000_s1026" o:spt="1" style="position:absolute;left:0pt;margin-left:121.85pt;margin-top:5.2pt;height:24pt;width:117.45pt;z-index:251792384;mso-width-relative:page;mso-height-relative:page;" fillcolor="#FFFFFF" filled="t" stroked="t" coordsize="21600,21600" o:gfxdata="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&#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MGcmf2AAAAAkBAAAPAAAAAAAAAAEAIAAAACIAAABk&#10;cnMvZG93bnJldi54bWxQSwECFAAUAAAACACHTuJA1OTHTwYCAAAtBAAADgAAAAAAAAABACAAAAAn&#10;AQAAZHJzL2Uyb0RvYy54bWxQSwUGAAAAAAYABgBZAQAAnwUAAAAA&#10;">
                      <v:path/>
                      <v:fill on="t" color2="#FFFFFF" focussize="0,0"/>
                      <v:stroke joinstyle="miter"/>
                      <v:imagedata o:title=""/>
                      <o:lock v:ext="edit" aspectratio="f"/>
                      <v:textbox>
                        <w:txbxContent>
                          <w:p>
                            <w:pPr>
                              <w:jc w:val="center"/>
                              <w:rPr>
                                <w:rFonts w:hint="eastAsia"/>
                              </w:rPr>
                            </w:pPr>
                            <w:r>
                              <w:rPr>
                                <w:rFonts w:hint="eastAsia"/>
                              </w:rPr>
                              <w:t>钢管制安、闸门安装</w:t>
                            </w:r>
                          </w:p>
                        </w:txbxContent>
                      </v:textbox>
                    </v:rect>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sz w:val="24"/>
              </w:rPr>
              <mc:AlternateContent>
                <mc:Choice Requires="wps">
                  <w:drawing>
                    <wp:anchor distT="0" distB="0" distL="114300" distR="114300" simplePos="0" relativeHeight="251688960" behindDoc="0" locked="0" layoutInCell="1" allowOverlap="1">
                      <wp:simplePos x="0" y="0"/>
                      <wp:positionH relativeFrom="column">
                        <wp:posOffset>1520190</wp:posOffset>
                      </wp:positionH>
                      <wp:positionV relativeFrom="paragraph">
                        <wp:posOffset>187960</wp:posOffset>
                      </wp:positionV>
                      <wp:extent cx="1546225" cy="299720"/>
                      <wp:effectExtent l="4445" t="4445" r="11430" b="19685"/>
                      <wp:wrapNone/>
                      <wp:docPr id="18" name="矩形 18"/>
                      <wp:cNvGraphicFramePr/>
                      <a:graphic xmlns:a="http://schemas.openxmlformats.org/drawingml/2006/main">
                        <a:graphicData uri="http://schemas.microsoft.com/office/word/2010/wordprocessingShape">
                          <wps:wsp>
                            <wps:cNvSpPr/>
                            <wps:spPr>
                              <a:xfrm>
                                <a:off x="0" y="0"/>
                                <a:ext cx="1546225" cy="2997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竣工验收、投入运营</w:t>
                                  </w:r>
                                </w:p>
                                <w:p/>
                              </w:txbxContent>
                            </wps:txbx>
                            <wps:bodyPr upright="1"/>
                          </wps:wsp>
                        </a:graphicData>
                      </a:graphic>
                    </wp:anchor>
                  </w:drawing>
                </mc:Choice>
                <mc:Fallback>
                  <w:pict>
                    <v:rect id="_x0000_s1026" o:spid="_x0000_s1026" o:spt="1" style="position:absolute;left:0pt;margin-left:119.7pt;margin-top:14.8pt;height:23.6pt;width:121.75pt;z-index:251688960;mso-width-relative:page;mso-height-relative:page;" fillcolor="#FFFFFF" filled="t" stroked="t" coordsize="21600,21600" o:gfxdata="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2T9XrYAAAACQEAAA8AAAAAAAAAAQAgAAAAIgAA&#10;AGRycy9kb3ducmV2LnhtbFBLAQIUABQAAAAIAIdO4kAZv9EYCAIAADkEAAAOAAAAAAAAAAEAIAAA&#10;ACcBAABkcnMvZTJvRG9jLnhtbFBLBQYAAAAABgAGAFkBAAChBQAAAAA=&#10;">
                      <v:path/>
                      <v:fill on="t" focussize="0,0"/>
                      <v:stroke/>
                      <v:imagedata o:title=""/>
                      <o:lock v:ext="edit" aspectratio="f"/>
                      <v:textbox>
                        <w:txbxContent>
                          <w:p>
                            <w:pPr>
                              <w:jc w:val="center"/>
                            </w:pPr>
                            <w:r>
                              <w:rPr>
                                <w:rFonts w:hint="eastAsia"/>
                              </w:rPr>
                              <w:t>竣工验收、投入运营</w:t>
                            </w:r>
                          </w:p>
                          <w:p/>
                        </w:txbxContent>
                      </v:textbox>
                    </v:rect>
                  </w:pict>
                </mc:Fallback>
              </mc:AlternateContent>
            </w:r>
            <w:r>
              <w:rPr>
                <w:rFonts w:ascii="Times New Roman" w:hAnsi="Times New Roman"/>
                <w:b/>
                <w:color w:val="000000"/>
                <w:sz w:val="24"/>
              </w:rPr>
              <mc:AlternateContent>
                <mc:Choice Requires="wps">
                  <w:drawing>
                    <wp:anchor distT="0" distB="0" distL="114300" distR="114300" simplePos="0" relativeHeight="251689984" behindDoc="0" locked="0" layoutInCell="1" allowOverlap="1">
                      <wp:simplePos x="0" y="0"/>
                      <wp:positionH relativeFrom="column">
                        <wp:posOffset>2293620</wp:posOffset>
                      </wp:positionH>
                      <wp:positionV relativeFrom="paragraph">
                        <wp:posOffset>24765</wp:posOffset>
                      </wp:positionV>
                      <wp:extent cx="0" cy="163195"/>
                      <wp:effectExtent l="38100" t="0" r="38100" b="8255"/>
                      <wp:wrapNone/>
                      <wp:docPr id="245" name="直接箭头连接符 245"/>
                      <wp:cNvGraphicFramePr/>
                      <a:graphic xmlns:a="http://schemas.openxmlformats.org/drawingml/2006/main">
                        <a:graphicData uri="http://schemas.microsoft.com/office/word/2010/wordprocessingShape">
                          <wps:wsp>
                            <wps:cNvCnPr>
                              <a:stCxn id="244" idx="2"/>
                              <a:endCxn id="18" idx="0"/>
                            </wps:cNvCnPr>
                            <wps:spPr>
                              <a:xfrm>
                                <a:off x="0" y="0"/>
                                <a:ext cx="0" cy="16319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80.6pt;margin-top:1.95pt;height:12.85pt;width:0pt;z-index:251689984;mso-width-relative:page;mso-height-relative:page;" filled="f" stroked="t" coordsize="21600,21600" o:gfxdata="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10;Q1df1gAAAAgBAAAPAAAAAAAAAAEAIAAAACIAAABkcnMvZG93bnJldi54bWxQSwECFAAUAAAACACH&#10;TuJAI9VJ6yYCAABEBAAADgAAAAAAAAABACAAAAAlAQAAZHJzL2Uyb0RvYy54bWxQSwUGAAAAAAYA&#10;BgBZAQAAvQUAAAAA&#10;">
                      <v:fill on="f" focussize="0,0"/>
                      <v:stroke color="#000000" joinstyle="round" endarrow="block"/>
                      <v:imagedata o:title=""/>
                      <o:lock v:ext="edit" aspectratio="f"/>
                    </v:shape>
                  </w:pict>
                </mc:Fallback>
              </mc:AlternateContent>
            </w:r>
          </w:p>
          <w:p>
            <w:pPr>
              <w:pStyle w:val="138"/>
              <w:ind w:firstLine="0" w:firstLineChars="0"/>
              <w:rPr>
                <w:rFonts w:ascii="Times New Roman" w:hAnsi="Times New Roman"/>
                <w:color w:val="000000"/>
              </w:rPr>
            </w:pPr>
            <w:r>
              <w:rPr>
                <w:rFonts w:ascii="Times New Roman" w:hAnsi="Times New Roman"/>
                <w:color w:val="000000"/>
              </w:rPr>
              <mc:AlternateContent>
                <mc:Choice Requires="wps">
                  <w:drawing>
                    <wp:anchor distT="0" distB="0" distL="114300" distR="114300" simplePos="0" relativeHeight="251665408" behindDoc="0" locked="0" layoutInCell="1" allowOverlap="1">
                      <wp:simplePos x="0" y="0"/>
                      <wp:positionH relativeFrom="column">
                        <wp:posOffset>499110</wp:posOffset>
                      </wp:positionH>
                      <wp:positionV relativeFrom="paragraph">
                        <wp:posOffset>188595</wp:posOffset>
                      </wp:positionV>
                      <wp:extent cx="4112260" cy="299720"/>
                      <wp:effectExtent l="0" t="0" r="2540" b="5080"/>
                      <wp:wrapNone/>
                      <wp:docPr id="246" name="矩形 246"/>
                      <wp:cNvGraphicFramePr/>
                      <a:graphic xmlns:a="http://schemas.openxmlformats.org/drawingml/2006/main">
                        <a:graphicData uri="http://schemas.microsoft.com/office/word/2010/wordprocessingShape">
                          <wps:wsp>
                            <wps:cNvSpPr/>
                            <wps:spPr>
                              <a:xfrm>
                                <a:off x="0" y="0"/>
                                <a:ext cx="3388360" cy="299720"/>
                              </a:xfrm>
                              <a:prstGeom prst="rect">
                                <a:avLst/>
                              </a:prstGeom>
                              <a:solidFill>
                                <a:srgbClr val="FFFFFF"/>
                              </a:solidFill>
                              <a:ln>
                                <a:noFill/>
                              </a:ln>
                              <a:effectLst/>
                            </wps:spPr>
                            <wps:txbx>
                              <w:txbxContent>
                                <w:p>
                                  <w:pPr>
                                    <w:jc w:val="center"/>
                                    <w:rPr>
                                      <w:b/>
                                    </w:rPr>
                                  </w:pPr>
                                  <w:r>
                                    <w:rPr>
                                      <w:rFonts w:hint="eastAsia"/>
                                      <w:b/>
                                    </w:rPr>
                                    <w:t>图2</w:t>
                                  </w:r>
                                  <w:r>
                                    <w:rPr>
                                      <w:b/>
                                    </w:rPr>
                                    <w:t>-</w:t>
                                  </w:r>
                                  <w:r>
                                    <w:rPr>
                                      <w:rFonts w:hint="eastAsia"/>
                                      <w:b/>
                                      <w:lang w:val="en-US" w:eastAsia="zh-CN"/>
                                    </w:rPr>
                                    <w:t>12</w:t>
                                  </w:r>
                                  <w:r>
                                    <w:rPr>
                                      <w:rFonts w:hint="eastAsia"/>
                                      <w:b/>
                                    </w:rPr>
                                    <w:t xml:space="preserve">  新建青白渠地埋管道施工</w:t>
                                  </w:r>
                                  <w:r>
                                    <w:rPr>
                                      <w:rFonts w:hint="eastAsia"/>
                                      <w:b/>
                                      <w:color w:val="000000"/>
                                    </w:rPr>
                                    <w:t>段施工</w:t>
                                  </w:r>
                                  <w:r>
                                    <w:rPr>
                                      <w:rFonts w:hint="eastAsia"/>
                                      <w:b/>
                                    </w:rPr>
                                    <w:t>工艺流程及产污节点图</w:t>
                                  </w:r>
                                </w:p>
                                <w:p>
                                  <w:pPr>
                                    <w:jc w:val="center"/>
                                  </w:pPr>
                                </w:p>
                              </w:txbxContent>
                            </wps:txbx>
                            <wps:bodyPr upright="1"/>
                          </wps:wsp>
                        </a:graphicData>
                      </a:graphic>
                    </wp:anchor>
                  </w:drawing>
                </mc:Choice>
                <mc:Fallback>
                  <w:pict>
                    <v:rect id="_x0000_s1026" o:spid="_x0000_s1026" o:spt="1" style="position:absolute;left:0pt;margin-left:39.3pt;margin-top:14.85pt;height:23.6pt;width:323.8pt;z-index:251665408;mso-width-relative:page;mso-height-relative:page;" fillcolor="#FFFFFF" filled="t" stroked="f" coordsize="21600,21600" o:gfxdata="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rJ7fbXAAAACAEAAA8AAAAAAAAAAQAgAAAAIgAAAGRycy9kb3ducmV2LnhtbFBL&#10;AQIUABQAAAAIAIdO4kCG0TQIvgEAAHwDAAAOAAAAAAAAAAEAIAAAACYBAABkcnMvZTJvRG9jLnht&#10;bFBLBQYAAAAABgAGAFkBAABWBQAAAAA=&#10;">
                      <v:path/>
                      <v:fill on="t" focussize="0,0"/>
                      <v:stroke on="f"/>
                      <v:imagedata o:title=""/>
                      <o:lock v:ext="edit" aspectratio="f"/>
                      <v:textbox>
                        <w:txbxContent>
                          <w:p>
                            <w:pPr>
                              <w:jc w:val="center"/>
                              <w:rPr>
                                <w:b/>
                              </w:rPr>
                            </w:pPr>
                            <w:r>
                              <w:rPr>
                                <w:rFonts w:hint="eastAsia"/>
                                <w:b/>
                              </w:rPr>
                              <w:t>图2</w:t>
                            </w:r>
                            <w:r>
                              <w:rPr>
                                <w:b/>
                              </w:rPr>
                              <w:t>-</w:t>
                            </w:r>
                            <w:r>
                              <w:rPr>
                                <w:rFonts w:hint="eastAsia"/>
                                <w:b/>
                                <w:lang w:val="en-US" w:eastAsia="zh-CN"/>
                              </w:rPr>
                              <w:t>12</w:t>
                            </w:r>
                            <w:r>
                              <w:rPr>
                                <w:rFonts w:hint="eastAsia"/>
                                <w:b/>
                              </w:rPr>
                              <w:t xml:space="preserve">  新建青白渠地埋管道施工</w:t>
                            </w:r>
                            <w:r>
                              <w:rPr>
                                <w:rFonts w:hint="eastAsia"/>
                                <w:b/>
                                <w:color w:val="000000"/>
                              </w:rPr>
                              <w:t>段施工</w:t>
                            </w:r>
                            <w:r>
                              <w:rPr>
                                <w:rFonts w:hint="eastAsia"/>
                                <w:b/>
                              </w:rPr>
                              <w:t>工艺流程及产污节点图</w:t>
                            </w:r>
                          </w:p>
                          <w:p>
                            <w:pPr>
                              <w:jc w:val="center"/>
                            </w:pPr>
                          </w:p>
                        </w:txbxContent>
                      </v:textbox>
                    </v:rect>
                  </w:pict>
                </mc:Fallback>
              </mc:AlternateContent>
            </w:r>
          </w:p>
          <w:p>
            <w:pPr>
              <w:pStyle w:val="138"/>
              <w:ind w:firstLine="0" w:firstLineChars="0"/>
              <w:rPr>
                <w:rFonts w:ascii="Times New Roman" w:hAnsi="Times New Roman"/>
                <w:b/>
                <w:color w:val="000000"/>
                <w:kern w:val="2"/>
                <w:lang w:bidi="ar-SA"/>
              </w:rPr>
            </w:pPr>
          </w:p>
          <w:p>
            <w:pPr>
              <w:pStyle w:val="138"/>
              <w:ind w:firstLine="482"/>
              <w:rPr>
                <w:rFonts w:ascii="Times New Roman" w:hAnsi="Times New Roman"/>
                <w:color w:val="000000"/>
              </w:rPr>
            </w:pPr>
            <w:r>
              <w:rPr>
                <w:rFonts w:ascii="Times New Roman" w:hAnsi="Times New Roman"/>
                <w:b/>
                <w:color w:val="000000"/>
                <w:kern w:val="2"/>
                <w:lang w:bidi="ar-SA"/>
              </w:rPr>
              <w:t>施工工艺说明：</w:t>
            </w:r>
          </w:p>
          <w:p>
            <w:pPr>
              <w:pStyle w:val="138"/>
              <w:rPr>
                <w:rFonts w:ascii="Times New Roman" w:hAnsi="Times New Roman"/>
                <w:color w:val="000000"/>
              </w:rPr>
            </w:pPr>
            <w:r>
              <w:rPr>
                <w:rFonts w:ascii="Times New Roman" w:hAnsi="Times New Roman"/>
                <w:color w:val="000000"/>
              </w:rPr>
              <w:t>1）土方开挖：采用1m</w:t>
            </w:r>
            <w:r>
              <w:rPr>
                <w:rFonts w:ascii="Times New Roman" w:hAnsi="Times New Roman"/>
                <w:color w:val="000000"/>
                <w:vertAlign w:val="superscript"/>
              </w:rPr>
              <w:t>3</w:t>
            </w:r>
            <w:r>
              <w:rPr>
                <w:rFonts w:ascii="Times New Roman" w:hAnsi="Times New Roman"/>
                <w:color w:val="000000"/>
              </w:rPr>
              <w:t>挖掘机开挖，其中约60%就近堆放，40%采用5t自卸车在500m范围内堆放，均用于渠道管道后期回填。</w:t>
            </w:r>
          </w:p>
          <w:p>
            <w:pPr>
              <w:pStyle w:val="138"/>
              <w:rPr>
                <w:rFonts w:ascii="Times New Roman" w:hAnsi="Times New Roman"/>
                <w:color w:val="000000"/>
              </w:rPr>
            </w:pPr>
            <w:r>
              <w:rPr>
                <w:rFonts w:ascii="Times New Roman" w:hAnsi="Times New Roman"/>
                <w:color w:val="000000"/>
              </w:rPr>
              <w:t>2）石方开挖：</w:t>
            </w:r>
            <w:r>
              <w:rPr>
                <w:rFonts w:ascii="Times New Roman" w:hAnsi="Times New Roman"/>
              </w:rPr>
              <w:t>采用岩石破碎机开挖，</w:t>
            </w:r>
            <w:r>
              <w:rPr>
                <w:rFonts w:ascii="Times New Roman" w:hAnsi="Times New Roman"/>
                <w:color w:val="000000"/>
              </w:rPr>
              <w:t>其中约60%就近堆放，40%采用5t自卸车在500m范围内堆放，均用于渠道管道后期回填。</w:t>
            </w:r>
          </w:p>
          <w:p>
            <w:pPr>
              <w:pStyle w:val="138"/>
              <w:rPr>
                <w:rFonts w:ascii="Times New Roman" w:hAnsi="Times New Roman"/>
                <w:color w:val="000000"/>
              </w:rPr>
            </w:pPr>
            <w:r>
              <w:rPr>
                <w:rFonts w:ascii="Times New Roman" w:hAnsi="Times New Roman"/>
                <w:color w:val="000000"/>
              </w:rPr>
              <w:t>3）土石回填：本工程回填料均选用质量合格的开挖料，</w:t>
            </w:r>
            <w:r>
              <w:rPr>
                <w:rFonts w:ascii="Times New Roman" w:hAnsi="Times New Roman"/>
              </w:rPr>
              <w:t>青白渠输水管回填采用蛙式打夯机配合人工夯实</w:t>
            </w:r>
            <w:r>
              <w:rPr>
                <w:rFonts w:ascii="Times New Roman" w:hAnsi="Times New Roman"/>
                <w:color w:val="000000"/>
              </w:rPr>
              <w:t>。</w:t>
            </w:r>
          </w:p>
          <w:p>
            <w:pPr>
              <w:pStyle w:val="138"/>
              <w:rPr>
                <w:rFonts w:ascii="Times New Roman" w:hAnsi="Times New Roman"/>
                <w:color w:val="000000"/>
              </w:rPr>
            </w:pPr>
            <w:r>
              <w:rPr>
                <w:rFonts w:ascii="Times New Roman" w:hAnsi="Times New Roman"/>
                <w:color w:val="000000"/>
              </w:rPr>
              <w:t>4）沙壤土垫层：利用</w:t>
            </w:r>
            <w:r>
              <w:rPr>
                <w:rFonts w:ascii="Times New Roman" w:hAnsi="Times New Roman"/>
              </w:rPr>
              <w:t>开挖合格</w:t>
            </w:r>
            <w:r>
              <w:rPr>
                <w:rFonts w:ascii="Times New Roman" w:hAnsi="Times New Roman"/>
                <w:color w:val="000000"/>
              </w:rPr>
              <w:t>料，采用人工铺筑压实。</w:t>
            </w:r>
          </w:p>
          <w:p>
            <w:pPr>
              <w:pStyle w:val="138"/>
              <w:rPr>
                <w:rFonts w:ascii="Times New Roman" w:hAnsi="Times New Roman"/>
                <w:color w:val="000000"/>
              </w:rPr>
            </w:pPr>
            <w:r>
              <w:rPr>
                <w:rFonts w:ascii="Times New Roman" w:hAnsi="Times New Roman"/>
                <w:color w:val="000000"/>
              </w:rPr>
              <w:t>5）碎石垫层：为路基垫层，碎石为购买料，自卸汽车运入，振动碾压实。</w:t>
            </w:r>
          </w:p>
          <w:p>
            <w:pPr>
              <w:pStyle w:val="138"/>
              <w:rPr>
                <w:rFonts w:ascii="Times New Roman" w:hAnsi="Times New Roman"/>
                <w:color w:val="000000"/>
              </w:rPr>
            </w:pPr>
            <w:r>
              <w:rPr>
                <w:rFonts w:hint="eastAsia" w:ascii="Times New Roman" w:hAnsi="Times New Roman"/>
                <w:color w:val="000000"/>
              </w:rPr>
              <w:t>6</w:t>
            </w:r>
            <w:r>
              <w:rPr>
                <w:rFonts w:ascii="Times New Roman" w:hAnsi="Times New Roman"/>
                <w:color w:val="000000"/>
              </w:rPr>
              <w:t>）砼浇筑：采用0.4m</w:t>
            </w:r>
            <w:r>
              <w:rPr>
                <w:rFonts w:ascii="Times New Roman" w:hAnsi="Times New Roman"/>
                <w:color w:val="000000"/>
                <w:vertAlign w:val="superscript"/>
              </w:rPr>
              <w:t>3</w:t>
            </w:r>
            <w:r>
              <w:rPr>
                <w:rFonts w:ascii="Times New Roman" w:hAnsi="Times New Roman"/>
                <w:color w:val="000000"/>
              </w:rPr>
              <w:t>砼搅拌机拌和，</w:t>
            </w:r>
            <w:r>
              <w:rPr>
                <w:rFonts w:ascii="Times New Roman" w:hAnsi="Times New Roman"/>
              </w:rPr>
              <w:t>机动翻斗车或胶轮车运输，垂直高度大于2m的，采用泻槽入仓，边墙组合钢模成型。底板机动翻斗车或胶轮车直接入仓，拉模施工</w:t>
            </w:r>
            <w:r>
              <w:rPr>
                <w:rFonts w:ascii="Times New Roman" w:hAnsi="Times New Roman"/>
                <w:color w:val="000000"/>
              </w:rPr>
              <w:t>，平均运距约400m，插入振捣器捣实。</w:t>
            </w:r>
          </w:p>
          <w:p>
            <w:pPr>
              <w:pStyle w:val="138"/>
              <w:rPr>
                <w:rFonts w:ascii="Times New Roman" w:hAnsi="Times New Roman"/>
                <w:color w:val="000000"/>
              </w:rPr>
            </w:pPr>
            <w:r>
              <w:rPr>
                <w:rFonts w:hint="eastAsia" w:ascii="Times New Roman" w:hAnsi="Times New Roman"/>
                <w:color w:val="000000"/>
              </w:rPr>
              <w:t>7</w:t>
            </w:r>
            <w:r>
              <w:rPr>
                <w:rFonts w:ascii="Times New Roman" w:hAnsi="Times New Roman"/>
                <w:color w:val="000000"/>
              </w:rPr>
              <w:t>）钢管制安、闸门安装：钢管在有资质的厂家购买合格产品，载重汽车运输至工作面附近，采用汽车吊或挖掘机吊运，葫芦吊定位安装；闸门由专业生产厂家生产，5t载重汽车运输至施工现场，5</w:t>
            </w:r>
            <w:r>
              <w:rPr>
                <w:rFonts w:hint="eastAsia" w:ascii="Times New Roman" w:hAnsi="Times New Roman"/>
                <w:color w:val="000000"/>
              </w:rPr>
              <w:t>~</w:t>
            </w:r>
            <w:r>
              <w:rPr>
                <w:rFonts w:ascii="Times New Roman" w:hAnsi="Times New Roman"/>
                <w:color w:val="000000"/>
              </w:rPr>
              <w:t>10t汽车起重机调运就位安装。</w:t>
            </w:r>
          </w:p>
          <w:p>
            <w:pPr>
              <w:pStyle w:val="138"/>
              <w:ind w:left="0" w:leftChars="0" w:right="0" w:righ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4323715" cy="2160270"/>
                  <wp:effectExtent l="0" t="0" r="635" b="11430"/>
                  <wp:docPr id="211" name="图片 33" descr="管道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3" descr="管道1_00"/>
                          <pic:cNvPicPr>
                            <a:picLocks noChangeAspect="1"/>
                          </pic:cNvPicPr>
                        </pic:nvPicPr>
                        <pic:blipFill>
                          <a:blip r:embed="rId48"/>
                          <a:srcRect l="1341" t="17877" r="2298" b="14084"/>
                          <a:stretch>
                            <a:fillRect/>
                          </a:stretch>
                        </pic:blipFill>
                        <pic:spPr>
                          <a:xfrm>
                            <a:off x="0" y="0"/>
                            <a:ext cx="4323715" cy="2160270"/>
                          </a:xfrm>
                          <a:prstGeom prst="rect">
                            <a:avLst/>
                          </a:prstGeom>
                          <a:noFill/>
                          <a:ln>
                            <a:noFill/>
                          </a:ln>
                        </pic:spPr>
                      </pic:pic>
                    </a:graphicData>
                  </a:graphic>
                </wp:inline>
              </w:drawing>
            </w:r>
          </w:p>
          <w:p>
            <w:pPr>
              <w:pStyle w:val="138"/>
              <w:ind w:left="0" w:leftChars="0" w:right="0" w:rightChars="0" w:firstLine="0" w:firstLineChars="0"/>
              <w:jc w:val="center"/>
              <w:rPr>
                <w:rFonts w:hint="eastAsia" w:ascii="Times New Roman" w:hAnsi="Times New Roman" w:eastAsia="宋体"/>
                <w:color w:val="000000"/>
                <w:lang w:eastAsia="zh-CN"/>
              </w:rPr>
            </w:pPr>
            <w:r>
              <w:rPr>
                <w:rFonts w:hint="eastAsia"/>
                <w:b/>
                <w:bCs w:val="0"/>
                <w:color w:val="000000"/>
                <w:sz w:val="21"/>
                <w:szCs w:val="21"/>
                <w:vertAlign w:val="baseline"/>
                <w:lang w:val="en-US" w:eastAsia="zh-CN"/>
              </w:rPr>
              <w:t>图2-13  沟底土层含水量较大管道埋设断面</w:t>
            </w:r>
          </w:p>
          <w:p>
            <w:pPr>
              <w:pStyle w:val="138"/>
              <w:ind w:left="0" w:leftChars="0" w:right="0" w:righ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4032250" cy="2272030"/>
                  <wp:effectExtent l="0" t="0" r="6350" b="13970"/>
                  <wp:docPr id="247" name="图片 34" descr="管道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4" descr="管道2_00"/>
                          <pic:cNvPicPr>
                            <a:picLocks noChangeAspect="1"/>
                          </pic:cNvPicPr>
                        </pic:nvPicPr>
                        <pic:blipFill>
                          <a:blip r:embed="rId49"/>
                          <a:srcRect l="8237" t="17064" r="8427" b="16522"/>
                          <a:stretch>
                            <a:fillRect/>
                          </a:stretch>
                        </pic:blipFill>
                        <pic:spPr>
                          <a:xfrm>
                            <a:off x="0" y="0"/>
                            <a:ext cx="4032250" cy="2272030"/>
                          </a:xfrm>
                          <a:prstGeom prst="rect">
                            <a:avLst/>
                          </a:prstGeom>
                          <a:noFill/>
                          <a:ln>
                            <a:noFill/>
                          </a:ln>
                        </pic:spPr>
                      </pic:pic>
                    </a:graphicData>
                  </a:graphic>
                </wp:inline>
              </w:drawing>
            </w:r>
          </w:p>
          <w:p>
            <w:pPr>
              <w:pStyle w:val="138"/>
              <w:spacing w:line="240" w:lineRule="auto"/>
              <w:ind w:left="0" w:leftChars="0" w:right="0" w:rightChars="0" w:firstLine="0" w:firstLineChars="0"/>
              <w:jc w:val="center"/>
              <w:rPr>
                <w:rFonts w:hint="eastAsia"/>
                <w:b/>
                <w:bCs w:val="0"/>
                <w:color w:val="000000"/>
                <w:sz w:val="21"/>
                <w:szCs w:val="21"/>
                <w:vertAlign w:val="baseline"/>
                <w:lang w:val="en-US" w:eastAsia="zh-CN"/>
              </w:rPr>
            </w:pPr>
            <w:r>
              <w:rPr>
                <w:rFonts w:hint="eastAsia"/>
                <w:b/>
                <w:bCs w:val="0"/>
                <w:color w:val="000000"/>
                <w:sz w:val="21"/>
                <w:szCs w:val="21"/>
                <w:vertAlign w:val="baseline"/>
                <w:lang w:val="en-US" w:eastAsia="zh-CN"/>
              </w:rPr>
              <w:t>图2-14  普通土基础管道埋设断面</w:t>
            </w:r>
          </w:p>
          <w:p>
            <w:pPr>
              <w:pStyle w:val="138"/>
              <w:ind w:left="0" w:leftChars="0" w:right="0" w:righ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3795395" cy="2160270"/>
                  <wp:effectExtent l="0" t="0" r="14605" b="11430"/>
                  <wp:docPr id="248" name="图片 35" descr="管道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5" descr="管道3_00"/>
                          <pic:cNvPicPr>
                            <a:picLocks noChangeAspect="1"/>
                          </pic:cNvPicPr>
                        </pic:nvPicPr>
                        <pic:blipFill>
                          <a:blip r:embed="rId50"/>
                          <a:srcRect l="14174" t="19772" r="6322" b="16251"/>
                          <a:stretch>
                            <a:fillRect/>
                          </a:stretch>
                        </pic:blipFill>
                        <pic:spPr>
                          <a:xfrm>
                            <a:off x="0" y="0"/>
                            <a:ext cx="3795395" cy="2160270"/>
                          </a:xfrm>
                          <a:prstGeom prst="rect">
                            <a:avLst/>
                          </a:prstGeom>
                          <a:noFill/>
                          <a:ln>
                            <a:noFill/>
                          </a:ln>
                        </pic:spPr>
                      </pic:pic>
                    </a:graphicData>
                  </a:graphic>
                </wp:inline>
              </w:drawing>
            </w:r>
          </w:p>
          <w:p>
            <w:pPr>
              <w:pStyle w:val="138"/>
              <w:spacing w:line="360" w:lineRule="auto"/>
              <w:ind w:left="0" w:leftChars="0" w:right="0" w:rightChars="0" w:firstLine="0" w:firstLineChars="0"/>
              <w:jc w:val="center"/>
              <w:rPr>
                <w:rFonts w:hint="eastAsia"/>
                <w:b w:val="0"/>
                <w:bCs/>
                <w:color w:val="000000"/>
                <w:lang w:val="en-US" w:eastAsia="zh-CN"/>
              </w:rPr>
            </w:pPr>
            <w:r>
              <w:rPr>
                <w:rFonts w:hint="eastAsia"/>
                <w:b/>
                <w:bCs w:val="0"/>
                <w:color w:val="000000"/>
                <w:sz w:val="21"/>
                <w:szCs w:val="21"/>
                <w:vertAlign w:val="baseline"/>
                <w:lang w:val="en-US" w:eastAsia="zh-CN"/>
              </w:rPr>
              <w:t>图2-15  穿越道路埋设断面</w:t>
            </w:r>
          </w:p>
          <w:p>
            <w:pPr>
              <w:pStyle w:val="138"/>
              <w:ind w:left="0" w:leftChars="0" w:right="0" w:rightChars="0" w:firstLine="0" w:firstLineChars="0"/>
              <w:jc w:val="center"/>
              <w:rPr>
                <w:rFonts w:hint="eastAsia" w:ascii="Times New Roman" w:hAnsi="Times New Roman" w:eastAsia="宋体"/>
                <w:color w:val="000000"/>
                <w:lang w:eastAsia="zh-CN"/>
              </w:rPr>
            </w:pPr>
            <w:r>
              <w:rPr>
                <w:rFonts w:hint="eastAsia" w:ascii="Times New Roman" w:hAnsi="Times New Roman" w:eastAsia="宋体"/>
                <w:color w:val="000000"/>
                <w:lang w:eastAsia="zh-CN"/>
              </w:rPr>
              <w:drawing>
                <wp:inline distT="0" distB="0" distL="114300" distR="114300">
                  <wp:extent cx="3851910" cy="2325370"/>
                  <wp:effectExtent l="0" t="0" r="15240" b="17780"/>
                  <wp:docPr id="249" name="图片 36" descr="管道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6" descr="管道4_00"/>
                          <pic:cNvPicPr>
                            <a:picLocks noChangeAspect="1"/>
                          </pic:cNvPicPr>
                        </pic:nvPicPr>
                        <pic:blipFill>
                          <a:blip r:embed="rId51"/>
                          <a:srcRect l="9386" t="13272" r="3256" b="12189"/>
                          <a:stretch>
                            <a:fillRect/>
                          </a:stretch>
                        </pic:blipFill>
                        <pic:spPr>
                          <a:xfrm>
                            <a:off x="0" y="0"/>
                            <a:ext cx="3851910" cy="2325370"/>
                          </a:xfrm>
                          <a:prstGeom prst="rect">
                            <a:avLst/>
                          </a:prstGeom>
                          <a:noFill/>
                          <a:ln>
                            <a:noFill/>
                          </a:ln>
                        </pic:spPr>
                      </pic:pic>
                    </a:graphicData>
                  </a:graphic>
                </wp:inline>
              </w:drawing>
            </w:r>
          </w:p>
          <w:p>
            <w:pPr>
              <w:pStyle w:val="138"/>
              <w:ind w:left="0" w:leftChars="0" w:right="0" w:rightChars="0" w:firstLine="0" w:firstLineChars="0"/>
              <w:jc w:val="center"/>
              <w:rPr>
                <w:rFonts w:ascii="Times New Roman" w:hAnsi="Times New Roman"/>
                <w:color w:val="000000"/>
              </w:rPr>
            </w:pPr>
            <w:r>
              <w:rPr>
                <w:rFonts w:hint="eastAsia"/>
                <w:b/>
                <w:bCs w:val="0"/>
                <w:color w:val="000000"/>
                <w:sz w:val="21"/>
                <w:szCs w:val="21"/>
                <w:vertAlign w:val="baseline"/>
                <w:lang w:val="en-US" w:eastAsia="zh-CN"/>
              </w:rPr>
              <w:t>图2-16  陡坡段管道埋设断面</w:t>
            </w:r>
          </w:p>
          <w:p>
            <w:pPr>
              <w:pStyle w:val="138"/>
              <w:ind w:firstLine="482"/>
              <w:rPr>
                <w:rFonts w:ascii="Times New Roman" w:hAnsi="Times New Roman"/>
                <w:bCs/>
                <w:color w:val="000000"/>
              </w:rPr>
            </w:pPr>
            <w:r>
              <w:rPr>
                <w:rFonts w:ascii="Times New Roman" w:hAnsi="Times New Roman"/>
                <w:b/>
                <w:color w:val="000000"/>
              </w:rPr>
              <w:t>（2）右干渠明渠整治段</w:t>
            </w:r>
            <w:r>
              <w:rPr>
                <w:rFonts w:hint="eastAsia" w:ascii="Times New Roman" w:hAnsi="Times New Roman"/>
                <w:b/>
                <w:color w:val="000000"/>
              </w:rPr>
              <w:t>施工</w:t>
            </w:r>
          </w:p>
          <w:p>
            <w:pPr>
              <w:pStyle w:val="138"/>
              <w:rPr>
                <w:rFonts w:ascii="Times New Roman" w:hAnsi="Times New Roman"/>
                <w:color w:val="000000"/>
              </w:rPr>
            </w:pPr>
            <w:r>
              <w:rPr>
                <w:rFonts w:ascii="Times New Roman" w:hAnsi="Times New Roman"/>
                <w:bCs/>
                <w:color w:val="000000"/>
              </w:rPr>
              <w:t>右干渠明渠整治段施工</w:t>
            </w:r>
            <w:r>
              <w:rPr>
                <w:rFonts w:ascii="Times New Roman" w:hAnsi="Times New Roman"/>
                <w:color w:val="000000"/>
              </w:rPr>
              <w:t>工艺流程及产污节点图如下图所示：</w:t>
            </w:r>
          </w:p>
          <w:p>
            <w:pPr>
              <w:pStyle w:val="138"/>
              <w:ind w:left="0" w:leftChars="0" w:right="0" w:rightChars="0" w:firstLine="0" w:firstLineChars="0"/>
              <w:jc w:val="center"/>
              <w:rPr>
                <w:rFonts w:hint="eastAsia" w:ascii="Times New Roman" w:hAnsi="Times New Roman" w:eastAsia="宋体"/>
                <w:bCs/>
                <w:color w:val="000000"/>
                <w:lang w:eastAsia="zh-CN"/>
              </w:rPr>
            </w:pPr>
            <w:r>
              <w:rPr>
                <w:rFonts w:hint="eastAsia" w:ascii="Times New Roman" w:hAnsi="Times New Roman" w:eastAsia="宋体"/>
                <w:bCs/>
                <w:color w:val="000000"/>
                <w:lang w:eastAsia="zh-CN"/>
              </w:rPr>
              <w:drawing>
                <wp:inline distT="0" distB="0" distL="114300" distR="114300">
                  <wp:extent cx="4737100" cy="4081145"/>
                  <wp:effectExtent l="0" t="0" r="6350" b="0"/>
                  <wp:docPr id="250" name="图片 3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7" descr="图片2"/>
                          <pic:cNvPicPr>
                            <a:picLocks noChangeAspect="1"/>
                          </pic:cNvPicPr>
                        </pic:nvPicPr>
                        <pic:blipFill>
                          <a:blip r:embed="rId52"/>
                          <a:srcRect l="11494" r="3627" b="12260"/>
                          <a:stretch>
                            <a:fillRect/>
                          </a:stretch>
                        </pic:blipFill>
                        <pic:spPr>
                          <a:xfrm>
                            <a:off x="0" y="0"/>
                            <a:ext cx="4737100" cy="4081145"/>
                          </a:xfrm>
                          <a:prstGeom prst="rect">
                            <a:avLst/>
                          </a:prstGeom>
                          <a:noFill/>
                          <a:ln>
                            <a:noFill/>
                          </a:ln>
                        </pic:spPr>
                      </pic:pic>
                    </a:graphicData>
                  </a:graphic>
                </wp:inline>
              </w:drawing>
            </w:r>
          </w:p>
          <w:p>
            <w:pPr>
              <w:spacing w:line="360" w:lineRule="auto"/>
              <w:ind w:left="0" w:leftChars="0" w:right="0" w:rightChars="0" w:firstLine="0" w:firstLineChars="0"/>
              <w:jc w:val="center"/>
              <w:rPr>
                <w:rFonts w:hint="eastAsia"/>
              </w:rPr>
            </w:pPr>
            <w:r>
              <w:rPr>
                <w:rFonts w:hint="eastAsia"/>
                <w:b/>
              </w:rPr>
              <w:t>图2</w:t>
            </w:r>
            <w:r>
              <w:rPr>
                <w:b/>
              </w:rPr>
              <w:t>-</w:t>
            </w:r>
            <w:r>
              <w:rPr>
                <w:rFonts w:hint="eastAsia"/>
                <w:b/>
                <w:lang w:val="en-US" w:eastAsia="zh-CN"/>
              </w:rPr>
              <w:t>17</w:t>
            </w:r>
            <w:r>
              <w:rPr>
                <w:rFonts w:hint="eastAsia"/>
                <w:b/>
              </w:rPr>
              <w:t xml:space="preserve">  </w:t>
            </w:r>
            <w:r>
              <w:rPr>
                <w:rFonts w:hint="eastAsia"/>
                <w:b/>
                <w:color w:val="000000"/>
              </w:rPr>
              <w:t>右干渠明渠整治段施工</w:t>
            </w:r>
            <w:r>
              <w:rPr>
                <w:rFonts w:hint="eastAsia"/>
                <w:b/>
              </w:rPr>
              <w:t>工艺流程及产污节点图</w:t>
            </w:r>
          </w:p>
          <w:p>
            <w:pPr>
              <w:pStyle w:val="223"/>
              <w:bidi w:val="0"/>
              <w:rPr>
                <w:rFonts w:hint="eastAsia"/>
              </w:rPr>
            </w:pPr>
            <w:r>
              <w:rPr>
                <w:rFonts w:hint="eastAsia"/>
              </w:rPr>
              <w:t>右干渠明渠整治段施工工艺说明：</w:t>
            </w:r>
          </w:p>
          <w:p>
            <w:pPr>
              <w:pStyle w:val="223"/>
              <w:bidi w:val="0"/>
              <w:rPr>
                <w:rFonts w:hint="eastAsia"/>
              </w:rPr>
            </w:pPr>
            <w:r>
              <w:rPr>
                <w:rFonts w:hint="eastAsia"/>
              </w:rPr>
              <w:t>1</w:t>
            </w:r>
            <w:r>
              <w:rPr>
                <w:rFonts w:hint="eastAsia"/>
                <w:lang w:eastAsia="zh-CN"/>
              </w:rPr>
              <w:t>）</w:t>
            </w:r>
            <w:r>
              <w:rPr>
                <w:rFonts w:hint="eastAsia"/>
              </w:rPr>
              <w:t>场地清理</w:t>
            </w:r>
            <w:r>
              <w:rPr>
                <w:rFonts w:hint="eastAsia"/>
                <w:lang w:eastAsia="zh-CN"/>
              </w:rPr>
              <w:t>：</w:t>
            </w:r>
            <w:r>
              <w:rPr>
                <w:rFonts w:hint="eastAsia"/>
              </w:rPr>
              <w:t>对需要修砌的渠道段进行场地清理，方便项目施工。</w:t>
            </w:r>
          </w:p>
          <w:p>
            <w:pPr>
              <w:pStyle w:val="223"/>
              <w:bidi w:val="0"/>
              <w:rPr>
                <w:rFonts w:hint="eastAsia"/>
              </w:rPr>
            </w:pPr>
            <w:r>
              <w:rPr>
                <w:rFonts w:hint="eastAsia"/>
              </w:rPr>
              <w:t>2</w:t>
            </w:r>
            <w:r>
              <w:rPr>
                <w:rFonts w:hint="eastAsia"/>
                <w:lang w:eastAsia="zh-CN"/>
              </w:rPr>
              <w:t>）</w:t>
            </w:r>
            <w:r>
              <w:rPr>
                <w:rFonts w:hint="eastAsia"/>
              </w:rPr>
              <w:t>淤泥、土石方开挖</w:t>
            </w:r>
          </w:p>
          <w:p>
            <w:pPr>
              <w:pStyle w:val="223"/>
              <w:bidi w:val="0"/>
            </w:pPr>
            <w:r>
              <w:rPr>
                <w:rFonts w:hint="eastAsia"/>
              </w:rPr>
              <w:t>淤泥开挖：</w:t>
            </w:r>
            <w:r>
              <w:t>拟采用液压反铲挖掘机挖渠道土方自卸汽车运输</w:t>
            </w:r>
            <w:r>
              <w:rPr>
                <w:rFonts w:hint="eastAsia"/>
              </w:rPr>
              <w:t>，</w:t>
            </w:r>
            <w:r>
              <w:t>运距</w:t>
            </w:r>
            <w:r>
              <w:rPr>
                <w:rFonts w:hint="eastAsia"/>
              </w:rPr>
              <w:t>2km</w:t>
            </w:r>
            <w:r>
              <w:t>。</w:t>
            </w:r>
          </w:p>
          <w:p>
            <w:pPr>
              <w:pStyle w:val="223"/>
              <w:bidi w:val="0"/>
            </w:pPr>
            <w:r>
              <w:rPr>
                <w:rFonts w:hint="eastAsia"/>
              </w:rPr>
              <w:t>土方开挖：</w:t>
            </w:r>
            <w:r>
              <w:t>右干渠土方开挖采用液压反铲挖掘机挖渠道土方</w:t>
            </w:r>
            <w:r>
              <w:rPr>
                <w:rFonts w:hint="eastAsia"/>
              </w:rPr>
              <w:t>，</w:t>
            </w:r>
            <w:r>
              <w:t>自卸汽车运输</w:t>
            </w:r>
            <w:r>
              <w:rPr>
                <w:rFonts w:hint="eastAsia"/>
              </w:rPr>
              <w:t>，</w:t>
            </w:r>
            <w:r>
              <w:t>可利用作主体回填的58%，运距0.5km</w:t>
            </w:r>
            <w:r>
              <w:rPr>
                <w:rFonts w:hint="eastAsia"/>
              </w:rPr>
              <w:t>；</w:t>
            </w:r>
            <w:r>
              <w:t>另42%运2km至弃渣场。其余各渠道的小型建筑物土方开挖均采用人工挖运，20m范围内堆放。</w:t>
            </w:r>
          </w:p>
          <w:p>
            <w:pPr>
              <w:pStyle w:val="223"/>
              <w:bidi w:val="0"/>
              <w:rPr>
                <w:rFonts w:hint="eastAsia"/>
              </w:rPr>
            </w:pPr>
            <w:r>
              <w:rPr>
                <w:rFonts w:hint="eastAsia"/>
              </w:rPr>
              <w:t>3</w:t>
            </w:r>
            <w:r>
              <w:rPr>
                <w:rFonts w:hint="eastAsia"/>
                <w:lang w:eastAsia="zh-CN"/>
              </w:rPr>
              <w:t>）</w:t>
            </w:r>
            <w:r>
              <w:rPr>
                <w:rFonts w:hint="eastAsia"/>
              </w:rPr>
              <w:t>基底修整夯实</w:t>
            </w:r>
            <w:r>
              <w:rPr>
                <w:rFonts w:hint="eastAsia"/>
                <w:lang w:eastAsia="zh-CN"/>
              </w:rPr>
              <w:t>：</w:t>
            </w:r>
            <w:r>
              <w:rPr>
                <w:rFonts w:hint="eastAsia"/>
              </w:rPr>
              <w:t>各渠道采用蛙式打夯机夯实。</w:t>
            </w:r>
          </w:p>
          <w:p>
            <w:pPr>
              <w:pStyle w:val="223"/>
              <w:bidi w:val="0"/>
              <w:rPr>
                <w:rFonts w:hint="eastAsia"/>
                <w:lang w:eastAsia="zh-CN"/>
              </w:rPr>
            </w:pPr>
            <w:r>
              <w:rPr>
                <w:rFonts w:hint="eastAsia"/>
              </w:rPr>
              <w:t>4</w:t>
            </w:r>
            <w:r>
              <w:rPr>
                <w:rFonts w:hint="eastAsia"/>
                <w:lang w:eastAsia="zh-CN"/>
              </w:rPr>
              <w:t>）</w:t>
            </w:r>
            <w:r>
              <w:rPr>
                <w:rFonts w:hint="eastAsia"/>
              </w:rPr>
              <w:t>砼拌合</w:t>
            </w:r>
            <w:r>
              <w:rPr>
                <w:rFonts w:hint="eastAsia"/>
                <w:lang w:eastAsia="zh-CN"/>
              </w:rPr>
              <w:t>、</w:t>
            </w:r>
            <w:r>
              <w:rPr>
                <w:rFonts w:hint="eastAsia"/>
              </w:rPr>
              <w:t>砼浇筑</w:t>
            </w:r>
            <w:r>
              <w:rPr>
                <w:rFonts w:hint="eastAsia"/>
                <w:lang w:eastAsia="zh-CN"/>
              </w:rPr>
              <w:t>：</w:t>
            </w:r>
            <w:r>
              <w:t>采用0.4m3砼搅拌机拌和，机动翻斗车或胶轮车运输，垂直高度大于2m的，采用泻槽入仓，边墙组合钢模成型。底板机动翻斗车或胶轮车直接入仓，拉模施工，平均运距约400m，插入振捣器捣实。</w:t>
            </w:r>
          </w:p>
          <w:p>
            <w:pPr>
              <w:pStyle w:val="223"/>
              <w:bidi w:val="0"/>
            </w:pPr>
            <w:r>
              <w:rPr>
                <w:rFonts w:hint="eastAsia"/>
              </w:rPr>
              <w:t>5</w:t>
            </w:r>
            <w:r>
              <w:rPr>
                <w:rFonts w:hint="eastAsia"/>
                <w:lang w:eastAsia="zh-CN"/>
              </w:rPr>
              <w:t>）</w:t>
            </w:r>
            <w:r>
              <w:rPr>
                <w:rFonts w:hint="eastAsia"/>
              </w:rPr>
              <w:t>砂浆抹面</w:t>
            </w:r>
            <w:r>
              <w:rPr>
                <w:rFonts w:hint="eastAsia"/>
                <w:lang w:eastAsia="zh-CN"/>
              </w:rPr>
              <w:t>：</w:t>
            </w:r>
            <w:r>
              <w:rPr>
                <w:rFonts w:hint="eastAsia"/>
              </w:rPr>
              <w:t>砂浆在砂浆拌和站拌制，机动翻斗车或胶轮车运砂浆，人工抹面。</w:t>
            </w:r>
          </w:p>
          <w:p>
            <w:pPr>
              <w:pStyle w:val="223"/>
              <w:bidi w:val="0"/>
              <w:rPr>
                <w:rFonts w:hint="eastAsia"/>
              </w:rPr>
            </w:pPr>
            <w:r>
              <w:rPr>
                <w:rFonts w:hint="eastAsia"/>
              </w:rPr>
              <w:t>6</w:t>
            </w:r>
            <w:r>
              <w:rPr>
                <w:rFonts w:hint="eastAsia"/>
                <w:lang w:eastAsia="zh-CN"/>
              </w:rPr>
              <w:t>）</w:t>
            </w:r>
            <w:r>
              <w:rPr>
                <w:rFonts w:hint="eastAsia"/>
              </w:rPr>
              <w:t>清理现场、植被恢复</w:t>
            </w:r>
            <w:r>
              <w:rPr>
                <w:rFonts w:hint="eastAsia"/>
                <w:lang w:eastAsia="zh-CN"/>
              </w:rPr>
              <w:t>：</w:t>
            </w:r>
            <w:r>
              <w:rPr>
                <w:rFonts w:hint="eastAsia"/>
              </w:rPr>
              <w:t>以上工程完成后进行清理作业场所，对沿线恢复地脉，恢复地表植被。</w:t>
            </w:r>
          </w:p>
          <w:p>
            <w:pPr>
              <w:pStyle w:val="223"/>
              <w:bidi w:val="0"/>
              <w:rPr>
                <w:b/>
                <w:bCs/>
                <w:color w:val="000000"/>
              </w:rPr>
            </w:pPr>
            <w:r>
              <w:rPr>
                <w:rFonts w:hint="eastAsia"/>
                <w:b/>
                <w:bCs/>
                <w:color w:val="000000"/>
              </w:rPr>
              <w:t>（3）</w:t>
            </w:r>
            <w:r>
              <w:rPr>
                <w:b/>
                <w:bCs/>
                <w:color w:val="000000"/>
              </w:rPr>
              <w:t>隧道管线施工</w:t>
            </w:r>
          </w:p>
          <w:p>
            <w:pPr>
              <w:pStyle w:val="223"/>
              <w:bidi w:val="0"/>
              <w:rPr>
                <w:rFonts w:hint="eastAsia" w:ascii="宋体" w:hAnsi="宋体"/>
              </w:rPr>
            </w:pPr>
            <w:r>
              <w:t>本次隧洞工程为新建隧洞1</w:t>
            </w:r>
            <w:r>
              <w:rPr>
                <w:rFonts w:ascii="Times New Roman" w:hAnsi="Times New Roman"/>
                <w:bCs/>
                <w:color w:val="000000"/>
              </w:rPr>
              <w:t>80米，为底宽2.3米，高2.6米的城门洞型隧洞，设计全断面采用厚0.4mC30钢筋砼衬砌，隧洞围堰类别V类约60米，</w:t>
            </w:r>
            <w:r>
              <w:rPr>
                <w:rFonts w:hint="eastAsia" w:ascii="宋体" w:hAnsi="宋体"/>
              </w:rPr>
              <w:t>开挖临时支护拟采用钢支撑联合系统锚杆、钢筋网和喷砼支护；</w:t>
            </w:r>
            <w:r>
              <w:rPr>
                <w:rFonts w:ascii="Times New Roman" w:hAnsi="Times New Roman"/>
                <w:bCs/>
                <w:color w:val="000000"/>
              </w:rPr>
              <w:t>IV类约120米</w:t>
            </w:r>
            <w:r>
              <w:rPr>
                <w:rFonts w:hint="eastAsia" w:ascii="Times New Roman" w:hAnsi="Times New Roman"/>
                <w:bCs/>
                <w:color w:val="000000"/>
              </w:rPr>
              <w:t>，</w:t>
            </w:r>
            <w:r>
              <w:rPr>
                <w:rFonts w:hint="eastAsia" w:ascii="宋体" w:hAnsi="宋体"/>
              </w:rPr>
              <w:t>开挖后根据围岩情况进行喷锚加钢筋网联合支护</w:t>
            </w:r>
            <w:r>
              <w:rPr>
                <w:rFonts w:ascii="Times New Roman" w:hAnsi="Times New Roman"/>
                <w:bCs/>
                <w:color w:val="000000"/>
              </w:rPr>
              <w:t>。</w:t>
            </w:r>
            <w:r>
              <w:rPr>
                <w:rFonts w:hint="eastAsia" w:ascii="宋体" w:hAnsi="宋体"/>
              </w:rPr>
              <w:t>本工程隧洞施工均利用其已有的进出口作为工作面，由于工作面较小，因此施工全部采用人工及小型机械配合施工。</w:t>
            </w:r>
          </w:p>
          <w:p>
            <w:pPr>
              <w:pStyle w:val="138"/>
              <w:rPr>
                <w:rFonts w:ascii="Times New Roman" w:hAnsi="Times New Roman"/>
              </w:rPr>
            </w:pPr>
            <w:r>
              <w:rPr>
                <w:rFonts w:ascii="Times New Roman" w:hAnsi="Times New Roman"/>
              </w:rPr>
              <w:t>主要临时支护工程量有：喷砼35m</w:t>
            </w:r>
            <w:r>
              <w:rPr>
                <w:rFonts w:ascii="Times New Roman" w:hAnsi="Times New Roman"/>
                <w:vertAlign w:val="superscript"/>
              </w:rPr>
              <w:t>3</w:t>
            </w:r>
            <w:r>
              <w:rPr>
                <w:rFonts w:ascii="Times New Roman" w:hAnsi="Times New Roman"/>
              </w:rPr>
              <w:t>、锚杆150根（ф20，L=2m），挂钢筋网1t、钢支撑15t。</w:t>
            </w:r>
          </w:p>
          <w:p>
            <w:pPr>
              <w:pStyle w:val="223"/>
              <w:bidi w:val="0"/>
              <w:rPr>
                <w:rFonts w:ascii="Times New Roman" w:hAnsi="Times New Roman"/>
                <w:color w:val="000000"/>
              </w:rPr>
            </w:pPr>
            <w:r>
              <w:rPr>
                <w:rFonts w:ascii="Times New Roman" w:hAnsi="Times New Roman"/>
                <w:color w:val="000000"/>
              </w:rPr>
              <mc:AlternateContent>
                <mc:Choice Requires="wps">
                  <w:drawing>
                    <wp:anchor distT="0" distB="0" distL="114300" distR="114300" simplePos="0" relativeHeight="251717632" behindDoc="0" locked="0" layoutInCell="1" allowOverlap="1">
                      <wp:simplePos x="0" y="0"/>
                      <wp:positionH relativeFrom="column">
                        <wp:posOffset>24765</wp:posOffset>
                      </wp:positionH>
                      <wp:positionV relativeFrom="paragraph">
                        <wp:posOffset>278765</wp:posOffset>
                      </wp:positionV>
                      <wp:extent cx="1066800" cy="271780"/>
                      <wp:effectExtent l="5080" t="4445" r="13970" b="9525"/>
                      <wp:wrapNone/>
                      <wp:docPr id="212" name="矩形 212"/>
                      <wp:cNvGraphicFramePr/>
                      <a:graphic xmlns:a="http://schemas.openxmlformats.org/drawingml/2006/main">
                        <a:graphicData uri="http://schemas.microsoft.com/office/word/2010/wordprocessingShape">
                          <wps:wsp>
                            <wps:cNvSpPr/>
                            <wps:spPr>
                              <a:xfrm>
                                <a:off x="0" y="0"/>
                                <a:ext cx="1066800" cy="27178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外购砂石、骨料</w:t>
                                  </w:r>
                                </w:p>
                              </w:txbxContent>
                            </wps:txbx>
                            <wps:bodyPr upright="1"/>
                          </wps:wsp>
                        </a:graphicData>
                      </a:graphic>
                    </wp:anchor>
                  </w:drawing>
                </mc:Choice>
                <mc:Fallback>
                  <w:pict>
                    <v:rect id="_x0000_s1026" o:spid="_x0000_s1026" o:spt="1" style="position:absolute;left:0pt;margin-left:1.95pt;margin-top:21.95pt;height:21.4pt;width:84pt;z-index:251717632;mso-width-relative:page;mso-height-relative:page;" fillcolor="#FFFFFF" filled="t" stroked="t" coordsize="21600,21600" o:gfxdata="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D8M2tUAAAAHAQAADwAAAAAAAAABACAAAAAiAAAA&#10;ZHJzL2Rvd25yZXYueG1sUEsBAhQAFAAAAAgAh07iQAyMn1YKAgAAOwQAAA4AAAAAAAAAAQAgAAAA&#10;JAEAAGRycy9lMm9Eb2MueG1sUEsFBgAAAAAGAAYAWQEAAKAFAAAAAA==&#10;">
                      <v:path/>
                      <v:fill on="t" focussize="0,0"/>
                      <v:stroke/>
                      <v:imagedata o:title=""/>
                      <o:lock v:ext="edit" aspectratio="f"/>
                      <v:textbox>
                        <w:txbxContent>
                          <w:p>
                            <w:r>
                              <w:rPr>
                                <w:rFonts w:hint="eastAsia"/>
                              </w:rPr>
                              <w:t>外购砂石、骨料</w:t>
                            </w:r>
                          </w:p>
                        </w:txbxContent>
                      </v:textbox>
                    </v:rect>
                  </w:pict>
                </mc:Fallback>
              </mc:AlternateContent>
            </w:r>
            <w:r>
              <w:rPr>
                <w:rFonts w:ascii="Times New Roman" w:hAnsi="Times New Roman"/>
                <w:color w:val="000000"/>
              </w:rPr>
              <mc:AlternateContent>
                <mc:Choice Requires="wps">
                  <w:drawing>
                    <wp:anchor distT="0" distB="0" distL="114300" distR="114300" simplePos="0" relativeHeight="251716608" behindDoc="0" locked="0" layoutInCell="1" allowOverlap="1">
                      <wp:simplePos x="0" y="0"/>
                      <wp:positionH relativeFrom="column">
                        <wp:posOffset>2545715</wp:posOffset>
                      </wp:positionH>
                      <wp:positionV relativeFrom="paragraph">
                        <wp:posOffset>252730</wp:posOffset>
                      </wp:positionV>
                      <wp:extent cx="955675" cy="303530"/>
                      <wp:effectExtent l="4445" t="4445" r="11430" b="15875"/>
                      <wp:wrapNone/>
                      <wp:docPr id="251" name="矩形 251"/>
                      <wp:cNvGraphicFramePr/>
                      <a:graphic xmlns:a="http://schemas.openxmlformats.org/drawingml/2006/main">
                        <a:graphicData uri="http://schemas.microsoft.com/office/word/2010/wordprocessingShape">
                          <wps:wsp>
                            <wps:cNvSpPr/>
                            <wps:spPr>
                              <a:xfrm>
                                <a:off x="0" y="0"/>
                                <a:ext cx="955675" cy="30353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石方洞挖</w:t>
                                  </w:r>
                                </w:p>
                              </w:txbxContent>
                            </wps:txbx>
                            <wps:bodyPr upright="1"/>
                          </wps:wsp>
                        </a:graphicData>
                      </a:graphic>
                    </wp:anchor>
                  </w:drawing>
                </mc:Choice>
                <mc:Fallback>
                  <w:pict>
                    <v:rect id="_x0000_s1026" o:spid="_x0000_s1026" o:spt="1" style="position:absolute;left:0pt;margin-left:200.45pt;margin-top:19.9pt;height:23.9pt;width:75.25pt;z-index:251716608;mso-width-relative:page;mso-height-relative:page;" fillcolor="#FFFFFF" filled="t" stroked="t" coordsize="21600,21600" o:gfxdata="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9CowHYAAAACQEAAA8AAAAAAAAAAQAgAAAAIgAA&#10;AGRycy9kb3ducmV2LnhtbFBLAQIUABQAAAAIAIdO4kDKIIC4CAIAADoEAAAOAAAAAAAAAAEAIAAA&#10;ACcBAABkcnMvZTJvRG9jLnhtbFBLBQYAAAAABgAGAFkBAAChBQAAAAA=&#10;">
                      <v:path/>
                      <v:fill on="t" focussize="0,0"/>
                      <v:stroke/>
                      <v:imagedata o:title=""/>
                      <o:lock v:ext="edit" aspectratio="f"/>
                      <v:textbox>
                        <w:txbxContent>
                          <w:p>
                            <w:pPr>
                              <w:jc w:val="center"/>
                              <w:rPr>
                                <w:rFonts w:hint="eastAsia"/>
                              </w:rPr>
                            </w:pPr>
                            <w:r>
                              <w:rPr>
                                <w:rFonts w:hint="eastAsia"/>
                              </w:rPr>
                              <w:t>石方洞挖</w:t>
                            </w:r>
                          </w:p>
                        </w:txbxContent>
                      </v:textbox>
                    </v:rect>
                  </w:pict>
                </mc:Fallback>
              </mc:AlternateContent>
            </w:r>
            <w:r>
              <w:rPr>
                <w:rFonts w:ascii="Times New Roman" w:hAnsi="Times New Roman"/>
                <w:color w:val="000000"/>
              </w:rPr>
              <mc:AlternateContent>
                <mc:Choice Requires="wps">
                  <w:drawing>
                    <wp:anchor distT="0" distB="0" distL="114300" distR="114300" simplePos="0" relativeHeight="251714560" behindDoc="0" locked="0" layoutInCell="1" allowOverlap="1">
                      <wp:simplePos x="0" y="0"/>
                      <wp:positionH relativeFrom="column">
                        <wp:posOffset>3914140</wp:posOffset>
                      </wp:positionH>
                      <wp:positionV relativeFrom="paragraph">
                        <wp:posOffset>147320</wp:posOffset>
                      </wp:positionV>
                      <wp:extent cx="1103630" cy="544195"/>
                      <wp:effectExtent l="0" t="0" r="1270" b="8255"/>
                      <wp:wrapNone/>
                      <wp:docPr id="252" name="矩形 252"/>
                      <wp:cNvGraphicFramePr/>
                      <a:graphic xmlns:a="http://schemas.openxmlformats.org/drawingml/2006/main">
                        <a:graphicData uri="http://schemas.microsoft.com/office/word/2010/wordprocessingShape">
                          <wps:wsp>
                            <wps:cNvSpPr/>
                            <wps:spPr>
                              <a:xfrm>
                                <a:off x="0" y="0"/>
                                <a:ext cx="1103630" cy="544195"/>
                              </a:xfrm>
                              <a:prstGeom prst="rect">
                                <a:avLst/>
                              </a:prstGeom>
                              <a:solidFill>
                                <a:srgbClr val="FFFFFF"/>
                              </a:solidFill>
                              <a:ln>
                                <a:noFill/>
                              </a:ln>
                              <a:effectLst/>
                            </wps:spPr>
                            <wps:txbx>
                              <w:txbxContent>
                                <w:p>
                                  <w:pPr>
                                    <w:rPr>
                                      <w:rFonts w:hint="eastAsia"/>
                                    </w:rPr>
                                  </w:pPr>
                                  <w:r>
                                    <w:rPr>
                                      <w:rFonts w:hint="eastAsia"/>
                                    </w:rPr>
                                    <w:t>固废、扬尘、</w:t>
                                  </w:r>
                                </w:p>
                                <w:p>
                                  <w:pPr>
                                    <w:rPr>
                                      <w:rFonts w:hint="eastAsia"/>
                                    </w:rPr>
                                  </w:pPr>
                                  <w:r>
                                    <w:rPr>
                                      <w:rFonts w:hint="eastAsia"/>
                                    </w:rPr>
                                    <w:t>噪音、植被破坏</w:t>
                                  </w:r>
                                </w:p>
                              </w:txbxContent>
                            </wps:txbx>
                            <wps:bodyPr upright="1"/>
                          </wps:wsp>
                        </a:graphicData>
                      </a:graphic>
                    </wp:anchor>
                  </w:drawing>
                </mc:Choice>
                <mc:Fallback>
                  <w:pict>
                    <v:rect id="_x0000_s1026" o:spid="_x0000_s1026" o:spt="1" style="position:absolute;left:0pt;margin-left:308.2pt;margin-top:11.6pt;height:42.85pt;width:86.9pt;z-index:251714560;mso-width-relative:page;mso-height-relative:page;" fillcolor="#FFFFFF" filled="t" stroked="f" coordsize="21600,21600" o:gfxdata="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gOJSLYAAAACgEAAA8AAAAAAAAAAQAgAAAAIgAAAGRycy9kb3ducmV2LnhtbFBL&#10;AQIUABQAAAAIAIdO4kDxRZpYvQEAAHwDAAAOAAAAAAAAAAEAIAAAACcBAABkcnMvZTJvRG9jLnht&#10;bFBLBQYAAAAABgAGAFkBAABWBQAAAAA=&#10;">
                      <v:path/>
                      <v:fill on="t" focussize="0,0"/>
                      <v:stroke on="f"/>
                      <v:imagedata o:title=""/>
                      <o:lock v:ext="edit" aspectratio="f"/>
                      <v:textbox>
                        <w:txbxContent>
                          <w:p>
                            <w:pPr>
                              <w:rPr>
                                <w:rFonts w:hint="eastAsia"/>
                              </w:rPr>
                            </w:pPr>
                            <w:r>
                              <w:rPr>
                                <w:rFonts w:hint="eastAsia"/>
                              </w:rPr>
                              <w:t>固废、扬尘、</w:t>
                            </w:r>
                          </w:p>
                          <w:p>
                            <w:pPr>
                              <w:rPr>
                                <w:rFonts w:hint="eastAsia"/>
                              </w:rPr>
                            </w:pPr>
                            <w:r>
                              <w:rPr>
                                <w:rFonts w:hint="eastAsia"/>
                              </w:rPr>
                              <w:t>噪音、植被破坏</w:t>
                            </w:r>
                          </w:p>
                        </w:txbxContent>
                      </v:textbox>
                    </v:rect>
                  </w:pict>
                </mc:Fallback>
              </mc:AlternateContent>
            </w:r>
            <w:r>
              <w:rPr>
                <w:rFonts w:ascii="Times New Roman" w:hAnsi="Times New Roman"/>
                <w:color w:val="000000"/>
              </w:rPr>
              <w:t>隧洞工程施工工艺流程及产污节点如下图所示：</w: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rPr>
              <mc:AlternateContent>
                <mc:Choice Requires="wps">
                  <w:drawing>
                    <wp:anchor distT="0" distB="0" distL="114300" distR="114300" simplePos="0" relativeHeight="251726848" behindDoc="0" locked="0" layoutInCell="1" allowOverlap="1">
                      <wp:simplePos x="0" y="0"/>
                      <wp:positionH relativeFrom="column">
                        <wp:posOffset>1195070</wp:posOffset>
                      </wp:positionH>
                      <wp:positionV relativeFrom="paragraph">
                        <wp:posOffset>43815</wp:posOffset>
                      </wp:positionV>
                      <wp:extent cx="581025" cy="452120"/>
                      <wp:effectExtent l="0" t="0" r="9525" b="5080"/>
                      <wp:wrapNone/>
                      <wp:docPr id="253" name="矩形 253"/>
                      <wp:cNvGraphicFramePr/>
                      <a:graphic xmlns:a="http://schemas.openxmlformats.org/drawingml/2006/main">
                        <a:graphicData uri="http://schemas.microsoft.com/office/word/2010/wordprocessingShape">
                          <wps:wsp>
                            <wps:cNvSpPr/>
                            <wps:spPr>
                              <a:xfrm>
                                <a:off x="0" y="0"/>
                                <a:ext cx="581025" cy="452120"/>
                              </a:xfrm>
                              <a:prstGeom prst="rect">
                                <a:avLst/>
                              </a:prstGeom>
                              <a:solidFill>
                                <a:srgbClr val="FFFFFF"/>
                              </a:solidFill>
                              <a:ln>
                                <a:noFill/>
                              </a:ln>
                              <a:effectLst/>
                            </wps:spPr>
                            <wps:txbx>
                              <w:txbxContent>
                                <w:p>
                                  <w:r>
                                    <w:rPr>
                                      <w:rFonts w:hint="eastAsia"/>
                                    </w:rPr>
                                    <w:t>噪声、粉尘</w:t>
                                  </w:r>
                                </w:p>
                              </w:txbxContent>
                            </wps:txbx>
                            <wps:bodyPr upright="1"/>
                          </wps:wsp>
                        </a:graphicData>
                      </a:graphic>
                    </wp:anchor>
                  </w:drawing>
                </mc:Choice>
                <mc:Fallback>
                  <w:pict>
                    <v:rect id="_x0000_s1026" o:spid="_x0000_s1026" o:spt="1" style="position:absolute;left:0pt;margin-left:94.1pt;margin-top:3.45pt;height:35.6pt;width:45.75pt;z-index:251726848;mso-width-relative:page;mso-height-relative:page;" fillcolor="#FFFFFF" filled="t" stroked="f" coordsize="21600,21600" o:gfxdata="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djHjfWAAAACAEAAA8AAAAAAAAAAQAgAAAAIgAAAGRycy9kb3ducmV2LnhtbFBLAQIU&#10;ABQAAAAIAIdO4kD+opVmvAEAAHsDAAAOAAAAAAAAAAEAIAAAACUBAABkcnMvZTJvRG9jLnhtbFBL&#10;BQYAAAAABgAGAFkBAABTBQAAAAA=&#10;">
                      <v:path/>
                      <v:fill on="t" focussize="0,0"/>
                      <v:stroke on="f"/>
                      <v:imagedata o:title=""/>
                      <o:lock v:ext="edit" aspectratio="f"/>
                      <v:textbox>
                        <w:txbxContent>
                          <w:p>
                            <w:r>
                              <w:rPr>
                                <w:rFonts w:hint="eastAsia"/>
                              </w:rPr>
                              <w:t>噪声、粉尘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13536" behindDoc="0" locked="0" layoutInCell="1" allowOverlap="1">
                      <wp:simplePos x="0" y="0"/>
                      <wp:positionH relativeFrom="column">
                        <wp:posOffset>3501390</wp:posOffset>
                      </wp:positionH>
                      <wp:positionV relativeFrom="paragraph">
                        <wp:posOffset>108585</wp:posOffset>
                      </wp:positionV>
                      <wp:extent cx="412750" cy="15240"/>
                      <wp:effectExtent l="0" t="22860" r="6350" b="38100"/>
                      <wp:wrapNone/>
                      <wp:docPr id="254" name="肘形连接符 254"/>
                      <wp:cNvGraphicFramePr/>
                      <a:graphic xmlns:a="http://schemas.openxmlformats.org/drawingml/2006/main">
                        <a:graphicData uri="http://schemas.microsoft.com/office/word/2010/wordprocessingShape">
                          <wps:wsp>
                            <wps:cNvCnPr>
                              <a:stCxn id="251" idx="3"/>
                              <a:endCxn id="252" idx="1"/>
                            </wps:cNvCnPr>
                            <wps:spPr>
                              <a:xfrm>
                                <a:off x="0" y="0"/>
                                <a:ext cx="412750" cy="15240"/>
                              </a:xfrm>
                              <a:prstGeom prst="bentConnector3">
                                <a:avLst>
                                  <a:gd name="adj1" fmla="val 49847"/>
                                </a:avLst>
                              </a:prstGeom>
                              <a:ln w="9525" cap="flat" cmpd="sng">
                                <a:solidFill>
                                  <a:srgbClr val="000000"/>
                                </a:solidFill>
                                <a:prstDash val="dash"/>
                                <a:miter/>
                                <a:headEnd type="none" w="med" len="med"/>
                                <a:tailEnd type="triangle" w="med" len="med"/>
                              </a:ln>
                            </wps:spPr>
                            <wps:bodyPr/>
                          </wps:wsp>
                        </a:graphicData>
                      </a:graphic>
                    </wp:anchor>
                  </w:drawing>
                </mc:Choice>
                <mc:Fallback>
                  <w:pict>
                    <v:shape id="_x0000_s1026" o:spid="_x0000_s1026" o:spt="34" type="#_x0000_t34" style="position:absolute;left:0pt;margin-left:275.7pt;margin-top:8.55pt;height:1.2pt;width:32.5pt;z-index:251713536;mso-width-relative:page;mso-height-relative:page;" filled="f" stroked="t" coordsize="21600,21600" o:gfxdata="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uJs67VAAAACQEAAA8AAAAAAAAAAQAgAAAAIgAAAGRycy9kb3du&#10;cmV2LnhtbFBLAQIUABQAAAAIAIdO4kCpg2/aOwIAAGcEAAAOAAAAAAAAAAEAIAAAACQBAABkcnMv&#10;ZTJvRG9jLnhtbFBLBQYAAAAABgAGAFkBAADRBQAAAAA=&#10;" adj="10767">
                      <v:fill on="f" focussize="0,0"/>
                      <v:stroke color="#000000" joinstyle="miter" dashstyle="dash" endarrow="block"/>
                      <v:imagedata o:title=""/>
                      <o:lock v:ext="edit" aspectratio="f"/>
                    </v:shape>
                  </w:pict>
                </mc:Fallback>
              </mc:AlternateContent>
            </w:r>
          </w:p>
          <w:p>
            <w:pPr>
              <w:wordWrap w:val="0"/>
              <w:adjustRightInd w:val="0"/>
              <w:snapToGrid w:val="0"/>
              <w:spacing w:line="360" w:lineRule="auto"/>
              <w:jc w:val="left"/>
              <w:rPr>
                <w:rFonts w:ascii="Times New Roman" w:hAnsi="Times New Roman"/>
                <w:color w:val="000000"/>
                <w:sz w:val="24"/>
              </w:rPr>
            </w:pPr>
            <w:r>
              <w:rPr>
                <w:sz w:val="24"/>
              </w:rPr>
              <mc:AlternateContent>
                <mc:Choice Requires="wps">
                  <w:drawing>
                    <wp:anchor distT="0" distB="0" distL="114300" distR="114300" simplePos="0" relativeHeight="251798528" behindDoc="0" locked="0" layoutInCell="1" allowOverlap="1">
                      <wp:simplePos x="0" y="0"/>
                      <wp:positionH relativeFrom="column">
                        <wp:posOffset>3056890</wp:posOffset>
                      </wp:positionH>
                      <wp:positionV relativeFrom="paragraph">
                        <wp:posOffset>7620</wp:posOffset>
                      </wp:positionV>
                      <wp:extent cx="9525" cy="433705"/>
                      <wp:effectExtent l="41275" t="0" r="63500" b="4445"/>
                      <wp:wrapNone/>
                      <wp:docPr id="255" name="直接连接符 255"/>
                      <wp:cNvGraphicFramePr/>
                      <a:graphic xmlns:a="http://schemas.openxmlformats.org/drawingml/2006/main">
                        <a:graphicData uri="http://schemas.microsoft.com/office/word/2010/wordprocessingShape">
                          <wps:wsp>
                            <wps:cNvSpPr/>
                            <wps:spPr>
                              <a:xfrm>
                                <a:off x="0" y="0"/>
                                <a:ext cx="9525" cy="43370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40.7pt;margin-top:0.6pt;height:34.15pt;width:0.75pt;z-index:251798528;mso-width-relative:page;mso-height-relative:page;" filled="f" stroked="t" coordsize="21600,21600" o:gfxdata="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i/4dfZAAAACAEAAA8AAAAAAAAAAQAgAAAAIgAAAGRycy9kb3ducmV2&#10;LnhtbFBLAQIUABQAAAAIAIdO4kCtgATz+wEAAOsDAAAOAAAAAAAAAAEAIAAAACgBAABkcnMvZTJv&#10;RG9jLnhtbFBLBQYAAAAABgAGAFkBAACVBQAAAAA=&#10;">
                      <v:path arrowok="t"/>
                      <v:fill on="f" focussize="0,0"/>
                      <v:stroke endarrow="open"/>
                      <v:imagedata o:title=""/>
                      <o:lock v:ext="edit" aspectratio="f"/>
                    </v:line>
                  </w:pict>
                </mc:Fallback>
              </mc:AlternateContent>
            </w:r>
            <w:r>
              <w:rPr>
                <w:sz w:val="24"/>
              </w:rPr>
              <mc:AlternateContent>
                <mc:Choice Requires="wps">
                  <w:drawing>
                    <wp:anchor distT="0" distB="0" distL="114300" distR="114300" simplePos="0" relativeHeight="251793408" behindDoc="0" locked="0" layoutInCell="1" allowOverlap="1">
                      <wp:simplePos x="0" y="0"/>
                      <wp:positionH relativeFrom="column">
                        <wp:posOffset>525780</wp:posOffset>
                      </wp:positionH>
                      <wp:positionV relativeFrom="paragraph">
                        <wp:posOffset>5715</wp:posOffset>
                      </wp:positionV>
                      <wp:extent cx="9525" cy="433705"/>
                      <wp:effectExtent l="41275" t="0" r="63500" b="4445"/>
                      <wp:wrapNone/>
                      <wp:docPr id="256" name="直接连接符 256"/>
                      <wp:cNvGraphicFramePr/>
                      <a:graphic xmlns:a="http://schemas.openxmlformats.org/drawingml/2006/main">
                        <a:graphicData uri="http://schemas.microsoft.com/office/word/2010/wordprocessingShape">
                          <wps:wsp>
                            <wps:cNvSpPr/>
                            <wps:spPr>
                              <a:xfrm>
                                <a:off x="0" y="0"/>
                                <a:ext cx="9525" cy="43370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41.4pt;margin-top:0.45pt;height:34.15pt;width:0.75pt;z-index:251793408;mso-width-relative:page;mso-height-relative:page;" filled="f" stroked="t" coordsize="21600,21600" o:gfxdata="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DbDYdcAAAAFAQAADwAAAAAAAAABACAAAAAiAAAAZHJzL2Rvd25yZXYueG1s&#10;UEsBAhQAFAAAAAgAh07iQMXpx2v5AQAA6wMAAA4AAAAAAAAAAQAgAAAAJgEAAGRycy9lMm9Eb2Mu&#10;eG1sUEsFBgAAAAAGAAYAWQEAAJEFAAAAAA==&#10;">
                      <v:path arrowok="t"/>
                      <v:fill on="f" focussize="0,0"/>
                      <v:stroke endarrow="open"/>
                      <v:imagedata o:title=""/>
                      <o:lock v:ext="edit" aspectratio="f"/>
                    </v:line>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701248" behindDoc="0" locked="0" layoutInCell="1" allowOverlap="1">
                      <wp:simplePos x="0" y="0"/>
                      <wp:positionH relativeFrom="column">
                        <wp:posOffset>3937635</wp:posOffset>
                      </wp:positionH>
                      <wp:positionV relativeFrom="paragraph">
                        <wp:posOffset>95885</wp:posOffset>
                      </wp:positionV>
                      <wp:extent cx="916940" cy="475615"/>
                      <wp:effectExtent l="0" t="0" r="16510" b="635"/>
                      <wp:wrapNone/>
                      <wp:docPr id="257" name="矩形 257"/>
                      <wp:cNvGraphicFramePr/>
                      <a:graphic xmlns:a="http://schemas.openxmlformats.org/drawingml/2006/main">
                        <a:graphicData uri="http://schemas.microsoft.com/office/word/2010/wordprocessingShape">
                          <wps:wsp>
                            <wps:cNvSpPr/>
                            <wps:spPr>
                              <a:xfrm>
                                <a:off x="0" y="0"/>
                                <a:ext cx="916940" cy="475615"/>
                              </a:xfrm>
                              <a:prstGeom prst="rect">
                                <a:avLst/>
                              </a:prstGeom>
                              <a:solidFill>
                                <a:srgbClr val="FFFFFF"/>
                              </a:solidFill>
                              <a:ln>
                                <a:noFill/>
                              </a:ln>
                              <a:effectLst/>
                            </wps:spPr>
                            <wps:txbx>
                              <w:txbxContent>
                                <w:p>
                                  <w:pPr>
                                    <w:rPr>
                                      <w:rFonts w:hint="eastAsia"/>
                                    </w:rPr>
                                  </w:pPr>
                                  <w:r>
                                    <w:rPr>
                                      <w:rFonts w:hint="eastAsia"/>
                                    </w:rPr>
                                    <w:t>固废、扬尘、</w:t>
                                  </w:r>
                                </w:p>
                                <w:p>
                                  <w:r>
                                    <w:rPr>
                                      <w:rFonts w:hint="eastAsia"/>
                                    </w:rPr>
                                    <w:t>噪音</w:t>
                                  </w:r>
                                </w:p>
                              </w:txbxContent>
                            </wps:txbx>
                            <wps:bodyPr upright="1"/>
                          </wps:wsp>
                        </a:graphicData>
                      </a:graphic>
                    </wp:anchor>
                  </w:drawing>
                </mc:Choice>
                <mc:Fallback>
                  <w:pict>
                    <v:rect id="_x0000_s1026" o:spid="_x0000_s1026" o:spt="1" style="position:absolute;left:0pt;margin-left:310.05pt;margin-top:7.55pt;height:37.45pt;width:72.2pt;z-index:251701248;mso-width-relative:page;mso-height-relative:page;" fillcolor="#FFFFFF" filled="t" stroked="f" coordsize="21600,21600" o:gfxdata="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5Ly3PWAAAACQEAAA8AAAAAAAAAAQAgAAAAIgAAAGRycy9kb3ducmV2LnhtbFBLAQIU&#10;ABQAAAAIAIdO4kAjEPY3vAEAAHsDAAAOAAAAAAAAAAEAIAAAACUBAABkcnMvZTJvRG9jLnhtbFBL&#10;BQYAAAAABgAGAFkBAABTBQAAAAA=&#10;">
                      <v:path/>
                      <v:fill on="t" focussize="0,0"/>
                      <v:stroke on="f"/>
                      <v:imagedata o:title=""/>
                      <o:lock v:ext="edit" aspectratio="f"/>
                      <v:textbox>
                        <w:txbxContent>
                          <w:p>
                            <w:pPr>
                              <w:rPr>
                                <w:rFonts w:hint="eastAsia"/>
                              </w:rPr>
                            </w:pPr>
                            <w:r>
                              <w:rPr>
                                <w:rFonts w:hint="eastAsia"/>
                              </w:rPr>
                              <w:t>固废、扬尘、</w:t>
                            </w:r>
                          </w:p>
                          <w:p>
                            <w:r>
                              <w:rPr>
                                <w:rFonts w:hint="eastAsia"/>
                              </w:rPr>
                              <w:t>噪音</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02272" behindDoc="0" locked="0" layoutInCell="1" allowOverlap="1">
                      <wp:simplePos x="0" y="0"/>
                      <wp:positionH relativeFrom="column">
                        <wp:posOffset>2553335</wp:posOffset>
                      </wp:positionH>
                      <wp:positionV relativeFrom="paragraph">
                        <wp:posOffset>191770</wp:posOffset>
                      </wp:positionV>
                      <wp:extent cx="943610" cy="270510"/>
                      <wp:effectExtent l="4445" t="5080" r="23495" b="10160"/>
                      <wp:wrapNone/>
                      <wp:docPr id="258" name="矩形 258"/>
                      <wp:cNvGraphicFramePr/>
                      <a:graphic xmlns:a="http://schemas.openxmlformats.org/drawingml/2006/main">
                        <a:graphicData uri="http://schemas.microsoft.com/office/word/2010/wordprocessingShape">
                          <wps:wsp>
                            <wps:cNvSpPr/>
                            <wps:spPr>
                              <a:xfrm>
                                <a:off x="0" y="0"/>
                                <a:ext cx="943610" cy="2705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szCs w:val="21"/>
                                      <w:lang w:bidi="ar"/>
                                    </w:rPr>
                                  </w:pPr>
                                  <w:r>
                                    <w:rPr>
                                      <w:rFonts w:hint="eastAsia"/>
                                      <w:szCs w:val="21"/>
                                      <w:lang w:bidi="ar"/>
                                    </w:rPr>
                                    <w:t>砼洞浇</w:t>
                                  </w:r>
                                </w:p>
                              </w:txbxContent>
                            </wps:txbx>
                            <wps:bodyPr upright="1"/>
                          </wps:wsp>
                        </a:graphicData>
                      </a:graphic>
                    </wp:anchor>
                  </w:drawing>
                </mc:Choice>
                <mc:Fallback>
                  <w:pict>
                    <v:rect id="_x0000_s1026" o:spid="_x0000_s1026" o:spt="1" style="position:absolute;left:0pt;margin-left:201.05pt;margin-top:15.1pt;height:21.3pt;width:74.3pt;z-index:251702272;mso-width-relative:page;mso-height-relative:page;" fillcolor="#FFFFFF" filled="t" stroked="t" coordsize="21600,21600" o:gfxdata="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uxri9gAAAAJAQAADwAAAAAAAAABACAAAAAiAAAAZHJz&#10;L2Rvd25yZXYueG1sUEsBAhQAFAAAAAgAh07iQFPqGo8EAgAAOgQAAA4AAAAAAAAAAQAgAAAAJwEA&#10;AGRycy9lMm9Eb2MueG1sUEsFBgAAAAAGAAYAWQEAAJ0FAAAAAA==&#10;">
                      <v:path/>
                      <v:fill on="t" focussize="0,0"/>
                      <v:stroke/>
                      <v:imagedata o:title=""/>
                      <o:lock v:ext="edit" aspectratio="f"/>
                      <v:textbox>
                        <w:txbxContent>
                          <w:p>
                            <w:pPr>
                              <w:jc w:val="center"/>
                              <w:rPr>
                                <w:rFonts w:hint="eastAsia"/>
                                <w:szCs w:val="21"/>
                                <w:lang w:bidi="ar"/>
                              </w:rPr>
                            </w:pPr>
                            <w:r>
                              <w:rPr>
                                <w:rFonts w:hint="eastAsia"/>
                                <w:szCs w:val="21"/>
                                <w:lang w:bidi="ar"/>
                              </w:rPr>
                              <w:t>砼洞浇</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15584" behindDoc="0" locked="0" layoutInCell="1" allowOverlap="1">
                      <wp:simplePos x="0" y="0"/>
                      <wp:positionH relativeFrom="column">
                        <wp:posOffset>196215</wp:posOffset>
                      </wp:positionH>
                      <wp:positionV relativeFrom="paragraph">
                        <wp:posOffset>180975</wp:posOffset>
                      </wp:positionV>
                      <wp:extent cx="738505" cy="281940"/>
                      <wp:effectExtent l="4445" t="5080" r="19050" b="17780"/>
                      <wp:wrapNone/>
                      <wp:docPr id="259" name="矩形 259"/>
                      <wp:cNvGraphicFramePr/>
                      <a:graphic xmlns:a="http://schemas.openxmlformats.org/drawingml/2006/main">
                        <a:graphicData uri="http://schemas.microsoft.com/office/word/2010/wordprocessingShape">
                          <wps:wsp>
                            <wps:cNvSpPr/>
                            <wps:spPr>
                              <a:xfrm>
                                <a:off x="0" y="0"/>
                                <a:ext cx="738505" cy="281940"/>
                              </a:xfrm>
                              <a:prstGeom prst="rect">
                                <a:avLst/>
                              </a:prstGeom>
                              <a:solidFill>
                                <a:srgbClr val="FFFFFF"/>
                              </a:solidFill>
                              <a:ln w="3175" cap="flat" cmpd="sng">
                                <a:solidFill>
                                  <a:srgbClr val="000000"/>
                                </a:solidFill>
                                <a:prstDash val="solid"/>
                                <a:miter/>
                                <a:headEnd type="none" w="med" len="med"/>
                                <a:tailEnd type="none" w="med" len="med"/>
                              </a:ln>
                              <a:effectLst/>
                            </wps:spPr>
                            <wps:txbx>
                              <w:txbxContent>
                                <w:p>
                                  <w:pPr>
                                    <w:jc w:val="center"/>
                                  </w:pPr>
                                  <w:r>
                                    <w:rPr>
                                      <w:rFonts w:hint="eastAsia"/>
                                    </w:rPr>
                                    <w:t>砼拌合</w:t>
                                  </w:r>
                                </w:p>
                              </w:txbxContent>
                            </wps:txbx>
                            <wps:bodyPr upright="1"/>
                          </wps:wsp>
                        </a:graphicData>
                      </a:graphic>
                    </wp:anchor>
                  </w:drawing>
                </mc:Choice>
                <mc:Fallback>
                  <w:pict>
                    <v:rect id="_x0000_s1026" o:spid="_x0000_s1026" o:spt="1" style="position:absolute;left:0pt;margin-left:15.45pt;margin-top:14.25pt;height:22.2pt;width:58.15pt;z-index:251715584;mso-width-relative:page;mso-height-relative:page;" fillcolor="#FFFFFF" filled="t" stroked="t" coordsize="21600,21600" o:gfxdata="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mIEA/WAAAACAEAAA8AAAAAAAAAAQAgAAAAIgAA&#10;AGRycy9kb3ducmV2LnhtbFBLAQIUABQAAAAIAIdO4kCQ8JwVCgIAADoEAAAOAAAAAAAAAAEAIAAA&#10;ACUBAABkcnMvZTJvRG9jLnhtbFBLBQYAAAAABgAGAFkBAAChBQAAAAA=&#10;">
                      <v:path/>
                      <v:fill on="t" focussize="0,0"/>
                      <v:stroke weight="0.25pt"/>
                      <v:imagedata o:title=""/>
                      <o:lock v:ext="edit" aspectratio="f"/>
                      <v:textbox>
                        <w:txbxContent>
                          <w:p>
                            <w:pPr>
                              <w:jc w:val="center"/>
                            </w:pPr>
                            <w:r>
                              <w:rPr>
                                <w:rFonts w:hint="eastAsia"/>
                              </w:rPr>
                              <w:t>砼拌合</w:t>
                            </w:r>
                          </w:p>
                        </w:txbxContent>
                      </v:textbox>
                    </v:rect>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sz w:val="24"/>
              </w:rPr>
              <mc:AlternateContent>
                <mc:Choice Requires="wps">
                  <w:drawing>
                    <wp:anchor distT="0" distB="0" distL="114300" distR="114300" simplePos="0" relativeHeight="251797504" behindDoc="0" locked="0" layoutInCell="1" allowOverlap="1">
                      <wp:simplePos x="0" y="0"/>
                      <wp:positionH relativeFrom="column">
                        <wp:posOffset>3053080</wp:posOffset>
                      </wp:positionH>
                      <wp:positionV relativeFrom="paragraph">
                        <wp:posOffset>208280</wp:posOffset>
                      </wp:positionV>
                      <wp:extent cx="9525" cy="274955"/>
                      <wp:effectExtent l="42545" t="0" r="62230" b="10795"/>
                      <wp:wrapNone/>
                      <wp:docPr id="260" name="直接连接符 260"/>
                      <wp:cNvGraphicFramePr/>
                      <a:graphic xmlns:a="http://schemas.openxmlformats.org/drawingml/2006/main">
                        <a:graphicData uri="http://schemas.microsoft.com/office/word/2010/wordprocessingShape">
                          <wps:wsp>
                            <wps:cNvSpPr/>
                            <wps:spPr>
                              <a:xfrm>
                                <a:off x="0" y="0"/>
                                <a:ext cx="9525" cy="2749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40.4pt;margin-top:16.4pt;height:21.65pt;width:0.75pt;z-index:251797504;mso-width-relative:page;mso-height-relative:page;" filled="f" stroked="t" coordsize="21600,21600" o:gfxdata="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dIHfk2gAAAAkBAAAPAAAAAAAAAAEAIAAAACIAAABkcnMvZG93bnJldi54&#10;bWxQSwECFAAUAAAACACHTuJAsrztSvgBAADrAwAADgAAAAAAAAABACAAAAApAQAAZHJzL2Uyb0Rv&#10;Yy54bWxQSwUGAAAAAAYABgBZAQAAkwUAAAAA&#10;">
                      <v:path arrowok="t"/>
                      <v:fill on="f" focussize="0,0"/>
                      <v:stroke endarrow="open"/>
                      <v:imagedata o:title=""/>
                      <o:lock v:ext="edit" aspectratio="f"/>
                    </v:line>
                  </w:pict>
                </mc:Fallback>
              </mc:AlternateContent>
            </w:r>
            <w:r>
              <w:rPr>
                <w:sz w:val="24"/>
              </w:rPr>
              <mc:AlternateContent>
                <mc:Choice Requires="wps">
                  <w:drawing>
                    <wp:anchor distT="0" distB="0" distL="114300" distR="114300" simplePos="0" relativeHeight="251794432" behindDoc="0" locked="0" layoutInCell="1" allowOverlap="1">
                      <wp:simplePos x="0" y="0"/>
                      <wp:positionH relativeFrom="column">
                        <wp:posOffset>949325</wp:posOffset>
                      </wp:positionH>
                      <wp:positionV relativeFrom="paragraph">
                        <wp:posOffset>40640</wp:posOffset>
                      </wp:positionV>
                      <wp:extent cx="1597660" cy="635"/>
                      <wp:effectExtent l="0" t="48260" r="2540" b="65405"/>
                      <wp:wrapNone/>
                      <wp:docPr id="261" name="直接连接符 261"/>
                      <wp:cNvGraphicFramePr/>
                      <a:graphic xmlns:a="http://schemas.openxmlformats.org/drawingml/2006/main">
                        <a:graphicData uri="http://schemas.microsoft.com/office/word/2010/wordprocessingShape">
                          <wps:wsp>
                            <wps:cNvSpPr/>
                            <wps:spPr>
                              <a:xfrm>
                                <a:off x="0" y="0"/>
                                <a:ext cx="159766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74.75pt;margin-top:3.2pt;height:0.05pt;width:125.8pt;z-index:251794432;mso-width-relative:page;mso-height-relative:page;" filled="f" stroked="t" coordsize="21600,21600" o:gfxdata="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ozWbt1gAAAAcBAAAPAAAAAAAAAAEAIAAAACIAAABkcnMvZG93bnJldi54&#10;bWxQSwECFAAUAAAACACHTuJAyKzxLvwBAADrAwAADgAAAAAAAAABACAAAAAlAQAAZHJzL2Uyb0Rv&#10;Yy54bWxQSwUGAAAAAAYABgBZAQAAkwUAAAAA&#10;">
                      <v:path arrowok="t"/>
                      <v:fill on="f" focussize="0,0"/>
                      <v:stroke endarrow="open"/>
                      <v:imagedata o:title=""/>
                      <o:lock v:ext="edit" aspectratio="f"/>
                    </v:line>
                  </w:pict>
                </mc:Fallback>
              </mc:AlternateContent>
            </w:r>
            <w:r>
              <w:rPr>
                <w:rFonts w:ascii="Times New Roman" w:hAnsi="Times New Roman"/>
                <w:sz w:val="24"/>
              </w:rPr>
              <mc:AlternateContent>
                <mc:Choice Requires="wps">
                  <w:drawing>
                    <wp:anchor distT="0" distB="0" distL="114300" distR="114300" simplePos="0" relativeHeight="251721728" behindDoc="0" locked="0" layoutInCell="1" allowOverlap="1">
                      <wp:simplePos x="0" y="0"/>
                      <wp:positionH relativeFrom="column">
                        <wp:posOffset>83820</wp:posOffset>
                      </wp:positionH>
                      <wp:positionV relativeFrom="paragraph">
                        <wp:posOffset>281305</wp:posOffset>
                      </wp:positionV>
                      <wp:extent cx="1783080" cy="2351405"/>
                      <wp:effectExtent l="4445" t="4445" r="22225" b="6350"/>
                      <wp:wrapNone/>
                      <wp:docPr id="262" name="流程图: 过程 262"/>
                      <wp:cNvGraphicFramePr/>
                      <a:graphic xmlns:a="http://schemas.openxmlformats.org/drawingml/2006/main">
                        <a:graphicData uri="http://schemas.microsoft.com/office/word/2010/wordprocessingShape">
                          <wps:wsp>
                            <wps:cNvSpPr/>
                            <wps:spPr>
                              <a:xfrm>
                                <a:off x="0" y="0"/>
                                <a:ext cx="1783080" cy="2351405"/>
                              </a:xfrm>
                              <a:prstGeom prst="flowChartProcess">
                                <a:avLst/>
                              </a:prstGeom>
                              <a:noFill/>
                              <a:ln w="9525" cap="rnd" cmpd="sng">
                                <a:solidFill>
                                  <a:srgbClr val="000000"/>
                                </a:solidFill>
                                <a:prstDash val="sysDot"/>
                                <a:miter/>
                                <a:headEnd type="none" w="med" len="med"/>
                                <a:tailEnd type="none" w="med" len="med"/>
                              </a:ln>
                              <a:effectLst/>
                            </wps:spPr>
                            <wps:bodyPr upright="1"/>
                          </wps:wsp>
                        </a:graphicData>
                      </a:graphic>
                    </wp:anchor>
                  </w:drawing>
                </mc:Choice>
                <mc:Fallback>
                  <w:pict>
                    <v:shape id="_x0000_s1026" o:spid="_x0000_s1026" o:spt="109" type="#_x0000_t109" style="position:absolute;left:0pt;margin-left:6.6pt;margin-top:22.15pt;height:185.15pt;width:140.4pt;z-index:251721728;mso-width-relative:page;mso-height-relative:page;" filled="f" stroked="t" coordsize="21600,21600" o:gfxdata="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gr21rWAAAACQEAAA8AAAAA&#10;AAAAAQAgAAAAIgAAAGRycy9kb3ducmV2LnhtbFBLAQIUABQAAAAIAIdO4kC7nOgUFgIAAB8EAAAO&#10;AAAAAAAAAAEAIAAAACUBAABkcnMvZTJvRG9jLnhtbFBLBQYAAAAABgAGAFkBAACtBQAAAAA=&#10;">
                      <v:path/>
                      <v:fill on="f" focussize="0,0"/>
                      <v:stroke dashstyle="1 1" endcap="round"/>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03296" behindDoc="0" locked="0" layoutInCell="1" allowOverlap="1">
                      <wp:simplePos x="0" y="0"/>
                      <wp:positionH relativeFrom="column">
                        <wp:posOffset>3496945</wp:posOffset>
                      </wp:positionH>
                      <wp:positionV relativeFrom="paragraph">
                        <wp:posOffset>31115</wp:posOffset>
                      </wp:positionV>
                      <wp:extent cx="440690" cy="6350"/>
                      <wp:effectExtent l="0" t="31750" r="16510" b="38100"/>
                      <wp:wrapNone/>
                      <wp:docPr id="263" name="肘形连接符 263"/>
                      <wp:cNvGraphicFramePr/>
                      <a:graphic xmlns:a="http://schemas.openxmlformats.org/drawingml/2006/main">
                        <a:graphicData uri="http://schemas.microsoft.com/office/word/2010/wordprocessingShape">
                          <wps:wsp>
                            <wps:cNvCnPr>
                              <a:stCxn id="258" idx="3"/>
                              <a:endCxn id="257" idx="1"/>
                            </wps:cNvCnPr>
                            <wps:spPr>
                              <a:xfrm>
                                <a:off x="0" y="0"/>
                                <a:ext cx="440690" cy="6350"/>
                              </a:xfrm>
                              <a:prstGeom prst="bentConnector3">
                                <a:avLst>
                                  <a:gd name="adj1" fmla="val 50000"/>
                                </a:avLst>
                              </a:prstGeom>
                              <a:ln w="9525" cap="flat" cmpd="sng">
                                <a:solidFill>
                                  <a:srgbClr val="000000"/>
                                </a:solidFill>
                                <a:prstDash val="dash"/>
                                <a:miter/>
                                <a:headEnd type="none" w="med" len="med"/>
                                <a:tailEnd type="triangle" w="med" len="med"/>
                              </a:ln>
                            </wps:spPr>
                            <wps:bodyPr/>
                          </wps:wsp>
                        </a:graphicData>
                      </a:graphic>
                    </wp:anchor>
                  </w:drawing>
                </mc:Choice>
                <mc:Fallback>
                  <w:pict>
                    <v:shape id="_x0000_s1026" o:spid="_x0000_s1026" o:spt="34" type="#_x0000_t34" style="position:absolute;left:0pt;margin-left:275.35pt;margin-top:2.45pt;height:0.5pt;width:34.7pt;z-index:251703296;mso-width-relative:page;mso-height-relative:page;" filled="f" stroked="t" coordsize="21600,21600" o:gfxdata="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8XYA&#10;0wAAAAcBAAAPAAAAAAAAAAEAIAAAACIAAABkcnMvZG93bnJldi54bWxQSwECFAAUAAAACACHTuJA&#10;Q5TqISYCAAA1BAAADgAAAAAAAAABACAAAAAiAQAAZHJzL2Uyb0RvYy54bWxQSwUGAAAAAAYABgBZ&#10;AQAAugUAAAAA&#10;" adj="10800">
                      <v:fill on="f" focussize="0,0"/>
                      <v:stroke color="#000000" joinstyle="miter" dashstyle="dash" endarrow="block"/>
                      <v:imagedata o:title=""/>
                      <o:lock v:ext="edit" aspectratio="f"/>
                    </v:shape>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rPr>
              <mc:AlternateContent>
                <mc:Choice Requires="wps">
                  <w:drawing>
                    <wp:anchor distT="0" distB="0" distL="114300" distR="114300" simplePos="0" relativeHeight="251699200" behindDoc="0" locked="0" layoutInCell="1" allowOverlap="1">
                      <wp:simplePos x="0" y="0"/>
                      <wp:positionH relativeFrom="column">
                        <wp:posOffset>3992245</wp:posOffset>
                      </wp:positionH>
                      <wp:positionV relativeFrom="paragraph">
                        <wp:posOffset>217805</wp:posOffset>
                      </wp:positionV>
                      <wp:extent cx="799465" cy="290195"/>
                      <wp:effectExtent l="0" t="0" r="635" b="14605"/>
                      <wp:wrapNone/>
                      <wp:docPr id="264" name="矩形 264"/>
                      <wp:cNvGraphicFramePr/>
                      <a:graphic xmlns:a="http://schemas.openxmlformats.org/drawingml/2006/main">
                        <a:graphicData uri="http://schemas.microsoft.com/office/word/2010/wordprocessingShape">
                          <wps:wsp>
                            <wps:cNvSpPr/>
                            <wps:spPr>
                              <a:xfrm>
                                <a:off x="0" y="0"/>
                                <a:ext cx="799465" cy="290195"/>
                              </a:xfrm>
                              <a:prstGeom prst="rect">
                                <a:avLst/>
                              </a:prstGeom>
                              <a:solidFill>
                                <a:srgbClr val="FFFFFF"/>
                              </a:solidFill>
                              <a:ln>
                                <a:noFill/>
                              </a:ln>
                              <a:effectLst/>
                            </wps:spPr>
                            <wps:txbx>
                              <w:txbxContent>
                                <w:p>
                                  <w:r>
                                    <w:rPr>
                                      <w:rFonts w:hint="eastAsia"/>
                                    </w:rPr>
                                    <w:t>噪声、粉尘</w:t>
                                  </w:r>
                                </w:p>
                              </w:txbxContent>
                            </wps:txbx>
                            <wps:bodyPr upright="1"/>
                          </wps:wsp>
                        </a:graphicData>
                      </a:graphic>
                    </wp:anchor>
                  </w:drawing>
                </mc:Choice>
                <mc:Fallback>
                  <w:pict>
                    <v:rect id="_x0000_s1026" o:spid="_x0000_s1026" o:spt="1" style="position:absolute;left:0pt;margin-left:314.35pt;margin-top:17.15pt;height:22.85pt;width:62.95pt;z-index:251699200;mso-width-relative:page;mso-height-relative:page;" fillcolor="#FFFFFF" filled="t" stroked="f" coordsize="21600,21600" o:gfxdata="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lQubq9gAAAAJAQAADwAAAAAAAAABACAAAAAiAAAAZHJzL2Rvd25yZXYueG1sUEsB&#10;AhQAFAAAAAgAh07iQFx7RPu8AQAAewMAAA4AAAAAAAAAAQAgAAAAJwEAAGRycy9lMm9Eb2MueG1s&#10;UEsFBgAAAAAGAAYAWQEAAFUFAAAAAA==&#10;">
                      <v:path/>
                      <v:fill on="t" focussize="0,0"/>
                      <v:stroke on="f"/>
                      <v:imagedata o:title=""/>
                      <o:lock v:ext="edit" aspectratio="f"/>
                      <v:textbox>
                        <w:txbxContent>
                          <w:p>
                            <w:r>
                              <w:rPr>
                                <w:rFonts w:hint="eastAsia"/>
                              </w:rPr>
                              <w:t>噪声、粉尘</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04320" behindDoc="0" locked="0" layoutInCell="1" allowOverlap="1">
                      <wp:simplePos x="0" y="0"/>
                      <wp:positionH relativeFrom="column">
                        <wp:posOffset>802640</wp:posOffset>
                      </wp:positionH>
                      <wp:positionV relativeFrom="paragraph">
                        <wp:posOffset>43180</wp:posOffset>
                      </wp:positionV>
                      <wp:extent cx="469900" cy="251460"/>
                      <wp:effectExtent l="4445" t="5080" r="20955" b="10160"/>
                      <wp:wrapNone/>
                      <wp:docPr id="265" name="矩形 265"/>
                      <wp:cNvGraphicFramePr/>
                      <a:graphic xmlns:a="http://schemas.openxmlformats.org/drawingml/2006/main">
                        <a:graphicData uri="http://schemas.microsoft.com/office/word/2010/wordprocessingShape">
                          <wps:wsp>
                            <wps:cNvSpPr/>
                            <wps:spPr>
                              <a:xfrm>
                                <a:off x="0" y="0"/>
                                <a:ext cx="469900" cy="2514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szCs w:val="21"/>
                                    </w:rPr>
                                  </w:pPr>
                                  <w:r>
                                    <w:rPr>
                                      <w:rFonts w:hint="eastAsia" w:ascii="宋体" w:hAnsi="宋体"/>
                                      <w:szCs w:val="21"/>
                                      <w:lang w:bidi="ar"/>
                                    </w:rPr>
                                    <w:t>造孔</w:t>
                                  </w:r>
                                </w:p>
                              </w:txbxContent>
                            </wps:txbx>
                            <wps:bodyPr upright="1"/>
                          </wps:wsp>
                        </a:graphicData>
                      </a:graphic>
                    </wp:anchor>
                  </w:drawing>
                </mc:Choice>
                <mc:Fallback>
                  <w:pict>
                    <v:rect id="_x0000_s1026" o:spid="_x0000_s1026" o:spt="1" style="position:absolute;left:0pt;margin-left:63.2pt;margin-top:3.4pt;height:19.8pt;width:37pt;z-index:251704320;mso-width-relative:page;mso-height-relative:page;" fillcolor="#FFFFFF" filled="t" stroked="t" coordsize="21600,21600" o:gfxdata="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Khus/RAAAACAEAAA8AAAAAAAAAAQAgAAAAIgAAAGRycy9k&#10;b3ducmV2LnhtbFBLAQIUABQAAAAIAIdO4kBkP7UmCQIAADoEAAAOAAAAAAAAAAEAIAAAACABAABk&#10;cnMvZTJvRG9jLnhtbFBLBQYAAAAABgAGAFkBAACbBQAAAAA=&#10;">
                      <v:path/>
                      <v:fill on="t" focussize="0,0"/>
                      <v:stroke/>
                      <v:imagedata o:title=""/>
                      <o:lock v:ext="edit" aspectratio="f"/>
                      <v:textbox>
                        <w:txbxContent>
                          <w:p>
                            <w:pPr>
                              <w:jc w:val="center"/>
                              <w:rPr>
                                <w:szCs w:val="21"/>
                              </w:rPr>
                            </w:pPr>
                            <w:r>
                              <w:rPr>
                                <w:rFonts w:hint="eastAsia" w:ascii="宋体" w:hAnsi="宋体"/>
                                <w:szCs w:val="21"/>
                                <w:lang w:bidi="ar"/>
                              </w:rPr>
                              <w:t>造孔</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667456" behindDoc="0" locked="0" layoutInCell="1" allowOverlap="1">
                      <wp:simplePos x="0" y="0"/>
                      <wp:positionH relativeFrom="column">
                        <wp:posOffset>2543810</wp:posOffset>
                      </wp:positionH>
                      <wp:positionV relativeFrom="paragraph">
                        <wp:posOffset>226060</wp:posOffset>
                      </wp:positionV>
                      <wp:extent cx="958850" cy="270510"/>
                      <wp:effectExtent l="5080" t="5080" r="7620" b="10160"/>
                      <wp:wrapNone/>
                      <wp:docPr id="266" name="矩形 266"/>
                      <wp:cNvGraphicFramePr/>
                      <a:graphic xmlns:a="http://schemas.openxmlformats.org/drawingml/2006/main">
                        <a:graphicData uri="http://schemas.microsoft.com/office/word/2010/wordprocessingShape">
                          <wps:wsp>
                            <wps:cNvSpPr/>
                            <wps:spPr>
                              <a:xfrm>
                                <a:off x="0" y="0"/>
                                <a:ext cx="958850" cy="2705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注浆锚杆</w:t>
                                  </w:r>
                                </w:p>
                              </w:txbxContent>
                            </wps:txbx>
                            <wps:bodyPr upright="1"/>
                          </wps:wsp>
                        </a:graphicData>
                      </a:graphic>
                    </wp:anchor>
                  </w:drawing>
                </mc:Choice>
                <mc:Fallback>
                  <w:pict>
                    <v:rect id="_x0000_s1026" o:spid="_x0000_s1026" o:spt="1" style="position:absolute;left:0pt;margin-left:200.3pt;margin-top:17.8pt;height:21.3pt;width:75.5pt;z-index:251667456;mso-width-relative:page;mso-height-relative:page;" fillcolor="#FFFFFF" filled="t" stroked="t" coordsize="21600,21600" o:gfxdata="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&#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8VyRS1gAAAAkBAAAPAAAAAAAAAAEAIAAAACIAAABk&#10;cnMvZG93bnJldi54bWxQSwECFAAUAAAACACHTuJAYSjZTwgCAAA6BAAADgAAAAAAAAABACAAAAAl&#10;AQAAZHJzL2Uyb0RvYy54bWxQSwUGAAAAAAYABgBZAQAAnwUAAAAA&#10;">
                      <v:path/>
                      <v:fill on="t" focussize="0,0"/>
                      <v:stroke/>
                      <v:imagedata o:title=""/>
                      <o:lock v:ext="edit" aspectratio="f"/>
                      <v:textbox>
                        <w:txbxContent>
                          <w:p>
                            <w:pPr>
                              <w:jc w:val="center"/>
                              <w:rPr>
                                <w:rFonts w:hint="eastAsia"/>
                              </w:rPr>
                            </w:pPr>
                            <w:r>
                              <w:rPr>
                                <w:rFonts w:hint="eastAsia"/>
                              </w:rPr>
                              <w:t>注浆锚杆</w:t>
                            </w:r>
                          </w:p>
                        </w:txbxContent>
                      </v:textbox>
                    </v:rect>
                  </w:pict>
                </mc:Fallback>
              </mc:AlternateContent>
            </w:r>
          </w:p>
          <w:p>
            <w:pPr>
              <w:wordWrap w:val="0"/>
              <w:adjustRightInd w:val="0"/>
              <w:snapToGrid w:val="0"/>
              <w:spacing w:line="360" w:lineRule="auto"/>
              <w:ind w:firstLine="480" w:firstLineChars="200"/>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725824" behindDoc="0" locked="0" layoutInCell="1" allowOverlap="1">
                      <wp:simplePos x="0" y="0"/>
                      <wp:positionH relativeFrom="column">
                        <wp:posOffset>3502660</wp:posOffset>
                      </wp:positionH>
                      <wp:positionV relativeFrom="paragraph">
                        <wp:posOffset>98425</wp:posOffset>
                      </wp:positionV>
                      <wp:extent cx="489585" cy="1270"/>
                      <wp:effectExtent l="0" t="36830" r="5715" b="38100"/>
                      <wp:wrapNone/>
                      <wp:docPr id="267" name="肘形连接符 267"/>
                      <wp:cNvGraphicFramePr/>
                      <a:graphic xmlns:a="http://schemas.openxmlformats.org/drawingml/2006/main">
                        <a:graphicData uri="http://schemas.microsoft.com/office/word/2010/wordprocessingShape">
                          <wps:wsp>
                            <wps:cNvCnPr>
                              <a:stCxn id="266" idx="3"/>
                              <a:endCxn id="264" idx="1"/>
                            </wps:cNvCnPr>
                            <wps:spPr>
                              <a:xfrm>
                                <a:off x="0" y="0"/>
                                <a:ext cx="489585" cy="1270"/>
                              </a:xfrm>
                              <a:prstGeom prst="bentConnector3">
                                <a:avLst>
                                  <a:gd name="adj1" fmla="val 49935"/>
                                </a:avLst>
                              </a:prstGeom>
                              <a:ln w="9525" cap="flat" cmpd="sng">
                                <a:solidFill>
                                  <a:srgbClr val="000000"/>
                                </a:solidFill>
                                <a:prstDash val="dash"/>
                                <a:miter/>
                                <a:headEnd type="none" w="med" len="med"/>
                                <a:tailEnd type="triangle" w="med" len="med"/>
                              </a:ln>
                            </wps:spPr>
                            <wps:bodyPr/>
                          </wps:wsp>
                        </a:graphicData>
                      </a:graphic>
                    </wp:anchor>
                  </w:drawing>
                </mc:Choice>
                <mc:Fallback>
                  <w:pict>
                    <v:shape id="_x0000_s1026" o:spid="_x0000_s1026" o:spt="34" type="#_x0000_t34" style="position:absolute;left:0pt;margin-left:275.8pt;margin-top:7.75pt;height:0.1pt;width:38.55pt;z-index:251725824;mso-width-relative:page;mso-height-relative:page;" filled="f" stroked="t" coordsize="21600,21600" o:gfxdata="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Z1wGHUAAAACQEAAA8AAAAAAAAAAQAgAAAAIgAAAGRycy9kb3ducmV2&#10;LnhtbFBLAQIUABQAAAAIAIdO4kBGfI5UOQIAAGYEAAAOAAAAAAAAAAEAIAAAACMBAABkcnMvZTJv&#10;RG9jLnhtbFBLBQYAAAAABgAGAFkBAADOBQAAAAA=&#10;" adj="10786">
                      <v:fill on="f" focussize="0,0"/>
                      <v:stroke color="#000000" joinstyle="miter"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06368" behindDoc="0" locked="0" layoutInCell="1" allowOverlap="1">
                      <wp:simplePos x="0" y="0"/>
                      <wp:positionH relativeFrom="column">
                        <wp:posOffset>806450</wp:posOffset>
                      </wp:positionH>
                      <wp:positionV relativeFrom="paragraph">
                        <wp:posOffset>233045</wp:posOffset>
                      </wp:positionV>
                      <wp:extent cx="476250" cy="250825"/>
                      <wp:effectExtent l="4445" t="5080" r="14605" b="10795"/>
                      <wp:wrapNone/>
                      <wp:docPr id="268" name="矩形 268"/>
                      <wp:cNvGraphicFramePr/>
                      <a:graphic xmlns:a="http://schemas.openxmlformats.org/drawingml/2006/main">
                        <a:graphicData uri="http://schemas.microsoft.com/office/word/2010/wordprocessingShape">
                          <wps:wsp>
                            <wps:cNvSpPr/>
                            <wps:spPr>
                              <a:xfrm>
                                <a:off x="0" y="0"/>
                                <a:ext cx="476250" cy="2508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清孔</w:t>
                                  </w:r>
                                </w:p>
                              </w:txbxContent>
                            </wps:txbx>
                            <wps:bodyPr upright="1"/>
                          </wps:wsp>
                        </a:graphicData>
                      </a:graphic>
                    </wp:anchor>
                  </w:drawing>
                </mc:Choice>
                <mc:Fallback>
                  <w:pict>
                    <v:rect id="_x0000_s1026" o:spid="_x0000_s1026" o:spt="1" style="position:absolute;left:0pt;margin-left:63.5pt;margin-top:18.35pt;height:19.75pt;width:37.5pt;z-index:251706368;mso-width-relative:page;mso-height-relative:page;" fillcolor="#FFFFFF" filled="t" stroked="t" coordsize="21600,21600" o:gfxdata="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7I5z1wAAAAkBAAAPAAAAAAAAAAEAIAAAACIAAABkcnMv&#10;ZG93bnJldi54bWxQSwECFAAUAAAACACHTuJAYsOgHAQCAAA6BAAADgAAAAAAAAABACAAAAAmAQAA&#10;ZHJzL2Uyb0RvYy54bWxQSwUGAAAAAAYABgBZAQAAnAUAAAAA&#10;">
                      <v:path/>
                      <v:fill on="t" focussize="0,0"/>
                      <v:stroke/>
                      <v:imagedata o:title=""/>
                      <o:lock v:ext="edit" aspectratio="f"/>
                      <v:textbox>
                        <w:txbxContent>
                          <w:p>
                            <w:pPr>
                              <w:jc w:val="center"/>
                              <w:rPr>
                                <w:rFonts w:hint="eastAsia"/>
                              </w:rPr>
                            </w:pPr>
                            <w:r>
                              <w:rPr>
                                <w:rFonts w:hint="eastAsia"/>
                              </w:rPr>
                              <w:t>清孔</w:t>
                            </w:r>
                          </w:p>
                        </w:txbxContent>
                      </v:textbox>
                    </v:rect>
                  </w:pict>
                </mc:Fallback>
              </mc:AlternateContent>
            </w:r>
            <w:r>
              <w:rPr>
                <w:rFonts w:ascii="Times New Roman" w:hAnsi="Times New Roman"/>
                <w:sz w:val="24"/>
              </w:rPr>
              <mc:AlternateContent>
                <mc:Choice Requires="wps">
                  <w:drawing>
                    <wp:anchor distT="0" distB="0" distL="114300" distR="114300" simplePos="0" relativeHeight="251722752" behindDoc="0" locked="0" layoutInCell="1" allowOverlap="1">
                      <wp:simplePos x="0" y="0"/>
                      <wp:positionH relativeFrom="column">
                        <wp:posOffset>2200910</wp:posOffset>
                      </wp:positionH>
                      <wp:positionV relativeFrom="paragraph">
                        <wp:posOffset>-228600</wp:posOffset>
                      </wp:positionV>
                      <wp:extent cx="635" cy="675005"/>
                      <wp:effectExtent l="0" t="337185" r="0" b="0"/>
                      <wp:wrapNone/>
                      <wp:docPr id="269" name="直接箭头连接符 269"/>
                      <wp:cNvGraphicFramePr/>
                      <a:graphic xmlns:a="http://schemas.openxmlformats.org/drawingml/2006/main">
                        <a:graphicData uri="http://schemas.microsoft.com/office/word/2010/wordprocessingShape">
                          <wps:wsp>
                            <wps:cNvCnPr>
                              <a:stCxn id="279" idx="2"/>
                              <a:endCxn id="2" idx="0"/>
                            </wps:cNvCnPr>
                            <wps:spPr>
                              <a:xfrm rot="5400000">
                                <a:off x="0" y="0"/>
                                <a:ext cx="635" cy="675005"/>
                              </a:xfrm>
                              <a:prstGeom prst="straightConnector1">
                                <a:avLst/>
                              </a:prstGeom>
                              <a:ln w="9525" cap="rnd" cmpd="sng">
                                <a:solidFill>
                                  <a:srgbClr val="000000"/>
                                </a:solidFill>
                                <a:prstDash val="sysDot"/>
                                <a:headEnd type="none" w="med" len="med"/>
                                <a:tailEnd type="none" w="med" len="med"/>
                              </a:ln>
                            </wps:spPr>
                            <wps:bodyPr/>
                          </wps:wsp>
                        </a:graphicData>
                      </a:graphic>
                    </wp:anchor>
                  </w:drawing>
                </mc:Choice>
                <mc:Fallback>
                  <w:pict>
                    <v:shape id="_x0000_s1026" o:spid="_x0000_s1026" o:spt="32" type="#_x0000_t32" style="position:absolute;left:0pt;margin-left:173.3pt;margin-top:-18pt;height:53.15pt;width:0.05pt;rotation:5898240f;z-index:251722752;mso-width-relative:page;mso-height-relative:page;" filled="f" stroked="t" coordsize="21600,21600" o:gfxdata="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QBmE+1QAAAAkBAAAPAAAAAAAAAAEAIAAAACIAAABkcnMvZG93&#10;bnJldi54bWxQSwECFAAUAAAACACHTuJAsMqDHwMCAAD5AwAADgAAAAAAAAABACAAAAAkAQAAZHJz&#10;L2Uyb0RvYy54bWxQSwUGAAAAAAYABgBZAQAAmQUAAAAA&#10;">
                      <v:fill on="f" focussize="0,0"/>
                      <v:stroke color="#000000" joinstyle="round" dashstyle="1 1" endcap="round"/>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24800" behindDoc="0" locked="0" layoutInCell="1" allowOverlap="1">
                      <wp:simplePos x="0" y="0"/>
                      <wp:positionH relativeFrom="column">
                        <wp:posOffset>2871470</wp:posOffset>
                      </wp:positionH>
                      <wp:positionV relativeFrom="paragraph">
                        <wp:posOffset>378460</wp:posOffset>
                      </wp:positionV>
                      <wp:extent cx="289560" cy="635"/>
                      <wp:effectExtent l="38100" t="0" r="37465" b="15240"/>
                      <wp:wrapNone/>
                      <wp:docPr id="270" name="肘形连接符 270"/>
                      <wp:cNvGraphicFramePr/>
                      <a:graphic xmlns:a="http://schemas.openxmlformats.org/drawingml/2006/main">
                        <a:graphicData uri="http://schemas.microsoft.com/office/word/2010/wordprocessingShape">
                          <wps:wsp>
                            <wps:cNvCnPr>
                              <a:stCxn id="266" idx="2"/>
                              <a:endCxn id="2" idx="0"/>
                            </wps:cNvCnPr>
                            <wps:spPr>
                              <a:xfrm rot="5400000">
                                <a:off x="0" y="0"/>
                                <a:ext cx="289560" cy="635"/>
                              </a:xfrm>
                              <a:prstGeom prst="bentConnector3">
                                <a:avLst>
                                  <a:gd name="adj1" fmla="val 50000"/>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226.1pt;margin-top:29.8pt;height:0.05pt;width:22.8pt;rotation:5898240f;z-index:251724800;mso-width-relative:page;mso-height-relative:page;" filled="f" stroked="t" coordsize="21600,21600" o:gfxdata="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&#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c/E5/YAAAACQEAAA8AAAAAAAAAAQAgAAAAIgAAAGRy&#10;cy9kb3ducmV2LnhtbFBLAQIUABQAAAAIAIdO4kDRkAS3PgIAAHIEAAAOAAAAAAAAAAEAIAAAACcB&#10;AABkcnMvZTJvRG9jLnhtbFBLBQYAAAAABgAGAFkBAADXBQAAAAA=&#10;" adj="10800">
                      <v:fill on="f" focussize="0,0"/>
                      <v:stroke color="#000000" joinstyle="miter" endarrow="block"/>
                      <v:imagedata o:title=""/>
                      <o:lock v:ext="edit" aspectratio="f"/>
                    </v:shape>
                  </w:pict>
                </mc:Fallback>
              </mc:AlternateContent>
            </w:r>
            <w:r>
              <w:rPr>
                <w:rFonts w:ascii="Times New Roman" w:hAnsi="Times New Roman"/>
                <w:color w:val="000000"/>
              </w:rPr>
              <mc:AlternateContent>
                <mc:Choice Requires="wps">
                  <w:drawing>
                    <wp:anchor distT="0" distB="0" distL="114300" distR="114300" simplePos="0" relativeHeight="251705344" behindDoc="0" locked="0" layoutInCell="1" allowOverlap="1">
                      <wp:simplePos x="0" y="0"/>
                      <wp:positionH relativeFrom="column">
                        <wp:posOffset>937260</wp:posOffset>
                      </wp:positionH>
                      <wp:positionV relativeFrom="paragraph">
                        <wp:posOffset>125730</wp:posOffset>
                      </wp:positionV>
                      <wp:extent cx="201295" cy="6985"/>
                      <wp:effectExtent l="31115" t="0" r="38100" b="8255"/>
                      <wp:wrapNone/>
                      <wp:docPr id="271" name="肘形连接符 271"/>
                      <wp:cNvGraphicFramePr/>
                      <a:graphic xmlns:a="http://schemas.openxmlformats.org/drawingml/2006/main">
                        <a:graphicData uri="http://schemas.microsoft.com/office/word/2010/wordprocessingShape">
                          <wps:wsp>
                            <wps:cNvCnPr>
                              <a:stCxn id="265" idx="2"/>
                              <a:endCxn id="268" idx="0"/>
                            </wps:cNvCnPr>
                            <wps:spPr>
                              <a:xfrm rot="-5400000" flipH="1">
                                <a:off x="0" y="0"/>
                                <a:ext cx="201295" cy="6985"/>
                              </a:xfrm>
                              <a:prstGeom prst="bentConnector3">
                                <a:avLst>
                                  <a:gd name="adj1" fmla="val 49843"/>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flip:x;margin-left:73.8pt;margin-top:9.9pt;height:0.55pt;width:15.85pt;rotation:5898240f;z-index:251705344;mso-width-relative:page;mso-height-relative:page;" filled="f" stroked="t" coordsize="21600,21600" o:gfxdata="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l1U51&#10;2AAAAAgBAAAPAAAAAAAAAAEAIAAAACIAAABkcnMvZG93bnJldi54bWxQSwECFAAUAAAACACHTuJA&#10;P32LJCECAAA2BAAADgAAAAAAAAABACAAAAAnAQAAZHJzL2Uyb0RvYy54bWxQSwUGAAAAAAYABgBZ&#10;AQAAugUAAAAA&#10;" adj="10766">
                      <v:fill on="f" focussize="0,0"/>
                      <v:stroke color="#000000" joinstyle="miter" endarrow="block"/>
                      <v:imagedata o:title=""/>
                      <o:lock v:ext="edit" aspectratio="f"/>
                    </v:shape>
                  </w:pict>
                </mc:Fallback>
              </mc:AlternateContent>
            </w:r>
          </w:p>
          <w:p>
            <w:pPr>
              <w:adjustRightInd w:val="0"/>
              <w:snapToGrid w:val="0"/>
              <w:spacing w:line="360" w:lineRule="auto"/>
              <w:ind w:firstLine="480" w:firstLineChars="200"/>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712512" behindDoc="0" locked="0" layoutInCell="1" allowOverlap="1">
                      <wp:simplePos x="0" y="0"/>
                      <wp:positionH relativeFrom="column">
                        <wp:posOffset>3902710</wp:posOffset>
                      </wp:positionH>
                      <wp:positionV relativeFrom="paragraph">
                        <wp:posOffset>248285</wp:posOffset>
                      </wp:positionV>
                      <wp:extent cx="933450" cy="334645"/>
                      <wp:effectExtent l="0" t="0" r="0" b="8255"/>
                      <wp:wrapNone/>
                      <wp:docPr id="272" name="矩形 272"/>
                      <wp:cNvGraphicFramePr/>
                      <a:graphic xmlns:a="http://schemas.openxmlformats.org/drawingml/2006/main">
                        <a:graphicData uri="http://schemas.microsoft.com/office/word/2010/wordprocessingShape">
                          <wps:wsp>
                            <wps:cNvSpPr/>
                            <wps:spPr>
                              <a:xfrm>
                                <a:off x="0" y="0"/>
                                <a:ext cx="933450" cy="334645"/>
                              </a:xfrm>
                              <a:prstGeom prst="rect">
                                <a:avLst/>
                              </a:prstGeom>
                              <a:solidFill>
                                <a:srgbClr val="FFFFFF"/>
                              </a:solidFill>
                              <a:ln>
                                <a:noFill/>
                              </a:ln>
                              <a:effectLst/>
                            </wps:spPr>
                            <wps:txbx>
                              <w:txbxContent>
                                <w:p>
                                  <w:pPr>
                                    <w:rPr>
                                      <w:rFonts w:hint="eastAsia"/>
                                    </w:rPr>
                                  </w:pPr>
                                  <w:r>
                                    <w:rPr>
                                      <w:rFonts w:hint="eastAsia"/>
                                    </w:rPr>
                                    <w:t>废水</w:t>
                                  </w:r>
                                </w:p>
                              </w:txbxContent>
                            </wps:txbx>
                            <wps:bodyPr upright="1"/>
                          </wps:wsp>
                        </a:graphicData>
                      </a:graphic>
                    </wp:anchor>
                  </w:drawing>
                </mc:Choice>
                <mc:Fallback>
                  <w:pict>
                    <v:rect id="_x0000_s1026" o:spid="_x0000_s1026" o:spt="1" style="position:absolute;left:0pt;margin-left:307.3pt;margin-top:19.55pt;height:26.35pt;width:73.5pt;z-index:251712512;mso-width-relative:page;mso-height-relative:page;" fillcolor="#FFFFFF" filled="t" stroked="f" coordsize="21600,21600" o:gfxdata="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vhJ2zXAAAACQEAAA8AAAAAAAAAAQAgAAAAIgAAAGRycy9kb3ducmV2LnhtbFBLAQIU&#10;ABQAAAAIAIdO4kAHJblLuwEAAHsDAAAOAAAAAAAAAAEAIAAAACYBAABkcnMvZTJvRG9jLnhtbFBL&#10;BQYAAAAABgAGAFkBAABTBQAAAAA=&#10;">
                      <v:path/>
                      <v:fill on="t" focussize="0,0"/>
                      <v:stroke on="f"/>
                      <v:imagedata o:title=""/>
                      <o:lock v:ext="edit" aspectratio="f"/>
                      <v:textbox>
                        <w:txbxContent>
                          <w:p>
                            <w:pPr>
                              <w:rPr>
                                <w:rFonts w:hint="eastAsia"/>
                              </w:rPr>
                            </w:pPr>
                            <w:r>
                              <w:rPr>
                                <w:rFonts w:hint="eastAsia"/>
                              </w:rPr>
                              <w:t>废水</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07392" behindDoc="0" locked="0" layoutInCell="1" allowOverlap="1">
                      <wp:simplePos x="0" y="0"/>
                      <wp:positionH relativeFrom="column">
                        <wp:posOffset>930275</wp:posOffset>
                      </wp:positionH>
                      <wp:positionV relativeFrom="paragraph">
                        <wp:posOffset>328930</wp:posOffset>
                      </wp:positionV>
                      <wp:extent cx="229870" cy="7620"/>
                      <wp:effectExtent l="30480" t="0" r="38100" b="17780"/>
                      <wp:wrapNone/>
                      <wp:docPr id="273" name="肘形连接符 273"/>
                      <wp:cNvGraphicFramePr/>
                      <a:graphic xmlns:a="http://schemas.openxmlformats.org/drawingml/2006/main">
                        <a:graphicData uri="http://schemas.microsoft.com/office/word/2010/wordprocessingShape">
                          <wps:wsp>
                            <wps:cNvCnPr>
                              <a:stCxn id="268" idx="2"/>
                              <a:endCxn id="276" idx="0"/>
                            </wps:cNvCnPr>
                            <wps:spPr>
                              <a:xfrm rot="-5400000" flipH="1">
                                <a:off x="0" y="0"/>
                                <a:ext cx="229870" cy="7620"/>
                              </a:xfrm>
                              <a:prstGeom prst="bentConnector3">
                                <a:avLst>
                                  <a:gd name="adj1" fmla="val 4972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flip:x;margin-left:73.25pt;margin-top:25.9pt;height:0.6pt;width:18.1pt;rotation:5898240f;z-index:251707392;mso-width-relative:page;mso-height-relative:page;" filled="f" stroked="t" coordsize="21600,21600" o:gfxdata="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a&#10;QhQK2QAAAAkBAAAPAAAAAAAAAAEAIAAAACIAAABkcnMvZG93bnJldi54bWxQSwECFAAUAAAACACH&#10;TuJAYrHPxyMCAAA2BAAADgAAAAAAAAABACAAAAAoAQAAZHJzL2Uyb0RvYy54bWxQSwUGAAAAAAYA&#10;BgBZAQAAvQUAAAAA&#10;" adj="10740">
                      <v:fill on="f" focussize="0,0"/>
                      <v:stroke color="#000000" joinstyle="miter" endarrow="block"/>
                      <v:imagedata o:title=""/>
                      <o:lock v:ext="edit" aspectratio="f"/>
                    </v:shape>
                  </w:pict>
                </mc:Fallback>
              </mc:AlternateContent>
            </w:r>
          </w:p>
          <w:p>
            <w:pPr>
              <w:spacing w:line="360" w:lineRule="auto"/>
              <w:jc w:val="left"/>
              <w:rPr>
                <w:rFonts w:ascii="Times New Roman" w:hAnsi="Times New Roman"/>
                <w:color w:val="000000"/>
                <w:sz w:val="24"/>
              </w:rPr>
            </w:pPr>
            <w:r>
              <w:rPr>
                <w:rFonts w:ascii="Times New Roman" w:hAnsi="Times New Roman"/>
                <w:color w:val="000000"/>
                <w:sz w:val="24"/>
              </w:rPr>
              <mc:AlternateContent>
                <mc:Choice Requires="wps">
                  <w:drawing>
                    <wp:anchor distT="0" distB="0" distL="114300" distR="114300" simplePos="0" relativeHeight="251711488" behindDoc="0" locked="0" layoutInCell="1" allowOverlap="1">
                      <wp:simplePos x="0" y="0"/>
                      <wp:positionH relativeFrom="column">
                        <wp:posOffset>3502660</wp:posOffset>
                      </wp:positionH>
                      <wp:positionV relativeFrom="paragraph">
                        <wp:posOffset>142240</wp:posOffset>
                      </wp:positionV>
                      <wp:extent cx="400050" cy="10795"/>
                      <wp:effectExtent l="0" t="27305" r="0" b="38100"/>
                      <wp:wrapNone/>
                      <wp:docPr id="274" name="肘形连接符 274"/>
                      <wp:cNvGraphicFramePr/>
                      <a:graphic xmlns:a="http://schemas.openxmlformats.org/drawingml/2006/main">
                        <a:graphicData uri="http://schemas.microsoft.com/office/word/2010/wordprocessingShape">
                          <wps:wsp>
                            <wps:cNvCnPr>
                              <a:stCxn id="275" idx="3"/>
                              <a:endCxn id="272" idx="1"/>
                            </wps:cNvCnPr>
                            <wps:spPr>
                              <a:xfrm>
                                <a:off x="0" y="0"/>
                                <a:ext cx="400050" cy="10795"/>
                              </a:xfrm>
                              <a:prstGeom prst="bentConnector3">
                                <a:avLst>
                                  <a:gd name="adj1" fmla="val 50000"/>
                                </a:avLst>
                              </a:prstGeom>
                              <a:ln w="9525" cap="flat" cmpd="sng">
                                <a:solidFill>
                                  <a:srgbClr val="000000"/>
                                </a:solidFill>
                                <a:prstDash val="dash"/>
                                <a:miter/>
                                <a:headEnd type="none" w="med" len="med"/>
                                <a:tailEnd type="triangle" w="med" len="med"/>
                              </a:ln>
                            </wps:spPr>
                            <wps:bodyPr/>
                          </wps:wsp>
                        </a:graphicData>
                      </a:graphic>
                    </wp:anchor>
                  </w:drawing>
                </mc:Choice>
                <mc:Fallback>
                  <w:pict>
                    <v:shape id="_x0000_s1026" o:spid="_x0000_s1026" o:spt="34" type="#_x0000_t34" style="position:absolute;left:0pt;margin-left:275.8pt;margin-top:11.2pt;height:0.85pt;width:31.5pt;z-index:251711488;mso-width-relative:page;mso-height-relative:page;" filled="f" stroked="t" coordsize="21600,21600" o:gfxdata="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NYyCTYAAAACQEAAA8AAAAAAAAAAQAgAAAAIgAAAGRycy9kb3du&#10;cmV2LnhtbFBLAQIUABQAAAAIAIdO4kCYWlR7OAIAAGcEAAAOAAAAAAAAAAEAIAAAACcBAABkcnMv&#10;ZTJvRG9jLnhtbFBLBQYAAAAABgAGAFkBAADRBQAAAAA=&#10;" adj="10800">
                      <v:fill on="f" focussize="0,0"/>
                      <v:stroke color="#000000" joinstyle="miter" dashstyle="dash"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23776" behindDoc="0" locked="0" layoutInCell="1" allowOverlap="1">
                      <wp:simplePos x="0" y="0"/>
                      <wp:positionH relativeFrom="column">
                        <wp:posOffset>2543810</wp:posOffset>
                      </wp:positionH>
                      <wp:positionV relativeFrom="paragraph">
                        <wp:posOffset>6985</wp:posOffset>
                      </wp:positionV>
                      <wp:extent cx="958850" cy="270510"/>
                      <wp:effectExtent l="5080" t="5080" r="7620" b="10160"/>
                      <wp:wrapNone/>
                      <wp:docPr id="275" name="矩形 275"/>
                      <wp:cNvGraphicFramePr/>
                      <a:graphic xmlns:a="http://schemas.openxmlformats.org/drawingml/2006/main">
                        <a:graphicData uri="http://schemas.microsoft.com/office/word/2010/wordprocessingShape">
                          <wps:wsp>
                            <wps:cNvSpPr/>
                            <wps:spPr>
                              <a:xfrm>
                                <a:off x="0" y="0"/>
                                <a:ext cx="958850" cy="2705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喷砼支护</w:t>
                                  </w:r>
                                </w:p>
                              </w:txbxContent>
                            </wps:txbx>
                            <wps:bodyPr upright="1"/>
                          </wps:wsp>
                        </a:graphicData>
                      </a:graphic>
                    </wp:anchor>
                  </w:drawing>
                </mc:Choice>
                <mc:Fallback>
                  <w:pict>
                    <v:rect id="_x0000_s1026" o:spid="_x0000_s1026" o:spt="1" style="position:absolute;left:0pt;margin-left:200.3pt;margin-top:0.55pt;height:21.3pt;width:75.5pt;z-index:251723776;mso-width-relative:page;mso-height-relative:page;" fillcolor="#FFFFFF" filled="t" stroked="t" coordsize="21600,21600" o:gfxdata="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&#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7dn7VAAAACAEAAA8AAAAAAAAAAQAgAAAAIgAAAGRy&#10;cy9kb3ducmV2LnhtbFBLAQIUABQAAAAIAIdO4kBCrPFLCAIAADoEAAAOAAAAAAAAAAEAIAAAACQB&#10;AABkcnMvZTJvRG9jLnhtbFBLBQYAAAAABgAGAFkBAACeBQAAAAA=&#10;">
                      <v:path/>
                      <v:fill on="t" focussize="0,0"/>
                      <v:stroke/>
                      <v:imagedata o:title=""/>
                      <o:lock v:ext="edit" aspectratio="f"/>
                      <v:textbox>
                        <w:txbxContent>
                          <w:p>
                            <w:pPr>
                              <w:jc w:val="center"/>
                              <w:rPr>
                                <w:rFonts w:hint="eastAsia"/>
                              </w:rPr>
                            </w:pPr>
                            <w:r>
                              <w:rPr>
                                <w:rFonts w:hint="eastAsia"/>
                              </w:rPr>
                              <w:t>喷砼支护</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18656" behindDoc="0" locked="0" layoutInCell="1" allowOverlap="1">
                      <wp:simplePos x="0" y="0"/>
                      <wp:positionH relativeFrom="column">
                        <wp:posOffset>822325</wp:posOffset>
                      </wp:positionH>
                      <wp:positionV relativeFrom="paragraph">
                        <wp:posOffset>187960</wp:posOffset>
                      </wp:positionV>
                      <wp:extent cx="459740" cy="250825"/>
                      <wp:effectExtent l="4445" t="5080" r="12065" b="10795"/>
                      <wp:wrapNone/>
                      <wp:docPr id="276" name="矩形 276"/>
                      <wp:cNvGraphicFramePr/>
                      <a:graphic xmlns:a="http://schemas.openxmlformats.org/drawingml/2006/main">
                        <a:graphicData uri="http://schemas.microsoft.com/office/word/2010/wordprocessingShape">
                          <wps:wsp>
                            <wps:cNvSpPr/>
                            <wps:spPr>
                              <a:xfrm>
                                <a:off x="0" y="0"/>
                                <a:ext cx="459740" cy="2508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szCs w:val="21"/>
                                    </w:rPr>
                                  </w:pPr>
                                  <w:r>
                                    <w:rPr>
                                      <w:rFonts w:hint="eastAsia" w:ascii="宋体" w:hAnsi="宋体"/>
                                      <w:szCs w:val="21"/>
                                      <w:lang w:bidi="ar"/>
                                    </w:rPr>
                                    <w:t>注浆</w:t>
                                  </w:r>
                                </w:p>
                              </w:txbxContent>
                            </wps:txbx>
                            <wps:bodyPr upright="1"/>
                          </wps:wsp>
                        </a:graphicData>
                      </a:graphic>
                    </wp:anchor>
                  </w:drawing>
                </mc:Choice>
                <mc:Fallback>
                  <w:pict>
                    <v:rect id="_x0000_s1026" o:spid="_x0000_s1026" o:spt="1" style="position:absolute;left:0pt;margin-left:64.75pt;margin-top:14.8pt;height:19.75pt;width:36.2pt;z-index:251718656;mso-width-relative:page;mso-height-relative:page;" fillcolor="#FFFFFF" filled="t" stroked="t" coordsize="21600,21600" o:gfxdata="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MvZjNYAAAAJAQAADwAAAAAAAAABACAAAAAiAAAAZHJz&#10;L2Rvd25yZXYueG1sUEsBAhQAFAAAAAgAh07iQM50o5UGAgAAOgQAAA4AAAAAAAAAAQAgAAAAJQEA&#10;AGRycy9lMm9Eb2MueG1sUEsFBgAAAAAGAAYAWQEAAJ0FAAAAAA==&#10;">
                      <v:path/>
                      <v:fill on="t" focussize="0,0"/>
                      <v:stroke/>
                      <v:imagedata o:title=""/>
                      <o:lock v:ext="edit" aspectratio="f"/>
                      <v:textbox>
                        <w:txbxContent>
                          <w:p>
                            <w:pPr>
                              <w:jc w:val="center"/>
                              <w:rPr>
                                <w:szCs w:val="21"/>
                              </w:rPr>
                            </w:pPr>
                            <w:r>
                              <w:rPr>
                                <w:rFonts w:hint="eastAsia" w:ascii="宋体" w:hAnsi="宋体"/>
                                <w:szCs w:val="21"/>
                                <w:lang w:bidi="ar"/>
                              </w:rPr>
                              <w:t>注浆</w:t>
                            </w:r>
                          </w:p>
                        </w:txbxContent>
                      </v:textbox>
                    </v:rect>
                  </w:pict>
                </mc:Fallback>
              </mc:AlternateContent>
            </w:r>
          </w:p>
          <w:p>
            <w:pPr>
              <w:tabs>
                <w:tab w:val="left" w:pos="1539"/>
              </w:tabs>
              <w:spacing w:line="360" w:lineRule="auto"/>
              <w:rPr>
                <w:rFonts w:ascii="Times New Roman" w:hAnsi="Times New Roman"/>
                <w:b/>
                <w:color w:val="000000"/>
                <w:sz w:val="28"/>
                <w:szCs w:val="28"/>
              </w:rPr>
            </w:pPr>
            <w:r>
              <w:rPr>
                <w:sz w:val="24"/>
              </w:rPr>
              <mc:AlternateContent>
                <mc:Choice Requires="wps">
                  <w:drawing>
                    <wp:anchor distT="0" distB="0" distL="114300" distR="114300" simplePos="0" relativeHeight="251795456" behindDoc="0" locked="0" layoutInCell="1" allowOverlap="1">
                      <wp:simplePos x="0" y="0"/>
                      <wp:positionH relativeFrom="column">
                        <wp:posOffset>3038475</wp:posOffset>
                      </wp:positionH>
                      <wp:positionV relativeFrom="paragraph">
                        <wp:posOffset>21590</wp:posOffset>
                      </wp:positionV>
                      <wp:extent cx="9525" cy="317500"/>
                      <wp:effectExtent l="41910" t="0" r="62865" b="6350"/>
                      <wp:wrapNone/>
                      <wp:docPr id="277" name="直接连接符 277"/>
                      <wp:cNvGraphicFramePr/>
                      <a:graphic xmlns:a="http://schemas.openxmlformats.org/drawingml/2006/main">
                        <a:graphicData uri="http://schemas.microsoft.com/office/word/2010/wordprocessingShape">
                          <wps:wsp>
                            <wps:cNvSpPr/>
                            <wps:spPr>
                              <a:xfrm>
                                <a:off x="0" y="0"/>
                                <a:ext cx="9525" cy="3175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39.25pt;margin-top:1.7pt;height:25pt;width:0.75pt;z-index:251795456;mso-width-relative:page;mso-height-relative:page;" filled="f" stroked="t" coordsize="21600,21600" o:gfxdata="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nrRt9gAAAAIAQAADwAAAAAAAAABACAAAAAiAAAAZHJzL2Rvd25yZXYu&#10;eG1sUEsBAhQAFAAAAAgAh07iQOVNKVz7AQAA6wMAAA4AAAAAAAAAAQAgAAAAJwEAAGRycy9lMm9E&#10;b2MueG1sUEsFBgAAAAAGAAYAWQEAAJQFAAAAAA==&#10;">
                      <v:path arrowok="t"/>
                      <v:fill on="f" focussize="0,0"/>
                      <v:stroke endarrow="open"/>
                      <v:imagedata o:title=""/>
                      <o:lock v:ext="edit" aspectratio="f"/>
                    </v:line>
                  </w:pict>
                </mc:Fallback>
              </mc:AlternateContent>
            </w:r>
            <w:r>
              <w:rPr>
                <w:rFonts w:ascii="Times New Roman" w:hAnsi="Times New Roman"/>
                <w:color w:val="000000"/>
                <w:sz w:val="24"/>
              </w:rPr>
              <mc:AlternateContent>
                <mc:Choice Requires="wps">
                  <w:drawing>
                    <wp:anchor distT="0" distB="0" distL="114300" distR="114300" simplePos="0" relativeHeight="251708416" behindDoc="0" locked="0" layoutInCell="1" allowOverlap="1">
                      <wp:simplePos x="0" y="0"/>
                      <wp:positionH relativeFrom="column">
                        <wp:posOffset>922655</wp:posOffset>
                      </wp:positionH>
                      <wp:positionV relativeFrom="paragraph">
                        <wp:posOffset>251460</wp:posOffset>
                      </wp:positionV>
                      <wp:extent cx="263525" cy="3810"/>
                      <wp:effectExtent l="34290" t="0" r="38100" b="3175"/>
                      <wp:wrapNone/>
                      <wp:docPr id="278" name="肘形连接符 278"/>
                      <wp:cNvGraphicFramePr/>
                      <a:graphic xmlns:a="http://schemas.openxmlformats.org/drawingml/2006/main">
                        <a:graphicData uri="http://schemas.microsoft.com/office/word/2010/wordprocessingShape">
                          <wps:wsp>
                            <wps:cNvCnPr>
                              <a:stCxn id="268" idx="2"/>
                              <a:endCxn id="276" idx="0"/>
                            </wps:cNvCnPr>
                            <wps:spPr>
                              <a:xfrm rot="-5400000" flipH="1">
                                <a:off x="0" y="0"/>
                                <a:ext cx="263525" cy="3810"/>
                              </a:xfrm>
                              <a:prstGeom prst="bentConnector3">
                                <a:avLst>
                                  <a:gd name="adj1" fmla="val 4972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flip:x;margin-left:72.65pt;margin-top:19.8pt;height:0.3pt;width:20.75pt;rotation:5898240f;z-index:251708416;mso-width-relative:page;mso-height-relative:page;" filled="f" stroked="t" coordsize="21600,21600" o:gfxdata="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mb&#10;8NoAAAALAQAADwAAAAAAAAABACAAAAAiAAAAZHJzL2Rvd25yZXYueG1sUEsBAhQAFAAAAAgAh07i&#10;QFblVe4gAgAANAQAAA4AAAAAAAAAAQAgAAAAKQEAAGRycy9lMm9Eb2MueG1sUEsFBgAAAAAGAAYA&#10;WQEAALsFAAAAAA==&#10;" adj="10740">
                      <v:fill on="f" focussize="0,0"/>
                      <v:stroke color="#000000" joinstyle="miter" endarrow="block"/>
                      <v:imagedata o:title=""/>
                      <o:lock v:ext="edit" aspectratio="f"/>
                    </v:shape>
                  </w:pict>
                </mc:Fallback>
              </mc:AlternateContent>
            </w:r>
          </w:p>
          <w:p>
            <w:pPr>
              <w:tabs>
                <w:tab w:val="left" w:pos="1539"/>
              </w:tabs>
              <w:spacing w:line="360" w:lineRule="auto"/>
              <w:rPr>
                <w:rFonts w:ascii="Times New Roman" w:hAnsi="Times New Roman"/>
                <w:b/>
                <w:color w:val="000000"/>
                <w:sz w:val="28"/>
                <w:szCs w:val="28"/>
              </w:rPr>
            </w:pPr>
            <w:r>
              <w:rPr>
                <w:rFonts w:ascii="Times New Roman" w:hAnsi="Times New Roman"/>
                <w:color w:val="000000"/>
                <w:sz w:val="24"/>
              </w:rPr>
              <mc:AlternateContent>
                <mc:Choice Requires="wps">
                  <w:drawing>
                    <wp:anchor distT="0" distB="0" distL="114300" distR="114300" simplePos="0" relativeHeight="251719680" behindDoc="0" locked="0" layoutInCell="1" allowOverlap="1">
                      <wp:simplePos x="0" y="0"/>
                      <wp:positionH relativeFrom="column">
                        <wp:posOffset>459740</wp:posOffset>
                      </wp:positionH>
                      <wp:positionV relativeFrom="paragraph">
                        <wp:posOffset>77470</wp:posOffset>
                      </wp:positionV>
                      <wp:extent cx="1191895" cy="279400"/>
                      <wp:effectExtent l="5080" t="4445" r="22225" b="20955"/>
                      <wp:wrapNone/>
                      <wp:docPr id="279" name="矩形 279"/>
                      <wp:cNvGraphicFramePr/>
                      <a:graphic xmlns:a="http://schemas.openxmlformats.org/drawingml/2006/main">
                        <a:graphicData uri="http://schemas.microsoft.com/office/word/2010/wordprocessingShape">
                          <wps:wsp>
                            <wps:cNvSpPr/>
                            <wps:spPr>
                              <a:xfrm>
                                <a:off x="0" y="0"/>
                                <a:ext cx="1191895"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szCs w:val="21"/>
                                      <w:lang w:bidi="ar"/>
                                    </w:rPr>
                                  </w:pPr>
                                  <w:r>
                                    <w:rPr>
                                      <w:rFonts w:hint="eastAsia" w:ascii="宋体" w:hAnsi="宋体"/>
                                      <w:szCs w:val="21"/>
                                      <w:lang w:bidi="ar"/>
                                    </w:rPr>
                                    <w:t>锚杆安装、固定</w:t>
                                  </w:r>
                                </w:p>
                              </w:txbxContent>
                            </wps:txbx>
                            <wps:bodyPr upright="1"/>
                          </wps:wsp>
                        </a:graphicData>
                      </a:graphic>
                    </wp:anchor>
                  </w:drawing>
                </mc:Choice>
                <mc:Fallback>
                  <w:pict>
                    <v:rect id="_x0000_s1026" o:spid="_x0000_s1026" o:spt="1" style="position:absolute;left:0pt;margin-left:36.2pt;margin-top:6.1pt;height:22pt;width:93.85pt;z-index:251719680;mso-width-relative:page;mso-height-relative:page;" fillcolor="#FFFFFF" filled="t" stroked="t" coordsize="21600,21600" o:gfxdata="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&#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FK3l1gAAAAgBAAAPAAAAAAAAAAEAIAAAACIAAABk&#10;cnMvZG93bnJldi54bWxQSwECFAAUAAAACACHTuJAEXVMNAgCAAA7BAAADgAAAAAAAAABACAAAAAl&#10;AQAAZHJzL2Uyb0RvYy54bWxQSwUGAAAAAAYABgBZAQAAnwUAAAAA&#10;">
                      <v:path/>
                      <v:fill on="t" focussize="0,0"/>
                      <v:stroke/>
                      <v:imagedata o:title=""/>
                      <o:lock v:ext="edit" aspectratio="f"/>
                      <v:textbox>
                        <w:txbxContent>
                          <w:p>
                            <w:pPr>
                              <w:rPr>
                                <w:rFonts w:hint="eastAsia" w:ascii="宋体" w:hAnsi="宋体"/>
                                <w:szCs w:val="21"/>
                                <w:lang w:bidi="ar"/>
                              </w:rPr>
                            </w:pPr>
                            <w:r>
                              <w:rPr>
                                <w:rFonts w:hint="eastAsia" w:ascii="宋体" w:hAnsi="宋体"/>
                                <w:szCs w:val="21"/>
                                <w:lang w:bidi="ar"/>
                              </w:rPr>
                              <w:t>锚杆安装、固定</w:t>
                            </w:r>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09440" behindDoc="0" locked="0" layoutInCell="1" allowOverlap="1">
                      <wp:simplePos x="0" y="0"/>
                      <wp:positionH relativeFrom="column">
                        <wp:posOffset>2271395</wp:posOffset>
                      </wp:positionH>
                      <wp:positionV relativeFrom="paragraph">
                        <wp:posOffset>27305</wp:posOffset>
                      </wp:positionV>
                      <wp:extent cx="1491615" cy="304800"/>
                      <wp:effectExtent l="4445" t="5080" r="8890" b="13970"/>
                      <wp:wrapNone/>
                      <wp:docPr id="280" name="矩形 280"/>
                      <wp:cNvGraphicFramePr/>
                      <a:graphic xmlns:a="http://schemas.openxmlformats.org/drawingml/2006/main">
                        <a:graphicData uri="http://schemas.microsoft.com/office/word/2010/wordprocessingShape">
                          <wps:wsp>
                            <wps:cNvSpPr/>
                            <wps:spPr>
                              <a:xfrm>
                                <a:off x="0" y="0"/>
                                <a:ext cx="1491615" cy="3048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rPr>
                                  </w:pPr>
                                  <w:r>
                                    <w:rPr>
                                      <w:rFonts w:hint="eastAsia"/>
                                    </w:rPr>
                                    <w:t>金属结构设备及安装</w:t>
                                  </w:r>
                                </w:p>
                              </w:txbxContent>
                            </wps:txbx>
                            <wps:bodyPr upright="1"/>
                          </wps:wsp>
                        </a:graphicData>
                      </a:graphic>
                    </wp:anchor>
                  </w:drawing>
                </mc:Choice>
                <mc:Fallback>
                  <w:pict>
                    <v:rect id="_x0000_s1026" o:spid="_x0000_s1026" o:spt="1" style="position:absolute;left:0pt;margin-left:178.85pt;margin-top:2.15pt;height:24pt;width:117.45pt;z-index:251709440;mso-width-relative:page;mso-height-relative:page;" fillcolor="#FFFFFF" filled="t" stroked="t" coordsize="21600,21600" o:gfxdata="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Bhn/NgAAAAIAQAADwAAAAAAAAABACAAAAAi&#10;AAAAZHJzL2Rvd25yZXYueG1sUEsBAhQAFAAAAAgAh07iQLoTYJwKAgAAOwQAAA4AAAAAAAAAAQAg&#10;AAAAJwEAAGRycy9lMm9Eb2MueG1sUEsFBgAAAAAGAAYAWQEAAKMFAAAAAA==&#10;">
                      <v:path/>
                      <v:fill on="t" focussize="0,0"/>
                      <v:stroke/>
                      <v:imagedata o:title=""/>
                      <o:lock v:ext="edit" aspectratio="f"/>
                      <v:textbox>
                        <w:txbxContent>
                          <w:p>
                            <w:pPr>
                              <w:rPr>
                                <w:rFonts w:hint="eastAsia"/>
                              </w:rPr>
                            </w:pPr>
                            <w:r>
                              <w:rPr>
                                <w:rFonts w:hint="eastAsia"/>
                              </w:rPr>
                              <w:t>金属结构设备及安装</w:t>
                            </w:r>
                          </w:p>
                        </w:txbxContent>
                      </v:textbox>
                    </v:rect>
                  </w:pict>
                </mc:Fallback>
              </mc:AlternateContent>
            </w:r>
          </w:p>
          <w:p>
            <w:pPr>
              <w:tabs>
                <w:tab w:val="left" w:pos="1539"/>
              </w:tabs>
              <w:spacing w:line="360" w:lineRule="auto"/>
              <w:rPr>
                <w:rFonts w:ascii="Times New Roman" w:hAnsi="Times New Roman"/>
                <w:b/>
                <w:color w:val="000000"/>
                <w:sz w:val="28"/>
                <w:szCs w:val="28"/>
              </w:rPr>
            </w:pPr>
            <w:r>
              <w:rPr>
                <w:sz w:val="24"/>
              </w:rPr>
              <mc:AlternateContent>
                <mc:Choice Requires="wps">
                  <w:drawing>
                    <wp:anchor distT="0" distB="0" distL="114300" distR="114300" simplePos="0" relativeHeight="251796480" behindDoc="0" locked="0" layoutInCell="1" allowOverlap="1">
                      <wp:simplePos x="0" y="0"/>
                      <wp:positionH relativeFrom="column">
                        <wp:posOffset>1059180</wp:posOffset>
                      </wp:positionH>
                      <wp:positionV relativeFrom="paragraph">
                        <wp:posOffset>64770</wp:posOffset>
                      </wp:positionV>
                      <wp:extent cx="9525" cy="191135"/>
                      <wp:effectExtent l="43815" t="0" r="60960" b="18415"/>
                      <wp:wrapNone/>
                      <wp:docPr id="281" name="直接连接符 281"/>
                      <wp:cNvGraphicFramePr/>
                      <a:graphic xmlns:a="http://schemas.openxmlformats.org/drawingml/2006/main">
                        <a:graphicData uri="http://schemas.microsoft.com/office/word/2010/wordprocessingShape">
                          <wps:wsp>
                            <wps:cNvSpPr/>
                            <wps:spPr>
                              <a:xfrm>
                                <a:off x="0" y="0"/>
                                <a:ext cx="9525" cy="1911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83.4pt;margin-top:5.1pt;height:15.05pt;width:0.75pt;z-index:251796480;mso-width-relative:page;mso-height-relative:page;" filled="f" stroked="t" coordsize="21600,21600" o:gfxdata="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8i189kAAAAJAQAADwAAAAAAAAABACAAAAAiAAAAZHJzL2Rvd25yZXYueG1s&#10;UEsBAhQAFAAAAAgAh07iQDba46r3AQAA6wMAAA4AAAAAAAAAAQAgAAAAKAEAAGRycy9lMm9Eb2Mu&#10;eG1sUEsFBgAAAAAGAAYAWQEAAJEFAAAAAA==&#10;">
                      <v:path arrowok="t"/>
                      <v:fill on="f" focussize="0,0"/>
                      <v:stroke endarrow="open"/>
                      <v:imagedata o:title=""/>
                      <o:lock v:ext="edit" aspectratio="f"/>
                    </v:line>
                  </w:pict>
                </mc:Fallback>
              </mc:AlternateContent>
            </w:r>
            <w:r>
              <w:rPr>
                <w:rFonts w:ascii="Times New Roman" w:hAnsi="Times New Roman"/>
                <w:color w:val="000000"/>
                <w:sz w:val="24"/>
              </w:rPr>
              <mc:AlternateContent>
                <mc:Choice Requires="wps">
                  <w:drawing>
                    <wp:anchor distT="0" distB="0" distL="114300" distR="114300" simplePos="0" relativeHeight="251666432" behindDoc="0" locked="0" layoutInCell="1" allowOverlap="1">
                      <wp:simplePos x="0" y="0"/>
                      <wp:positionH relativeFrom="column">
                        <wp:posOffset>3044190</wp:posOffset>
                      </wp:positionH>
                      <wp:positionV relativeFrom="paragraph">
                        <wp:posOffset>7620</wp:posOffset>
                      </wp:positionV>
                      <wp:extent cx="635" cy="289560"/>
                      <wp:effectExtent l="38100" t="0" r="37465" b="15240"/>
                      <wp:wrapNone/>
                      <wp:docPr id="282" name="直接箭头连接符 282"/>
                      <wp:cNvGraphicFramePr/>
                      <a:graphic xmlns:a="http://schemas.openxmlformats.org/drawingml/2006/main">
                        <a:graphicData uri="http://schemas.microsoft.com/office/word/2010/wordprocessingShape">
                          <wps:wsp>
                            <wps:cNvCnPr/>
                            <wps:spPr>
                              <a:xfrm flipH="1">
                                <a:off x="0" y="0"/>
                                <a:ext cx="635" cy="2895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239.7pt;margin-top:0.6pt;height:22.8pt;width:0.05pt;z-index:251666432;mso-width-relative:page;mso-height-relative:page;" filled="f" stroked="t" coordsize="21600,21600" o:gfxdata="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42ejtcAAAAIAQAADwAAAAAAAAAB&#10;ACAAAAAiAAAAZHJzL2Rvd25yZXYueG1sUEsBAhQAFAAAAAgAh07iQKm2CMQRAgAA/wMAAA4AAAAA&#10;AAAAAQAgAAAAJgEAAGRycy9lMm9Eb2MueG1sUEsFBgAAAAAGAAYAWQEAAKkFAAAAAA==&#10;">
                      <v:path arrowok="t"/>
                      <v:fill on="f" focussize="0,0"/>
                      <v:stroke endarrow="block"/>
                      <v:imagedata o:title=""/>
                      <o:lock v:ext="edit" aspectratio="f"/>
                    </v:shape>
                  </w:pict>
                </mc:Fallback>
              </mc:AlternateContent>
            </w:r>
            <w:r>
              <w:rPr>
                <w:rFonts w:ascii="Times New Roman" w:hAnsi="Times New Roman"/>
                <w:color w:val="000000"/>
                <w:sz w:val="24"/>
              </w:rPr>
              <mc:AlternateContent>
                <mc:Choice Requires="wps">
                  <w:drawing>
                    <wp:anchor distT="0" distB="0" distL="114300" distR="114300" simplePos="0" relativeHeight="251710464" behindDoc="0" locked="0" layoutInCell="1" allowOverlap="1">
                      <wp:simplePos x="0" y="0"/>
                      <wp:positionH relativeFrom="column">
                        <wp:posOffset>2255520</wp:posOffset>
                      </wp:positionH>
                      <wp:positionV relativeFrom="paragraph">
                        <wp:posOffset>275590</wp:posOffset>
                      </wp:positionV>
                      <wp:extent cx="1546225" cy="299720"/>
                      <wp:effectExtent l="4445" t="4445" r="11430" b="19685"/>
                      <wp:wrapNone/>
                      <wp:docPr id="283" name="矩形 283"/>
                      <wp:cNvGraphicFramePr/>
                      <a:graphic xmlns:a="http://schemas.openxmlformats.org/drawingml/2006/main">
                        <a:graphicData uri="http://schemas.microsoft.com/office/word/2010/wordprocessingShape">
                          <wps:wsp>
                            <wps:cNvSpPr/>
                            <wps:spPr>
                              <a:xfrm>
                                <a:off x="0" y="0"/>
                                <a:ext cx="1546225" cy="2997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竣工验收、投入运营</w:t>
                                  </w:r>
                                </w:p>
                                <w:p/>
                              </w:txbxContent>
                            </wps:txbx>
                            <wps:bodyPr upright="1"/>
                          </wps:wsp>
                        </a:graphicData>
                      </a:graphic>
                    </wp:anchor>
                  </w:drawing>
                </mc:Choice>
                <mc:Fallback>
                  <w:pict>
                    <v:rect id="_x0000_s1026" o:spid="_x0000_s1026" o:spt="1" style="position:absolute;left:0pt;margin-left:177.6pt;margin-top:21.7pt;height:23.6pt;width:121.75pt;z-index:251710464;mso-width-relative:page;mso-height-relative:page;" fillcolor="#FFFFFF" filled="t" stroked="t" coordsize="21600,21600" o:gfxdata="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iC0vZAAAACQEAAA8AAAAAAAAAAQAgAAAA&#10;IgAAAGRycy9kb3ducmV2LnhtbFBLAQIUABQAAAAIAIdO4kCUbT1MCgIAADsEAAAOAAAAAAAAAAEA&#10;IAAAACgBAABkcnMvZTJvRG9jLnhtbFBLBQYAAAAABgAGAFkBAACkBQAAAAA=&#10;">
                      <v:path/>
                      <v:fill on="t" focussize="0,0"/>
                      <v:stroke/>
                      <v:imagedata o:title=""/>
                      <o:lock v:ext="edit" aspectratio="f"/>
                      <v:textbox>
                        <w:txbxContent>
                          <w:p>
                            <w:pPr>
                              <w:jc w:val="center"/>
                            </w:pPr>
                            <w:r>
                              <w:rPr>
                                <w:rFonts w:hint="eastAsia"/>
                              </w:rPr>
                              <w:t>竣工验收、投入运营</w:t>
                            </w:r>
                          </w:p>
                          <w:p/>
                        </w:txbxContent>
                      </v:textbox>
                    </v:rect>
                  </w:pict>
                </mc:Fallback>
              </mc:AlternateContent>
            </w:r>
            <w:r>
              <w:rPr>
                <w:rFonts w:ascii="Times New Roman" w:hAnsi="Times New Roman"/>
                <w:color w:val="000000"/>
                <w:sz w:val="24"/>
              </w:rPr>
              <mc:AlternateContent>
                <mc:Choice Requires="wps">
                  <w:drawing>
                    <wp:anchor distT="0" distB="0" distL="114300" distR="114300" simplePos="0" relativeHeight="251720704" behindDoc="0" locked="0" layoutInCell="1" allowOverlap="1">
                      <wp:simplePos x="0" y="0"/>
                      <wp:positionH relativeFrom="column">
                        <wp:posOffset>678815</wp:posOffset>
                      </wp:positionH>
                      <wp:positionV relativeFrom="paragraph">
                        <wp:posOffset>236220</wp:posOffset>
                      </wp:positionV>
                      <wp:extent cx="754380" cy="279400"/>
                      <wp:effectExtent l="4445" t="4445" r="22225" b="20955"/>
                      <wp:wrapNone/>
                      <wp:docPr id="2" name="矩形 2"/>
                      <wp:cNvGraphicFramePr/>
                      <a:graphic xmlns:a="http://schemas.openxmlformats.org/drawingml/2006/main">
                        <a:graphicData uri="http://schemas.microsoft.com/office/word/2010/wordprocessingShape">
                          <wps:wsp>
                            <wps:cNvSpPr/>
                            <wps:spPr>
                              <a:xfrm>
                                <a:off x="0" y="0"/>
                                <a:ext cx="754380"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szCs w:val="21"/>
                                      <w:lang w:bidi="ar"/>
                                    </w:rPr>
                                  </w:pPr>
                                  <w:r>
                                    <w:rPr>
                                      <w:rFonts w:hint="eastAsia" w:ascii="宋体" w:hAnsi="宋体"/>
                                      <w:szCs w:val="21"/>
                                      <w:lang w:bidi="ar"/>
                                    </w:rPr>
                                    <w:t>孔口固定</w:t>
                                  </w:r>
                                </w:p>
                              </w:txbxContent>
                            </wps:txbx>
                            <wps:bodyPr upright="1"/>
                          </wps:wsp>
                        </a:graphicData>
                      </a:graphic>
                    </wp:anchor>
                  </w:drawing>
                </mc:Choice>
                <mc:Fallback>
                  <w:pict>
                    <v:rect id="_x0000_s1026" o:spid="_x0000_s1026" o:spt="1" style="position:absolute;left:0pt;margin-left:53.45pt;margin-top:18.6pt;height:22pt;width:59.4pt;z-index:251720704;mso-width-relative:page;mso-height-relative:page;" fillcolor="#FFFFFF" filled="t" stroked="t" coordsize="21600,21600" o:gfxdata="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7vBH9cAAAAJAQAADwAAAAAAAAABACAAAAAiAAAA&#10;ZHJzL2Rvd25yZXYueG1sUEsBAhQAFAAAAAgAh07iQIkPYL4IAgAANgQAAA4AAAAAAAAAAQAgAAAA&#10;JgEAAGRycy9lMm9Eb2MueG1sUEsFBgAAAAAGAAYAWQEAAKAFAAAAAA==&#10;">
                      <v:path/>
                      <v:fill on="t" focussize="0,0"/>
                      <v:stroke/>
                      <v:imagedata o:title=""/>
                      <o:lock v:ext="edit" aspectratio="f"/>
                      <v:textbox>
                        <w:txbxContent>
                          <w:p>
                            <w:pPr>
                              <w:rPr>
                                <w:rFonts w:hint="eastAsia" w:ascii="宋体" w:hAnsi="宋体"/>
                                <w:szCs w:val="21"/>
                                <w:lang w:bidi="ar"/>
                              </w:rPr>
                            </w:pPr>
                            <w:r>
                              <w:rPr>
                                <w:rFonts w:hint="eastAsia" w:ascii="宋体" w:hAnsi="宋体"/>
                                <w:szCs w:val="21"/>
                                <w:lang w:bidi="ar"/>
                              </w:rPr>
                              <w:t>孔口固定</w:t>
                            </w:r>
                          </w:p>
                        </w:txbxContent>
                      </v:textbox>
                    </v:rect>
                  </w:pict>
                </mc:Fallback>
              </mc:AlternateContent>
            </w:r>
          </w:p>
          <w:p>
            <w:pPr>
              <w:tabs>
                <w:tab w:val="left" w:pos="1539"/>
              </w:tabs>
              <w:spacing w:line="360" w:lineRule="auto"/>
              <w:rPr>
                <w:rFonts w:ascii="Times New Roman" w:hAnsi="Times New Roman"/>
                <w:color w:val="000000"/>
              </w:rPr>
            </w:pPr>
          </w:p>
          <w:p>
            <w:pPr>
              <w:pStyle w:val="138"/>
              <w:rPr>
                <w:rFonts w:ascii="Times New Roman" w:hAnsi="Times New Roman"/>
                <w:color w:val="000000"/>
              </w:rPr>
            </w:pPr>
            <w:r>
              <w:rPr>
                <w:rFonts w:ascii="Times New Roman" w:hAnsi="Times New Roman"/>
                <w:color w:val="000000"/>
              </w:rPr>
              <mc:AlternateContent>
                <mc:Choice Requires="wps">
                  <w:drawing>
                    <wp:anchor distT="0" distB="0" distL="114300" distR="114300" simplePos="0" relativeHeight="251700224" behindDoc="0" locked="0" layoutInCell="1" allowOverlap="1">
                      <wp:simplePos x="0" y="0"/>
                      <wp:positionH relativeFrom="column">
                        <wp:posOffset>929005</wp:posOffset>
                      </wp:positionH>
                      <wp:positionV relativeFrom="paragraph">
                        <wp:posOffset>137160</wp:posOffset>
                      </wp:positionV>
                      <wp:extent cx="3481705" cy="278765"/>
                      <wp:effectExtent l="0" t="0" r="4445" b="6985"/>
                      <wp:wrapNone/>
                      <wp:docPr id="284" name="矩形 284"/>
                      <wp:cNvGraphicFramePr/>
                      <a:graphic xmlns:a="http://schemas.openxmlformats.org/drawingml/2006/main">
                        <a:graphicData uri="http://schemas.microsoft.com/office/word/2010/wordprocessingShape">
                          <wps:wsp>
                            <wps:cNvSpPr/>
                            <wps:spPr>
                              <a:xfrm>
                                <a:off x="0" y="0"/>
                                <a:ext cx="3481705" cy="278765"/>
                              </a:xfrm>
                              <a:prstGeom prst="rect">
                                <a:avLst/>
                              </a:prstGeom>
                              <a:solidFill>
                                <a:srgbClr val="FFFFFF"/>
                              </a:solidFill>
                              <a:ln>
                                <a:noFill/>
                              </a:ln>
                              <a:effectLst/>
                            </wps:spPr>
                            <wps:txbx>
                              <w:txbxContent>
                                <w:p>
                                  <w:pPr>
                                    <w:jc w:val="center"/>
                                    <w:rPr>
                                      <w:b/>
                                    </w:rPr>
                                  </w:pPr>
                                  <w:r>
                                    <w:rPr>
                                      <w:rFonts w:hint="eastAsia"/>
                                      <w:b/>
                                    </w:rPr>
                                    <w:t>图2</w:t>
                                  </w:r>
                                  <w:r>
                                    <w:rPr>
                                      <w:b/>
                                    </w:rPr>
                                    <w:t>-</w:t>
                                  </w:r>
                                  <w:r>
                                    <w:rPr>
                                      <w:rFonts w:hint="eastAsia"/>
                                      <w:b/>
                                      <w:lang w:val="en-US" w:eastAsia="zh-CN"/>
                                    </w:rPr>
                                    <w:t>18</w:t>
                                  </w:r>
                                  <w:r>
                                    <w:rPr>
                                      <w:rFonts w:hint="eastAsia"/>
                                      <w:b/>
                                    </w:rPr>
                                    <w:t xml:space="preserve">  </w:t>
                                  </w:r>
                                  <w:r>
                                    <w:rPr>
                                      <w:rFonts w:hint="eastAsia"/>
                                      <w:b/>
                                      <w:color w:val="000000"/>
                                    </w:rPr>
                                    <w:t>隧洞工程施工</w:t>
                                  </w:r>
                                  <w:r>
                                    <w:rPr>
                                      <w:rFonts w:hint="eastAsia"/>
                                      <w:b/>
                                    </w:rPr>
                                    <w:t>工艺流程及产污节点图</w:t>
                                  </w:r>
                                </w:p>
                                <w:p/>
                              </w:txbxContent>
                            </wps:txbx>
                            <wps:bodyPr upright="1"/>
                          </wps:wsp>
                        </a:graphicData>
                      </a:graphic>
                    </wp:anchor>
                  </w:drawing>
                </mc:Choice>
                <mc:Fallback>
                  <w:pict>
                    <v:rect id="_x0000_s1026" o:spid="_x0000_s1026" o:spt="1" style="position:absolute;left:0pt;margin-left:73.15pt;margin-top:10.8pt;height:21.95pt;width:274.15pt;z-index:251700224;mso-width-relative:page;mso-height-relative:page;" fillcolor="#FFFFFF" filled="t" stroked="f" coordsize="21600,21600" o:gfxdata="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vCoez1gAAAAkBAAAPAAAAAAAAAAEAIAAAACIAAABkcnMvZG93bnJldi54bWxQSwEC&#10;FAAUAAAACACHTuJA941+S70BAAB8AwAADgAAAAAAAAABACAAAAAlAQAAZHJzL2Uyb0RvYy54bWxQ&#10;SwUGAAAAAAYABgBZAQAAVAUAAAAA&#10;">
                      <v:path/>
                      <v:fill on="t" focussize="0,0"/>
                      <v:stroke on="f"/>
                      <v:imagedata o:title=""/>
                      <o:lock v:ext="edit" aspectratio="f"/>
                      <v:textbox>
                        <w:txbxContent>
                          <w:p>
                            <w:pPr>
                              <w:jc w:val="center"/>
                              <w:rPr>
                                <w:b/>
                              </w:rPr>
                            </w:pPr>
                            <w:r>
                              <w:rPr>
                                <w:rFonts w:hint="eastAsia"/>
                                <w:b/>
                              </w:rPr>
                              <w:t>图2</w:t>
                            </w:r>
                            <w:r>
                              <w:rPr>
                                <w:b/>
                              </w:rPr>
                              <w:t>-</w:t>
                            </w:r>
                            <w:r>
                              <w:rPr>
                                <w:rFonts w:hint="eastAsia"/>
                                <w:b/>
                                <w:lang w:val="en-US" w:eastAsia="zh-CN"/>
                              </w:rPr>
                              <w:t>18</w:t>
                            </w:r>
                            <w:r>
                              <w:rPr>
                                <w:rFonts w:hint="eastAsia"/>
                                <w:b/>
                              </w:rPr>
                              <w:t xml:space="preserve">  </w:t>
                            </w:r>
                            <w:r>
                              <w:rPr>
                                <w:rFonts w:hint="eastAsia"/>
                                <w:b/>
                                <w:color w:val="000000"/>
                              </w:rPr>
                              <w:t>隧洞工程施工</w:t>
                            </w:r>
                            <w:r>
                              <w:rPr>
                                <w:rFonts w:hint="eastAsia"/>
                                <w:b/>
                              </w:rPr>
                              <w:t>工艺流程及产污节点图</w:t>
                            </w:r>
                          </w:p>
                          <w:p/>
                        </w:txbxContent>
                      </v:textbox>
                    </v:rect>
                  </w:pict>
                </mc:Fallback>
              </mc:AlternateContent>
            </w:r>
          </w:p>
          <w:p>
            <w:pPr>
              <w:pStyle w:val="138"/>
              <w:rPr>
                <w:rFonts w:ascii="Times New Roman" w:hAnsi="Times New Roman"/>
                <w:color w:val="000000"/>
              </w:rPr>
            </w:pPr>
          </w:p>
          <w:p>
            <w:pPr>
              <w:pStyle w:val="138"/>
              <w:ind w:firstLine="482"/>
              <w:rPr>
                <w:rFonts w:ascii="Times New Roman" w:hAnsi="Times New Roman"/>
                <w:b/>
                <w:bCs/>
                <w:color w:val="000000"/>
              </w:rPr>
            </w:pPr>
            <w:r>
              <w:rPr>
                <w:rFonts w:ascii="Times New Roman" w:hAnsi="Times New Roman"/>
                <w:b/>
                <w:bCs/>
                <w:color w:val="000000"/>
              </w:rPr>
              <w:t>施工工艺说明：</w:t>
            </w:r>
          </w:p>
          <w:p>
            <w:pPr>
              <w:pStyle w:val="138"/>
              <w:rPr>
                <w:rFonts w:ascii="Times New Roman" w:hAnsi="Times New Roman"/>
                <w:color w:val="000000"/>
              </w:rPr>
            </w:pPr>
            <w:r>
              <w:rPr>
                <w:rFonts w:ascii="Times New Roman" w:hAnsi="Times New Roman"/>
                <w:color w:val="000000"/>
              </w:rPr>
              <w:t>1）石方洞挖：采用手持式风钻、风镐开挖，除渣采用人工装胶轮车运输，平均运距约300m，其中洞内运距约100m。</w:t>
            </w:r>
          </w:p>
          <w:p>
            <w:pPr>
              <w:pStyle w:val="138"/>
              <w:rPr>
                <w:rFonts w:ascii="Times New Roman" w:hAnsi="Times New Roman"/>
                <w:color w:val="000000"/>
              </w:rPr>
            </w:pPr>
            <w:r>
              <w:rPr>
                <w:rFonts w:ascii="Times New Roman" w:hAnsi="Times New Roman"/>
                <w:color w:val="000000"/>
              </w:rPr>
              <w:t>2）砼洞浇：采用0.4m</w:t>
            </w:r>
            <w:r>
              <w:rPr>
                <w:rFonts w:ascii="Times New Roman" w:hAnsi="Times New Roman"/>
                <w:color w:val="000000"/>
                <w:vertAlign w:val="superscript"/>
              </w:rPr>
              <w:t>3</w:t>
            </w:r>
            <w:r>
              <w:rPr>
                <w:rFonts w:ascii="Times New Roman" w:hAnsi="Times New Roman"/>
                <w:color w:val="000000"/>
              </w:rPr>
              <w:t>砼搅拌机拌和，人工推胶轮车运输，平均运距约300m（其中洞内运距100m)，人工入仓，组合钢模，插入振捣器捣实。</w:t>
            </w:r>
          </w:p>
          <w:p>
            <w:pPr>
              <w:pStyle w:val="138"/>
              <w:rPr>
                <w:rFonts w:ascii="Times New Roman" w:hAnsi="Times New Roman"/>
                <w:color w:val="000000"/>
              </w:rPr>
            </w:pPr>
            <w:r>
              <w:rPr>
                <w:rFonts w:ascii="Times New Roman" w:hAnsi="Times New Roman"/>
                <w:color w:val="000000"/>
              </w:rPr>
              <w:t>3）注浆锚杆，锚杆施工随开挖及时跟进。锚杆钻孔采用YT—28风钻于自制的平台车上，按照设计要求的间距，孔位及孔向造孔，造孔完成后，采用风水枪联合进行清孔，利用高压砂浆泵注浆，人工插入锚杆，固定锚杆。边顶拱锚杆采用“先注浆后插杆”工艺，施工程序为：造孔→清孔→注浆→锚杆安装、固定→孔口固定。</w:t>
            </w:r>
          </w:p>
          <w:p>
            <w:pPr>
              <w:pStyle w:val="138"/>
              <w:rPr>
                <w:rFonts w:ascii="Times New Roman" w:hAnsi="Times New Roman"/>
                <w:color w:val="000000"/>
              </w:rPr>
            </w:pPr>
            <w:r>
              <w:rPr>
                <w:rFonts w:ascii="Times New Roman" w:hAnsi="Times New Roman"/>
                <w:color w:val="000000"/>
              </w:rPr>
              <w:t>4）喷砼支护：洞内喷砼采用“湿喷法”工艺。喷砼前，用高压水将岩面冲洗干净，清除岩石碎屑和松动的岩块，并保持湿润，喷砼混合料在洞外的砼拌和站按配比配料制备，经机动车运输入洞，采用喷射机输送，人工手持喷头分层，分段喷砼至要求。喷砼施工应自下而上的施工顺序，边墙每层喷砼厚度控制在6~8cm，顶拱每层喷砼控制为4~5cm。喷砼终凝后，人工进行喷水养护，保持砼面湿润，直到养护期结束。喷砼采用C20砼，厚度10cm；锚杆采用砂浆锚杆，直径20mm，长2m；挂钢筋网采用ф6钢筋，间排距20cm布置；钢支撑采用I16工字钢成型，每品间距1~1.5m。</w:t>
            </w:r>
          </w:p>
          <w:p>
            <w:pPr>
              <w:pStyle w:val="138"/>
              <w:rPr>
                <w:rFonts w:ascii="Times New Roman" w:hAnsi="Times New Roman"/>
                <w:color w:val="000000"/>
              </w:rPr>
            </w:pPr>
            <w:r>
              <w:rPr>
                <w:rFonts w:ascii="Times New Roman" w:hAnsi="Times New Roman"/>
                <w:color w:val="000000"/>
              </w:rPr>
              <w:t>5）金属结构设备及安装：钢筋网按设计预先在洞外加工成片，洞内焊接形成整体。其钢筋类型及网格间距应符合设计要求。安装时钢筋搭接长度不得小于30d，并不得小于一个网格长边尺寸。钢筋网与钢筋网、钢筋网与锚杆、钢筋网与钢支撑连接筋点焊在一起，使钢筋网在喷射时不晃动。钢筋网根据初喷砼面的实际起伏状铺设，并与受喷面间隙不宜大于3cm。钢筋网制作前对钢筋进行校直，除锈及油污等处理；喷射砼保护层厚度不得小于3cm；喷身中如有脱落的石块或砼土块被钢筋网卡住时，应及时清除。</w:t>
            </w:r>
          </w:p>
          <w:p>
            <w:pPr>
              <w:pStyle w:val="138"/>
              <w:rPr>
                <w:rFonts w:ascii="Times New Roman" w:hAnsi="Times New Roman"/>
                <w:color w:val="000000"/>
              </w:rPr>
            </w:pPr>
            <w:r>
              <w:rPr>
                <w:rFonts w:ascii="Times New Roman" w:hAnsi="Times New Roman"/>
                <w:color w:val="000000"/>
              </w:rPr>
              <w:t>钢支撑根据隧洞结构采用门式撑，采用工字钢制作半径，制作不同规格的模具，模具制作好后，工字钢支撑在工区加工制作，接头板焊缝按规范要求控制，接头板上的螺栓孔必须精确，与工字钢焊接时，必须上、下、左、右对齐固定后，方可进行焊接，焊接完成后，对螺栓孔、接头板面进行打整，减少工字钢组装连接时的误差。制作好的工字钢半成品需统一存放，并将不同半径、单元的钢架作好标识，便于领用。架设钢架在架子车上进行，运至现场的工字钢由施工人员根据钢架设计间距及技术交底记录找准定位点，进行架设。</w:t>
            </w:r>
          </w:p>
          <w:p>
            <w:pPr>
              <w:pStyle w:val="138"/>
              <w:ind w:firstLine="482"/>
              <w:rPr>
                <w:rFonts w:hint="eastAsia" w:ascii="Times New Roman" w:hAnsi="Times New Roman"/>
                <w:b/>
                <w:bCs/>
                <w:color w:val="000000"/>
              </w:rPr>
            </w:pPr>
            <w:r>
              <w:rPr>
                <w:rFonts w:hint="eastAsia" w:ascii="Times New Roman" w:hAnsi="Times New Roman"/>
                <w:b/>
                <w:bCs/>
                <w:color w:val="000000"/>
              </w:rPr>
              <w:t>（4）节制闸、泄洪闸、分水闸</w:t>
            </w:r>
          </w:p>
          <w:p>
            <w:pPr>
              <w:pStyle w:val="138"/>
              <w:rPr>
                <w:rFonts w:hint="eastAsia" w:ascii="Times New Roman" w:hAnsi="Times New Roman"/>
                <w:color w:val="000000"/>
              </w:rPr>
            </w:pPr>
            <w:r>
              <w:rPr>
                <w:rFonts w:hint="eastAsia" w:ascii="Times New Roman" w:hAnsi="Times New Roman"/>
                <w:color w:val="000000"/>
              </w:rPr>
              <w:t>本次整治灌区内整治节制闸2座、泄水闸13座，均为条石结构，因运行多年，闸门锈蚀，启闭不灵，漏水严重，启闭高度不够，不能发挥应有的调节水量、泄洪功能。本次拟在原位拆除，改建为钢筋砼结构，闸室仍设计为原孔数，同时更换平面钢闸门及手电两用螺杆式启闭机，配置一台柴油发电机作为备用电源，闸房同步进行改建。</w:t>
            </w:r>
          </w:p>
          <w:p>
            <w:pPr>
              <w:pStyle w:val="138"/>
              <w:rPr>
                <w:rFonts w:hint="eastAsia" w:ascii="Times New Roman" w:hAnsi="Times New Roman"/>
                <w:color w:val="000000"/>
              </w:rPr>
            </w:pPr>
            <w:r>
              <w:rPr>
                <w:rFonts w:hint="eastAsia" w:ascii="Times New Roman" w:hAnsi="Times New Roman"/>
                <w:color w:val="000000"/>
              </w:rPr>
              <w:t>本次整治灌区内共有5条较大支渠，支渠分水建筑物十分简陋，均为有口无闸，不利于计量供水，科学管理。本次整治拟将分水闸拆除后，改建为钢筋砼结构，并安装露顶平面滑动钢闸门和螺杆式启闭机进行控制，闸上建闸房保护。</w:t>
            </w:r>
          </w:p>
          <w:p>
            <w:pPr>
              <w:spacing w:line="360" w:lineRule="auto"/>
              <w:jc w:val="left"/>
              <w:rPr>
                <w:color w:val="000000"/>
                <w:sz w:val="24"/>
              </w:rPr>
            </w:pPr>
            <w:r>
              <w:rPr>
                <w:color w:val="000000"/>
              </w:rPr>
              <mc:AlternateContent>
                <mc:Choice Requires="wps">
                  <w:drawing>
                    <wp:anchor distT="0" distB="0" distL="114300" distR="114300" simplePos="0" relativeHeight="251727872" behindDoc="0" locked="0" layoutInCell="1" allowOverlap="1">
                      <wp:simplePos x="0" y="0"/>
                      <wp:positionH relativeFrom="column">
                        <wp:posOffset>2303145</wp:posOffset>
                      </wp:positionH>
                      <wp:positionV relativeFrom="paragraph">
                        <wp:posOffset>258445</wp:posOffset>
                      </wp:positionV>
                      <wp:extent cx="194310" cy="0"/>
                      <wp:effectExtent l="38100" t="0" r="38100" b="15240"/>
                      <wp:wrapNone/>
                      <wp:docPr id="285" name="肘形连接符 285"/>
                      <wp:cNvGraphicFramePr/>
                      <a:graphic xmlns:a="http://schemas.openxmlformats.org/drawingml/2006/main">
                        <a:graphicData uri="http://schemas.microsoft.com/office/word/2010/wordprocessingShape">
                          <wps:wsp>
                            <wps:cNvCnPr>
                              <a:stCxn id="266" idx="3"/>
                              <a:endCxn id="264" idx="1"/>
                            </wps:cNvCnPr>
                            <wps:spPr>
                              <a:xfrm rot="5400000">
                                <a:off x="0" y="0"/>
                                <a:ext cx="194310" cy="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1.35pt;margin-top:20.35pt;height:0pt;width:15.3pt;rotation:5898240f;z-index:251727872;mso-width-relative:page;mso-height-relative:page;" filled="f" stroked="t" coordsize="21600,21600" o:gfxdata="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Kj0CNUAAAAJAQAADwAAAAAAAAABACAAAAAiAAAA&#10;ZHJzL2Rvd25yZXYueG1sUEsBAhQAFAAAAAgAh07iQFdsz3BDAgAAcgQAAA4AAAAAAAAAAQAgAAAA&#10;JAEAAGRycy9lMm9Eb2MueG1sUEsFBgAAAAAGAAYAWQEAANkFAAAAAA==&#10;" adj="10781">
                      <v:fill on="f" focussize="0,0"/>
                      <v:stroke color="#000000" joinstyle="miter" endarrow="block"/>
                      <v:imagedata o:title=""/>
                      <o:lock v:ext="edit" aspectratio="f"/>
                    </v:shape>
                  </w:pict>
                </mc:Fallback>
              </mc:AlternateContent>
            </w:r>
            <w:r>
              <w:rPr>
                <w:color w:val="000000"/>
              </w:rPr>
              <mc:AlternateContent>
                <mc:Choice Requires="wps">
                  <w:drawing>
                    <wp:anchor distT="0" distB="0" distL="114300" distR="114300" simplePos="0" relativeHeight="251728896" behindDoc="0" locked="0" layoutInCell="1" allowOverlap="1">
                      <wp:simplePos x="0" y="0"/>
                      <wp:positionH relativeFrom="column">
                        <wp:posOffset>3516630</wp:posOffset>
                      </wp:positionH>
                      <wp:positionV relativeFrom="paragraph">
                        <wp:posOffset>-132715</wp:posOffset>
                      </wp:positionV>
                      <wp:extent cx="914400" cy="297180"/>
                      <wp:effectExtent l="4445" t="4445" r="14605" b="22225"/>
                      <wp:wrapNone/>
                      <wp:docPr id="286" name="矩形 286"/>
                      <wp:cNvGraphicFramePr/>
                      <a:graphic xmlns:a="http://schemas.openxmlformats.org/drawingml/2006/main">
                        <a:graphicData uri="http://schemas.microsoft.com/office/word/2010/wordprocessingShape">
                          <wps:wsp>
                            <wps:cNvSpPr/>
                            <wps:spPr>
                              <a:xfrm>
                                <a:off x="0" y="0"/>
                                <a:ext cx="91440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固废、粉尘</w:t>
                                  </w:r>
                                </w:p>
                              </w:txbxContent>
                            </wps:txbx>
                            <wps:bodyPr upright="1"/>
                          </wps:wsp>
                        </a:graphicData>
                      </a:graphic>
                    </wp:anchor>
                  </w:drawing>
                </mc:Choice>
                <mc:Fallback>
                  <w:pict>
                    <v:rect id="_x0000_s1026" o:spid="_x0000_s1026" o:spt="1" style="position:absolute;left:0pt;margin-left:276.9pt;margin-top:-10.45pt;height:23.4pt;width:72pt;z-index:251728896;mso-width-relative:page;mso-height-relative:page;" coordsize="21600,21600" o:gfxdata="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Wlz6tkAAAAKAQAADwAAAAAAAAABACAAAAAiAAAAZHJzL2Rv&#10;d25yZXYueG1sUEsBAhQAFAAAAAgAh07iQOufHFMAAgAALAQAAA4AAAAAAAAAAQAgAAAAKAEAAGRy&#10;cy9lMm9Eb2MueG1sUEsFBgAAAAAGAAYAWQEAAJoFAAAAAA==&#10;">
                      <v:path/>
                      <v:fill focussize="0,0"/>
                      <v:stroke color="#FFFFFF"/>
                      <v:imagedata o:title=""/>
                      <o:lock v:ext="edit"/>
                      <v:textbox>
                        <w:txbxContent>
                          <w:p>
                            <w:r>
                              <w:rPr>
                                <w:rFonts w:hint="eastAsia"/>
                              </w:rPr>
                              <w:t>固废、粉尘</w:t>
                            </w:r>
                          </w:p>
                        </w:txbxContent>
                      </v:textbox>
                    </v:rect>
                  </w:pict>
                </mc:Fallback>
              </mc:AlternateContent>
            </w:r>
            <w:r>
              <w:rPr>
                <w:color w:val="000000"/>
              </w:rPr>
              <mc:AlternateContent>
                <mc:Choice Requires="wps">
                  <w:drawing>
                    <wp:anchor distT="0" distB="0" distL="114300" distR="114300" simplePos="0" relativeHeight="251729920" behindDoc="0" locked="0" layoutInCell="1" allowOverlap="1">
                      <wp:simplePos x="0" y="0"/>
                      <wp:positionH relativeFrom="column">
                        <wp:posOffset>1692910</wp:posOffset>
                      </wp:positionH>
                      <wp:positionV relativeFrom="paragraph">
                        <wp:posOffset>-132715</wp:posOffset>
                      </wp:positionV>
                      <wp:extent cx="1466850" cy="297180"/>
                      <wp:effectExtent l="4445" t="5080" r="14605" b="21590"/>
                      <wp:wrapNone/>
                      <wp:docPr id="287" name="矩形 287"/>
                      <wp:cNvGraphicFramePr/>
                      <a:graphic xmlns:a="http://schemas.openxmlformats.org/drawingml/2006/main">
                        <a:graphicData uri="http://schemas.microsoft.com/office/word/2010/wordprocessingShape">
                          <wps:wsp>
                            <wps:cNvSpPr/>
                            <wps:spPr>
                              <a:xfrm>
                                <a:off x="0" y="0"/>
                                <a:ext cx="146685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拆除老闸、场地清理</w:t>
                                  </w:r>
                                </w:p>
                              </w:txbxContent>
                            </wps:txbx>
                            <wps:bodyPr upright="1"/>
                          </wps:wsp>
                        </a:graphicData>
                      </a:graphic>
                    </wp:anchor>
                  </w:drawing>
                </mc:Choice>
                <mc:Fallback>
                  <w:pict>
                    <v:rect id="_x0000_s1026" o:spid="_x0000_s1026" o:spt="1" style="position:absolute;left:0pt;margin-left:133.3pt;margin-top:-10.45pt;height:23.4pt;width:115.5pt;z-index:251729920;mso-width-relative:page;mso-height-relative:page;" coordsize="21600,21600" o:gfxdata="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u5tIX1wAAAAoBAAAPAAAAAAAAAAEAIAAAACIAAABk&#10;cnMvZG93bnJldi54bWxQSwECFAAUAAAACACHTuJAEYc4wwcCAAAtBAAADgAAAAAAAAABACAAAAAm&#10;AQAAZHJzL2Uyb0RvYy54bWxQSwUGAAAAAAYABgBZAQAAnwUAAAAA&#10;">
                      <v:path/>
                      <v:fill focussize="0,0"/>
                      <v:stroke/>
                      <v:imagedata o:title=""/>
                      <o:lock v:ext="edit"/>
                      <v:textbox>
                        <w:txbxContent>
                          <w:p>
                            <w:pPr>
                              <w:jc w:val="center"/>
                            </w:pPr>
                            <w:r>
                              <w:rPr>
                                <w:rFonts w:hint="eastAsia"/>
                              </w:rPr>
                              <w:t>拆除老闸、场地清理</w:t>
                            </w:r>
                          </w:p>
                        </w:txbxContent>
                      </v:textbox>
                    </v:rect>
                  </w:pict>
                </mc:Fallback>
              </mc:AlternateContent>
            </w:r>
            <w:r>
              <w:rPr>
                <w:color w:val="000000"/>
              </w:rPr>
              <mc:AlternateContent>
                <mc:Choice Requires="wps">
                  <w:drawing>
                    <wp:anchor distT="0" distB="0" distL="114300" distR="114300" simplePos="0" relativeHeight="251730944" behindDoc="0" locked="0" layoutInCell="1" allowOverlap="1">
                      <wp:simplePos x="0" y="0"/>
                      <wp:positionH relativeFrom="column">
                        <wp:posOffset>3307080</wp:posOffset>
                      </wp:positionH>
                      <wp:positionV relativeFrom="paragraph">
                        <wp:posOffset>-93980</wp:posOffset>
                      </wp:positionV>
                      <wp:extent cx="8255" cy="309245"/>
                      <wp:effectExtent l="0" t="33655" r="14605" b="34290"/>
                      <wp:wrapNone/>
                      <wp:docPr id="288" name="肘形连接符 288"/>
                      <wp:cNvGraphicFramePr/>
                      <a:graphic xmlns:a="http://schemas.openxmlformats.org/drawingml/2006/main">
                        <a:graphicData uri="http://schemas.microsoft.com/office/word/2010/wordprocessingShape">
                          <wps:wsp>
                            <wps:cNvCnPr>
                              <a:stCxn id="266" idx="3"/>
                              <a:endCxn id="264" idx="1"/>
                            </wps:cNvCnPr>
                            <wps:spPr>
                              <a:xfrm rot="5400000">
                                <a:off x="0" y="0"/>
                                <a:ext cx="8255" cy="309245"/>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260.4pt;margin-top:-7.4pt;height:24.35pt;width:0.65pt;rotation:5898240f;z-index:251730944;mso-width-relative:page;mso-height-relative:page;" filled="f" stroked="t" coordsize="21600,21600" o:gfxdata="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3zcRfXAAAACgEAAA8AAAAAAAAAAQAgAAAA&#10;IgAAAGRycy9kb3ducmV2LnhtbFBLAQIUABQAAAAIAIdO4kATH37TRQIAAHUEAAAOAAAAAAAAAAEA&#10;IAAAACYBAABkcnMvZTJvRG9jLnhtbFBLBQYAAAAABgAGAFkBAADdBQAAAAA=&#10;" adj="10781">
                      <v:fill on="f" focussize="0,0"/>
                      <v:stroke color="#000000" joinstyle="miter" dashstyle="1 1" endcap="round" endarrow="block"/>
                      <v:imagedata o:title=""/>
                      <o:lock v:ext="edit" aspectratio="f"/>
                    </v:shape>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31968" behindDoc="0" locked="0" layoutInCell="1" allowOverlap="1">
                      <wp:simplePos x="0" y="0"/>
                      <wp:positionH relativeFrom="column">
                        <wp:posOffset>1961515</wp:posOffset>
                      </wp:positionH>
                      <wp:positionV relativeFrom="paragraph">
                        <wp:posOffset>61595</wp:posOffset>
                      </wp:positionV>
                      <wp:extent cx="1011555" cy="283845"/>
                      <wp:effectExtent l="4445" t="4445" r="12700" b="16510"/>
                      <wp:wrapNone/>
                      <wp:docPr id="289" name="矩形 289"/>
                      <wp:cNvGraphicFramePr/>
                      <a:graphic xmlns:a="http://schemas.openxmlformats.org/drawingml/2006/main">
                        <a:graphicData uri="http://schemas.microsoft.com/office/word/2010/wordprocessingShape">
                          <wps:wsp>
                            <wps:cNvSpPr/>
                            <wps:spPr>
                              <a:xfrm>
                                <a:off x="0" y="0"/>
                                <a:ext cx="1011555" cy="2838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测量放线</w:t>
                                  </w:r>
                                </w:p>
                              </w:txbxContent>
                            </wps:txbx>
                            <wps:bodyPr upright="1"/>
                          </wps:wsp>
                        </a:graphicData>
                      </a:graphic>
                    </wp:anchor>
                  </w:drawing>
                </mc:Choice>
                <mc:Fallback>
                  <w:pict>
                    <v:rect id="_x0000_s1026" o:spid="_x0000_s1026" o:spt="1" style="position:absolute;left:0pt;margin-left:154.45pt;margin-top:4.85pt;height:22.35pt;width:79.65pt;z-index:251731968;mso-width-relative:page;mso-height-relative:page;" coordsize="21600,21600" o:gfxdata="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47QN9cAAAAIAQAADwAAAAAAAAABACAAAAAiAAAAZHJzL2Rv&#10;d25yZXYueG1sUEsBAhQAFAAAAAgAh07iQOJUwjgCAgAALQQAAA4AAAAAAAAAAQAgAAAAJgEAAGRy&#10;cy9lMm9Eb2MueG1sUEsFBgAAAAAGAAYAWQEAAJoFAAAAAA==&#10;">
                      <v:path/>
                      <v:fill focussize="0,0"/>
                      <v:stroke/>
                      <v:imagedata o:title=""/>
                      <o:lock v:ext="edit"/>
                      <v:textbox>
                        <w:txbxContent>
                          <w:p>
                            <w:pPr>
                              <w:jc w:val="center"/>
                            </w:pPr>
                            <w:r>
                              <w:rPr>
                                <w:rFonts w:hint="eastAsia"/>
                              </w:rPr>
                              <w:t>测量放线</w:t>
                            </w:r>
                          </w:p>
                        </w:txbxContent>
                      </v:textbox>
                    </v:rect>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36064" behindDoc="0" locked="0" layoutInCell="1" allowOverlap="1">
                      <wp:simplePos x="0" y="0"/>
                      <wp:positionH relativeFrom="column">
                        <wp:posOffset>2008505</wp:posOffset>
                      </wp:positionH>
                      <wp:positionV relativeFrom="paragraph">
                        <wp:posOffset>241935</wp:posOffset>
                      </wp:positionV>
                      <wp:extent cx="866775" cy="297180"/>
                      <wp:effectExtent l="4445" t="5080" r="5080" b="21590"/>
                      <wp:wrapNone/>
                      <wp:docPr id="290" name="矩形 290"/>
                      <wp:cNvGraphicFramePr/>
                      <a:graphic xmlns:a="http://schemas.openxmlformats.org/drawingml/2006/main">
                        <a:graphicData uri="http://schemas.microsoft.com/office/word/2010/wordprocessingShape">
                          <wps:wsp>
                            <wps:cNvSpPr/>
                            <wps:spPr>
                              <a:xfrm>
                                <a:off x="0" y="0"/>
                                <a:ext cx="86677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基坑开挖</w:t>
                                  </w:r>
                                </w:p>
                              </w:txbxContent>
                            </wps:txbx>
                            <wps:bodyPr upright="1"/>
                          </wps:wsp>
                        </a:graphicData>
                      </a:graphic>
                    </wp:anchor>
                  </w:drawing>
                </mc:Choice>
                <mc:Fallback>
                  <w:pict>
                    <v:rect id="_x0000_s1026" o:spid="_x0000_s1026" o:spt="1" style="position:absolute;left:0pt;margin-left:158.15pt;margin-top:19.05pt;height:23.4pt;width:68.25pt;z-index:251736064;mso-width-relative:page;mso-height-relative:page;" coordsize="21600,21600" o:gfxdata="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VfpDtgAAAAJAQAADwAAAAAAAAABACAAAAAiAAAAZHJz&#10;L2Rvd25yZXYueG1sUEsBAhQAFAAAAAgAh07iQHypZEIEAgAALAQAAA4AAAAAAAAAAQAgAAAAJwEA&#10;AGRycy9lMm9Eb2MueG1sUEsFBgAAAAAGAAYAWQEAAJ0FAAAAAA==&#10;">
                      <v:path/>
                      <v:fill focussize="0,0"/>
                      <v:stroke/>
                      <v:imagedata o:title=""/>
                      <o:lock v:ext="edit"/>
                      <v:textbox>
                        <w:txbxContent>
                          <w:p>
                            <w:pPr>
                              <w:jc w:val="center"/>
                            </w:pPr>
                            <w:r>
                              <w:rPr>
                                <w:rFonts w:hint="eastAsia"/>
                              </w:rPr>
                              <w:t>基坑开挖</w:t>
                            </w:r>
                          </w:p>
                        </w:txbxContent>
                      </v:textbox>
                    </v:rect>
                  </w:pict>
                </mc:Fallback>
              </mc:AlternateContent>
            </w:r>
            <w:r>
              <w:rPr>
                <w:color w:val="000000"/>
              </w:rPr>
              <mc:AlternateContent>
                <mc:Choice Requires="wps">
                  <w:drawing>
                    <wp:anchor distT="0" distB="0" distL="114300" distR="114300" simplePos="0" relativeHeight="251732992" behindDoc="0" locked="0" layoutInCell="1" allowOverlap="1">
                      <wp:simplePos x="0" y="0"/>
                      <wp:positionH relativeFrom="column">
                        <wp:posOffset>2278380</wp:posOffset>
                      </wp:positionH>
                      <wp:positionV relativeFrom="paragraph">
                        <wp:posOffset>116840</wp:posOffset>
                      </wp:positionV>
                      <wp:extent cx="243840" cy="0"/>
                      <wp:effectExtent l="38100" t="0" r="38100" b="3810"/>
                      <wp:wrapNone/>
                      <wp:docPr id="291" name="肘形连接符 291"/>
                      <wp:cNvGraphicFramePr/>
                      <a:graphic xmlns:a="http://schemas.openxmlformats.org/drawingml/2006/main">
                        <a:graphicData uri="http://schemas.microsoft.com/office/word/2010/wordprocessingShape">
                          <wps:wsp>
                            <wps:cNvCnPr>
                              <a:stCxn id="266" idx="3"/>
                              <a:endCxn id="264" idx="1"/>
                            </wps:cNvCnPr>
                            <wps:spPr>
                              <a:xfrm rot="5400000">
                                <a:off x="0" y="0"/>
                                <a:ext cx="243840" cy="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79.4pt;margin-top:9.2pt;height:0pt;width:19.2pt;rotation:5898240f;z-index:251732992;mso-width-relative:page;mso-height-relative:page;" filled="f" stroked="t" coordsize="21600,21600" o:gfxdata="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ugXbh1QAAAAkBAAAPAAAAAAAAAAEAIAAAACIAAABkcnMv&#10;ZG93bnJldi54bWxQSwECFAAUAAAACACHTuJA88AgxD8CAAByBAAADgAAAAAAAAABACAAAAAkAQAA&#10;ZHJzL2Uyb0RvYy54bWxQSwUGAAAAAAYABgBZAQAA1QUAAAAA&#10;" adj="10781">
                      <v:fill on="f" focussize="0,0"/>
                      <v:stroke color="#000000" joinstyle="miter" endarrow="block"/>
                      <v:imagedata o:title=""/>
                      <o:lock v:ext="edit" aspectratio="f"/>
                    </v:shape>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37088" behindDoc="0" locked="0" layoutInCell="1" allowOverlap="1">
                      <wp:simplePos x="0" y="0"/>
                      <wp:positionH relativeFrom="column">
                        <wp:posOffset>2254250</wp:posOffset>
                      </wp:positionH>
                      <wp:positionV relativeFrom="paragraph">
                        <wp:posOffset>412750</wp:posOffset>
                      </wp:positionV>
                      <wp:extent cx="313690" cy="1270"/>
                      <wp:effectExtent l="38100" t="0" r="36830" b="10160"/>
                      <wp:wrapNone/>
                      <wp:docPr id="292" name="肘形连接符 292"/>
                      <wp:cNvGraphicFramePr/>
                      <a:graphic xmlns:a="http://schemas.openxmlformats.org/drawingml/2006/main">
                        <a:graphicData uri="http://schemas.microsoft.com/office/word/2010/wordprocessingShape">
                          <wps:wsp>
                            <wps:cNvCnPr>
                              <a:stCxn id="266" idx="3"/>
                              <a:endCxn id="264" idx="1"/>
                            </wps:cNvCnPr>
                            <wps:spPr>
                              <a:xfrm rot="5400000">
                                <a:off x="0" y="0"/>
                                <a:ext cx="313690" cy="127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77.5pt;margin-top:32.5pt;height:0.1pt;width:24.7pt;rotation:5898240f;z-index:251737088;mso-width-relative:page;mso-height-relative:page;" filled="f" stroked="t" coordsize="21600,21600" o:gfxdata="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q75K/WAAAACQEAAA8AAAAAAAAAAQAgAAAA&#10;IgAAAGRycy9kb3ducmV2LnhtbFBLAQIUABQAAAAIAIdO4kCL3wWtRgIAAHUEAAAOAAAAAAAAAAEA&#10;IAAAACUBAABkcnMvZTJvRG9jLnhtbFBLBQYAAAAABgAGAFkBAADdBQAAAAA=&#10;" adj="10781">
                      <v:fill on="f" focussize="0,0"/>
                      <v:stroke color="#000000" joinstyle="miter" endarrow="block"/>
                      <v:imagedata o:title=""/>
                      <o:lock v:ext="edit" aspectratio="f"/>
                    </v:shape>
                  </w:pict>
                </mc:Fallback>
              </mc:AlternateContent>
            </w:r>
            <w:r>
              <w:rPr>
                <w:color w:val="000000"/>
              </w:rPr>
              <mc:AlternateContent>
                <mc:Choice Requires="wps">
                  <w:drawing>
                    <wp:anchor distT="0" distB="0" distL="114300" distR="114300" simplePos="0" relativeHeight="251735040" behindDoc="0" locked="0" layoutInCell="1" allowOverlap="1">
                      <wp:simplePos x="0" y="0"/>
                      <wp:positionH relativeFrom="column">
                        <wp:posOffset>3227070</wp:posOffset>
                      </wp:positionH>
                      <wp:positionV relativeFrom="paragraph">
                        <wp:posOffset>10795</wp:posOffset>
                      </wp:positionV>
                      <wp:extent cx="1257300" cy="297180"/>
                      <wp:effectExtent l="5080" t="4445" r="13970" b="22225"/>
                      <wp:wrapNone/>
                      <wp:docPr id="293" name="矩形 293"/>
                      <wp:cNvGraphicFramePr/>
                      <a:graphic xmlns:a="http://schemas.openxmlformats.org/drawingml/2006/main">
                        <a:graphicData uri="http://schemas.microsoft.com/office/word/2010/wordprocessingShape">
                          <wps:wsp>
                            <wps:cNvSpPr/>
                            <wps:spPr>
                              <a:xfrm>
                                <a:off x="0" y="0"/>
                                <a:ext cx="125730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废水、噪声、固废</w:t>
                                  </w:r>
                                </w:p>
                              </w:txbxContent>
                            </wps:txbx>
                            <wps:bodyPr upright="1"/>
                          </wps:wsp>
                        </a:graphicData>
                      </a:graphic>
                    </wp:anchor>
                  </w:drawing>
                </mc:Choice>
                <mc:Fallback>
                  <w:pict>
                    <v:rect id="_x0000_s1026" o:spid="_x0000_s1026" o:spt="1" style="position:absolute;left:0pt;margin-left:254.1pt;margin-top:0.85pt;height:23.4pt;width:99pt;z-index:251735040;mso-width-relative:page;mso-height-relative:page;" coordsize="21600,21600" o:gfxdata="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6e80dUAAAAIAQAADwAAAAAAAAABACAAAAAiAAAAZHJzL2Rvd25y&#10;ZXYueG1sUEsBAhQAFAAAAAgAh07iQIkMl14BAgAALQQAAA4AAAAAAAAAAQAgAAAAJAEAAGRycy9l&#10;Mm9Eb2MueG1sUEsFBgAAAAAGAAYAWQEAAJcFAAAAAA==&#10;">
                      <v:path/>
                      <v:fill focussize="0,0"/>
                      <v:stroke color="#FFFFFF"/>
                      <v:imagedata o:title=""/>
                      <o:lock v:ext="edit"/>
                      <v:textbox>
                        <w:txbxContent>
                          <w:p>
                            <w:r>
                              <w:rPr>
                                <w:rFonts w:hint="eastAsia"/>
                              </w:rPr>
                              <w:t>废水、噪声、固废</w:t>
                            </w:r>
                          </w:p>
                        </w:txbxContent>
                      </v:textbox>
                    </v:rect>
                  </w:pict>
                </mc:Fallback>
              </mc:AlternateContent>
            </w:r>
            <w:r>
              <w:rPr>
                <w:color w:val="000000"/>
              </w:rPr>
              <mc:AlternateContent>
                <mc:Choice Requires="wps">
                  <w:drawing>
                    <wp:anchor distT="0" distB="0" distL="114300" distR="114300" simplePos="0" relativeHeight="251734016" behindDoc="0" locked="0" layoutInCell="1" allowOverlap="1">
                      <wp:simplePos x="0" y="0"/>
                      <wp:positionH relativeFrom="column">
                        <wp:posOffset>2879725</wp:posOffset>
                      </wp:positionH>
                      <wp:positionV relativeFrom="paragraph">
                        <wp:posOffset>134620</wp:posOffset>
                      </wp:positionV>
                      <wp:extent cx="342900" cy="635"/>
                      <wp:effectExtent l="0" t="37465" r="0" b="38100"/>
                      <wp:wrapNone/>
                      <wp:docPr id="294" name="直接连接符 294"/>
                      <wp:cNvGraphicFramePr/>
                      <a:graphic xmlns:a="http://schemas.openxmlformats.org/drawingml/2006/main">
                        <a:graphicData uri="http://schemas.microsoft.com/office/word/2010/wordprocessingShape">
                          <wps:wsp>
                            <wps:cNvSpPr/>
                            <wps:spPr>
                              <a:xfrm>
                                <a:off x="0" y="0"/>
                                <a:ext cx="342900" cy="63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margin-left:226.75pt;margin-top:10.6pt;height:0.05pt;width:27pt;z-index:251734016;mso-width-relative:page;mso-height-relative:page;" coordsize="21600,21600" o:gfxdata="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7gJIw2QAAAAkBAAAPAAAAAAAAAAEAIAAAACIAAABkcnMvZG93&#10;bnJldi54bWxQSwECFAAUAAAACACHTuJAF6bTof8BAADsAwAADgAAAAAAAAABACAAAAAoAQAAZHJz&#10;L2Uyb0RvYy54bWxQSwUGAAAAAAYABgBZAQAAmQUAAAAA&#10;">
                      <v:path arrowok="t"/>
                      <v:fill focussize="0,0"/>
                      <v:stroke dashstyle="dash" endarrow="block"/>
                      <v:imagedata o:title=""/>
                      <o:lock v:ext="edit"/>
                    </v:line>
                  </w:pict>
                </mc:Fallback>
              </mc:AlternateContent>
            </w:r>
          </w:p>
          <w:p>
            <w:pPr>
              <w:spacing w:line="360" w:lineRule="auto"/>
              <w:jc w:val="left"/>
              <w:rPr>
                <w:color w:val="000000"/>
                <w:sz w:val="24"/>
              </w:rPr>
            </w:pPr>
          </w:p>
          <w:p>
            <w:pPr>
              <w:spacing w:line="360" w:lineRule="auto"/>
              <w:jc w:val="left"/>
              <w:rPr>
                <w:color w:val="000000"/>
                <w:sz w:val="24"/>
              </w:rPr>
            </w:pPr>
            <w:r>
              <w:rPr>
                <w:color w:val="000000"/>
              </w:rPr>
              <mc:AlternateContent>
                <mc:Choice Requires="wps">
                  <w:drawing>
                    <wp:anchor distT="0" distB="0" distL="114300" distR="114300" simplePos="0" relativeHeight="251738112" behindDoc="0" locked="0" layoutInCell="1" allowOverlap="1">
                      <wp:simplePos x="0" y="0"/>
                      <wp:positionH relativeFrom="column">
                        <wp:posOffset>2336800</wp:posOffset>
                      </wp:positionH>
                      <wp:positionV relativeFrom="paragraph">
                        <wp:posOffset>382905</wp:posOffset>
                      </wp:positionV>
                      <wp:extent cx="241300" cy="0"/>
                      <wp:effectExtent l="38100" t="0" r="38100" b="6350"/>
                      <wp:wrapNone/>
                      <wp:docPr id="295" name="肘形连接符 295"/>
                      <wp:cNvGraphicFramePr/>
                      <a:graphic xmlns:a="http://schemas.openxmlformats.org/drawingml/2006/main">
                        <a:graphicData uri="http://schemas.microsoft.com/office/word/2010/wordprocessingShape">
                          <wps:wsp>
                            <wps:cNvCnPr>
                              <a:stCxn id="266" idx="3"/>
                              <a:endCxn id="264" idx="1"/>
                            </wps:cNvCnPr>
                            <wps:spPr>
                              <a:xfrm rot="5400000">
                                <a:off x="0" y="0"/>
                                <a:ext cx="241300" cy="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4pt;margin-top:30.15pt;height:0pt;width:19pt;rotation:5898240f;z-index:251738112;mso-width-relative:page;mso-height-relative:page;" filled="f" stroked="t" coordsize="21600,21600" o:gfxdata="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T4EZ9UAAAAJAQAADwAAAAAAAAABACAAAAAiAAAA&#10;ZHJzL2Rvd25yZXYueG1sUEsBAhQAFAAAAAgAh07iQMC4+M1DAgAAcgQAAA4AAAAAAAAAAQAgAAAA&#10;JAEAAGRycy9lMm9Eb2MueG1sUEsFBgAAAAAGAAYAWQEAANkFAAAAAA==&#10;" adj="10781">
                      <v:fill on="f" focussize="0,0"/>
                      <v:stroke color="#000000" joinstyle="miter" endarrow="block"/>
                      <v:imagedata o:title=""/>
                      <o:lock v:ext="edit" aspectratio="f"/>
                    </v:shape>
                  </w:pict>
                </mc:Fallback>
              </mc:AlternateContent>
            </w:r>
            <w:r>
              <w:rPr>
                <w:color w:val="000000"/>
              </w:rPr>
              <mc:AlternateContent>
                <mc:Choice Requires="wps">
                  <w:drawing>
                    <wp:anchor distT="0" distB="0" distL="114300" distR="114300" simplePos="0" relativeHeight="251739136" behindDoc="0" locked="0" layoutInCell="1" allowOverlap="1">
                      <wp:simplePos x="0" y="0"/>
                      <wp:positionH relativeFrom="column">
                        <wp:posOffset>1999615</wp:posOffset>
                      </wp:positionH>
                      <wp:positionV relativeFrom="paragraph">
                        <wp:posOffset>15240</wp:posOffset>
                      </wp:positionV>
                      <wp:extent cx="928370" cy="249555"/>
                      <wp:effectExtent l="5080" t="4445" r="19050" b="12700"/>
                      <wp:wrapNone/>
                      <wp:docPr id="296" name="矩形 296"/>
                      <wp:cNvGraphicFramePr/>
                      <a:graphic xmlns:a="http://schemas.openxmlformats.org/drawingml/2006/main">
                        <a:graphicData uri="http://schemas.microsoft.com/office/word/2010/wordprocessingShape">
                          <wps:wsp>
                            <wps:cNvSpPr/>
                            <wps:spPr>
                              <a:xfrm>
                                <a:off x="0" y="0"/>
                                <a:ext cx="928370" cy="2495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绑扎钢筋</w:t>
                                  </w:r>
                                </w:p>
                              </w:txbxContent>
                            </wps:txbx>
                            <wps:bodyPr upright="1"/>
                          </wps:wsp>
                        </a:graphicData>
                      </a:graphic>
                    </wp:anchor>
                  </w:drawing>
                </mc:Choice>
                <mc:Fallback>
                  <w:pict>
                    <v:rect id="_x0000_s1026" o:spid="_x0000_s1026" o:spt="1" style="position:absolute;left:0pt;margin-left:157.45pt;margin-top:1.2pt;height:19.65pt;width:73.1pt;z-index:251739136;mso-width-relative:page;mso-height-relative:page;" coordsize="21600,21600" o:gfxdata="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IZ5/NcAAAAIAQAADwAAAAAAAAABACAAAAAiAAAAZHJzL2Rv&#10;d25yZXYueG1sUEsBAhQAFAAAAAgAh07iQFi16DwCAgAALAQAAA4AAAAAAAAAAQAgAAAAJgEAAGRy&#10;cy9lMm9Eb2MueG1sUEsFBgAAAAAGAAYAWQEAAJoFAAAAAA==&#10;">
                      <v:path/>
                      <v:fill focussize="0,0"/>
                      <v:stroke/>
                      <v:imagedata o:title=""/>
                      <o:lock v:ext="edit"/>
                      <v:textbox>
                        <w:txbxContent>
                          <w:p>
                            <w:pPr>
                              <w:jc w:val="center"/>
                            </w:pPr>
                            <w:r>
                              <w:rPr>
                                <w:rFonts w:hint="eastAsia"/>
                              </w:rPr>
                              <w:t>绑扎钢筋</w:t>
                            </w:r>
                          </w:p>
                        </w:txbxContent>
                      </v:textbox>
                    </v:rect>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41184" behindDoc="0" locked="0" layoutInCell="1" allowOverlap="1">
                      <wp:simplePos x="0" y="0"/>
                      <wp:positionH relativeFrom="column">
                        <wp:posOffset>330835</wp:posOffset>
                      </wp:positionH>
                      <wp:positionV relativeFrom="paragraph">
                        <wp:posOffset>94615</wp:posOffset>
                      </wp:positionV>
                      <wp:extent cx="1371600" cy="297180"/>
                      <wp:effectExtent l="4445" t="4445" r="14605" b="22225"/>
                      <wp:wrapNone/>
                      <wp:docPr id="297" name="矩形 297"/>
                      <wp:cNvGraphicFramePr/>
                      <a:graphic xmlns:a="http://schemas.openxmlformats.org/drawingml/2006/main">
                        <a:graphicData uri="http://schemas.microsoft.com/office/word/2010/wordprocessingShape">
                          <wps:wsp>
                            <wps:cNvSpPr/>
                            <wps:spPr>
                              <a:xfrm>
                                <a:off x="0" y="0"/>
                                <a:ext cx="137160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外购砂石、骨料</w:t>
                                  </w:r>
                                </w:p>
                              </w:txbxContent>
                            </wps:txbx>
                            <wps:bodyPr upright="1"/>
                          </wps:wsp>
                        </a:graphicData>
                      </a:graphic>
                    </wp:anchor>
                  </w:drawing>
                </mc:Choice>
                <mc:Fallback>
                  <w:pict>
                    <v:rect id="_x0000_s1026" o:spid="_x0000_s1026" o:spt="1" style="position:absolute;left:0pt;margin-left:26.05pt;margin-top:7.45pt;height:23.4pt;width:108pt;z-index:251741184;mso-width-relative:page;mso-height-relative:page;" coordsize="21600,21600" o:gfxdata="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X6Cq1gAAAAgBAAAPAAAAAAAAAAEAIAAAACIAAABkcnMvZG93bnJl&#10;di54bWxQSwECFAAUAAAACACHTuJAAHaDCP8BAAAtBAAADgAAAAAAAAABACAAAAAlAQAAZHJzL2Uy&#10;b0RvYy54bWxQSwUGAAAAAAYABgBZAQAAlgUAAAAA&#10;">
                      <v:path/>
                      <v:fill focussize="0,0"/>
                      <v:stroke color="#FFFFFF"/>
                      <v:imagedata o:title=""/>
                      <o:lock v:ext="edit"/>
                      <v:textbox>
                        <w:txbxContent>
                          <w:p>
                            <w:r>
                              <w:rPr>
                                <w:rFonts w:hint="eastAsia"/>
                              </w:rPr>
                              <w:t>外购砂石、骨料</w:t>
                            </w:r>
                          </w:p>
                        </w:txbxContent>
                      </v:textbox>
                    </v:rect>
                  </w:pict>
                </mc:Fallback>
              </mc:AlternateContent>
            </w:r>
            <w:r>
              <w:rPr>
                <w:color w:val="000000"/>
              </w:rPr>
              <mc:AlternateContent>
                <mc:Choice Requires="wps">
                  <w:drawing>
                    <wp:anchor distT="0" distB="0" distL="114300" distR="114300" simplePos="0" relativeHeight="251740160" behindDoc="0" locked="0" layoutInCell="1" allowOverlap="1">
                      <wp:simplePos x="0" y="0"/>
                      <wp:positionH relativeFrom="column">
                        <wp:posOffset>2091055</wp:posOffset>
                      </wp:positionH>
                      <wp:positionV relativeFrom="paragraph">
                        <wp:posOffset>228600</wp:posOffset>
                      </wp:positionV>
                      <wp:extent cx="790575" cy="257175"/>
                      <wp:effectExtent l="4445" t="5080" r="5080" b="4445"/>
                      <wp:wrapNone/>
                      <wp:docPr id="298" name="矩形 298"/>
                      <wp:cNvGraphicFramePr/>
                      <a:graphic xmlns:a="http://schemas.openxmlformats.org/drawingml/2006/main">
                        <a:graphicData uri="http://schemas.microsoft.com/office/word/2010/wordprocessingShape">
                          <wps:wsp>
                            <wps:cNvSpPr/>
                            <wps:spPr>
                              <a:xfrm>
                                <a:off x="0" y="0"/>
                                <a:ext cx="790575"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支模</w:t>
                                  </w:r>
                                </w:p>
                              </w:txbxContent>
                            </wps:txbx>
                            <wps:bodyPr upright="1"/>
                          </wps:wsp>
                        </a:graphicData>
                      </a:graphic>
                    </wp:anchor>
                  </w:drawing>
                </mc:Choice>
                <mc:Fallback>
                  <w:pict>
                    <v:rect id="_x0000_s1026" o:spid="_x0000_s1026" o:spt="1" style="position:absolute;left:0pt;margin-left:164.65pt;margin-top:18pt;height:20.25pt;width:62.25pt;z-index:251740160;mso-width-relative:page;mso-height-relative:page;" coordsize="21600,21600" o:gfxdata="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ubObU2AAAAAkBAAAPAAAAAAAAAAEAIAAAACIAAABkcnMvZG93&#10;bnJldi54bWxQSwECFAAUAAAACACHTuJAcX5SBwACAAAsBAAADgAAAAAAAAABACAAAAAnAQAAZHJz&#10;L2Uyb0RvYy54bWxQSwUGAAAAAAYABgBZAQAAmQUAAAAA&#10;">
                      <v:path/>
                      <v:fill focussize="0,0"/>
                      <v:stroke/>
                      <v:imagedata o:title=""/>
                      <o:lock v:ext="edit"/>
                      <v:textbox>
                        <w:txbxContent>
                          <w:p>
                            <w:pPr>
                              <w:jc w:val="center"/>
                            </w:pPr>
                            <w:r>
                              <w:rPr>
                                <w:rFonts w:hint="eastAsia"/>
                              </w:rPr>
                              <w:t>支模</w:t>
                            </w:r>
                          </w:p>
                        </w:txbxContent>
                      </v:textbox>
                    </v:rect>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42208" behindDoc="0" locked="0" layoutInCell="1" allowOverlap="1">
                      <wp:simplePos x="0" y="0"/>
                      <wp:positionH relativeFrom="column">
                        <wp:posOffset>2367280</wp:posOffset>
                      </wp:positionH>
                      <wp:positionV relativeFrom="paragraph">
                        <wp:posOffset>330835</wp:posOffset>
                      </wp:positionV>
                      <wp:extent cx="194945" cy="3810"/>
                      <wp:effectExtent l="38100" t="0" r="34290" b="14605"/>
                      <wp:wrapNone/>
                      <wp:docPr id="299" name="肘形连接符 299"/>
                      <wp:cNvGraphicFramePr/>
                      <a:graphic xmlns:a="http://schemas.openxmlformats.org/drawingml/2006/main">
                        <a:graphicData uri="http://schemas.microsoft.com/office/word/2010/wordprocessingShape">
                          <wps:wsp>
                            <wps:cNvCnPr>
                              <a:stCxn id="266" idx="3"/>
                              <a:endCxn id="264" idx="1"/>
                            </wps:cNvCnPr>
                            <wps:spPr>
                              <a:xfrm rot="5400000">
                                <a:off x="0" y="0"/>
                                <a:ext cx="194945" cy="381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6.4pt;margin-top:26.05pt;height:0.3pt;width:15.35pt;rotation:5898240f;z-index:251742208;mso-width-relative:page;mso-height-relative:page;" filled="f" stroked="t" coordsize="21600,21600" o:gfxdata="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mC4JNcAAAAJAQAADwAAAAAAAAABACAA&#10;AAAiAAAAZHJzL2Rvd25yZXYueG1sUEsBAhQAFAAAAAgAh07iQNQIMclHAgAAdQQAAA4AAAAAAAAA&#10;AQAgAAAAJgEAAGRycy9lMm9Eb2MueG1sUEsFBgAAAAAGAAYAWQEAAN8FAAAAAA==&#10;" adj="10781">
                      <v:fill on="f" focussize="0,0"/>
                      <v:stroke color="#000000" joinstyle="miter" endarrow="block"/>
                      <v:imagedata o:title=""/>
                      <o:lock v:ext="edit" aspectratio="f"/>
                    </v:shape>
                  </w:pict>
                </mc:Fallback>
              </mc:AlternateContent>
            </w:r>
            <w:r>
              <w:rPr>
                <w:color w:val="000000"/>
              </w:rPr>
              <mc:AlternateContent>
                <mc:Choice Requires="wps">
                  <w:drawing>
                    <wp:anchor distT="0" distB="0" distL="114300" distR="114300" simplePos="0" relativeHeight="251743232" behindDoc="0" locked="0" layoutInCell="1" allowOverlap="1">
                      <wp:simplePos x="0" y="0"/>
                      <wp:positionH relativeFrom="column">
                        <wp:posOffset>974090</wp:posOffset>
                      </wp:positionH>
                      <wp:positionV relativeFrom="paragraph">
                        <wp:posOffset>100330</wp:posOffset>
                      </wp:positionV>
                      <wp:extent cx="0" cy="434975"/>
                      <wp:effectExtent l="38100" t="0" r="38100" b="3175"/>
                      <wp:wrapNone/>
                      <wp:docPr id="300" name="直接连接符 300"/>
                      <wp:cNvGraphicFramePr/>
                      <a:graphic xmlns:a="http://schemas.openxmlformats.org/drawingml/2006/main">
                        <a:graphicData uri="http://schemas.microsoft.com/office/word/2010/wordprocessingShape">
                          <wps:wsp>
                            <wps:cNvSpPr/>
                            <wps:spPr>
                              <a:xfrm>
                                <a:off x="0" y="0"/>
                                <a:ext cx="0" cy="43497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76.7pt;margin-top:7.9pt;height:34.25pt;width:0pt;z-index:251743232;mso-width-relative:page;mso-height-relative:page;" coordsize="21600,21600" o:gfxdata="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RtQkm1wAAAAkBAAAPAAAAAAAAAAEAIAAAACIAAABkcnMvZG93bnJldi54&#10;bWxQSwECFAAUAAAACACHTuJA72yh7/sBAADrAwAADgAAAAAAAAABACAAAAAmAQAAZHJzL2Uyb0Rv&#10;Yy54bWxQSwUGAAAAAAYABgBZAQAAkwUAAAAA&#10;">
                      <v:path arrowok="t"/>
                      <v:fill focussize="0,0"/>
                      <v:stroke endarrow="block"/>
                      <v:imagedata o:title=""/>
                      <o:lock v:ext="edit"/>
                    </v:line>
                  </w:pict>
                </mc:Fallback>
              </mc:AlternateContent>
            </w:r>
            <w:r>
              <w:rPr>
                <w:color w:val="000000"/>
              </w:rPr>
              <mc:AlternateContent>
                <mc:Choice Requires="wps">
                  <w:drawing>
                    <wp:anchor distT="0" distB="0" distL="114300" distR="114300" simplePos="0" relativeHeight="251744256" behindDoc="0" locked="0" layoutInCell="1" allowOverlap="1">
                      <wp:simplePos x="0" y="0"/>
                      <wp:positionH relativeFrom="column">
                        <wp:posOffset>1205865</wp:posOffset>
                      </wp:positionH>
                      <wp:positionV relativeFrom="paragraph">
                        <wp:posOffset>99695</wp:posOffset>
                      </wp:positionV>
                      <wp:extent cx="803275" cy="306070"/>
                      <wp:effectExtent l="0" t="0" r="15875" b="17780"/>
                      <wp:wrapNone/>
                      <wp:docPr id="301" name="矩形 301"/>
                      <wp:cNvGraphicFramePr/>
                      <a:graphic xmlns:a="http://schemas.openxmlformats.org/drawingml/2006/main">
                        <a:graphicData uri="http://schemas.microsoft.com/office/word/2010/wordprocessingShape">
                          <wps:wsp>
                            <wps:cNvSpPr/>
                            <wps:spPr>
                              <a:xfrm>
                                <a:off x="0" y="0"/>
                                <a:ext cx="803275" cy="306070"/>
                              </a:xfrm>
                              <a:prstGeom prst="rect">
                                <a:avLst/>
                              </a:prstGeom>
                              <a:solidFill>
                                <a:srgbClr val="FFFFFF"/>
                              </a:solidFill>
                              <a:ln>
                                <a:noFill/>
                              </a:ln>
                            </wps:spPr>
                            <wps:txbx>
                              <w:txbxContent>
                                <w:p>
                                  <w:r>
                                    <w:rPr>
                                      <w:rFonts w:hint="eastAsia"/>
                                    </w:rPr>
                                    <w:t>噪声、粉尘</w:t>
                                  </w:r>
                                </w:p>
                              </w:txbxContent>
                            </wps:txbx>
                            <wps:bodyPr upright="1"/>
                          </wps:wsp>
                        </a:graphicData>
                      </a:graphic>
                    </wp:anchor>
                  </w:drawing>
                </mc:Choice>
                <mc:Fallback>
                  <w:pict>
                    <v:rect id="_x0000_s1026" o:spid="_x0000_s1026" o:spt="1" style="position:absolute;left:0pt;margin-left:94.95pt;margin-top:7.85pt;height:24.1pt;width:63.25pt;z-index:251744256;mso-width-relative:page;mso-height-relative:page;" stroked="f" coordsize="21600,21600" o:gfxdata="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Hqla7XAAAACQEAAA8AAAAAAAAAAQAgAAAAIgAAAGRycy9kb3ducmV2LnhtbFBLAQIUABQA&#10;AAAIAIdO4kA/RdKsuAEAAG0DAAAOAAAAAAAAAAEAIAAAACYBAABkcnMvZTJvRG9jLnhtbFBLBQYA&#10;AAAABgAGAFkBAABQBQAAAAA=&#10;">
                      <v:path/>
                      <v:fill focussize="0,0"/>
                      <v:stroke on="f"/>
                      <v:imagedata o:title=""/>
                      <o:lock v:ext="edit"/>
                      <v:textbox>
                        <w:txbxContent>
                          <w:p>
                            <w:r>
                              <w:rPr>
                                <w:rFonts w:hint="eastAsia"/>
                              </w:rPr>
                              <w:t>噪声、粉尘</w:t>
                            </w:r>
                          </w:p>
                        </w:txbxContent>
                      </v:textbox>
                    </v:rect>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48352" behindDoc="0" locked="0" layoutInCell="1" allowOverlap="1">
                      <wp:simplePos x="0" y="0"/>
                      <wp:positionH relativeFrom="column">
                        <wp:posOffset>3380105</wp:posOffset>
                      </wp:positionH>
                      <wp:positionV relativeFrom="paragraph">
                        <wp:posOffset>194945</wp:posOffset>
                      </wp:positionV>
                      <wp:extent cx="914400" cy="262255"/>
                      <wp:effectExtent l="0" t="0" r="0" b="4445"/>
                      <wp:wrapNone/>
                      <wp:docPr id="302" name="矩形 302"/>
                      <wp:cNvGraphicFramePr/>
                      <a:graphic xmlns:a="http://schemas.openxmlformats.org/drawingml/2006/main">
                        <a:graphicData uri="http://schemas.microsoft.com/office/word/2010/wordprocessingShape">
                          <wps:wsp>
                            <wps:cNvSpPr/>
                            <wps:spPr>
                              <a:xfrm>
                                <a:off x="0" y="0"/>
                                <a:ext cx="914400" cy="262255"/>
                              </a:xfrm>
                              <a:prstGeom prst="rect">
                                <a:avLst/>
                              </a:prstGeom>
                              <a:solidFill>
                                <a:srgbClr val="FFFFFF"/>
                              </a:solidFill>
                              <a:ln>
                                <a:noFill/>
                              </a:ln>
                            </wps:spPr>
                            <wps:txbx>
                              <w:txbxContent>
                                <w:p>
                                  <w:r>
                                    <w:rPr>
                                      <w:rFonts w:hint="eastAsia"/>
                                    </w:rPr>
                                    <w:t>固废、噪声</w:t>
                                  </w:r>
                                </w:p>
                              </w:txbxContent>
                            </wps:txbx>
                            <wps:bodyPr upright="1"/>
                          </wps:wsp>
                        </a:graphicData>
                      </a:graphic>
                    </wp:anchor>
                  </w:drawing>
                </mc:Choice>
                <mc:Fallback>
                  <w:pict>
                    <v:rect id="_x0000_s1026" o:spid="_x0000_s1026" o:spt="1" style="position:absolute;left:0pt;margin-left:266.15pt;margin-top:15.35pt;height:20.65pt;width:72pt;z-index:251748352;mso-width-relative:page;mso-height-relative:page;" stroked="f" coordsize="21600,21600" o:gfxdata="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rR9Nh1wAAAAkBAAAPAAAAAAAAAAEAIAAAACIAAABkcnMvZG93bnJldi54bWxQSwECFAAUAAAA&#10;CACHTuJAMfu8MLYBAABtAwAADgAAAAAAAAABACAAAAAmAQAAZHJzL2Uyb0RvYy54bWxQSwUGAAAA&#10;AAYABgBZAQAATgUAAAAA&#10;">
                      <v:path/>
                      <v:fill focussize="0,0"/>
                      <v:stroke on="f"/>
                      <v:imagedata o:title=""/>
                      <o:lock v:ext="edit"/>
                      <v:textbox>
                        <w:txbxContent>
                          <w:p>
                            <w:r>
                              <w:rPr>
                                <w:rFonts w:hint="eastAsia"/>
                              </w:rPr>
                              <w:t>固废、噪声</w:t>
                            </w:r>
                          </w:p>
                        </w:txbxContent>
                      </v:textbox>
                    </v:rect>
                  </w:pict>
                </mc:Fallback>
              </mc:AlternateContent>
            </w:r>
            <w:r>
              <w:rPr>
                <w:color w:val="000000"/>
              </w:rPr>
              <mc:AlternateContent>
                <mc:Choice Requires="wps">
                  <w:drawing>
                    <wp:anchor distT="0" distB="0" distL="114300" distR="114300" simplePos="0" relativeHeight="251759616" behindDoc="0" locked="0" layoutInCell="1" allowOverlap="1">
                      <wp:simplePos x="0" y="0"/>
                      <wp:positionH relativeFrom="column">
                        <wp:posOffset>1852295</wp:posOffset>
                      </wp:positionH>
                      <wp:positionV relativeFrom="paragraph">
                        <wp:posOffset>158750</wp:posOffset>
                      </wp:positionV>
                      <wp:extent cx="1257300" cy="297180"/>
                      <wp:effectExtent l="5080" t="4445" r="13970" b="22225"/>
                      <wp:wrapNone/>
                      <wp:docPr id="303" name="矩形 303"/>
                      <wp:cNvGraphicFramePr/>
                      <a:graphic xmlns:a="http://schemas.openxmlformats.org/drawingml/2006/main">
                        <a:graphicData uri="http://schemas.microsoft.com/office/word/2010/wordprocessingShape">
                          <wps:wsp>
                            <wps:cNvSpPr/>
                            <wps:spPr>
                              <a:xfrm>
                                <a:off x="0" y="0"/>
                                <a:ext cx="125730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浇筑混凝土</w:t>
                                  </w:r>
                                </w:p>
                              </w:txbxContent>
                            </wps:txbx>
                            <wps:bodyPr upright="1"/>
                          </wps:wsp>
                        </a:graphicData>
                      </a:graphic>
                    </wp:anchor>
                  </w:drawing>
                </mc:Choice>
                <mc:Fallback>
                  <w:pict>
                    <v:rect id="_x0000_s1026" o:spid="_x0000_s1026" o:spt="1" style="position:absolute;left:0pt;margin-left:145.85pt;margin-top:12.5pt;height:23.4pt;width:99pt;z-index:251759616;mso-width-relative:page;mso-height-relative:page;" coordsize="21600,21600" o:gfxdata="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so41E2AAAAAkBAAAPAAAAAAAAAAEAIAAAACIAAABk&#10;cnMvZG93bnJldi54bWxQSwECFAAUAAAACACHTuJAVdbo3AYCAAAtBAAADgAAAAAAAAABACAAAAAn&#10;AQAAZHJzL2Uyb0RvYy54bWxQSwUGAAAAAAYABgBZAQAAnwUAAAAA&#10;">
                      <v:path/>
                      <v:fill focussize="0,0"/>
                      <v:stroke/>
                      <v:imagedata o:title=""/>
                      <o:lock v:ext="edit"/>
                      <v:textbox>
                        <w:txbxContent>
                          <w:p>
                            <w:pPr>
                              <w:jc w:val="center"/>
                            </w:pPr>
                            <w:r>
                              <w:rPr>
                                <w:rFonts w:hint="eastAsia"/>
                              </w:rPr>
                              <w:t>浇筑混凝土</w:t>
                            </w:r>
                          </w:p>
                        </w:txbxContent>
                      </v:textbox>
                    </v:rect>
                  </w:pict>
                </mc:Fallback>
              </mc:AlternateContent>
            </w:r>
            <w:r>
              <w:rPr>
                <w:color w:val="000000"/>
              </w:rPr>
              <mc:AlternateContent>
                <mc:Choice Requires="wps">
                  <w:drawing>
                    <wp:anchor distT="0" distB="0" distL="114300" distR="114300" simplePos="0" relativeHeight="251745280" behindDoc="0" locked="0" layoutInCell="1" allowOverlap="1">
                      <wp:simplePos x="0" y="0"/>
                      <wp:positionH relativeFrom="column">
                        <wp:posOffset>1195705</wp:posOffset>
                      </wp:positionH>
                      <wp:positionV relativeFrom="paragraph">
                        <wp:posOffset>156845</wp:posOffset>
                      </wp:positionV>
                      <wp:extent cx="228600" cy="99060"/>
                      <wp:effectExtent l="1905" t="4445" r="17145" b="10795"/>
                      <wp:wrapNone/>
                      <wp:docPr id="304" name="直接连接符 304"/>
                      <wp:cNvGraphicFramePr/>
                      <a:graphic xmlns:a="http://schemas.openxmlformats.org/drawingml/2006/main">
                        <a:graphicData uri="http://schemas.microsoft.com/office/word/2010/wordprocessingShape">
                          <wps:wsp>
                            <wps:cNvSpPr/>
                            <wps:spPr>
                              <a:xfrm flipV="1">
                                <a:off x="0" y="0"/>
                                <a:ext cx="228600" cy="9906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94.15pt;margin-top:12.35pt;height:7.8pt;width:18pt;z-index:251745280;mso-width-relative:page;mso-height-relative:page;" coordsize="21600,21600" o:gfxdata="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1w17CdUAAAAJAQAADwAAAAAAAAABACAAAAAiAAAA&#10;ZHJzL2Rvd25yZXYueG1sUEsBAhQAFAAAAAgAh07iQDbYD9EKAgAA+AMAAA4AAAAAAAAAAQAgAAAA&#10;JAEAAGRycy9lMm9Eb2MueG1sUEsFBgAAAAAGAAYAWQEAAKAFAAAAAA==&#10;">
                      <v:path arrowok="t"/>
                      <v:fill focussize="0,0"/>
                      <v:stroke dashstyle="dash" endarrow="block"/>
                      <v:imagedata o:title=""/>
                      <o:lock v:ext="edit"/>
                    </v:line>
                  </w:pict>
                </mc:Fallback>
              </mc:AlternateContent>
            </w:r>
            <w:r>
              <w:rPr>
                <w:color w:val="000000"/>
              </w:rPr>
              <mc:AlternateContent>
                <mc:Choice Requires="wps">
                  <w:drawing>
                    <wp:anchor distT="0" distB="0" distL="114300" distR="114300" simplePos="0" relativeHeight="251746304" behindDoc="0" locked="0" layoutInCell="1" allowOverlap="1">
                      <wp:simplePos x="0" y="0"/>
                      <wp:positionH relativeFrom="column">
                        <wp:posOffset>596265</wp:posOffset>
                      </wp:positionH>
                      <wp:positionV relativeFrom="paragraph">
                        <wp:posOffset>255905</wp:posOffset>
                      </wp:positionV>
                      <wp:extent cx="685800" cy="297180"/>
                      <wp:effectExtent l="4445" t="4445" r="14605" b="22225"/>
                      <wp:wrapNone/>
                      <wp:docPr id="305" name="矩形 305"/>
                      <wp:cNvGraphicFramePr/>
                      <a:graphic xmlns:a="http://schemas.openxmlformats.org/drawingml/2006/main">
                        <a:graphicData uri="http://schemas.microsoft.com/office/word/2010/wordprocessingShape">
                          <wps:wsp>
                            <wps:cNvSpPr/>
                            <wps:spPr>
                              <a:xfrm>
                                <a:off x="0" y="0"/>
                                <a:ext cx="68580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砼拌合</w:t>
                                  </w:r>
                                </w:p>
                              </w:txbxContent>
                            </wps:txbx>
                            <wps:bodyPr upright="1"/>
                          </wps:wsp>
                        </a:graphicData>
                      </a:graphic>
                    </wp:anchor>
                  </w:drawing>
                </mc:Choice>
                <mc:Fallback>
                  <w:pict>
                    <v:rect id="_x0000_s1026" o:spid="_x0000_s1026" o:spt="1" style="position:absolute;left:0pt;margin-left:46.95pt;margin-top:20.15pt;height:23.4pt;width:54pt;z-index:251746304;mso-width-relative:page;mso-height-relative:page;" coordsize="21600,21600" o:gfxdata="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JuGeNcAAAAIAQAADwAAAAAAAAABACAAAAAiAAAAZHJz&#10;L2Rvd25yZXYueG1sUEsBAhQAFAAAAAgAh07iQBP7td0FAgAALAQAAA4AAAAAAAAAAQAgAAAAJgEA&#10;AGRycy9lMm9Eb2MueG1sUEsFBgAAAAAGAAYAWQEAAJ0FAAAAAA==&#10;">
                      <v:path/>
                      <v:fill focussize="0,0"/>
                      <v:stroke/>
                      <v:imagedata o:title=""/>
                      <o:lock v:ext="edit"/>
                      <v:textbox>
                        <w:txbxContent>
                          <w:p>
                            <w:r>
                              <w:rPr>
                                <w:rFonts w:hint="eastAsia"/>
                              </w:rPr>
                              <w:t>砼拌合</w:t>
                            </w:r>
                          </w:p>
                        </w:txbxContent>
                      </v:textbox>
                    </v:rect>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47328" behindDoc="0" locked="0" layoutInCell="1" allowOverlap="1">
                      <wp:simplePos x="0" y="0"/>
                      <wp:positionH relativeFrom="column">
                        <wp:posOffset>1283970</wp:posOffset>
                      </wp:positionH>
                      <wp:positionV relativeFrom="paragraph">
                        <wp:posOffset>60960</wp:posOffset>
                      </wp:positionV>
                      <wp:extent cx="571500" cy="635"/>
                      <wp:effectExtent l="0" t="37465" r="0" b="38100"/>
                      <wp:wrapNone/>
                      <wp:docPr id="306" name="直接连接符 306"/>
                      <wp:cNvGraphicFramePr/>
                      <a:graphic xmlns:a="http://schemas.openxmlformats.org/drawingml/2006/main">
                        <a:graphicData uri="http://schemas.microsoft.com/office/word/2010/wordprocessingShape">
                          <wps:wsp>
                            <wps:cNvSpPr/>
                            <wps:spPr>
                              <a:xfrm>
                                <a:off x="0" y="0"/>
                                <a:ext cx="57150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01.1pt;margin-top:4.8pt;height:0.05pt;width:45pt;z-index:251747328;mso-width-relative:page;mso-height-relative:page;" coordsize="21600,21600" o:gfxdata="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RsgG/1QAAAAcBAAAPAAAAAAAAAAEAIAAAACIAAABkcnMvZG93bnJldi54&#10;bWxQSwECFAAUAAAACACHTuJAx51MRP0BAADtAwAADgAAAAAAAAABACAAAAAkAQAAZHJzL2Uyb0Rv&#10;Yy54bWxQSwUGAAAAAAYABgBZAQAAkwUAAAAA&#10;">
                      <v:path arrowok="t"/>
                      <v:fill focussize="0,0"/>
                      <v:stroke endarrow="block"/>
                      <v:imagedata o:title=""/>
                      <o:lock v:ext="edit"/>
                    </v:line>
                  </w:pict>
                </mc:Fallback>
              </mc:AlternateContent>
            </w:r>
            <w:r>
              <w:rPr>
                <w:color w:val="000000"/>
              </w:rPr>
              <mc:AlternateContent>
                <mc:Choice Requires="wps">
                  <w:drawing>
                    <wp:anchor distT="0" distB="0" distL="114300" distR="114300" simplePos="0" relativeHeight="251750400" behindDoc="0" locked="0" layoutInCell="1" allowOverlap="1">
                      <wp:simplePos x="0" y="0"/>
                      <wp:positionH relativeFrom="column">
                        <wp:posOffset>2373630</wp:posOffset>
                      </wp:positionH>
                      <wp:positionV relativeFrom="paragraph">
                        <wp:posOffset>244475</wp:posOffset>
                      </wp:positionV>
                      <wp:extent cx="186055" cy="3175"/>
                      <wp:effectExtent l="38100" t="0" r="34925" b="4445"/>
                      <wp:wrapNone/>
                      <wp:docPr id="196" name="肘形连接符 196"/>
                      <wp:cNvGraphicFramePr/>
                      <a:graphic xmlns:a="http://schemas.openxmlformats.org/drawingml/2006/main">
                        <a:graphicData uri="http://schemas.microsoft.com/office/word/2010/wordprocessingShape">
                          <wps:wsp>
                            <wps:cNvCnPr>
                              <a:stCxn id="266" idx="3"/>
                              <a:endCxn id="264" idx="1"/>
                            </wps:cNvCnPr>
                            <wps:spPr>
                              <a:xfrm rot="5400000">
                                <a:off x="0" y="0"/>
                                <a:ext cx="186055" cy="3175"/>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6.9pt;margin-top:19.25pt;height:0.25pt;width:14.65pt;rotation:5898240f;z-index:251750400;mso-width-relative:page;mso-height-relative:page;" filled="f" stroked="t" coordsize="21600,21600" o:gfxdata="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uupzdYAAAAJAQAADwAAAAAAAAABACAAAAAi&#10;AAAAZHJzL2Rvd25yZXYueG1sUEsBAhQAFAAAAAgAh07iQOdk2T5FAgAAdQQAAA4AAAAAAAAAAQAg&#10;AAAAJQEAAGRycy9lMm9Eb2MueG1sUEsFBgAAAAAGAAYAWQEAANwFAAAAAA==&#10;" adj="10781">
                      <v:fill on="f" focussize="0,0"/>
                      <v:stroke color="#000000" joinstyle="miter" endarrow="block"/>
                      <v:imagedata o:title=""/>
                      <o:lock v:ext="edit" aspectratio="f"/>
                    </v:shape>
                  </w:pict>
                </mc:Fallback>
              </mc:AlternateContent>
            </w:r>
            <w:r>
              <w:rPr>
                <w:color w:val="000000"/>
              </w:rPr>
              <mc:AlternateContent>
                <mc:Choice Requires="wps">
                  <w:drawing>
                    <wp:anchor distT="0" distB="0" distL="114300" distR="114300" simplePos="0" relativeHeight="251749376" behindDoc="0" locked="0" layoutInCell="1" allowOverlap="1">
                      <wp:simplePos x="0" y="0"/>
                      <wp:positionH relativeFrom="column">
                        <wp:posOffset>3216910</wp:posOffset>
                      </wp:positionH>
                      <wp:positionV relativeFrom="paragraph">
                        <wp:posOffset>-159385</wp:posOffset>
                      </wp:positionV>
                      <wp:extent cx="0" cy="309245"/>
                      <wp:effectExtent l="0" t="38100" r="14605" b="38100"/>
                      <wp:wrapNone/>
                      <wp:docPr id="197" name="肘形连接符 197"/>
                      <wp:cNvGraphicFramePr/>
                      <a:graphic xmlns:a="http://schemas.openxmlformats.org/drawingml/2006/main">
                        <a:graphicData uri="http://schemas.microsoft.com/office/word/2010/wordprocessingShape">
                          <wps:wsp>
                            <wps:cNvCnPr>
                              <a:stCxn id="266" idx="3"/>
                              <a:endCxn id="264" idx="1"/>
                            </wps:cNvCnPr>
                            <wps:spPr>
                              <a:xfrm rot="5400000">
                                <a:off x="0" y="0"/>
                                <a:ext cx="0" cy="309245"/>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253.3pt;margin-top:-12.55pt;height:24.35pt;width:0pt;rotation:5898240f;z-index:251749376;mso-width-relative:page;mso-height-relative:page;" filled="f" stroked="t" coordsize="21600,21600" o:gfxdata="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HG3m9UAAAAKAQAADwAAAAAAAAABACAAAAAiAAAA&#10;ZHJzL2Rvd25yZXYueG1sUEsBAhQAFAAAAAgAh07iQMrmpUJDAgAAcgQAAA4AAAAAAAAAAQAgAAAA&#10;JAEAAGRycy9lMm9Eb2MueG1sUEsFBgAAAAAGAAYAWQEAANkFAAAAAA==&#10;" adj="10781">
                      <v:fill on="f" focussize="0,0"/>
                      <v:stroke color="#000000" joinstyle="miter" dashstyle="1 1" endcap="round" endarrow="block"/>
                      <v:imagedata o:title=""/>
                      <o:lock v:ext="edit" aspectratio="f"/>
                    </v:shape>
                  </w:pict>
                </mc:Fallback>
              </mc:AlternateContent>
            </w:r>
          </w:p>
          <w:p>
            <w:pPr>
              <w:spacing w:line="360" w:lineRule="auto"/>
              <w:jc w:val="left"/>
              <w:rPr>
                <w:color w:val="000000"/>
                <w:sz w:val="24"/>
              </w:rPr>
            </w:pPr>
            <w:r>
              <w:rPr>
                <w:color w:val="000000"/>
              </w:rPr>
              <mc:AlternateContent>
                <mc:Choice Requires="wps">
                  <w:drawing>
                    <wp:anchor distT="0" distB="0" distL="114300" distR="114300" simplePos="0" relativeHeight="251751424" behindDoc="0" locked="0" layoutInCell="1" allowOverlap="1">
                      <wp:simplePos x="0" y="0"/>
                      <wp:positionH relativeFrom="column">
                        <wp:posOffset>1894205</wp:posOffset>
                      </wp:positionH>
                      <wp:positionV relativeFrom="paragraph">
                        <wp:posOffset>52070</wp:posOffset>
                      </wp:positionV>
                      <wp:extent cx="1133475" cy="276225"/>
                      <wp:effectExtent l="4445" t="4445" r="5080" b="5080"/>
                      <wp:wrapNone/>
                      <wp:docPr id="198" name="矩形 198"/>
                      <wp:cNvGraphicFramePr/>
                      <a:graphic xmlns:a="http://schemas.openxmlformats.org/drawingml/2006/main">
                        <a:graphicData uri="http://schemas.microsoft.com/office/word/2010/wordprocessingShape">
                          <wps:wsp>
                            <wps:cNvSpPr/>
                            <wps:spPr>
                              <a:xfrm>
                                <a:off x="0" y="0"/>
                                <a:ext cx="113347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闸门安装</w:t>
                                  </w:r>
                                </w:p>
                                <w:p/>
                              </w:txbxContent>
                            </wps:txbx>
                            <wps:bodyPr upright="1"/>
                          </wps:wsp>
                        </a:graphicData>
                      </a:graphic>
                    </wp:anchor>
                  </w:drawing>
                </mc:Choice>
                <mc:Fallback>
                  <w:pict>
                    <v:rect id="_x0000_s1026" o:spid="_x0000_s1026" o:spt="1" style="position:absolute;left:0pt;margin-left:149.15pt;margin-top:4.1pt;height:21.75pt;width:89.25pt;z-index:251751424;mso-width-relative:page;mso-height-relative:page;" coordsize="21600,21600" o:gfxdata="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y7A/dcAAAAIAQAADwAAAAAAAAABACAAAAAiAAAAZHJzL2Rv&#10;d25yZXYueG1sUEsBAhQAFAAAAAgAh07iQFKft0ECAgAALQQAAA4AAAAAAAAAAQAgAAAAJgEAAGRy&#10;cy9lMm9Eb2MueG1sUEsFBgAAAAAGAAYAWQEAAJoFAAAAAA==&#10;">
                      <v:path/>
                      <v:fill focussize="0,0"/>
                      <v:stroke/>
                      <v:imagedata o:title=""/>
                      <o:lock v:ext="edit"/>
                      <v:textbox>
                        <w:txbxContent>
                          <w:p>
                            <w:pPr>
                              <w:jc w:val="center"/>
                            </w:pPr>
                            <w:r>
                              <w:rPr>
                                <w:rFonts w:hint="eastAsia"/>
                              </w:rPr>
                              <w:t>闸门安装</w:t>
                            </w:r>
                          </w:p>
                          <w:p/>
                        </w:txbxContent>
                      </v:textbox>
                    </v:rect>
                  </w:pict>
                </mc:Fallback>
              </mc:AlternateContent>
            </w:r>
          </w:p>
          <w:p>
            <w:pPr>
              <w:spacing w:line="360" w:lineRule="auto"/>
              <w:jc w:val="left"/>
              <w:rPr>
                <w:color w:val="000000"/>
                <w:sz w:val="24"/>
              </w:rPr>
            </w:pPr>
            <w:r>
              <w:rPr>
                <w:color w:val="000000"/>
                <w:sz w:val="24"/>
              </w:rPr>
              <mc:AlternateContent>
                <mc:Choice Requires="wps">
                  <w:drawing>
                    <wp:anchor distT="0" distB="0" distL="114300" distR="114300" simplePos="0" relativeHeight="251753472" behindDoc="0" locked="0" layoutInCell="1" allowOverlap="1">
                      <wp:simplePos x="0" y="0"/>
                      <wp:positionH relativeFrom="column">
                        <wp:posOffset>3319145</wp:posOffset>
                      </wp:positionH>
                      <wp:positionV relativeFrom="paragraph">
                        <wp:posOffset>254635</wp:posOffset>
                      </wp:positionV>
                      <wp:extent cx="659765" cy="262255"/>
                      <wp:effectExtent l="0" t="0" r="6985" b="4445"/>
                      <wp:wrapNone/>
                      <wp:docPr id="342" name="矩形 342"/>
                      <wp:cNvGraphicFramePr/>
                      <a:graphic xmlns:a="http://schemas.openxmlformats.org/drawingml/2006/main">
                        <a:graphicData uri="http://schemas.microsoft.com/office/word/2010/wordprocessingShape">
                          <wps:wsp>
                            <wps:cNvSpPr/>
                            <wps:spPr>
                              <a:xfrm>
                                <a:off x="0" y="0"/>
                                <a:ext cx="659765" cy="262255"/>
                              </a:xfrm>
                              <a:prstGeom prst="rect">
                                <a:avLst/>
                              </a:prstGeom>
                              <a:solidFill>
                                <a:srgbClr val="FFFFFF"/>
                              </a:solidFill>
                              <a:ln>
                                <a:noFill/>
                              </a:ln>
                            </wps:spPr>
                            <wps:txbx>
                              <w:txbxContent>
                                <w:p>
                                  <w:pPr>
                                    <w:jc w:val="left"/>
                                  </w:pPr>
                                  <w:r>
                                    <w:rPr>
                                      <w:rFonts w:hint="eastAsia"/>
                                    </w:rPr>
                                    <w:t>固废</w:t>
                                  </w:r>
                                </w:p>
                              </w:txbxContent>
                            </wps:txbx>
                            <wps:bodyPr upright="1"/>
                          </wps:wsp>
                        </a:graphicData>
                      </a:graphic>
                    </wp:anchor>
                  </w:drawing>
                </mc:Choice>
                <mc:Fallback>
                  <w:pict>
                    <v:rect id="_x0000_s1026" o:spid="_x0000_s1026" o:spt="1" style="position:absolute;left:0pt;margin-left:261.35pt;margin-top:20.05pt;height:20.65pt;width:51.95pt;z-index:251753472;mso-width-relative:page;mso-height-relative:page;" stroked="f" coordsize="21600,21600" o:gfxdata="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XM1JY1wAAAAkBAAAPAAAAAAAAAAEAIAAAACIAAABkcnMvZG93bnJldi54bWxQSwECFAAUAAAA&#10;CACHTuJAW1tZurYBAABtAwAADgAAAAAAAAABACAAAAAmAQAAZHJzL2Uyb0RvYy54bWxQSwUGAAAA&#10;AAYABgBZAQAATgUAAAAA&#10;">
                      <v:path/>
                      <v:fill focussize="0,0"/>
                      <v:stroke on="f"/>
                      <v:imagedata o:title=""/>
                      <o:lock v:ext="edit"/>
                      <v:textbox>
                        <w:txbxContent>
                          <w:p>
                            <w:pPr>
                              <w:jc w:val="left"/>
                            </w:pPr>
                            <w:r>
                              <w:rPr>
                                <w:rFonts w:hint="eastAsia"/>
                              </w:rPr>
                              <w:t>固废</w:t>
                            </w:r>
                          </w:p>
                        </w:txbxContent>
                      </v:textbox>
                    </v:rect>
                  </w:pict>
                </mc:Fallback>
              </mc:AlternateContent>
            </w:r>
            <w:r>
              <w:rPr>
                <w:color w:val="000000"/>
                <w:sz w:val="24"/>
              </w:rPr>
              <mc:AlternateContent>
                <mc:Choice Requires="wps">
                  <w:drawing>
                    <wp:anchor distT="0" distB="0" distL="114300" distR="114300" simplePos="0" relativeHeight="251755520" behindDoc="0" locked="0" layoutInCell="1" allowOverlap="1">
                      <wp:simplePos x="0" y="0"/>
                      <wp:positionH relativeFrom="column">
                        <wp:posOffset>2011045</wp:posOffset>
                      </wp:positionH>
                      <wp:positionV relativeFrom="paragraph">
                        <wp:posOffset>253365</wp:posOffset>
                      </wp:positionV>
                      <wp:extent cx="938530" cy="254635"/>
                      <wp:effectExtent l="4445" t="4445" r="9525" b="7620"/>
                      <wp:wrapNone/>
                      <wp:docPr id="341" name="矩形 341"/>
                      <wp:cNvGraphicFramePr/>
                      <a:graphic xmlns:a="http://schemas.openxmlformats.org/drawingml/2006/main">
                        <a:graphicData uri="http://schemas.microsoft.com/office/word/2010/wordprocessingShape">
                          <wps:wsp>
                            <wps:cNvSpPr/>
                            <wps:spPr>
                              <a:xfrm>
                                <a:off x="0" y="0"/>
                                <a:ext cx="938530" cy="2546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场地清理</w:t>
                                  </w:r>
                                </w:p>
                                <w:p/>
                              </w:txbxContent>
                            </wps:txbx>
                            <wps:bodyPr upright="1"/>
                          </wps:wsp>
                        </a:graphicData>
                      </a:graphic>
                    </wp:anchor>
                  </w:drawing>
                </mc:Choice>
                <mc:Fallback>
                  <w:pict>
                    <v:rect id="_x0000_s1026" o:spid="_x0000_s1026" o:spt="1" style="position:absolute;left:0pt;margin-left:158.35pt;margin-top:19.95pt;height:20.05pt;width:73.9pt;z-index:251755520;mso-width-relative:page;mso-height-relative:page;" coordsize="21600,21600" o:gfxdata="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KVMq9gAAAAJAQAADwAAAAAAAAABACAAAAAiAAAAZHJzL2Rv&#10;d25yZXYueG1sUEsBAhQAFAAAAAgAh07iQGa7sm0BAgAALAQAAA4AAAAAAAAAAQAgAAAAJwEAAGRy&#10;cy9lMm9Eb2MueG1sUEsFBgAAAAAGAAYAWQEAAJoFAAAAAA==&#10;">
                      <v:path/>
                      <v:fill focussize="0,0"/>
                      <v:stroke/>
                      <v:imagedata o:title=""/>
                      <o:lock v:ext="edit"/>
                      <v:textbox>
                        <w:txbxContent>
                          <w:p>
                            <w:pPr>
                              <w:jc w:val="center"/>
                            </w:pPr>
                            <w:r>
                              <w:rPr>
                                <w:rFonts w:hint="eastAsia"/>
                              </w:rPr>
                              <w:t>场地清理</w:t>
                            </w:r>
                          </w:p>
                          <w:p/>
                        </w:txbxContent>
                      </v:textbox>
                    </v:rect>
                  </w:pict>
                </mc:Fallback>
              </mc:AlternateContent>
            </w:r>
            <w:r>
              <w:rPr>
                <w:color w:val="000000"/>
                <w:sz w:val="24"/>
              </w:rPr>
              <mc:AlternateContent>
                <mc:Choice Requires="wps">
                  <w:drawing>
                    <wp:anchor distT="0" distB="0" distL="114300" distR="114300" simplePos="0" relativeHeight="251752448" behindDoc="0" locked="0" layoutInCell="1" allowOverlap="1">
                      <wp:simplePos x="0" y="0"/>
                      <wp:positionH relativeFrom="column">
                        <wp:posOffset>2366645</wp:posOffset>
                      </wp:positionH>
                      <wp:positionV relativeFrom="paragraph">
                        <wp:posOffset>154305</wp:posOffset>
                      </wp:positionV>
                      <wp:extent cx="189230" cy="0"/>
                      <wp:effectExtent l="38100" t="0" r="38100" b="1270"/>
                      <wp:wrapNone/>
                      <wp:docPr id="200" name="肘形连接符 200"/>
                      <wp:cNvGraphicFramePr/>
                      <a:graphic xmlns:a="http://schemas.openxmlformats.org/drawingml/2006/main">
                        <a:graphicData uri="http://schemas.microsoft.com/office/word/2010/wordprocessingShape">
                          <wps:wsp>
                            <wps:cNvCnPr>
                              <a:stCxn id="266" idx="3"/>
                              <a:endCxn id="264" idx="1"/>
                            </wps:cNvCnPr>
                            <wps:spPr>
                              <a:xfrm rot="5400000">
                                <a:off x="0" y="0"/>
                                <a:ext cx="189230" cy="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6.35pt;margin-top:12.15pt;height:0pt;width:14.9pt;rotation:5898240f;z-index:251752448;mso-width-relative:page;mso-height-relative:page;" filled="f" stroked="t" coordsize="21600,21600" o:gfxdata="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TLQy7WAAAACQEAAA8AAAAAAAAAAQAgAAAAIgAA&#10;AGRycy9kb3ducmV2LnhtbFBLAQIUABQAAAAIAIdO4kDGiKEsQwIAAHIEAAAOAAAAAAAAAAEAIAAA&#10;ACUBAABkcnMvZTJvRG9jLnhtbFBLBQYAAAAABgAGAFkBAADaBQAAAAA=&#10;" adj="10781">
                      <v:fill on="f" focussize="0,0"/>
                      <v:stroke color="#000000" joinstyle="miter" endarrow="block"/>
                      <v:imagedata o:title=""/>
                      <o:lock v:ext="edit" aspectratio="f"/>
                    </v:shape>
                  </w:pict>
                </mc:Fallback>
              </mc:AlternateContent>
            </w:r>
          </w:p>
          <w:p>
            <w:pPr>
              <w:wordWrap w:val="0"/>
              <w:adjustRightInd w:val="0"/>
              <w:snapToGrid w:val="0"/>
              <w:spacing w:line="360" w:lineRule="auto"/>
              <w:jc w:val="left"/>
              <w:rPr>
                <w:color w:val="000000"/>
                <w:sz w:val="24"/>
              </w:rPr>
            </w:pPr>
            <w:r>
              <w:rPr>
                <w:color w:val="000000"/>
                <w:sz w:val="24"/>
              </w:rPr>
              <mc:AlternateContent>
                <mc:Choice Requires="wps">
                  <w:drawing>
                    <wp:anchor distT="0" distB="0" distL="114300" distR="114300" simplePos="0" relativeHeight="251756544" behindDoc="0" locked="0" layoutInCell="1" allowOverlap="1">
                      <wp:simplePos x="0" y="0"/>
                      <wp:positionH relativeFrom="column">
                        <wp:posOffset>2374900</wp:posOffset>
                      </wp:positionH>
                      <wp:positionV relativeFrom="paragraph">
                        <wp:posOffset>330835</wp:posOffset>
                      </wp:positionV>
                      <wp:extent cx="202565" cy="5080"/>
                      <wp:effectExtent l="38100" t="0" r="33020" b="6985"/>
                      <wp:wrapNone/>
                      <wp:docPr id="199" name="肘形连接符 199"/>
                      <wp:cNvGraphicFramePr/>
                      <a:graphic xmlns:a="http://schemas.openxmlformats.org/drawingml/2006/main">
                        <a:graphicData uri="http://schemas.microsoft.com/office/word/2010/wordprocessingShape">
                          <wps:wsp>
                            <wps:cNvCnPr>
                              <a:stCxn id="266" idx="3"/>
                              <a:endCxn id="264" idx="1"/>
                            </wps:cNvCnPr>
                            <wps:spPr>
                              <a:xfrm rot="5400000">
                                <a:off x="0" y="0"/>
                                <a:ext cx="202565" cy="508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87pt;margin-top:26.05pt;height:0.4pt;width:15.95pt;rotation:5898240f;z-index:251756544;mso-width-relative:page;mso-height-relative:page;" filled="f" stroked="t" coordsize="21600,21600" o:gfxdata="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L9HOPXAAAACQEAAA8AAAAAAAAAAQAg&#10;AAAAIgAAAGRycy9kb3ducmV2LnhtbFBLAQIUABQAAAAIAIdO4kBBUhdJSAIAAHUEAAAOAAAAAAAA&#10;AAEAIAAAACYBAABkcnMvZTJvRG9jLnhtbFBLBQYAAAAABgAGAFkBAADgBQAAAAA=&#10;" adj="10781">
                      <v:fill on="f" focussize="0,0"/>
                      <v:stroke color="#000000" joinstyle="miter" endarrow="block"/>
                      <v:imagedata o:title=""/>
                      <o:lock v:ext="edit" aspectratio="f"/>
                    </v:shape>
                  </w:pict>
                </mc:Fallback>
              </mc:AlternateContent>
            </w:r>
            <w:r>
              <w:rPr>
                <w:color w:val="000000"/>
                <w:sz w:val="24"/>
              </w:rPr>
              <mc:AlternateContent>
                <mc:Choice Requires="wps">
                  <w:drawing>
                    <wp:anchor distT="0" distB="0" distL="114300" distR="114300" simplePos="0" relativeHeight="251754496" behindDoc="0" locked="0" layoutInCell="1" allowOverlap="1">
                      <wp:simplePos x="0" y="0"/>
                      <wp:positionH relativeFrom="column">
                        <wp:posOffset>3119755</wp:posOffset>
                      </wp:positionH>
                      <wp:positionV relativeFrom="paragraph">
                        <wp:posOffset>-92075</wp:posOffset>
                      </wp:positionV>
                      <wp:extent cx="0" cy="381635"/>
                      <wp:effectExtent l="0" t="38100" r="18415" b="38100"/>
                      <wp:wrapNone/>
                      <wp:docPr id="195" name="肘形连接符 195"/>
                      <wp:cNvGraphicFramePr/>
                      <a:graphic xmlns:a="http://schemas.openxmlformats.org/drawingml/2006/main">
                        <a:graphicData uri="http://schemas.microsoft.com/office/word/2010/wordprocessingShape">
                          <wps:wsp>
                            <wps:cNvCnPr>
                              <a:stCxn id="266" idx="3"/>
                              <a:endCxn id="264" idx="1"/>
                            </wps:cNvCnPr>
                            <wps:spPr>
                              <a:xfrm rot="5400000">
                                <a:off x="0" y="0"/>
                                <a:ext cx="0" cy="381635"/>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245.65pt;margin-top:-7.25pt;height:30.05pt;width:0pt;rotation:5898240f;z-index:251754496;mso-width-relative:page;mso-height-relative:page;" filled="f" stroked="t" coordsize="21600,21600" o:gfxdata="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5LSyr1QAAAAoBAAAPAAAAAAAAAAEAIAAAACIA&#10;AABkcnMvZG93bnJldi54bWxQSwECFAAUAAAACACHTuJAE/ADCUUCAAByBAAADgAAAAAAAAABACAA&#10;AAAkAQAAZHJzL2Uyb0RvYy54bWxQSwUGAAAAAAYABgBZAQAA2wUAAAAA&#10;" adj="10781">
                      <v:fill on="f" focussize="0,0"/>
                      <v:stroke color="#000000" joinstyle="miter" dashstyle="1 1" endcap="round" endarrow="block"/>
                      <v:imagedata o:title=""/>
                      <o:lock v:ext="edit" aspectratio="f"/>
                    </v:shape>
                  </w:pict>
                </mc:Fallback>
              </mc:AlternateContent>
            </w:r>
          </w:p>
          <w:p>
            <w:pPr>
              <w:wordWrap w:val="0"/>
              <w:adjustRightInd w:val="0"/>
              <w:snapToGrid w:val="0"/>
              <w:spacing w:line="360" w:lineRule="auto"/>
              <w:ind w:firstLine="480" w:firstLineChars="200"/>
              <w:jc w:val="left"/>
              <w:rPr>
                <w:color w:val="000000"/>
                <w:sz w:val="24"/>
              </w:rPr>
            </w:pPr>
            <w:r>
              <w:rPr>
                <w:color w:val="000000"/>
                <w:sz w:val="24"/>
              </w:rPr>
              <mc:AlternateContent>
                <mc:Choice Requires="wps">
                  <w:drawing>
                    <wp:anchor distT="0" distB="0" distL="114300" distR="114300" simplePos="0" relativeHeight="251757568" behindDoc="0" locked="0" layoutInCell="1" allowOverlap="1">
                      <wp:simplePos x="0" y="0"/>
                      <wp:positionH relativeFrom="column">
                        <wp:posOffset>1742440</wp:posOffset>
                      </wp:positionH>
                      <wp:positionV relativeFrom="paragraph">
                        <wp:posOffset>180975</wp:posOffset>
                      </wp:positionV>
                      <wp:extent cx="1431290" cy="252730"/>
                      <wp:effectExtent l="4445" t="5080" r="12065" b="8890"/>
                      <wp:wrapNone/>
                      <wp:docPr id="194" name="矩形 194"/>
                      <wp:cNvGraphicFramePr/>
                      <a:graphic xmlns:a="http://schemas.openxmlformats.org/drawingml/2006/main">
                        <a:graphicData uri="http://schemas.microsoft.com/office/word/2010/wordprocessingShape">
                          <wps:wsp>
                            <wps:cNvSpPr/>
                            <wps:spPr>
                              <a:xfrm>
                                <a:off x="0" y="0"/>
                                <a:ext cx="143129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竣工验收</w:t>
                                  </w:r>
                                </w:p>
                                <w:p/>
                                <w:p/>
                                <w:p>
                                  <w:r>
                                    <w:rPr>
                                      <w:rFonts w:hint="eastAsia"/>
                                    </w:rPr>
                                    <w:t>、交付使用</w:t>
                                  </w:r>
                                </w:p>
                                <w:p/>
                              </w:txbxContent>
                            </wps:txbx>
                            <wps:bodyPr upright="1"/>
                          </wps:wsp>
                        </a:graphicData>
                      </a:graphic>
                    </wp:anchor>
                  </w:drawing>
                </mc:Choice>
                <mc:Fallback>
                  <w:pict>
                    <v:rect id="_x0000_s1026" o:spid="_x0000_s1026" o:spt="1" style="position:absolute;left:0pt;margin-left:137.2pt;margin-top:14.25pt;height:19.9pt;width:112.7pt;z-index:251757568;mso-width-relative:page;mso-height-relative:page;" coordsize="21600,21600" o:gfxdata="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&#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2OybI2AAAAAkBAAAPAAAAAAAAAAEAIAAAACIAAABk&#10;cnMvZG93bnJldi54bWxQSwECFAAUAAAACACHTuJAO+bQHgYCAAAtBAAADgAAAAAAAAABACAAAAAn&#10;AQAAZHJzL2Uyb0RvYy54bWxQSwUGAAAAAAYABgBZAQAAnwUAAAAA&#10;">
                      <v:path/>
                      <v:fill focussize="0,0"/>
                      <v:stroke/>
                      <v:imagedata o:title=""/>
                      <o:lock v:ext="edit"/>
                      <v:textbox>
                        <w:txbxContent>
                          <w:p>
                            <w:pPr>
                              <w:jc w:val="center"/>
                            </w:pPr>
                            <w:r>
                              <w:rPr>
                                <w:rFonts w:hint="eastAsia"/>
                              </w:rPr>
                              <w:t>竣工验收</w:t>
                            </w:r>
                          </w:p>
                          <w:p/>
                          <w:p/>
                          <w:p>
                            <w:r>
                              <w:rPr>
                                <w:rFonts w:hint="eastAsia"/>
                              </w:rPr>
                              <w:t>、交付使用</w:t>
                            </w:r>
                          </w:p>
                          <w:p/>
                        </w:txbxContent>
                      </v:textbox>
                    </v:rect>
                  </w:pict>
                </mc:Fallback>
              </mc:AlternateContent>
            </w:r>
          </w:p>
          <w:p>
            <w:pPr>
              <w:wordWrap w:val="0"/>
              <w:adjustRightInd w:val="0"/>
              <w:snapToGrid w:val="0"/>
              <w:spacing w:line="360" w:lineRule="auto"/>
              <w:ind w:firstLine="480" w:firstLineChars="200"/>
              <w:jc w:val="left"/>
              <w:rPr>
                <w:b/>
                <w:color w:val="000000"/>
                <w:sz w:val="24"/>
              </w:rPr>
            </w:pPr>
            <w:r>
              <w:rPr>
                <w:color w:val="000000"/>
                <w:sz w:val="24"/>
              </w:rPr>
              <mc:AlternateContent>
                <mc:Choice Requires="wps">
                  <w:drawing>
                    <wp:anchor distT="0" distB="0" distL="114300" distR="114300" simplePos="0" relativeHeight="251758592" behindDoc="0" locked="0" layoutInCell="1" allowOverlap="1">
                      <wp:simplePos x="0" y="0"/>
                      <wp:positionH relativeFrom="column">
                        <wp:posOffset>855980</wp:posOffset>
                      </wp:positionH>
                      <wp:positionV relativeFrom="paragraph">
                        <wp:posOffset>214630</wp:posOffset>
                      </wp:positionV>
                      <wp:extent cx="3124835" cy="270510"/>
                      <wp:effectExtent l="0" t="0" r="18415" b="15240"/>
                      <wp:wrapNone/>
                      <wp:docPr id="307" name="矩形 307"/>
                      <wp:cNvGraphicFramePr/>
                      <a:graphic xmlns:a="http://schemas.openxmlformats.org/drawingml/2006/main">
                        <a:graphicData uri="http://schemas.microsoft.com/office/word/2010/wordprocessingShape">
                          <wps:wsp>
                            <wps:cNvSpPr/>
                            <wps:spPr>
                              <a:xfrm>
                                <a:off x="0" y="0"/>
                                <a:ext cx="3124835" cy="270510"/>
                              </a:xfrm>
                              <a:prstGeom prst="rect">
                                <a:avLst/>
                              </a:prstGeom>
                              <a:solidFill>
                                <a:srgbClr val="FFFFFF"/>
                              </a:solidFill>
                              <a:ln>
                                <a:noFill/>
                              </a:ln>
                            </wps:spPr>
                            <wps:txbx>
                              <w:txbxContent>
                                <w:p>
                                  <w:pPr>
                                    <w:ind w:firstLine="482"/>
                                    <w:jc w:val="center"/>
                                    <w:rPr>
                                      <w:b/>
                                    </w:rPr>
                                  </w:pPr>
                                  <w:r>
                                    <w:rPr>
                                      <w:rFonts w:hint="eastAsia"/>
                                      <w:b/>
                                    </w:rPr>
                                    <w:t>图2</w:t>
                                  </w:r>
                                  <w:r>
                                    <w:rPr>
                                      <w:rFonts w:hint="eastAsia"/>
                                      <w:b/>
                                      <w:lang w:val="en-US" w:eastAsia="zh-CN"/>
                                    </w:rPr>
                                    <w:t>-19</w:t>
                                  </w:r>
                                  <w:r>
                                    <w:rPr>
                                      <w:rFonts w:hint="eastAsia"/>
                                      <w:b/>
                                    </w:rPr>
                                    <w:t xml:space="preserve"> </w:t>
                                  </w:r>
                                  <w:r>
                                    <w:rPr>
                                      <w:b/>
                                    </w:rPr>
                                    <w:t xml:space="preserve"> </w:t>
                                  </w:r>
                                  <w:r>
                                    <w:rPr>
                                      <w:rFonts w:hint="eastAsia"/>
                                      <w:b/>
                                    </w:rPr>
                                    <w:t>闸门修建工艺流程及产污节点图</w:t>
                                  </w:r>
                                </w:p>
                                <w:p/>
                              </w:txbxContent>
                            </wps:txbx>
                            <wps:bodyPr upright="1"/>
                          </wps:wsp>
                        </a:graphicData>
                      </a:graphic>
                    </wp:anchor>
                  </w:drawing>
                </mc:Choice>
                <mc:Fallback>
                  <w:pict>
                    <v:rect id="_x0000_s1026" o:spid="_x0000_s1026" o:spt="1" style="position:absolute;left:0pt;margin-left:67.4pt;margin-top:16.9pt;height:21.3pt;width:246.05pt;z-index:251758592;mso-width-relative:page;mso-height-relative:page;" stroked="f" coordsize="21600,21600" o:gfxdata="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gyfbtcAAAAJAQAADwAAAAAAAAABACAAAAAiAAAAZHJzL2Rvd25yZXYueG1sUEsBAhQA&#10;FAAAAAgAh07iQO/+/c66AQAAbgMAAA4AAAAAAAAAAQAgAAAAJgEAAGRycy9lMm9Eb2MueG1sUEsF&#10;BgAAAAAGAAYAWQEAAFIFAAAAAA==&#10;">
                      <v:path/>
                      <v:fill focussize="0,0"/>
                      <v:stroke on="f"/>
                      <v:imagedata o:title=""/>
                      <o:lock v:ext="edit"/>
                      <v:textbox>
                        <w:txbxContent>
                          <w:p>
                            <w:pPr>
                              <w:ind w:firstLine="482"/>
                              <w:jc w:val="center"/>
                              <w:rPr>
                                <w:b/>
                              </w:rPr>
                            </w:pPr>
                            <w:r>
                              <w:rPr>
                                <w:rFonts w:hint="eastAsia"/>
                                <w:b/>
                              </w:rPr>
                              <w:t>图2</w:t>
                            </w:r>
                            <w:r>
                              <w:rPr>
                                <w:rFonts w:hint="eastAsia"/>
                                <w:b/>
                                <w:lang w:val="en-US" w:eastAsia="zh-CN"/>
                              </w:rPr>
                              <w:t>-19</w:t>
                            </w:r>
                            <w:r>
                              <w:rPr>
                                <w:rFonts w:hint="eastAsia"/>
                                <w:b/>
                              </w:rPr>
                              <w:t xml:space="preserve"> </w:t>
                            </w:r>
                            <w:r>
                              <w:rPr>
                                <w:b/>
                              </w:rPr>
                              <w:t xml:space="preserve"> </w:t>
                            </w:r>
                            <w:r>
                              <w:rPr>
                                <w:rFonts w:hint="eastAsia"/>
                                <w:b/>
                              </w:rPr>
                              <w:t>闸门修建工艺流程及产污节点图</w:t>
                            </w:r>
                          </w:p>
                          <w:p/>
                        </w:txbxContent>
                      </v:textbox>
                    </v:rect>
                  </w:pict>
                </mc:Fallback>
              </mc:AlternateContent>
            </w:r>
          </w:p>
          <w:p>
            <w:pPr>
              <w:wordWrap w:val="0"/>
              <w:adjustRightInd w:val="0"/>
              <w:snapToGrid w:val="0"/>
              <w:spacing w:line="360" w:lineRule="auto"/>
              <w:ind w:firstLine="482" w:firstLineChars="200"/>
              <w:jc w:val="left"/>
              <w:rPr>
                <w:rFonts w:hint="eastAsia"/>
                <w:b/>
                <w:color w:val="000000"/>
                <w:sz w:val="24"/>
              </w:rPr>
            </w:pPr>
          </w:p>
          <w:p>
            <w:pPr>
              <w:pStyle w:val="138"/>
              <w:ind w:firstLine="482"/>
              <w:rPr>
                <w:rFonts w:ascii="Times New Roman" w:hAnsi="Times New Roman"/>
                <w:b/>
                <w:bCs/>
                <w:color w:val="000000"/>
              </w:rPr>
            </w:pPr>
            <w:r>
              <w:rPr>
                <w:rFonts w:ascii="Times New Roman" w:hAnsi="Times New Roman"/>
                <w:b/>
                <w:bCs/>
                <w:color w:val="000000"/>
              </w:rPr>
              <w:t>施工工艺说明：</w:t>
            </w:r>
          </w:p>
          <w:p>
            <w:pPr>
              <w:spacing w:line="360" w:lineRule="auto"/>
              <w:ind w:firstLine="480" w:firstLineChars="200"/>
              <w:rPr>
                <w:sz w:val="24"/>
              </w:rPr>
            </w:pPr>
            <w:r>
              <w:rPr>
                <w:rFonts w:hint="eastAsia"/>
                <w:sz w:val="24"/>
              </w:rPr>
              <w:t>1）闸门拆除：本项目需对原有的闸门拆除后重新修建，在拆除的过程中有固废、粉尘的产生。</w:t>
            </w:r>
          </w:p>
          <w:p>
            <w:pPr>
              <w:wordWrap w:val="0"/>
              <w:adjustRightInd w:val="0"/>
              <w:snapToGrid w:val="0"/>
              <w:spacing w:line="360" w:lineRule="auto"/>
              <w:ind w:firstLine="480" w:firstLineChars="200"/>
              <w:jc w:val="left"/>
              <w:rPr>
                <w:color w:val="000000"/>
                <w:sz w:val="24"/>
              </w:rPr>
            </w:pPr>
            <w:r>
              <w:rPr>
                <w:rFonts w:hint="eastAsia"/>
                <w:color w:val="000000"/>
                <w:sz w:val="24"/>
              </w:rPr>
              <w:t>2）测量放线：以渠中心线为控制，在</w:t>
            </w:r>
            <w:r>
              <w:rPr>
                <w:color w:val="000000"/>
                <w:sz w:val="24"/>
              </w:rPr>
              <w:t>100m</w:t>
            </w:r>
            <w:r>
              <w:rPr>
                <w:rFonts w:hint="eastAsia"/>
                <w:color w:val="000000"/>
                <w:sz w:val="24"/>
              </w:rPr>
              <w:t>长度范围内设轴线。</w:t>
            </w:r>
          </w:p>
          <w:p>
            <w:pPr>
              <w:wordWrap w:val="0"/>
              <w:adjustRightInd w:val="0"/>
              <w:snapToGrid w:val="0"/>
              <w:spacing w:line="360" w:lineRule="auto"/>
              <w:ind w:firstLine="480" w:firstLineChars="200"/>
              <w:jc w:val="left"/>
              <w:rPr>
                <w:color w:val="000000"/>
                <w:sz w:val="24"/>
              </w:rPr>
            </w:pPr>
            <w:r>
              <w:rPr>
                <w:rFonts w:hint="eastAsia"/>
                <w:color w:val="000000"/>
                <w:sz w:val="24"/>
              </w:rPr>
              <w:t>3）按测量开挖边线沿渠轴线方向开挖；开挖至设计深度时预留</w:t>
            </w:r>
            <w:r>
              <w:rPr>
                <w:color w:val="000000"/>
                <w:sz w:val="24"/>
              </w:rPr>
              <w:t>10cm</w:t>
            </w:r>
            <w:r>
              <w:rPr>
                <w:rFonts w:hint="eastAsia"/>
                <w:color w:val="000000"/>
                <w:sz w:val="24"/>
              </w:rPr>
              <w:t>厚余量，采用人工配合机械开挖，确保不得扰动基面以下原状土，发生超挖或扰动基础时，按设计要求进行处理后进行下道工序施工。</w:t>
            </w:r>
          </w:p>
          <w:p>
            <w:pPr>
              <w:wordWrap w:val="0"/>
              <w:adjustRightInd w:val="0"/>
              <w:snapToGrid w:val="0"/>
              <w:spacing w:line="360" w:lineRule="auto"/>
              <w:ind w:firstLine="480" w:firstLineChars="200"/>
              <w:jc w:val="left"/>
              <w:rPr>
                <w:rFonts w:hint="eastAsia"/>
                <w:color w:val="000000"/>
                <w:sz w:val="24"/>
              </w:rPr>
            </w:pPr>
            <w:r>
              <w:rPr>
                <w:rFonts w:hint="eastAsia"/>
                <w:color w:val="000000"/>
                <w:sz w:val="24"/>
              </w:rPr>
              <w:t>4）闸分为进口段、闸室段、消力池段、出口连接段，施工时按伸缩缝分仓分块浇筑砼。各闸结构型式基本一致，采用相同方法进行施工</w:t>
            </w:r>
          </w:p>
          <w:p>
            <w:pPr>
              <w:wordWrap w:val="0"/>
              <w:adjustRightInd w:val="0"/>
              <w:snapToGrid w:val="0"/>
              <w:spacing w:line="360" w:lineRule="auto"/>
              <w:ind w:firstLine="480" w:firstLineChars="200"/>
              <w:jc w:val="left"/>
              <w:rPr>
                <w:color w:val="000000"/>
                <w:sz w:val="24"/>
              </w:rPr>
            </w:pPr>
            <w:r>
              <w:rPr>
                <w:rFonts w:hint="eastAsia"/>
                <w:color w:val="000000"/>
                <w:sz w:val="24"/>
              </w:rPr>
              <w:t>5）钢筋制作安装：按照设计施工图纸要求对钢筋切断、弯曲、绑扎和焊接。</w:t>
            </w:r>
          </w:p>
          <w:p>
            <w:pPr>
              <w:wordWrap w:val="0"/>
              <w:adjustRightInd w:val="0"/>
              <w:snapToGrid w:val="0"/>
              <w:spacing w:line="360" w:lineRule="auto"/>
              <w:ind w:firstLine="480" w:firstLineChars="200"/>
              <w:jc w:val="left"/>
              <w:rPr>
                <w:rFonts w:hint="eastAsia"/>
                <w:color w:val="000000"/>
                <w:sz w:val="24"/>
              </w:rPr>
            </w:pPr>
            <w:r>
              <w:rPr>
                <w:rFonts w:hint="eastAsia"/>
                <w:color w:val="000000"/>
                <w:sz w:val="24"/>
              </w:rPr>
              <w:t>6）模板支护：模板制作和安装偏差满足允许要求，具有足够的刚度和强度，表面平整光洁，用双面胶或胶带保证接缝严密不漏浆，不变形，安装就位准确，支撑牢固可靠，遵守拆模时间，按适当施工程序小心拆模；减小、避免模板及检表面损坏。</w:t>
            </w:r>
          </w:p>
          <w:p>
            <w:pPr>
              <w:wordWrap w:val="0"/>
              <w:adjustRightInd w:val="0"/>
              <w:snapToGrid w:val="0"/>
              <w:spacing w:line="360" w:lineRule="auto"/>
              <w:ind w:firstLine="480" w:firstLineChars="200"/>
              <w:jc w:val="left"/>
              <w:rPr>
                <w:color w:val="000000"/>
                <w:sz w:val="24"/>
              </w:rPr>
            </w:pPr>
            <w:r>
              <w:rPr>
                <w:rFonts w:hint="eastAsia"/>
                <w:color w:val="000000"/>
                <w:sz w:val="24"/>
              </w:rPr>
              <w:t>7）砼浇筑：砼自由下落高度大于</w:t>
            </w:r>
            <w:r>
              <w:rPr>
                <w:color w:val="000000"/>
                <w:sz w:val="24"/>
              </w:rPr>
              <w:t>2.0m</w:t>
            </w:r>
            <w:r>
              <w:rPr>
                <w:rFonts w:hint="eastAsia"/>
                <w:color w:val="000000"/>
                <w:sz w:val="24"/>
              </w:rPr>
              <w:t>时，采取溜槽或串筒下料。砼浇筑按次序、方向、分层、厚度进行，及时平仓，不得堆积，保证砼的浇筑连续性。及时洒水养护，做好记录，保持砼表面湿润，避免阳光曝晒，及时遮盖。</w:t>
            </w:r>
          </w:p>
          <w:p>
            <w:pPr>
              <w:wordWrap w:val="0"/>
              <w:adjustRightInd w:val="0"/>
              <w:snapToGrid w:val="0"/>
              <w:spacing w:line="360" w:lineRule="auto"/>
              <w:ind w:firstLine="480" w:firstLineChars="200"/>
              <w:jc w:val="left"/>
              <w:rPr>
                <w:color w:val="000000"/>
                <w:sz w:val="24"/>
              </w:rPr>
            </w:pPr>
            <w:r>
              <w:rPr>
                <w:rFonts w:hint="eastAsia"/>
                <w:color w:val="000000"/>
                <w:sz w:val="24"/>
              </w:rPr>
              <w:t>8）闸门及启闭机安装</w:t>
            </w:r>
          </w:p>
          <w:p>
            <w:pPr>
              <w:pStyle w:val="138"/>
              <w:rPr>
                <w:rFonts w:hint="eastAsia" w:ascii="Times New Roman" w:hAnsi="Times New Roman"/>
                <w:color w:val="000000"/>
              </w:rPr>
            </w:pPr>
            <w:r>
              <w:rPr>
                <w:rFonts w:hint="eastAsia"/>
                <w:color w:val="000000"/>
              </w:rPr>
              <w:t>闸门、启闭机由制造厂生产和防腐后运抵施工现场，安装前将闸门吊放于临时平台上进行拼装和零部件组装。安装前对闸门和启闭机进行全面检查和复测。</w:t>
            </w:r>
          </w:p>
          <w:p>
            <w:pPr>
              <w:pStyle w:val="138"/>
              <w:ind w:firstLine="482"/>
              <w:rPr>
                <w:rFonts w:hint="eastAsia" w:ascii="Times New Roman" w:hAnsi="Times New Roman"/>
                <w:b/>
                <w:bCs/>
                <w:color w:val="000000"/>
              </w:rPr>
            </w:pPr>
            <w:r>
              <w:rPr>
                <w:rFonts w:hint="eastAsia" w:ascii="Times New Roman" w:hAnsi="Times New Roman"/>
                <w:b/>
                <w:bCs/>
                <w:color w:val="000000"/>
              </w:rPr>
              <w:t>（5）分水洞</w:t>
            </w:r>
          </w:p>
          <w:p>
            <w:pPr>
              <w:spacing w:line="360" w:lineRule="auto"/>
              <w:ind w:firstLine="480" w:firstLineChars="200"/>
              <w:rPr>
                <w:rFonts w:ascii="Times New Roman" w:hAnsi="Times New Roman"/>
                <w:sz w:val="24"/>
              </w:rPr>
            </w:pPr>
            <w:r>
              <w:rPr>
                <w:rFonts w:ascii="Times New Roman" w:hAnsi="Times New Roman"/>
                <w:sz w:val="24"/>
              </w:rPr>
              <w:t>本次整治渠道段内14座分水洞，这些分水洞结构简陋，均为落后的瓦管放水形式，多数放水洞瓦管破损，有洞无门，或采用临时木门挡水，漏水严重。</w:t>
            </w:r>
          </w:p>
          <w:p>
            <w:pPr>
              <w:wordWrap w:val="0"/>
              <w:adjustRightInd w:val="0"/>
              <w:snapToGrid w:val="0"/>
              <w:spacing w:line="360" w:lineRule="auto"/>
              <w:ind w:firstLine="482" w:firstLineChars="200"/>
              <w:jc w:val="left"/>
              <w:rPr>
                <w:rFonts w:hint="eastAsia"/>
                <w:b/>
                <w:color w:val="000000"/>
                <w:sz w:val="24"/>
              </w:rPr>
            </w:pPr>
            <w:r>
              <w:rPr>
                <w:rFonts w:hint="eastAsia"/>
                <w:b/>
                <w:color w:val="000000"/>
                <w:sz w:val="24"/>
              </w:rPr>
              <w:t>施工工艺如下图所示：</w:t>
            </w:r>
          </w:p>
          <w:p>
            <w:pPr>
              <w:wordWrap w:val="0"/>
              <w:adjustRightInd w:val="0"/>
              <w:snapToGrid w:val="0"/>
              <w:spacing w:line="360" w:lineRule="auto"/>
              <w:ind w:firstLine="482" w:firstLineChars="200"/>
              <w:jc w:val="left"/>
              <w:rPr>
                <w:b/>
                <w:color w:val="000000"/>
                <w:sz w:val="24"/>
              </w:rPr>
            </w:pPr>
            <w:r>
              <w:rPr>
                <w:b/>
                <w:color w:val="000000"/>
                <w:sz w:val="24"/>
              </w:rPr>
              <mc:AlternateContent>
                <mc:Choice Requires="wps">
                  <w:drawing>
                    <wp:anchor distT="0" distB="0" distL="114300" distR="114300" simplePos="0" relativeHeight="251761664" behindDoc="0" locked="0" layoutInCell="1" allowOverlap="1">
                      <wp:simplePos x="0" y="0"/>
                      <wp:positionH relativeFrom="column">
                        <wp:posOffset>3142615</wp:posOffset>
                      </wp:positionH>
                      <wp:positionV relativeFrom="paragraph">
                        <wp:posOffset>148590</wp:posOffset>
                      </wp:positionV>
                      <wp:extent cx="795020" cy="331470"/>
                      <wp:effectExtent l="0" t="0" r="5080" b="11430"/>
                      <wp:wrapNone/>
                      <wp:docPr id="308" name="矩形 308"/>
                      <wp:cNvGraphicFramePr/>
                      <a:graphic xmlns:a="http://schemas.openxmlformats.org/drawingml/2006/main">
                        <a:graphicData uri="http://schemas.microsoft.com/office/word/2010/wordprocessingShape">
                          <wps:wsp>
                            <wps:cNvSpPr/>
                            <wps:spPr>
                              <a:xfrm>
                                <a:off x="0" y="0"/>
                                <a:ext cx="795020" cy="331470"/>
                              </a:xfrm>
                              <a:prstGeom prst="rect">
                                <a:avLst/>
                              </a:prstGeom>
                              <a:solidFill>
                                <a:srgbClr val="FFFFFF"/>
                              </a:solidFill>
                              <a:ln>
                                <a:noFill/>
                              </a:ln>
                            </wps:spPr>
                            <wps:txbx>
                              <w:txbxContent>
                                <w:p>
                                  <w:r>
                                    <w:t>噪声</w:t>
                                  </w:r>
                                  <w:r>
                                    <w:rPr>
                                      <w:rFonts w:hint="eastAsia"/>
                                    </w:rPr>
                                    <w:t>、</w:t>
                                  </w:r>
                                  <w:r>
                                    <w:t>固废</w:t>
                                  </w:r>
                                </w:p>
                              </w:txbxContent>
                            </wps:txbx>
                            <wps:bodyPr upright="1"/>
                          </wps:wsp>
                        </a:graphicData>
                      </a:graphic>
                    </wp:anchor>
                  </w:drawing>
                </mc:Choice>
                <mc:Fallback>
                  <w:pict>
                    <v:rect id="_x0000_s1026" o:spid="_x0000_s1026" o:spt="1" style="position:absolute;left:0pt;margin-left:247.45pt;margin-top:11.7pt;height:26.1pt;width:62.6pt;z-index:251761664;mso-width-relative:page;mso-height-relative:page;" stroked="f" coordsize="21600,21600" o:gfxdata="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Ih0PT3XAAAACQEAAA8AAAAAAAAAAQAgAAAAIgAAAGRycy9kb3ducmV2LnhtbFBLAQIUABQA&#10;AAAIAIdO4kCJyzcNuAEAAG0DAAAOAAAAAAAAAAEAIAAAACYBAABkcnMvZTJvRG9jLnhtbFBLBQYA&#10;AAAABgAGAFkBAABQBQAAAAA=&#10;">
                      <v:path/>
                      <v:fill focussize="0,0"/>
                      <v:stroke on="f"/>
                      <v:imagedata o:title=""/>
                      <o:lock v:ext="edit"/>
                      <v:textbox>
                        <w:txbxContent>
                          <w:p>
                            <w:r>
                              <w:t>噪声</w:t>
                            </w:r>
                            <w:r>
                              <w:rPr>
                                <w:rFonts w:hint="eastAsia"/>
                              </w:rPr>
                              <w:t>、</w:t>
                            </w:r>
                            <w:r>
                              <w:t>固废</w:t>
                            </w:r>
                          </w:p>
                        </w:txbxContent>
                      </v:textbox>
                    </v:rect>
                  </w:pict>
                </mc:Fallback>
              </mc:AlternateContent>
            </w:r>
            <w:r>
              <w:rPr>
                <w:b/>
                <w:color w:val="000000"/>
                <w:sz w:val="24"/>
              </w:rPr>
              <mc:AlternateContent>
                <mc:Choice Requires="wps">
                  <w:drawing>
                    <wp:anchor distT="0" distB="0" distL="114300" distR="114300" simplePos="0" relativeHeight="251760640" behindDoc="0" locked="0" layoutInCell="1" allowOverlap="1">
                      <wp:simplePos x="0" y="0"/>
                      <wp:positionH relativeFrom="column">
                        <wp:posOffset>1840230</wp:posOffset>
                      </wp:positionH>
                      <wp:positionV relativeFrom="paragraph">
                        <wp:posOffset>125095</wp:posOffset>
                      </wp:positionV>
                      <wp:extent cx="904875" cy="331470"/>
                      <wp:effectExtent l="0" t="0" r="0" b="0"/>
                      <wp:wrapNone/>
                      <wp:docPr id="309" name="矩形 309"/>
                      <wp:cNvGraphicFramePr/>
                      <a:graphic xmlns:a="http://schemas.openxmlformats.org/drawingml/2006/main">
                        <a:graphicData uri="http://schemas.microsoft.com/office/word/2010/wordprocessingShape">
                          <wps:wsp>
                            <wps:cNvSpPr/>
                            <wps:spPr>
                              <a:xfrm>
                                <a:off x="0" y="0"/>
                                <a:ext cx="904875" cy="331470"/>
                              </a:xfrm>
                              <a:prstGeom prst="rect">
                                <a:avLst/>
                              </a:prstGeom>
                              <a:noFill/>
                              <a:ln>
                                <a:noFill/>
                              </a:ln>
                            </wps:spPr>
                            <wps:txbx>
                              <w:txbxContent>
                                <w:p>
                                  <w:r>
                                    <w:t>噪声</w:t>
                                  </w:r>
                                  <w:r>
                                    <w:rPr>
                                      <w:rFonts w:hint="eastAsia"/>
                                    </w:rPr>
                                    <w:t>、</w:t>
                                  </w:r>
                                  <w:r>
                                    <w:t>固废</w:t>
                                  </w:r>
                                </w:p>
                              </w:txbxContent>
                            </wps:txbx>
                            <wps:bodyPr upright="1"/>
                          </wps:wsp>
                        </a:graphicData>
                      </a:graphic>
                    </wp:anchor>
                  </w:drawing>
                </mc:Choice>
                <mc:Fallback>
                  <w:pict>
                    <v:rect id="_x0000_s1026" o:spid="_x0000_s1026" o:spt="1" style="position:absolute;left:0pt;margin-left:144.9pt;margin-top:9.85pt;height:26.1pt;width:71.25pt;z-index:251760640;mso-width-relative:page;mso-height-relative:page;" filled="f" stroked="f" coordsize="21600,21600" o:gfxdata="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IH4xJdoAAAAJAQAA&#10;DwAAAAAAAAABACAAAAAiAAAAZHJzL2Rvd25yZXYueG1sUEsBAhQAFAAAAAgAh07iQL6oq7WlAQAA&#10;RAMAAA4AAAAAAAAAAQAgAAAAKQEAAGRycy9lMm9Eb2MueG1sUEsFBgAAAAAGAAYAWQEAAEAFAAAA&#10;AA==&#10;">
                      <v:path/>
                      <v:fill on="f" focussize="0,0"/>
                      <v:stroke on="f"/>
                      <v:imagedata o:title=""/>
                      <o:lock v:ext="edit" aspectratio="f"/>
                      <v:textbox>
                        <w:txbxContent>
                          <w:p>
                            <w:r>
                              <w:t>噪声</w:t>
                            </w:r>
                            <w:r>
                              <w:rPr>
                                <w:rFonts w:hint="eastAsia"/>
                              </w:rPr>
                              <w:t>、</w:t>
                            </w:r>
                            <w:r>
                              <w:t>固废</w:t>
                            </w:r>
                          </w:p>
                        </w:txbxContent>
                      </v:textbox>
                    </v:rect>
                  </w:pict>
                </mc:Fallback>
              </mc:AlternateContent>
            </w:r>
            <w:r>
              <w:rPr>
                <w:color w:val="000000"/>
                <w:sz w:val="24"/>
              </w:rPr>
              <mc:AlternateContent>
                <mc:Choice Requires="wps">
                  <w:drawing>
                    <wp:anchor distT="0" distB="0" distL="114300" distR="114300" simplePos="0" relativeHeight="251762688" behindDoc="0" locked="0" layoutInCell="1" allowOverlap="1">
                      <wp:simplePos x="0" y="0"/>
                      <wp:positionH relativeFrom="column">
                        <wp:posOffset>45720</wp:posOffset>
                      </wp:positionH>
                      <wp:positionV relativeFrom="paragraph">
                        <wp:posOffset>151130</wp:posOffset>
                      </wp:positionV>
                      <wp:extent cx="1375410" cy="269875"/>
                      <wp:effectExtent l="0" t="0" r="0" b="0"/>
                      <wp:wrapNone/>
                      <wp:docPr id="310" name="矩形 310"/>
                      <wp:cNvGraphicFramePr/>
                      <a:graphic xmlns:a="http://schemas.openxmlformats.org/drawingml/2006/main">
                        <a:graphicData uri="http://schemas.microsoft.com/office/word/2010/wordprocessingShape">
                          <wps:wsp>
                            <wps:cNvSpPr/>
                            <wps:spPr>
                              <a:xfrm>
                                <a:off x="0" y="0"/>
                                <a:ext cx="1375410" cy="269875"/>
                              </a:xfrm>
                              <a:prstGeom prst="rect">
                                <a:avLst/>
                              </a:prstGeom>
                              <a:noFill/>
                              <a:ln>
                                <a:noFill/>
                              </a:ln>
                            </wps:spPr>
                            <wps:txbx>
                              <w:txbxContent>
                                <w:p>
                                  <w:r>
                                    <w:rPr>
                                      <w:rFonts w:hint="eastAsia"/>
                                    </w:rPr>
                                    <w:t>噪声、固废、废水</w:t>
                                  </w:r>
                                </w:p>
                                <w:p/>
                              </w:txbxContent>
                            </wps:txbx>
                            <wps:bodyPr upright="1"/>
                          </wps:wsp>
                        </a:graphicData>
                      </a:graphic>
                    </wp:anchor>
                  </w:drawing>
                </mc:Choice>
                <mc:Fallback>
                  <w:pict>
                    <v:rect id="_x0000_s1026" o:spid="_x0000_s1026" o:spt="1" style="position:absolute;left:0pt;margin-left:3.6pt;margin-top:11.9pt;height:21.25pt;width:108.3pt;z-index:251762688;mso-width-relative:page;mso-height-relative:page;" filled="f" stroked="f" coordsize="21600,21600" o:gfxdata="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K4kmB/XAAAABwEAAA8AAAAA&#10;AAAAAQAgAAAAIgAAAGRycy9kb3ducmV2LnhtbFBLAQIUABQAAAAIAIdO4kD9E+UYowEAAEUDAAAO&#10;AAAAAAAAAAEAIAAAACYBAABkcnMvZTJvRG9jLnhtbFBLBQYAAAAABgAGAFkBAAA7BQAAAAA=&#10;">
                      <v:path/>
                      <v:fill on="f" focussize="0,0"/>
                      <v:stroke on="f"/>
                      <v:imagedata o:title=""/>
                      <o:lock v:ext="edit" aspectratio="f"/>
                      <v:textbox>
                        <w:txbxContent>
                          <w:p>
                            <w:r>
                              <w:rPr>
                                <w:rFonts w:hint="eastAsia"/>
                              </w:rPr>
                              <w:t>噪声、固废、废水</w:t>
                            </w:r>
                          </w:p>
                          <w:p/>
                        </w:txbxContent>
                      </v:textbox>
                    </v:rect>
                  </w:pict>
                </mc:Fallback>
              </mc:AlternateContent>
            </w:r>
          </w:p>
          <w:p>
            <w:pPr>
              <w:wordWrap w:val="0"/>
              <w:adjustRightInd w:val="0"/>
              <w:snapToGrid w:val="0"/>
              <w:spacing w:line="360" w:lineRule="auto"/>
              <w:ind w:firstLine="480" w:firstLineChars="200"/>
              <w:jc w:val="left"/>
              <w:rPr>
                <w:color w:val="000000"/>
                <w:sz w:val="24"/>
              </w:rPr>
            </w:pPr>
            <w:r>
              <w:rPr>
                <w:color w:val="000000"/>
                <w:sz w:val="24"/>
              </w:rPr>
              <mc:AlternateContent>
                <mc:Choice Requires="wps">
                  <w:drawing>
                    <wp:anchor distT="0" distB="0" distL="114300" distR="114300" simplePos="0" relativeHeight="251763712" behindDoc="0" locked="0" layoutInCell="1" allowOverlap="1">
                      <wp:simplePos x="0" y="0"/>
                      <wp:positionH relativeFrom="column">
                        <wp:posOffset>3318510</wp:posOffset>
                      </wp:positionH>
                      <wp:positionV relativeFrom="paragraph">
                        <wp:posOffset>286385</wp:posOffset>
                      </wp:positionV>
                      <wp:extent cx="358140" cy="0"/>
                      <wp:effectExtent l="38100" t="4445" r="38100" b="18415"/>
                      <wp:wrapNone/>
                      <wp:docPr id="311" name="肘形连接符 311"/>
                      <wp:cNvGraphicFramePr/>
                      <a:graphic xmlns:a="http://schemas.openxmlformats.org/drawingml/2006/main">
                        <a:graphicData uri="http://schemas.microsoft.com/office/word/2010/wordprocessingShape">
                          <wps:wsp>
                            <wps:cNvCnPr>
                              <a:stCxn id="266" idx="3"/>
                              <a:endCxn id="264" idx="1"/>
                            </wps:cNvCnPr>
                            <wps:spPr>
                              <a:xfrm rot="5400000">
                                <a:off x="0" y="0"/>
                                <a:ext cx="358140" cy="0"/>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261.3pt;margin-top:22.55pt;height:0pt;width:28.2pt;rotation:5898240f;z-index:251763712;mso-width-relative:page;mso-height-relative:page;" filled="f" stroked="t" coordsize="21600,21600" o:gfxdata="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E/9rtQAAAAJAQAADwAAAAAAAAABACAAAAAiAAAAZHJz&#10;L2Rvd25yZXYueG1sUEsBAhQAFAAAAAgAh07iQEWQ6/xBAgAAcgQAAA4AAAAAAAAAAQAgAAAAIwEA&#10;AGRycy9lMm9Eb2MueG1sUEsFBgAAAAAGAAYAWQEAANYFAAAAAA==&#10;" adj="10781">
                      <v:fill on="f" focussize="0,0"/>
                      <v:stroke color="#000000" joinstyle="miter" dashstyle="1 1" endcap="round" endarrow="block"/>
                      <v:imagedata o:title=""/>
                      <o:lock v:ext="edit" aspectratio="f"/>
                    </v:shape>
                  </w:pict>
                </mc:Fallback>
              </mc:AlternateContent>
            </w:r>
            <w:r>
              <w:rPr>
                <w:color w:val="000000"/>
                <w:sz w:val="24"/>
              </w:rPr>
              <mc:AlternateContent>
                <mc:Choice Requires="wps">
                  <w:drawing>
                    <wp:anchor distT="0" distB="0" distL="114300" distR="114300" simplePos="0" relativeHeight="251764736" behindDoc="0" locked="0" layoutInCell="1" allowOverlap="1">
                      <wp:simplePos x="0" y="0"/>
                      <wp:positionH relativeFrom="column">
                        <wp:posOffset>2085975</wp:posOffset>
                      </wp:positionH>
                      <wp:positionV relativeFrom="paragraph">
                        <wp:posOffset>286385</wp:posOffset>
                      </wp:positionV>
                      <wp:extent cx="358140" cy="0"/>
                      <wp:effectExtent l="38100" t="4445" r="38100" b="18415"/>
                      <wp:wrapNone/>
                      <wp:docPr id="312" name="肘形连接符 312"/>
                      <wp:cNvGraphicFramePr/>
                      <a:graphic xmlns:a="http://schemas.openxmlformats.org/drawingml/2006/main">
                        <a:graphicData uri="http://schemas.microsoft.com/office/word/2010/wordprocessingShape">
                          <wps:wsp>
                            <wps:cNvCnPr>
                              <a:stCxn id="266" idx="3"/>
                              <a:endCxn id="264" idx="1"/>
                            </wps:cNvCnPr>
                            <wps:spPr>
                              <a:xfrm rot="5400000">
                                <a:off x="0" y="0"/>
                                <a:ext cx="358140" cy="0"/>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164.25pt;margin-top:22.55pt;height:0pt;width:28.2pt;rotation:5898240f;z-index:251764736;mso-width-relative:page;mso-height-relative:page;" filled="f" stroked="t" coordsize="21600,21600" o:gfxdata="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pdij9UAAAAJAQAADwAAAAAAAAABACAAAAAiAAAA&#10;ZHJzL2Rvd25yZXYueG1sUEsBAhQAFAAAAAgAh07iQF8ZM29DAgAAcgQAAA4AAAAAAAAAAQAgAAAA&#10;JAEAAGRycy9lMm9Eb2MueG1sUEsFBgAAAAAGAAYAWQEAANkFAAAAAA==&#10;" adj="10781">
                      <v:fill on="f" focussize="0,0"/>
                      <v:stroke color="#000000" joinstyle="miter" dashstyle="1 1" endcap="round" endarrow="block"/>
                      <v:imagedata o:title=""/>
                      <o:lock v:ext="edit" aspectratio="f"/>
                    </v:shape>
                  </w:pict>
                </mc:Fallback>
              </mc:AlternateContent>
            </w:r>
            <w:r>
              <w:rPr>
                <w:color w:val="000000"/>
                <w:sz w:val="24"/>
              </w:rPr>
              <mc:AlternateContent>
                <mc:Choice Requires="wps">
                  <w:drawing>
                    <wp:anchor distT="0" distB="0" distL="114300" distR="114300" simplePos="0" relativeHeight="251765760" behindDoc="0" locked="0" layoutInCell="1" allowOverlap="1">
                      <wp:simplePos x="0" y="0"/>
                      <wp:positionH relativeFrom="column">
                        <wp:posOffset>558800</wp:posOffset>
                      </wp:positionH>
                      <wp:positionV relativeFrom="paragraph">
                        <wp:posOffset>318770</wp:posOffset>
                      </wp:positionV>
                      <wp:extent cx="286385" cy="0"/>
                      <wp:effectExtent l="38100" t="5080" r="38100" b="13335"/>
                      <wp:wrapNone/>
                      <wp:docPr id="313" name="肘形连接符 313"/>
                      <wp:cNvGraphicFramePr/>
                      <a:graphic xmlns:a="http://schemas.openxmlformats.org/drawingml/2006/main">
                        <a:graphicData uri="http://schemas.microsoft.com/office/word/2010/wordprocessingShape">
                          <wps:wsp>
                            <wps:cNvCnPr>
                              <a:stCxn id="266" idx="3"/>
                              <a:endCxn id="264" idx="1"/>
                            </wps:cNvCnPr>
                            <wps:spPr>
                              <a:xfrm rot="5400000">
                                <a:off x="0" y="0"/>
                                <a:ext cx="286385" cy="0"/>
                              </a:xfrm>
                              <a:prstGeom prst="bentConnector3">
                                <a:avLst>
                                  <a:gd name="adj1" fmla="val 49912"/>
                                </a:avLst>
                              </a:prstGeom>
                              <a:ln w="9525" cap="rnd" cmpd="sng">
                                <a:solidFill>
                                  <a:srgbClr val="000000"/>
                                </a:solidFill>
                                <a:prstDash val="sysDot"/>
                                <a:miter/>
                                <a:headEnd type="none" w="med" len="med"/>
                                <a:tailEnd type="triangle" w="med" len="med"/>
                              </a:ln>
                            </wps:spPr>
                            <wps:bodyPr/>
                          </wps:wsp>
                        </a:graphicData>
                      </a:graphic>
                    </wp:anchor>
                  </w:drawing>
                </mc:Choice>
                <mc:Fallback>
                  <w:pict>
                    <v:shape id="_x0000_s1026" o:spid="_x0000_s1026" o:spt="34" type="#_x0000_t34" style="position:absolute;left:0pt;margin-left:44pt;margin-top:25.1pt;height:0pt;width:22.55pt;rotation:5898240f;z-index:251765760;mso-width-relative:page;mso-height-relative:page;" filled="f" stroked="t" coordsize="21600,21600" o:gfxdata="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u/HTrTAAAACAEAAA8AAAAAAAAAAQAgAAAAIgAA&#10;AGRycy9kb3ducmV2LnhtbFBLAQIUABQAAAAIAIdO4kDEqmETRgIAAHIEAAAOAAAAAAAAAAEAIAAA&#10;ACIBAABkcnMvZTJvRG9jLnhtbFBLBQYAAAAABgAGAFkBAADaBQAAAAA=&#10;" adj="10781">
                      <v:fill on="f" focussize="0,0"/>
                      <v:stroke color="#000000" joinstyle="miter" dashstyle="1 1" endcap="round" endarrow="block"/>
                      <v:imagedata o:title=""/>
                      <o:lock v:ext="edit" aspectratio="f"/>
                    </v:shape>
                  </w:pict>
                </mc:Fallback>
              </mc:AlternateContent>
            </w:r>
          </w:p>
          <w:p>
            <w:pPr>
              <w:wordWrap w:val="0"/>
              <w:adjustRightInd w:val="0"/>
              <w:snapToGrid w:val="0"/>
              <w:spacing w:line="360" w:lineRule="auto"/>
              <w:ind w:firstLine="480" w:firstLineChars="200"/>
              <w:jc w:val="left"/>
              <w:rPr>
                <w:color w:val="000000"/>
                <w:sz w:val="24"/>
              </w:rPr>
            </w:pPr>
            <w:r>
              <w:rPr>
                <w:color w:val="000000"/>
                <w:sz w:val="24"/>
              </w:rPr>
              <mc:AlternateContent>
                <mc:Choice Requires="wps">
                  <w:drawing>
                    <wp:anchor distT="0" distB="0" distL="114300" distR="114300" simplePos="0" relativeHeight="251766784" behindDoc="0" locked="0" layoutInCell="1" allowOverlap="1">
                      <wp:simplePos x="0" y="0"/>
                      <wp:positionH relativeFrom="column">
                        <wp:posOffset>4221480</wp:posOffset>
                      </wp:positionH>
                      <wp:positionV relativeFrom="paragraph">
                        <wp:posOffset>205740</wp:posOffset>
                      </wp:positionV>
                      <wp:extent cx="763905" cy="301625"/>
                      <wp:effectExtent l="4445" t="4445" r="12700" b="17780"/>
                      <wp:wrapNone/>
                      <wp:docPr id="314" name="矩形 314"/>
                      <wp:cNvGraphicFramePr/>
                      <a:graphic xmlns:a="http://schemas.openxmlformats.org/drawingml/2006/main">
                        <a:graphicData uri="http://schemas.microsoft.com/office/word/2010/wordprocessingShape">
                          <wps:wsp>
                            <wps:cNvSpPr/>
                            <wps:spPr>
                              <a:xfrm>
                                <a:off x="0" y="0"/>
                                <a:ext cx="763905"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left"/>
                                  </w:pPr>
                                  <w:r>
                                    <w:rPr>
                                      <w:rFonts w:hint="eastAsia"/>
                                    </w:rPr>
                                    <w:t>交付使用</w:t>
                                  </w:r>
                                </w:p>
                                <w:p/>
                              </w:txbxContent>
                            </wps:txbx>
                            <wps:bodyPr upright="1"/>
                          </wps:wsp>
                        </a:graphicData>
                      </a:graphic>
                    </wp:anchor>
                  </w:drawing>
                </mc:Choice>
                <mc:Fallback>
                  <w:pict>
                    <v:rect id="_x0000_s1026" o:spid="_x0000_s1026" o:spt="1" style="position:absolute;left:0pt;margin-left:332.4pt;margin-top:16.2pt;height:23.75pt;width:60.15pt;z-index:251766784;mso-width-relative:page;mso-height-relative:page;" coordsize="21600,21600" o:gfxdata="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iNXfLYAAAACQEAAA8AAAAAAAAAAQAgAAAAIgAAAGRycy9k&#10;b3ducmV2LnhtbFBLAQIUABQAAAAIAIdO4kAv4USyAgIAACwEAAAOAAAAAAAAAAEAIAAAACcBAABk&#10;cnMvZTJvRG9jLnhtbFBLBQYAAAAABgAGAFkBAACbBQAAAAA=&#10;">
                      <v:path/>
                      <v:fill focussize="0,0"/>
                      <v:stroke/>
                      <v:imagedata o:title=""/>
                      <o:lock v:ext="edit"/>
                      <v:textbox>
                        <w:txbxContent>
                          <w:p>
                            <w:pPr>
                              <w:jc w:val="left"/>
                            </w:pPr>
                            <w:r>
                              <w:rPr>
                                <w:rFonts w:hint="eastAsia"/>
                              </w:rPr>
                              <w:t>交付使用</w:t>
                            </w:r>
                          </w:p>
                          <w:p/>
                        </w:txbxContent>
                      </v:textbox>
                    </v:rect>
                  </w:pict>
                </mc:Fallback>
              </mc:AlternateContent>
            </w:r>
            <w:r>
              <w:rPr>
                <w:color w:val="000000"/>
                <w:sz w:val="24"/>
              </w:rPr>
              <mc:AlternateContent>
                <mc:Choice Requires="wps">
                  <w:drawing>
                    <wp:anchor distT="0" distB="0" distL="114300" distR="114300" simplePos="0" relativeHeight="251767808" behindDoc="0" locked="0" layoutInCell="1" allowOverlap="1">
                      <wp:simplePos x="0" y="0"/>
                      <wp:positionH relativeFrom="column">
                        <wp:posOffset>3142615</wp:posOffset>
                      </wp:positionH>
                      <wp:positionV relativeFrom="paragraph">
                        <wp:posOffset>205740</wp:posOffset>
                      </wp:positionV>
                      <wp:extent cx="835025" cy="301625"/>
                      <wp:effectExtent l="4445" t="4445" r="17780" b="17780"/>
                      <wp:wrapNone/>
                      <wp:docPr id="315" name="矩形 315"/>
                      <wp:cNvGraphicFramePr/>
                      <a:graphic xmlns:a="http://schemas.openxmlformats.org/drawingml/2006/main">
                        <a:graphicData uri="http://schemas.microsoft.com/office/word/2010/wordprocessingShape">
                          <wps:wsp>
                            <wps:cNvSpPr/>
                            <wps:spPr>
                              <a:xfrm>
                                <a:off x="0" y="0"/>
                                <a:ext cx="835025"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阀门安装</w:t>
                                  </w:r>
                                </w:p>
                                <w:p/>
                              </w:txbxContent>
                            </wps:txbx>
                            <wps:bodyPr upright="1"/>
                          </wps:wsp>
                        </a:graphicData>
                      </a:graphic>
                    </wp:anchor>
                  </w:drawing>
                </mc:Choice>
                <mc:Fallback>
                  <w:pict>
                    <v:rect id="_x0000_s1026" o:spid="_x0000_s1026" o:spt="1" style="position:absolute;left:0pt;margin-left:247.45pt;margin-top:16.2pt;height:23.75pt;width:65.75pt;z-index:251767808;mso-width-relative:page;mso-height-relative:page;" coordsize="21600,21600" o:gfxdata="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TVIS/2AAAAAkBAAAPAAAAAAAAAAEAIAAAACIAAABkcnMvZG93&#10;bnJldi54bWxQSwECFAAUAAAACACHTuJA6M3XWAACAAAsBAAADgAAAAAAAAABACAAAAAnAQAAZHJz&#10;L2Uyb0RvYy54bWxQSwUGAAAAAAYABgBZAQAAmQUAAAAA&#10;">
                      <v:path/>
                      <v:fill focussize="0,0"/>
                      <v:stroke/>
                      <v:imagedata o:title=""/>
                      <o:lock v:ext="edit"/>
                      <v:textbox>
                        <w:txbxContent>
                          <w:p>
                            <w:r>
                              <w:rPr>
                                <w:rFonts w:hint="eastAsia"/>
                              </w:rPr>
                              <w:t>阀门安装</w:t>
                            </w:r>
                          </w:p>
                          <w:p/>
                        </w:txbxContent>
                      </v:textbox>
                    </v:rect>
                  </w:pict>
                </mc:Fallback>
              </mc:AlternateContent>
            </w:r>
            <w:r>
              <w:rPr>
                <w:color w:val="000000"/>
                <w:sz w:val="24"/>
              </w:rPr>
              <mc:AlternateContent>
                <mc:Choice Requires="wps">
                  <w:drawing>
                    <wp:anchor distT="0" distB="0" distL="114300" distR="114300" simplePos="0" relativeHeight="251768832" behindDoc="0" locked="0" layoutInCell="1" allowOverlap="1">
                      <wp:simplePos x="0" y="0"/>
                      <wp:positionH relativeFrom="column">
                        <wp:posOffset>1934210</wp:posOffset>
                      </wp:positionH>
                      <wp:positionV relativeFrom="paragraph">
                        <wp:posOffset>205740</wp:posOffset>
                      </wp:positionV>
                      <wp:extent cx="858520" cy="301625"/>
                      <wp:effectExtent l="4445" t="4445" r="13335" b="17780"/>
                      <wp:wrapNone/>
                      <wp:docPr id="316" name="矩形 316"/>
                      <wp:cNvGraphicFramePr/>
                      <a:graphic xmlns:a="http://schemas.openxmlformats.org/drawingml/2006/main">
                        <a:graphicData uri="http://schemas.microsoft.com/office/word/2010/wordprocessingShape">
                          <wps:wsp>
                            <wps:cNvSpPr/>
                            <wps:spPr>
                              <a:xfrm>
                                <a:off x="0" y="0"/>
                                <a:ext cx="858520"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PE管安装</w:t>
                                  </w:r>
                                </w:p>
                                <w:p/>
                              </w:txbxContent>
                            </wps:txbx>
                            <wps:bodyPr upright="1"/>
                          </wps:wsp>
                        </a:graphicData>
                      </a:graphic>
                    </wp:anchor>
                  </w:drawing>
                </mc:Choice>
                <mc:Fallback>
                  <w:pict>
                    <v:rect id="_x0000_s1026" o:spid="_x0000_s1026" o:spt="1" style="position:absolute;left:0pt;margin-left:152.3pt;margin-top:16.2pt;height:23.75pt;width:67.6pt;z-index:251768832;mso-width-relative:page;mso-height-relative:page;" coordsize="21600,21600" o:gfxdata="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Lag1wAAAAkBAAAPAAAAAAAAAAEAIAAAACIAAABkcnMvZG93&#10;bnJldi54bWxQSwECFAAUAAAACACHTuJAHS+6OgECAAAsBAAADgAAAAAAAAABACAAAAAmAQAAZHJz&#10;L2Uyb0RvYy54bWxQSwUGAAAAAAYABgBZAQAAmQUAAAAA&#10;">
                      <v:path/>
                      <v:fill focussize="0,0"/>
                      <v:stroke/>
                      <v:imagedata o:title=""/>
                      <o:lock v:ext="edit"/>
                      <v:textbox>
                        <w:txbxContent>
                          <w:p>
                            <w:r>
                              <w:rPr>
                                <w:rFonts w:hint="eastAsia"/>
                              </w:rPr>
                              <w:t>PE管安装</w:t>
                            </w:r>
                          </w:p>
                          <w:p/>
                        </w:txbxContent>
                      </v:textbox>
                    </v:rect>
                  </w:pict>
                </mc:Fallback>
              </mc:AlternateContent>
            </w:r>
            <w:r>
              <w:rPr>
                <w:color w:val="000000"/>
                <w:sz w:val="24"/>
              </w:rPr>
              <mc:AlternateContent>
                <mc:Choice Requires="wps">
                  <w:drawing>
                    <wp:anchor distT="0" distB="0" distL="114300" distR="114300" simplePos="0" relativeHeight="251769856" behindDoc="0" locked="0" layoutInCell="1" allowOverlap="1">
                      <wp:simplePos x="0" y="0"/>
                      <wp:positionH relativeFrom="column">
                        <wp:posOffset>-22225</wp:posOffset>
                      </wp:positionH>
                      <wp:positionV relativeFrom="paragraph">
                        <wp:posOffset>205740</wp:posOffset>
                      </wp:positionV>
                      <wp:extent cx="1503045" cy="301625"/>
                      <wp:effectExtent l="4445" t="4445" r="16510" b="17780"/>
                      <wp:wrapNone/>
                      <wp:docPr id="317" name="矩形 317"/>
                      <wp:cNvGraphicFramePr/>
                      <a:graphic xmlns:a="http://schemas.openxmlformats.org/drawingml/2006/main">
                        <a:graphicData uri="http://schemas.microsoft.com/office/word/2010/wordprocessingShape">
                          <wps:wsp>
                            <wps:cNvSpPr/>
                            <wps:spPr>
                              <a:xfrm>
                                <a:off x="0" y="0"/>
                                <a:ext cx="1503045"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场地清理、构筑物拆除</w:t>
                                  </w:r>
                                </w:p>
                              </w:txbxContent>
                            </wps:txbx>
                            <wps:bodyPr upright="1"/>
                          </wps:wsp>
                        </a:graphicData>
                      </a:graphic>
                    </wp:anchor>
                  </w:drawing>
                </mc:Choice>
                <mc:Fallback>
                  <w:pict>
                    <v:rect id="_x0000_s1026" o:spid="_x0000_s1026" o:spt="1" style="position:absolute;left:0pt;margin-left:-1.75pt;margin-top:16.2pt;height:23.75pt;width:118.35pt;z-index:251769856;mso-width-relative:page;mso-height-relative:page;" coordsize="21600,21600" o:gfxdata="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TJc9NcAAAAIAQAADwAAAAAAAAABACAAAAAiAAAAZHJzL2Rv&#10;d25yZXYueG1sUEsBAhQAFAAAAAgAh07iQBICZW8CAgAALQQAAA4AAAAAAAAAAQAgAAAAJgEAAGRy&#10;cy9lMm9Eb2MueG1sUEsFBgAAAAAGAAYAWQEAAJoFAAAAAA==&#10;">
                      <v:path/>
                      <v:fill focussize="0,0"/>
                      <v:stroke/>
                      <v:imagedata o:title=""/>
                      <o:lock v:ext="edit"/>
                      <v:textbox>
                        <w:txbxContent>
                          <w:p>
                            <w:r>
                              <w:rPr>
                                <w:rFonts w:hint="eastAsia"/>
                              </w:rPr>
                              <w:t>场地清理、构筑物拆除</w:t>
                            </w:r>
                          </w:p>
                        </w:txbxContent>
                      </v:textbox>
                    </v:rect>
                  </w:pict>
                </mc:Fallback>
              </mc:AlternateContent>
            </w:r>
          </w:p>
          <w:p>
            <w:pPr>
              <w:wordWrap w:val="0"/>
              <w:adjustRightInd w:val="0"/>
              <w:snapToGrid w:val="0"/>
              <w:spacing w:line="360" w:lineRule="auto"/>
              <w:ind w:firstLine="480" w:firstLineChars="200"/>
              <w:jc w:val="left"/>
              <w:rPr>
                <w:color w:val="000000"/>
                <w:sz w:val="24"/>
              </w:rPr>
            </w:pPr>
            <w:r>
              <w:rPr>
                <w:color w:val="000000"/>
                <w:sz w:val="24"/>
              </w:rPr>
              <mc:AlternateContent>
                <mc:Choice Requires="wps">
                  <w:drawing>
                    <wp:anchor distT="0" distB="0" distL="114300" distR="114300" simplePos="0" relativeHeight="251770880" behindDoc="0" locked="0" layoutInCell="1" allowOverlap="1">
                      <wp:simplePos x="0" y="0"/>
                      <wp:positionH relativeFrom="column">
                        <wp:posOffset>4090035</wp:posOffset>
                      </wp:positionH>
                      <wp:positionV relativeFrom="paragraph">
                        <wp:posOffset>-44450</wp:posOffset>
                      </wp:positionV>
                      <wp:extent cx="8255" cy="230505"/>
                      <wp:effectExtent l="0" t="33655" r="17145" b="34290"/>
                      <wp:wrapNone/>
                      <wp:docPr id="318" name="肘形连接符 318"/>
                      <wp:cNvGraphicFramePr/>
                      <a:graphic xmlns:a="http://schemas.openxmlformats.org/drawingml/2006/main">
                        <a:graphicData uri="http://schemas.microsoft.com/office/word/2010/wordprocessingShape">
                          <wps:wsp>
                            <wps:cNvCnPr>
                              <a:stCxn id="266" idx="3"/>
                              <a:endCxn id="264" idx="1"/>
                            </wps:cNvCnPr>
                            <wps:spPr>
                              <a:xfrm rot="5400000">
                                <a:off x="0" y="0"/>
                                <a:ext cx="8255" cy="230505"/>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322.05pt;margin-top:-3.5pt;height:18.15pt;width:0.65pt;rotation:5898240f;z-index:251770880;mso-width-relative:page;mso-height-relative:page;" filled="f" stroked="t" coordsize="21600,21600" o:gfxdata="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QNHi49cAAAAJAQAADwAAAAAAAAABACAAAAAi&#10;AAAAZHJzL2Rvd25yZXYueG1sUEsBAhQAFAAAAAgAh07iQF1v7o9EAgAAdQQAAA4AAAAAAAAAAQAg&#10;AAAAJgEAAGRycy9lMm9Eb2MueG1sUEsFBgAAAAAGAAYAWQEAANwFAAAAAA==&#10;" adj="10781">
                      <v:fill on="f" focussize="0,0"/>
                      <v:stroke color="#000000" joinstyle="miter" endarrow="block"/>
                      <v:imagedata o:title=""/>
                      <o:lock v:ext="edit" aspectratio="f"/>
                    </v:shape>
                  </w:pict>
                </mc:Fallback>
              </mc:AlternateContent>
            </w:r>
            <w:r>
              <w:rPr>
                <w:color w:val="000000"/>
                <w:sz w:val="24"/>
              </w:rPr>
              <mc:AlternateContent>
                <mc:Choice Requires="wps">
                  <w:drawing>
                    <wp:anchor distT="0" distB="0" distL="114300" distR="114300" simplePos="0" relativeHeight="251771904" behindDoc="0" locked="0" layoutInCell="1" allowOverlap="1">
                      <wp:simplePos x="0" y="0"/>
                      <wp:positionH relativeFrom="column">
                        <wp:posOffset>2968625</wp:posOffset>
                      </wp:positionH>
                      <wp:positionV relativeFrom="paragraph">
                        <wp:posOffset>-95885</wp:posOffset>
                      </wp:positionV>
                      <wp:extent cx="0" cy="341630"/>
                      <wp:effectExtent l="0" t="38100" r="1270" b="38100"/>
                      <wp:wrapNone/>
                      <wp:docPr id="319" name="肘形连接符 319"/>
                      <wp:cNvGraphicFramePr/>
                      <a:graphic xmlns:a="http://schemas.openxmlformats.org/drawingml/2006/main">
                        <a:graphicData uri="http://schemas.microsoft.com/office/word/2010/wordprocessingShape">
                          <wps:wsp>
                            <wps:cNvCnPr>
                              <a:stCxn id="266" idx="3"/>
                              <a:endCxn id="264" idx="1"/>
                            </wps:cNvCnPr>
                            <wps:spPr>
                              <a:xfrm rot="5400000">
                                <a:off x="0" y="0"/>
                                <a:ext cx="0" cy="34163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233.75pt;margin-top:-7.55pt;height:26.9pt;width:0pt;rotation:5898240f;z-index:251771904;mso-width-relative:page;mso-height-relative:page;" filled="f" stroked="t" coordsize="21600,21600" o:gfxdata="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DUcYzWAAAACgEAAA8AAAAAAAAAAQAgAAAAIgAA&#10;AGRycy9kb3ducmV2LnhtbFBLAQIUABQAAAAIAIdO4kBoWyTnQwIAAHIEAAAOAAAAAAAAAAEAIAAA&#10;ACUBAABkcnMvZTJvRG9jLnhtbFBLBQYAAAAABgAGAFkBAADaBQAAAAA=&#10;" adj="10781">
                      <v:fill on="f" focussize="0,0"/>
                      <v:stroke color="#000000" joinstyle="miter" endarrow="block"/>
                      <v:imagedata o:title=""/>
                      <o:lock v:ext="edit" aspectratio="f"/>
                    </v:shape>
                  </w:pict>
                </mc:Fallback>
              </mc:AlternateContent>
            </w:r>
            <w:r>
              <w:rPr>
                <w:color w:val="000000"/>
                <w:sz w:val="24"/>
              </w:rPr>
              <mc:AlternateContent>
                <mc:Choice Requires="wps">
                  <w:drawing>
                    <wp:anchor distT="0" distB="0" distL="114300" distR="114300" simplePos="0" relativeHeight="251772928" behindDoc="0" locked="0" layoutInCell="1" allowOverlap="1">
                      <wp:simplePos x="0" y="0"/>
                      <wp:positionH relativeFrom="column">
                        <wp:posOffset>1703705</wp:posOffset>
                      </wp:positionH>
                      <wp:positionV relativeFrom="paragraph">
                        <wp:posOffset>-159385</wp:posOffset>
                      </wp:positionV>
                      <wp:extent cx="8255" cy="453390"/>
                      <wp:effectExtent l="0" t="34290" r="22860" b="33655"/>
                      <wp:wrapNone/>
                      <wp:docPr id="320" name="肘形连接符 320"/>
                      <wp:cNvGraphicFramePr/>
                      <a:graphic xmlns:a="http://schemas.openxmlformats.org/drawingml/2006/main">
                        <a:graphicData uri="http://schemas.microsoft.com/office/word/2010/wordprocessingShape">
                          <wps:wsp>
                            <wps:cNvCnPr>
                              <a:stCxn id="266" idx="3"/>
                              <a:endCxn id="264" idx="1"/>
                            </wps:cNvCnPr>
                            <wps:spPr>
                              <a:xfrm rot="5400000">
                                <a:off x="0" y="0"/>
                                <a:ext cx="8255" cy="453390"/>
                              </a:xfrm>
                              <a:prstGeom prst="bentConnector3">
                                <a:avLst>
                                  <a:gd name="adj1" fmla="val 49912"/>
                                </a:avLst>
                              </a:prstGeom>
                              <a:ln w="9525" cap="flat" cmpd="sng">
                                <a:solidFill>
                                  <a:srgbClr val="000000"/>
                                </a:solidFill>
                                <a:prstDash val="solid"/>
                                <a:miter/>
                                <a:headEnd type="none" w="med" len="med"/>
                                <a:tailEnd type="triangle" w="med" len="med"/>
                              </a:ln>
                            </wps:spPr>
                            <wps:bodyPr/>
                          </wps:wsp>
                        </a:graphicData>
                      </a:graphic>
                    </wp:anchor>
                  </w:drawing>
                </mc:Choice>
                <mc:Fallback>
                  <w:pict>
                    <v:shape id="_x0000_s1026" o:spid="_x0000_s1026" o:spt="34" type="#_x0000_t34" style="position:absolute;left:0pt;margin-left:134.15pt;margin-top:-12.55pt;height:35.7pt;width:0.65pt;rotation:5898240f;z-index:251772928;mso-width-relative:page;mso-height-relative:page;" filled="f" stroked="t" coordsize="21600,21600" o:gfxdata="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J8WunTYAAAACgEAAA8AAAAAAAAAAQAg&#10;AAAAIgAAAGRycy9kb3ducmV2LnhtbFBLAQIUABQAAAAIAIdO4kAHVbo5RwIAAHUEAAAOAAAAAAAA&#10;AAEAIAAAACcBAABkcnMvZTJvRG9jLnhtbFBLBQYAAAAABgAGAFkBAADgBQAAAAA=&#10;" adj="10781">
                      <v:fill on="f" focussize="0,0"/>
                      <v:stroke color="#000000" joinstyle="miter" endarrow="block"/>
                      <v:imagedata o:title=""/>
                      <o:lock v:ext="edit" aspectratio="f"/>
                    </v:shape>
                  </w:pict>
                </mc:Fallback>
              </mc:AlternateContent>
            </w:r>
          </w:p>
          <w:p>
            <w:pPr>
              <w:wordWrap w:val="0"/>
              <w:adjustRightInd w:val="0"/>
              <w:snapToGrid w:val="0"/>
              <w:spacing w:line="360" w:lineRule="auto"/>
              <w:ind w:firstLine="480" w:firstLineChars="200"/>
              <w:jc w:val="left"/>
              <w:rPr>
                <w:color w:val="000000"/>
                <w:sz w:val="24"/>
              </w:rPr>
            </w:pPr>
            <w:r>
              <w:rPr>
                <w:color w:val="000000"/>
                <w:sz w:val="24"/>
              </w:rPr>
              <mc:AlternateContent>
                <mc:Choice Requires="wps">
                  <w:drawing>
                    <wp:anchor distT="0" distB="0" distL="114300" distR="114300" simplePos="0" relativeHeight="251773952" behindDoc="0" locked="0" layoutInCell="1" allowOverlap="1">
                      <wp:simplePos x="0" y="0"/>
                      <wp:positionH relativeFrom="column">
                        <wp:posOffset>1196340</wp:posOffset>
                      </wp:positionH>
                      <wp:positionV relativeFrom="paragraph">
                        <wp:posOffset>128270</wp:posOffset>
                      </wp:positionV>
                      <wp:extent cx="3013710" cy="302260"/>
                      <wp:effectExtent l="0" t="0" r="0" b="0"/>
                      <wp:wrapNone/>
                      <wp:docPr id="321" name="矩形 321"/>
                      <wp:cNvGraphicFramePr/>
                      <a:graphic xmlns:a="http://schemas.openxmlformats.org/drawingml/2006/main">
                        <a:graphicData uri="http://schemas.microsoft.com/office/word/2010/wordprocessingShape">
                          <wps:wsp>
                            <wps:cNvSpPr/>
                            <wps:spPr>
                              <a:xfrm>
                                <a:off x="0" y="0"/>
                                <a:ext cx="3013710" cy="302260"/>
                              </a:xfrm>
                              <a:prstGeom prst="rect">
                                <a:avLst/>
                              </a:prstGeom>
                              <a:noFill/>
                              <a:ln>
                                <a:noFill/>
                              </a:ln>
                            </wps:spPr>
                            <wps:txbx>
                              <w:txbxContent>
                                <w:p>
                                  <w:pPr>
                                    <w:ind w:firstLine="482"/>
                                    <w:rPr>
                                      <w:b/>
                                    </w:rPr>
                                  </w:pPr>
                                  <w:r>
                                    <w:rPr>
                                      <w:rFonts w:hint="eastAsia"/>
                                      <w:b/>
                                    </w:rPr>
                                    <w:t>图2-</w:t>
                                  </w:r>
                                  <w:r>
                                    <w:rPr>
                                      <w:rFonts w:hint="eastAsia"/>
                                      <w:b/>
                                      <w:lang w:val="en-US" w:eastAsia="zh-CN"/>
                                    </w:rPr>
                                    <w:t>20</w:t>
                                  </w:r>
                                  <w:r>
                                    <w:rPr>
                                      <w:rFonts w:hint="eastAsia"/>
                                      <w:b/>
                                    </w:rPr>
                                    <w:t xml:space="preserve">  分水洞施工工艺及产污节点图</w:t>
                                  </w:r>
                                </w:p>
                                <w:p>
                                  <w:pPr>
                                    <w:ind w:firstLine="480"/>
                                  </w:pPr>
                                </w:p>
                              </w:txbxContent>
                            </wps:txbx>
                            <wps:bodyPr upright="1"/>
                          </wps:wsp>
                        </a:graphicData>
                      </a:graphic>
                    </wp:anchor>
                  </w:drawing>
                </mc:Choice>
                <mc:Fallback>
                  <w:pict>
                    <v:rect id="_x0000_s1026" o:spid="_x0000_s1026" o:spt="1" style="position:absolute;left:0pt;margin-left:94.2pt;margin-top:10.1pt;height:23.8pt;width:237.3pt;z-index:251773952;mso-width-relative:page;mso-height-relative:page;" filled="f" stroked="f" coordsize="21600,21600" o:gfxdata="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2arCR2AAAAAkBAAAPAAAA&#10;AAAAAAEAIAAAACIAAABkcnMvZG93bnJldi54bWxQSwECFAAUAAAACACHTuJAyUweHKMBAABFAwAA&#10;DgAAAAAAAAABACAAAAAnAQAAZHJzL2Uyb0RvYy54bWxQSwUGAAAAAAYABgBZAQAAPAUAAAAA&#10;">
                      <v:path/>
                      <v:fill on="f" focussize="0,0"/>
                      <v:stroke on="f"/>
                      <v:imagedata o:title=""/>
                      <o:lock v:ext="edit" aspectratio="f"/>
                      <v:textbox>
                        <w:txbxContent>
                          <w:p>
                            <w:pPr>
                              <w:ind w:firstLine="482"/>
                              <w:rPr>
                                <w:b/>
                              </w:rPr>
                            </w:pPr>
                            <w:r>
                              <w:rPr>
                                <w:rFonts w:hint="eastAsia"/>
                                <w:b/>
                              </w:rPr>
                              <w:t>图2-</w:t>
                            </w:r>
                            <w:r>
                              <w:rPr>
                                <w:rFonts w:hint="eastAsia"/>
                                <w:b/>
                                <w:lang w:val="en-US" w:eastAsia="zh-CN"/>
                              </w:rPr>
                              <w:t>20</w:t>
                            </w:r>
                            <w:r>
                              <w:rPr>
                                <w:rFonts w:hint="eastAsia"/>
                                <w:b/>
                              </w:rPr>
                              <w:t xml:space="preserve">  分水洞施工工艺及产污节点图</w:t>
                            </w:r>
                          </w:p>
                          <w:p>
                            <w:pPr>
                              <w:ind w:firstLine="480"/>
                            </w:pPr>
                          </w:p>
                        </w:txbxContent>
                      </v:textbox>
                    </v:rect>
                  </w:pict>
                </mc:Fallback>
              </mc:AlternateContent>
            </w:r>
          </w:p>
          <w:p>
            <w:pPr>
              <w:pStyle w:val="138"/>
              <w:rPr>
                <w:rFonts w:ascii="Times New Roman" w:hAnsi="Times New Roman"/>
              </w:rPr>
            </w:pPr>
          </w:p>
          <w:p>
            <w:pPr>
              <w:pStyle w:val="138"/>
              <w:rPr>
                <w:rFonts w:ascii="Times New Roman" w:hAnsi="Times New Roman"/>
              </w:rPr>
            </w:pPr>
            <w:r>
              <w:rPr>
                <w:rFonts w:ascii="Times New Roman" w:hAnsi="Times New Roman"/>
              </w:rPr>
              <w:t>本次拟将该14座分水洞全部拆除重新埋设砼预制管，采用成套铸铁阀门挡水、放水，阀门直径0.3*0.3，并在闸门后适当位置设置三角埝量水设施进行科学管理，计量供水。</w:t>
            </w:r>
          </w:p>
          <w:p>
            <w:pPr>
              <w:pStyle w:val="138"/>
              <w:ind w:firstLine="482"/>
              <w:rPr>
                <w:rFonts w:hint="eastAsia" w:ascii="Times New Roman" w:hAnsi="Times New Roman"/>
                <w:b/>
                <w:bCs/>
                <w:color w:val="000000"/>
              </w:rPr>
            </w:pPr>
            <w:r>
              <w:rPr>
                <w:rFonts w:hint="eastAsia" w:ascii="Times New Roman" w:hAnsi="Times New Roman"/>
                <w:b/>
                <w:bCs/>
                <w:color w:val="000000"/>
              </w:rPr>
              <w:t>（7）机耕桥、人行桥、便民梯步</w:t>
            </w:r>
          </w:p>
          <w:p>
            <w:pPr>
              <w:pStyle w:val="138"/>
              <w:rPr>
                <w:rFonts w:hint="eastAsia" w:ascii="Times New Roman" w:hAnsi="Times New Roman"/>
                <w:color w:val="000000"/>
              </w:rPr>
            </w:pPr>
            <w:r>
              <w:rPr>
                <w:rFonts w:hint="eastAsia" w:ascii="宋体" w:hAnsi="宋体"/>
              </w:rPr>
              <w:t>本次整治机耕桥4座，均因建成年代久远，坏损严重，宽度也不满足要求，无护栏，加之渠道整治断面发生变化，本次采取拆除并在原址</w:t>
            </w:r>
            <w:r>
              <w:rPr>
                <w:rFonts w:ascii="Times New Roman" w:hAnsi="Times New Roman"/>
              </w:rPr>
              <w:t>进行重建</w:t>
            </w:r>
            <w:r>
              <w:rPr>
                <w:rFonts w:hint="eastAsia" w:ascii="Times New Roman" w:hAnsi="Times New Roman"/>
              </w:rPr>
              <w:t>；</w:t>
            </w:r>
            <w:r>
              <w:rPr>
                <w:rFonts w:ascii="Times New Roman" w:hAnsi="Times New Roman"/>
              </w:rPr>
              <w:t>本次整治段内有17座人行桥不能正常运行，要么缩窄了渠道，造成堵水，要么已基本损坏，要么桥面太窄，行走危险，为满足渠道两岸村民的交通要求，方便沿渠两岸村民的农耕及生活，对本次整治渠段内这17座人行桥拆除重建</w:t>
            </w:r>
            <w:r>
              <w:rPr>
                <w:rFonts w:hint="eastAsia" w:ascii="Times New Roman" w:hAnsi="Times New Roman"/>
              </w:rPr>
              <w:t>；</w:t>
            </w:r>
            <w:r>
              <w:rPr>
                <w:rFonts w:hint="eastAsia" w:ascii="宋体" w:hAnsi="宋体"/>
              </w:rPr>
              <w:t>整治渠道段现有便民梯步2处，因渠道整治，这些便民梯步将受损，将此2处便民梯步根据整治后的渠道断面，在原址拆除重建。</w:t>
            </w:r>
          </w:p>
          <w:p>
            <w:pPr>
              <w:pStyle w:val="138"/>
              <w:ind w:firstLine="482"/>
              <w:rPr>
                <w:rFonts w:hint="eastAsia"/>
                <w:b/>
                <w:bCs/>
                <w:color w:val="000000"/>
              </w:rPr>
            </w:pPr>
            <w:r>
              <w:rPr>
                <w:rFonts w:hint="eastAsia"/>
                <w:b/>
                <w:bCs/>
                <w:color w:val="000000"/>
              </w:rPr>
              <w:t>施工工艺如下图所示：</w:t>
            </w: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p>
          <w:p>
            <w:pPr>
              <w:spacing w:line="480" w:lineRule="exact"/>
              <w:rPr>
                <w:rFonts w:hint="eastAsia"/>
                <w:sz w:val="24"/>
              </w:rPr>
            </w:pPr>
            <w:r>
              <w:rPr>
                <w:sz w:val="24"/>
              </w:rPr>
              <mc:AlternateContent>
                <mc:Choice Requires="wpc">
                  <w:drawing>
                    <wp:inline distT="0" distB="0" distL="114300" distR="114300">
                      <wp:extent cx="5092700" cy="2856865"/>
                      <wp:effectExtent l="0" t="0" r="0" b="59055"/>
                      <wp:docPr id="367" name="画布 3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43" name="流程图: 过程 343"/>
                              <wps:cNvSpPr/>
                              <wps:spPr>
                                <a:xfrm>
                                  <a:off x="3219450" y="2253615"/>
                                  <a:ext cx="1485900" cy="297180"/>
                                </a:xfrm>
                                <a:prstGeom prst="flowChartProcess">
                                  <a:avLst/>
                                </a:prstGeom>
                                <a:solidFill>
                                  <a:srgbClr val="FFFFFF"/>
                                </a:solidFill>
                                <a:ln>
                                  <a:noFill/>
                                </a:ln>
                              </wps:spPr>
                              <wps:txbx>
                                <w:txbxContent>
                                  <w:p>
                                    <w:pPr>
                                      <w:pStyle w:val="87"/>
                                      <w:rPr>
                                        <w:rFonts w:hint="eastAsia"/>
                                      </w:rPr>
                                    </w:pPr>
                                    <w:r>
                                      <w:rPr>
                                        <w:rFonts w:hint="eastAsia"/>
                                      </w:rPr>
                                      <w:t>污泥、建筑垃圾、噪声</w:t>
                                    </w:r>
                                  </w:p>
                                </w:txbxContent>
                              </wps:txbx>
                              <wps:bodyPr upright="1"/>
                            </wps:wsp>
                            <wps:wsp>
                              <wps:cNvPr id="344" name="流程图: 过程 344"/>
                              <wps:cNvSpPr/>
                              <wps:spPr>
                                <a:xfrm>
                                  <a:off x="114300" y="892175"/>
                                  <a:ext cx="799465" cy="29654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桥梁拆除</w:t>
                                    </w:r>
                                  </w:p>
                                </w:txbxContent>
                              </wps:txbx>
                              <wps:bodyPr upright="1"/>
                            </wps:wsp>
                            <wps:wsp>
                              <wps:cNvPr id="345" name="流程图: 过程 345"/>
                              <wps:cNvSpPr/>
                              <wps:spPr>
                                <a:xfrm>
                                  <a:off x="1257300" y="892175"/>
                                  <a:ext cx="800100" cy="29654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模板安装</w:t>
                                    </w:r>
                                  </w:p>
                                </w:txbxContent>
                              </wps:txbx>
                              <wps:bodyPr upright="1"/>
                            </wps:wsp>
                            <wps:wsp>
                              <wps:cNvPr id="346" name="流程图: 过程 346"/>
                              <wps:cNvSpPr/>
                              <wps:spPr>
                                <a:xfrm>
                                  <a:off x="4346575" y="835660"/>
                                  <a:ext cx="609600" cy="43815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87"/>
                                      <w:ind w:left="0" w:leftChars="0" w:right="0" w:rightChars="0" w:firstLine="0" w:firstLineChars="0"/>
                                      <w:jc w:val="center"/>
                                      <w:rPr>
                                        <w:rFonts w:hint="eastAsia"/>
                                      </w:rPr>
                                    </w:pPr>
                                    <w:r>
                                      <w:rPr>
                                        <w:rFonts w:hint="eastAsia"/>
                                      </w:rPr>
                                      <w:t>混凝土养护</w:t>
                                    </w:r>
                                  </w:p>
                                </w:txbxContent>
                              </wps:txbx>
                              <wps:bodyPr upright="1"/>
                            </wps:wsp>
                            <wps:wsp>
                              <wps:cNvPr id="347" name="流程图: 过程 347"/>
                              <wps:cNvSpPr/>
                              <wps:spPr>
                                <a:xfrm>
                                  <a:off x="2286635" y="891540"/>
                                  <a:ext cx="799465" cy="29718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钢筋制安</w:t>
                                    </w:r>
                                  </w:p>
                                </w:txbxContent>
                              </wps:txbx>
                              <wps:bodyPr upright="1"/>
                            </wps:wsp>
                            <wps:wsp>
                              <wps:cNvPr id="348" name="流程图: 过程 348"/>
                              <wps:cNvSpPr/>
                              <wps:spPr>
                                <a:xfrm>
                                  <a:off x="3277870" y="901065"/>
                                  <a:ext cx="859790" cy="29654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混凝土浇筑</w:t>
                                    </w:r>
                                  </w:p>
                                </w:txbxContent>
                              </wps:txbx>
                              <wps:bodyPr upright="1"/>
                            </wps:wsp>
                            <wps:wsp>
                              <wps:cNvPr id="349" name="流程图: 过程 349"/>
                              <wps:cNvSpPr/>
                              <wps:spPr>
                                <a:xfrm>
                                  <a:off x="3810" y="373380"/>
                                  <a:ext cx="948690" cy="296545"/>
                                </a:xfrm>
                                <a:prstGeom prst="flowChartProcess">
                                  <a:avLst/>
                                </a:prstGeom>
                                <a:solidFill>
                                  <a:srgbClr val="FFFFFF"/>
                                </a:solidFill>
                                <a:ln>
                                  <a:noFill/>
                                </a:ln>
                              </wps:spPr>
                              <wps:txbx>
                                <w:txbxContent>
                                  <w:p>
                                    <w:pPr>
                                      <w:pStyle w:val="87"/>
                                      <w:jc w:val="center"/>
                                      <w:rPr>
                                        <w:rFonts w:hint="eastAsia"/>
                                        <w:szCs w:val="21"/>
                                      </w:rPr>
                                    </w:pPr>
                                    <w:r>
                                      <w:rPr>
                                        <w:rFonts w:hint="eastAsia"/>
                                        <w:szCs w:val="21"/>
                                      </w:rPr>
                                      <w:t>粉尘、固废</w:t>
                                    </w:r>
                                  </w:p>
                                </w:txbxContent>
                              </wps:txbx>
                              <wps:bodyPr upright="1"/>
                            </wps:wsp>
                            <wps:wsp>
                              <wps:cNvPr id="350" name="流程图: 过程 350"/>
                              <wps:cNvSpPr/>
                              <wps:spPr>
                                <a:xfrm>
                                  <a:off x="983615" y="360045"/>
                                  <a:ext cx="1273810" cy="462915"/>
                                </a:xfrm>
                                <a:prstGeom prst="flowChartProcess">
                                  <a:avLst/>
                                </a:prstGeom>
                                <a:solidFill>
                                  <a:srgbClr val="FFFFFF"/>
                                </a:solidFill>
                                <a:ln>
                                  <a:noFill/>
                                </a:ln>
                              </wps:spPr>
                              <wps:txbx>
                                <w:txbxContent>
                                  <w:p>
                                    <w:pPr>
                                      <w:pStyle w:val="87"/>
                                      <w:rPr>
                                        <w:rFonts w:hint="eastAsia"/>
                                        <w:szCs w:val="21"/>
                                      </w:rPr>
                                    </w:pPr>
                                    <w:r>
                                      <w:rPr>
                                        <w:rFonts w:hint="eastAsia"/>
                                        <w:szCs w:val="21"/>
                                      </w:rPr>
                                      <w:t>固废、噪声、废气</w:t>
                                    </w:r>
                                  </w:p>
                                </w:txbxContent>
                              </wps:txbx>
                              <wps:bodyPr upright="1"/>
                            </wps:wsp>
                            <wps:wsp>
                              <wps:cNvPr id="351" name="流程图: 过程 351"/>
                              <wps:cNvSpPr/>
                              <wps:spPr>
                                <a:xfrm>
                                  <a:off x="2497455" y="385445"/>
                                  <a:ext cx="502920" cy="296545"/>
                                </a:xfrm>
                                <a:prstGeom prst="flowChartProcess">
                                  <a:avLst/>
                                </a:prstGeom>
                                <a:solidFill>
                                  <a:srgbClr val="FFFFFF"/>
                                </a:solidFill>
                                <a:ln>
                                  <a:noFill/>
                                </a:ln>
                              </wps:spPr>
                              <wps:txbx>
                                <w:txbxContent>
                                  <w:p>
                                    <w:pPr>
                                      <w:pStyle w:val="87"/>
                                      <w:rPr>
                                        <w:rFonts w:hint="eastAsia"/>
                                        <w:szCs w:val="21"/>
                                      </w:rPr>
                                    </w:pPr>
                                    <w:r>
                                      <w:rPr>
                                        <w:rFonts w:hint="eastAsia"/>
                                        <w:szCs w:val="21"/>
                                      </w:rPr>
                                      <w:t>固废</w:t>
                                    </w:r>
                                  </w:p>
                                </w:txbxContent>
                              </wps:txbx>
                              <wps:bodyPr upright="1"/>
                            </wps:wsp>
                            <wps:wsp>
                              <wps:cNvPr id="352" name="流程图: 过程 352"/>
                              <wps:cNvSpPr/>
                              <wps:spPr>
                                <a:xfrm>
                                  <a:off x="3052445" y="387350"/>
                                  <a:ext cx="1256030" cy="322580"/>
                                </a:xfrm>
                                <a:prstGeom prst="flowChartProcess">
                                  <a:avLst/>
                                </a:prstGeom>
                                <a:solidFill>
                                  <a:srgbClr val="FFFFFF"/>
                                </a:solidFill>
                                <a:ln>
                                  <a:noFill/>
                                </a:ln>
                              </wps:spPr>
                              <wps:txbx>
                                <w:txbxContent>
                                  <w:p>
                                    <w:pPr>
                                      <w:pStyle w:val="87"/>
                                      <w:rPr>
                                        <w:rFonts w:hint="eastAsia"/>
                                        <w:szCs w:val="21"/>
                                      </w:rPr>
                                    </w:pPr>
                                    <w:r>
                                      <w:rPr>
                                        <w:rFonts w:hint="eastAsia"/>
                                        <w:szCs w:val="21"/>
                                      </w:rPr>
                                      <w:t>扬尘、噪声、固废</w:t>
                                    </w:r>
                                  </w:p>
                                </w:txbxContent>
                              </wps:txbx>
                              <wps:bodyPr upright="1"/>
                            </wps:wsp>
                            <wps:wsp>
                              <wps:cNvPr id="353" name="流程图: 过程 353"/>
                              <wps:cNvSpPr/>
                              <wps:spPr>
                                <a:xfrm>
                                  <a:off x="1828800" y="1689735"/>
                                  <a:ext cx="1143635" cy="29718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验收、投入运营</w:t>
                                    </w:r>
                                  </w:p>
                                </w:txbxContent>
                              </wps:txbx>
                              <wps:bodyPr upright="1"/>
                            </wps:wsp>
                            <wps:wsp>
                              <wps:cNvPr id="354" name="直接箭头连接符 354"/>
                              <wps:cNvCnPr/>
                              <wps:spPr>
                                <a:xfrm>
                                  <a:off x="913765" y="1033145"/>
                                  <a:ext cx="343535" cy="635"/>
                                </a:xfrm>
                                <a:prstGeom prst="straightConnector1">
                                  <a:avLst/>
                                </a:prstGeom>
                                <a:ln w="9525" cap="flat" cmpd="sng">
                                  <a:solidFill>
                                    <a:srgbClr val="000000"/>
                                  </a:solidFill>
                                  <a:prstDash val="solid"/>
                                  <a:headEnd type="none" w="med" len="med"/>
                                  <a:tailEnd type="triangle" w="med" len="med"/>
                                </a:ln>
                              </wps:spPr>
                              <wps:bodyPr/>
                            </wps:wsp>
                            <wps:wsp>
                              <wps:cNvPr id="355" name="直接连接符 355"/>
                              <wps:cNvSpPr/>
                              <wps:spPr>
                                <a:xfrm>
                                  <a:off x="2057400" y="1042035"/>
                                  <a:ext cx="229235" cy="635"/>
                                </a:xfrm>
                                <a:prstGeom prst="line">
                                  <a:avLst/>
                                </a:prstGeom>
                                <a:ln w="9525" cap="flat" cmpd="sng">
                                  <a:solidFill>
                                    <a:srgbClr val="000000"/>
                                  </a:solidFill>
                                  <a:prstDash val="solid"/>
                                  <a:headEnd type="none" w="med" len="med"/>
                                  <a:tailEnd type="triangle" w="med" len="med"/>
                                </a:ln>
                              </wps:spPr>
                              <wps:bodyPr upright="1"/>
                            </wps:wsp>
                            <wps:wsp>
                              <wps:cNvPr id="356" name="直接连接符 356"/>
                              <wps:cNvSpPr/>
                              <wps:spPr>
                                <a:xfrm flipV="1">
                                  <a:off x="3086100" y="1042035"/>
                                  <a:ext cx="193040" cy="635"/>
                                </a:xfrm>
                                <a:prstGeom prst="line">
                                  <a:avLst/>
                                </a:prstGeom>
                                <a:ln w="9525" cap="flat" cmpd="sng">
                                  <a:solidFill>
                                    <a:srgbClr val="000000"/>
                                  </a:solidFill>
                                  <a:prstDash val="solid"/>
                                  <a:headEnd type="none" w="med" len="med"/>
                                  <a:tailEnd type="triangle" w="med" len="med"/>
                                </a:ln>
                              </wps:spPr>
                              <wps:bodyPr upright="1"/>
                            </wps:wsp>
                            <wps:wsp>
                              <wps:cNvPr id="357" name="直接连接符 357"/>
                              <wps:cNvSpPr/>
                              <wps:spPr>
                                <a:xfrm>
                                  <a:off x="4137660" y="1042670"/>
                                  <a:ext cx="208915" cy="635"/>
                                </a:xfrm>
                                <a:prstGeom prst="line">
                                  <a:avLst/>
                                </a:prstGeom>
                                <a:ln w="9525" cap="flat" cmpd="sng">
                                  <a:solidFill>
                                    <a:srgbClr val="000000"/>
                                  </a:solidFill>
                                  <a:prstDash val="solid"/>
                                  <a:headEnd type="none" w="med" len="med"/>
                                  <a:tailEnd type="triangle" w="med" len="med"/>
                                </a:ln>
                              </wps:spPr>
                              <wps:bodyPr upright="1"/>
                            </wps:wsp>
                            <wps:wsp>
                              <wps:cNvPr id="358" name="直接连接符 358"/>
                              <wps:cNvSpPr/>
                              <wps:spPr>
                                <a:xfrm flipV="1">
                                  <a:off x="457200" y="594360"/>
                                  <a:ext cx="635" cy="297815"/>
                                </a:xfrm>
                                <a:prstGeom prst="line">
                                  <a:avLst/>
                                </a:prstGeom>
                                <a:ln w="6350" cap="flat" cmpd="sng">
                                  <a:solidFill>
                                    <a:srgbClr val="000000"/>
                                  </a:solidFill>
                                  <a:prstDash val="dash"/>
                                  <a:headEnd type="none" w="med" len="med"/>
                                  <a:tailEnd type="triangle" w="med" len="med"/>
                                </a:ln>
                              </wps:spPr>
                              <wps:bodyPr upright="1"/>
                            </wps:wsp>
                            <wps:wsp>
                              <wps:cNvPr id="359" name="直接连接符 359"/>
                              <wps:cNvSpPr/>
                              <wps:spPr>
                                <a:xfrm flipV="1">
                                  <a:off x="1599565" y="583565"/>
                                  <a:ext cx="0" cy="296545"/>
                                </a:xfrm>
                                <a:prstGeom prst="line">
                                  <a:avLst/>
                                </a:prstGeom>
                                <a:ln w="9525" cap="flat" cmpd="sng">
                                  <a:solidFill>
                                    <a:srgbClr val="000000"/>
                                  </a:solidFill>
                                  <a:prstDash val="dash"/>
                                  <a:headEnd type="none" w="med" len="med"/>
                                  <a:tailEnd type="triangle" w="med" len="med"/>
                                </a:ln>
                              </wps:spPr>
                              <wps:bodyPr upright="1"/>
                            </wps:wsp>
                            <wps:wsp>
                              <wps:cNvPr id="360" name="直接连接符 360"/>
                              <wps:cNvSpPr/>
                              <wps:spPr>
                                <a:xfrm flipV="1">
                                  <a:off x="2743200" y="594360"/>
                                  <a:ext cx="0" cy="297815"/>
                                </a:xfrm>
                                <a:prstGeom prst="line">
                                  <a:avLst/>
                                </a:prstGeom>
                                <a:ln w="9525" cap="flat" cmpd="sng">
                                  <a:solidFill>
                                    <a:srgbClr val="000000"/>
                                  </a:solidFill>
                                  <a:prstDash val="dash"/>
                                  <a:headEnd type="none" w="med" len="med"/>
                                  <a:tailEnd type="triangle" w="med" len="med"/>
                                </a:ln>
                              </wps:spPr>
                              <wps:bodyPr upright="1"/>
                            </wps:wsp>
                            <wps:wsp>
                              <wps:cNvPr id="361" name="直接连接符 361"/>
                              <wps:cNvSpPr/>
                              <wps:spPr>
                                <a:xfrm flipV="1">
                                  <a:off x="3591560" y="594360"/>
                                  <a:ext cx="635" cy="297815"/>
                                </a:xfrm>
                                <a:prstGeom prst="line">
                                  <a:avLst/>
                                </a:prstGeom>
                                <a:ln w="9525" cap="flat" cmpd="sng">
                                  <a:solidFill>
                                    <a:srgbClr val="000000"/>
                                  </a:solidFill>
                                  <a:prstDash val="dash"/>
                                  <a:headEnd type="none" w="med" len="med"/>
                                  <a:tailEnd type="triangle" w="med" len="med"/>
                                </a:ln>
                              </wps:spPr>
                              <wps:bodyPr upright="1"/>
                            </wps:wsp>
                            <wps:wsp>
                              <wps:cNvPr id="362" name="流程图: 过程 362"/>
                              <wps:cNvSpPr/>
                              <wps:spPr>
                                <a:xfrm>
                                  <a:off x="3460750" y="1684020"/>
                                  <a:ext cx="948690" cy="29718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87"/>
                                      <w:ind w:firstLine="420" w:firstLineChars="200"/>
                                      <w:rPr>
                                        <w:rFonts w:hint="eastAsia"/>
                                      </w:rPr>
                                    </w:pPr>
                                    <w:r>
                                      <w:rPr>
                                        <w:rFonts w:hint="eastAsia"/>
                                      </w:rPr>
                                      <w:t>拆模</w:t>
                                    </w:r>
                                  </w:p>
                                </w:txbxContent>
                              </wps:txbx>
                              <wps:bodyPr upright="1"/>
                            </wps:wsp>
                            <wps:wsp>
                              <wps:cNvPr id="363" name="直接连接符 363"/>
                              <wps:cNvSpPr/>
                              <wps:spPr>
                                <a:xfrm flipH="1">
                                  <a:off x="2991485" y="1844040"/>
                                  <a:ext cx="455295" cy="1270"/>
                                </a:xfrm>
                                <a:prstGeom prst="line">
                                  <a:avLst/>
                                </a:prstGeom>
                                <a:ln w="9525" cap="flat" cmpd="sng">
                                  <a:solidFill>
                                    <a:srgbClr val="000000"/>
                                  </a:solidFill>
                                  <a:prstDash val="solid"/>
                                  <a:headEnd type="none" w="med" len="med"/>
                                  <a:tailEnd type="triangle" w="med" len="med"/>
                                </a:ln>
                              </wps:spPr>
                              <wps:bodyPr upright="1"/>
                            </wps:wsp>
                            <wps:wsp>
                              <wps:cNvPr id="364" name="直接连接符 364"/>
                              <wps:cNvSpPr/>
                              <wps:spPr>
                                <a:xfrm>
                                  <a:off x="3895725" y="1985645"/>
                                  <a:ext cx="635" cy="296545"/>
                                </a:xfrm>
                                <a:prstGeom prst="line">
                                  <a:avLst/>
                                </a:prstGeom>
                                <a:ln w="9525" cap="flat" cmpd="sng">
                                  <a:solidFill>
                                    <a:srgbClr val="000000"/>
                                  </a:solidFill>
                                  <a:prstDash val="dash"/>
                                  <a:headEnd type="none" w="med" len="med"/>
                                  <a:tailEnd type="triangle" w="med" len="med"/>
                                </a:ln>
                              </wps:spPr>
                              <wps:bodyPr upright="1"/>
                            </wps:wsp>
                            <wps:wsp>
                              <wps:cNvPr id="365" name="肘形连接符 365"/>
                              <wps:cNvCnPr/>
                              <wps:spPr>
                                <a:xfrm rot="5400000">
                                  <a:off x="4264660" y="1411605"/>
                                  <a:ext cx="558165" cy="276225"/>
                                </a:xfrm>
                                <a:prstGeom prst="bentConnector2">
                                  <a:avLst/>
                                </a:prstGeom>
                                <a:ln w="9525" cap="flat" cmpd="sng">
                                  <a:solidFill>
                                    <a:srgbClr val="000000"/>
                                  </a:solidFill>
                                  <a:prstDash val="solid"/>
                                  <a:miter/>
                                  <a:headEnd type="none" w="med" len="med"/>
                                  <a:tailEnd type="triangle" w="med" len="med"/>
                                </a:ln>
                              </wps:spPr>
                              <wps:bodyPr/>
                            </wps:wsp>
                            <wps:wsp>
                              <wps:cNvPr id="366" name="流程图: 过程 366"/>
                              <wps:cNvSpPr/>
                              <wps:spPr>
                                <a:xfrm>
                                  <a:off x="1348740" y="2584450"/>
                                  <a:ext cx="2696845" cy="320040"/>
                                </a:xfrm>
                                <a:prstGeom prst="flowChartProcess">
                                  <a:avLst/>
                                </a:prstGeom>
                                <a:solidFill>
                                  <a:srgbClr val="FFFFFF"/>
                                </a:solidFill>
                                <a:ln>
                                  <a:noFill/>
                                </a:ln>
                              </wps:spPr>
                              <wps:txbx>
                                <w:txbxContent>
                                  <w:p>
                                    <w:pPr>
                                      <w:jc w:val="center"/>
                                      <w:rPr>
                                        <w:rFonts w:hint="eastAsia"/>
                                        <w:b/>
                                        <w:color w:val="000000"/>
                                      </w:rPr>
                                    </w:pPr>
                                    <w:r>
                                      <w:rPr>
                                        <w:rFonts w:hint="eastAsia"/>
                                        <w:b/>
                                        <w:color w:val="000000"/>
                                      </w:rPr>
                                      <w:t>图</w:t>
                                    </w:r>
                                    <w:r>
                                      <w:rPr>
                                        <w:rFonts w:hint="eastAsia"/>
                                        <w:b/>
                                        <w:color w:val="000000"/>
                                        <w:lang w:val="en-US" w:eastAsia="zh-CN"/>
                                      </w:rPr>
                                      <w:t>2-21</w:t>
                                    </w:r>
                                    <w:r>
                                      <w:rPr>
                                        <w:rFonts w:hint="eastAsia"/>
                                        <w:b/>
                                        <w:color w:val="000000"/>
                                      </w:rPr>
                                      <w:t xml:space="preserve"> 施工</w:t>
                                    </w:r>
                                    <w:r>
                                      <w:rPr>
                                        <w:b/>
                                        <w:color w:val="000000"/>
                                      </w:rPr>
                                      <w:t>工艺流程</w:t>
                                    </w:r>
                                    <w:r>
                                      <w:rPr>
                                        <w:rFonts w:hint="eastAsia"/>
                                        <w:b/>
                                        <w:color w:val="000000"/>
                                      </w:rPr>
                                      <w:t>及</w:t>
                                    </w:r>
                                    <w:r>
                                      <w:rPr>
                                        <w:b/>
                                        <w:color w:val="000000"/>
                                      </w:rPr>
                                      <w:t>产污节点图</w:t>
                                    </w:r>
                                  </w:p>
                                </w:txbxContent>
                              </wps:txbx>
                              <wps:bodyPr upright="1"/>
                            </wps:wsp>
                          </wpc:wpc>
                        </a:graphicData>
                      </a:graphic>
                    </wp:inline>
                  </w:drawing>
                </mc:Choice>
                <mc:Fallback>
                  <w:pict>
                    <v:group id="_x0000_s1026" o:spid="_x0000_s1026" o:spt="203" style="height:224.95pt;width:401pt;" coordsize="5092700,2856865" editas="canvas" o:gfxdata="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&#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">
                      <o:lock v:ext="edit" aspectratio="f"/>
                      <v:rect id="_x0000_s1026" o:spid="_x0000_s1026" o:spt="1" style="position:absolute;left:0;top:0;height:2856865;width:5092700;" filled="f" stroked="f" coordsize="21600,21600" o:gfxdata="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">
                        <v:path/>
                        <v:fill on="f" focussize="0,0"/>
                        <v:stroke on="f"/>
                        <v:imagedata o:title=""/>
                        <o:lock v:ext="edit" rotation="t" text="t" aspectratio="t"/>
                      </v:rect>
                      <v:shape id="_x0000_s1026" o:spid="_x0000_s1026" o:spt="109" type="#_x0000_t109" style="position:absolute;left:3219450;top:2253615;height:297180;width:1485900;"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xiPvXVAAAABQEAAA8AAAAA&#10;AAAAAQAgAAAAIgAAAGRycy9kb3ducmV2LnhtbFBLAQIUABQAAAAIAIdO4kBgYkWK3gEAAJEDAAAO&#10;AAAAAAAAAAEAIAAAACQBAABkcnMvZTJvRG9jLnhtbFBLBQYAAAAABgAGAFkBAAB0BQAAAAA=&#10;">
                        <v:fill on="t" focussize="0,0"/>
                        <v:stroke on="f"/>
                        <v:imagedata o:title=""/>
                        <o:lock v:ext="edit" aspectratio="f"/>
                        <v:textbox>
                          <w:txbxContent>
                            <w:p>
                              <w:pPr>
                                <w:pStyle w:val="87"/>
                                <w:rPr>
                                  <w:rFonts w:hint="eastAsia"/>
                                </w:rPr>
                              </w:pPr>
                              <w:r>
                                <w:rPr>
                                  <w:rFonts w:hint="eastAsia"/>
                                </w:rPr>
                                <w:t>污泥、建筑垃圾、噪声</w:t>
                              </w:r>
                            </w:p>
                          </w:txbxContent>
                        </v:textbox>
                      </v:shape>
                      <v:shape id="_x0000_s1026" o:spid="_x0000_s1026" o:spt="109" type="#_x0000_t109" style="position:absolute;left:114300;top:892175;height:296545;width:799465;"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14PcwdYAAAAFAQAADwAAAAAAAAABACAAAAAiAAAAZHJzL2Rvd25yZXYueG1sUEsBAhQAFAAAAAgA&#10;h07iQBrinmMnAgAATQQAAA4AAAAAAAAAAQAgAAAAJQEAAGRycy9lMm9Eb2MueG1sUEsFBgAAAAAG&#10;AAYAWQEAAL4FAAAAAA==&#10;">
                        <v:fill on="t" focussize="0,0"/>
                        <v:stroke color="#000000" joinstyle="miter"/>
                        <v:imagedata o:title=""/>
                        <o:lock v:ext="edit" aspectratio="f"/>
                        <v:textbox>
                          <w:txbxContent>
                            <w:p>
                              <w:pPr>
                                <w:jc w:val="center"/>
                                <w:rPr>
                                  <w:rFonts w:hint="eastAsia"/>
                                </w:rPr>
                              </w:pPr>
                              <w:r>
                                <w:rPr>
                                  <w:rFonts w:hint="eastAsia"/>
                                </w:rPr>
                                <w:t>桥梁拆除</w:t>
                              </w:r>
                            </w:p>
                          </w:txbxContent>
                        </v:textbox>
                      </v:shape>
                      <v:shape id="_x0000_s1026" o:spid="_x0000_s1026" o:spt="109" type="#_x0000_t109" style="position:absolute;left:1257300;top:892175;height:296545;width:800100;"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X&#10;g9zB1gAAAAUBAAAPAAAAAAAAAAEAIAAAACIAAABkcnMvZG93bnJldi54bWxQSwECFAAUAAAACACH&#10;TuJAIn90/SYCAABOBAAADgAAAAAAAAABACAAAAAlAQAAZHJzL2Uyb0RvYy54bWxQSwUGAAAAAAYA&#10;BgBZAQAAvQUAAAAA&#10;">
                        <v:fill on="t" focussize="0,0"/>
                        <v:stroke color="#000000" joinstyle="miter"/>
                        <v:imagedata o:title=""/>
                        <o:lock v:ext="edit" aspectratio="f"/>
                        <v:textbox>
                          <w:txbxContent>
                            <w:p>
                              <w:pPr>
                                <w:jc w:val="center"/>
                                <w:rPr>
                                  <w:rFonts w:hint="eastAsia"/>
                                </w:rPr>
                              </w:pPr>
                              <w:r>
                                <w:rPr>
                                  <w:rFonts w:hint="eastAsia"/>
                                </w:rPr>
                                <w:t>模板安装</w:t>
                              </w:r>
                            </w:p>
                          </w:txbxContent>
                        </v:textbox>
                      </v:shape>
                      <v:shape id="_x0000_s1026" o:spid="_x0000_s1026" o:spt="109" type="#_x0000_t109" style="position:absolute;left:4346575;top:835660;height:438150;width:609600;"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14PcwdYAAAAFAQAADwAAAAAAAAABACAAAAAiAAAAZHJzL2Rvd25yZXYueG1sUEsBAhQAFAAAAAgA&#10;h07iQGUeh4MnAgAATgQAAA4AAAAAAAAAAQAgAAAAJQEAAGRycy9lMm9Eb2MueG1sUEsFBgAAAAAG&#10;AAYAWQEAAL4FAAAAAA==&#10;">
                        <v:fill on="t" focussize="0,0"/>
                        <v:stroke color="#000000" joinstyle="miter"/>
                        <v:imagedata o:title=""/>
                        <o:lock v:ext="edit" aspectratio="f"/>
                        <v:textbox>
                          <w:txbxContent>
                            <w:p>
                              <w:pPr>
                                <w:pStyle w:val="87"/>
                                <w:ind w:left="0" w:leftChars="0" w:right="0" w:rightChars="0" w:firstLine="0" w:firstLineChars="0"/>
                                <w:jc w:val="center"/>
                                <w:rPr>
                                  <w:rFonts w:hint="eastAsia"/>
                                </w:rPr>
                              </w:pPr>
                              <w:r>
                                <w:rPr>
                                  <w:rFonts w:hint="eastAsia"/>
                                </w:rPr>
                                <w:t>混凝土养护</w:t>
                              </w:r>
                            </w:p>
                          </w:txbxContent>
                        </v:textbox>
                      </v:shape>
                      <v:shape id="_x0000_s1026" o:spid="_x0000_s1026" o:spt="109" type="#_x0000_t109" style="position:absolute;left:2286635;top:891540;height:297180;width:799465;"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14PcwdYAAAAFAQAADwAAAAAAAAABACAAAAAiAAAAZHJzL2Rvd25yZXYueG1sUEsBAhQAFAAAAAgA&#10;h07iQA45cpMnAgAATgQAAA4AAAAAAAAAAQAgAAAAJQEAAGRycy9lMm9Eb2MueG1sUEsFBgAAAAAG&#10;AAYAWQEAAL4FAAAAAA==&#10;">
                        <v:fill on="t" focussize="0,0"/>
                        <v:stroke color="#000000" joinstyle="miter"/>
                        <v:imagedata o:title=""/>
                        <o:lock v:ext="edit" aspectratio="f"/>
                        <v:textbox>
                          <w:txbxContent>
                            <w:p>
                              <w:pPr>
                                <w:jc w:val="center"/>
                                <w:rPr>
                                  <w:rFonts w:hint="eastAsia"/>
                                </w:rPr>
                              </w:pPr>
                              <w:r>
                                <w:rPr>
                                  <w:rFonts w:hint="eastAsia"/>
                                </w:rPr>
                                <w:t>钢筋制安</w:t>
                              </w:r>
                            </w:p>
                          </w:txbxContent>
                        </v:textbox>
                      </v:shape>
                      <v:shape id="_x0000_s1026" o:spid="_x0000_s1026" o:spt="109" type="#_x0000_t109" style="position:absolute;left:3277870;top:901065;height:296545;width:859790;"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eD&#10;3MHWAAAABQEAAA8AAAAAAAAAAQAgAAAAIgAAAGRycy9kb3ducmV2LnhtbFBLAQIUABQAAAAIAIdO&#10;4kAvsTCrJQIAAE4EAAAOAAAAAAAAAAEAIAAAACUBAABkcnMvZTJvRG9jLnhtbFBLBQYAAAAABgAG&#10;AFkBAAC8BQAAAAA=&#10;">
                        <v:fill on="t" focussize="0,0"/>
                        <v:stroke color="#000000" joinstyle="miter"/>
                        <v:imagedata o:title=""/>
                        <o:lock v:ext="edit" aspectratio="f"/>
                        <v:textbox>
                          <w:txbxContent>
                            <w:p>
                              <w:pPr>
                                <w:jc w:val="center"/>
                                <w:rPr>
                                  <w:rFonts w:hint="eastAsia"/>
                                </w:rPr>
                              </w:pPr>
                              <w:r>
                                <w:rPr>
                                  <w:rFonts w:hint="eastAsia"/>
                                </w:rPr>
                                <w:t>混凝土浇筑</w:t>
                              </w:r>
                            </w:p>
                          </w:txbxContent>
                        </v:textbox>
                      </v:shape>
                      <v:shape id="_x0000_s1026" o:spid="_x0000_s1026" o:spt="109" type="#_x0000_t109" style="position:absolute;left:3810;top:373380;height:296545;width:948690;"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FxiPvXVAAAABQEAAA8AAAAAAAAAAQAgAAAA&#10;IgAAAGRycy9kb3ducmV2LnhtbFBLAQIUABQAAAAIAIdO4kCNPsMF1QEAAIwDAAAOAAAAAAAAAAEA&#10;IAAAACQBAABkcnMvZTJvRG9jLnhtbFBLBQYAAAAABgAGAFkBAABrBQAAAAA=&#10;">
                        <v:fill on="t" focussize="0,0"/>
                        <v:stroke on="f"/>
                        <v:imagedata o:title=""/>
                        <o:lock v:ext="edit" aspectratio="f"/>
                        <v:textbox>
                          <w:txbxContent>
                            <w:p>
                              <w:pPr>
                                <w:pStyle w:val="87"/>
                                <w:jc w:val="center"/>
                                <w:rPr>
                                  <w:rFonts w:hint="eastAsia"/>
                                  <w:szCs w:val="21"/>
                                </w:rPr>
                              </w:pPr>
                              <w:r>
                                <w:rPr>
                                  <w:rFonts w:hint="eastAsia"/>
                                  <w:szCs w:val="21"/>
                                </w:rPr>
                                <w:t>粉尘、固废</w:t>
                              </w:r>
                            </w:p>
                          </w:txbxContent>
                        </v:textbox>
                      </v:shape>
                      <v:shape id="_x0000_s1026" o:spid="_x0000_s1026" o:spt="109" type="#_x0000_t109" style="position:absolute;left:983615;top:360045;height:462915;width:1273810;"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xiPvXVAAAABQEAAA8AAAAAAAAA&#10;AQAgAAAAIgAAAGRycy9kb3ducmV2LnhtbFBLAQIUABQAAAAIAIdO4kAgz0Ux2wEAAI8DAAAOAAAA&#10;AAAAAAEAIAAAACQBAABkcnMvZTJvRG9jLnhtbFBLBQYAAAAABgAGAFkBAABxBQAAAAA=&#10;">
                        <v:fill on="t" focussize="0,0"/>
                        <v:stroke on="f"/>
                        <v:imagedata o:title=""/>
                        <o:lock v:ext="edit" aspectratio="f"/>
                        <v:textbox>
                          <w:txbxContent>
                            <w:p>
                              <w:pPr>
                                <w:pStyle w:val="87"/>
                                <w:rPr>
                                  <w:rFonts w:hint="eastAsia"/>
                                  <w:szCs w:val="21"/>
                                </w:rPr>
                              </w:pPr>
                              <w:r>
                                <w:rPr>
                                  <w:rFonts w:hint="eastAsia"/>
                                  <w:szCs w:val="21"/>
                                </w:rPr>
                                <w:t>固废、噪声、废气</w:t>
                              </w:r>
                            </w:p>
                          </w:txbxContent>
                        </v:textbox>
                      </v:shape>
                      <v:shape id="_x0000_s1026" o:spid="_x0000_s1026" o:spt="109" type="#_x0000_t109" style="position:absolute;left:2497455;top:385445;height:296545;width:502920;"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xiPvXVAAAABQEAAA8AAAAAAAAA&#10;AQAgAAAAIgAAAGRycy9kb3ducmV2LnhtbFBLAQIUABQAAAAIAIdO4kDf9Nhw2wEAAI8DAAAOAAAA&#10;AAAAAAEAIAAAACQBAABkcnMvZTJvRG9jLnhtbFBLBQYAAAAABgAGAFkBAABxBQAAAAA=&#10;">
                        <v:fill on="t" focussize="0,0"/>
                        <v:stroke on="f"/>
                        <v:imagedata o:title=""/>
                        <o:lock v:ext="edit" aspectratio="f"/>
                        <v:textbox>
                          <w:txbxContent>
                            <w:p>
                              <w:pPr>
                                <w:pStyle w:val="87"/>
                                <w:rPr>
                                  <w:rFonts w:hint="eastAsia"/>
                                  <w:szCs w:val="21"/>
                                </w:rPr>
                              </w:pPr>
                              <w:r>
                                <w:rPr>
                                  <w:rFonts w:hint="eastAsia"/>
                                  <w:szCs w:val="21"/>
                                </w:rPr>
                                <w:t>固废</w:t>
                              </w:r>
                            </w:p>
                          </w:txbxContent>
                        </v:textbox>
                      </v:shape>
                      <v:shape id="_x0000_s1026" o:spid="_x0000_s1026" o:spt="109" type="#_x0000_t109" style="position:absolute;left:3052445;top:387349;height:322581;width:1256030;"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XGI+9dUAAAAFAQAADwAAAAAAAAAB&#10;ACAAAAAiAAAAZHJzL2Rvd25yZXYueG1sUEsBAhQAFAAAAAgAh07iQFtdejbaAQAAkAMAAA4AAAAA&#10;AAAAAQAgAAAAJAEAAGRycy9lMm9Eb2MueG1sUEsFBgAAAAAGAAYAWQEAAHAFAAAAAA==&#10;">
                        <v:fill on="t" focussize="0,0"/>
                        <v:stroke on="f"/>
                        <v:imagedata o:title=""/>
                        <o:lock v:ext="edit" aspectratio="f"/>
                        <v:textbox>
                          <w:txbxContent>
                            <w:p>
                              <w:pPr>
                                <w:pStyle w:val="87"/>
                                <w:rPr>
                                  <w:rFonts w:hint="eastAsia"/>
                                  <w:szCs w:val="21"/>
                                </w:rPr>
                              </w:pPr>
                              <w:r>
                                <w:rPr>
                                  <w:rFonts w:hint="eastAsia"/>
                                  <w:szCs w:val="21"/>
                                </w:rPr>
                                <w:t>扬尘、噪声、固废</w:t>
                              </w:r>
                            </w:p>
                          </w:txbxContent>
                        </v:textbox>
                      </v:shape>
                      <v:shape id="_x0000_s1026" o:spid="_x0000_s1026" o:spt="109" type="#_x0000_t109" style="position:absolute;left:1828800;top:1689735;height:297180;width:1143635;"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eD3MHWAAAABQEAAA8AAAAAAAAAAQAgAAAAIgAAAGRycy9kb3ducmV2LnhtbFBLAQIUABQAAAAI&#10;AIdO4kBP/syFKAIAAFAEAAAOAAAAAAAAAAEAIAAAACUBAABkcnMvZTJvRG9jLnhtbFBLBQYAAAAA&#10;BgAGAFkBAAC/BQAAAAA=&#10;">
                        <v:fill on="t" focussize="0,0"/>
                        <v:stroke color="#000000" joinstyle="miter"/>
                        <v:imagedata o:title=""/>
                        <o:lock v:ext="edit" aspectratio="f"/>
                        <v:textbox>
                          <w:txbxContent>
                            <w:p>
                              <w:pPr>
                                <w:rPr>
                                  <w:rFonts w:hint="eastAsia"/>
                                </w:rPr>
                              </w:pPr>
                              <w:r>
                                <w:rPr>
                                  <w:rFonts w:hint="eastAsia"/>
                                </w:rPr>
                                <w:t>验收、投入运营</w:t>
                              </w:r>
                            </w:p>
                          </w:txbxContent>
                        </v:textbox>
                      </v:shape>
                      <v:shape id="_x0000_s1026" o:spid="_x0000_s1026" o:spt="32" type="#_x0000_t32" style="position:absolute;left:913764;top:1033145;height:635;width:343536;" filled="f" stroked="t" coordsize="21600,21600" o:gfxdata="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NWjpdYAAAAFAQAADwAAAAAAAAAB&#10;ACAAAAAiAAAAZHJzL2Rvd25yZXYueG1sUEsBAhQAFAAAAAgAh07iQKqem+8SAgAAAAQAAA4AAAAA&#10;AAAAAQAgAAAAJQEAAGRycy9lMm9Eb2MueG1sUEsFBgAAAAAGAAYAWQEAAKkFAAAAAA==&#10;">
                        <v:fill on="f" focussize="0,0"/>
                        <v:stroke color="#000000" joinstyle="round" endarrow="block"/>
                        <v:imagedata o:title=""/>
                        <o:lock v:ext="edit" aspectratio="f"/>
                      </v:shape>
                      <v:line id="_x0000_s1026" o:spid="_x0000_s1026" o:spt="20" style="position:absolute;left:2057400;top:1042035;height:635;width:229235;" filled="f" stroked="t" coordsize="21600,21600" o:gfxdata="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Cudnf1gAAAAUBAAAPAAAAAAAAAAEAIAAAACIA&#10;AABkcnMvZG93bnJldi54bWxQSwECFAAUAAAACACHTuJA3vpzZAsCAAD5AwAADgAAAAAAAAABACAA&#10;AAAlAQAAZHJzL2Uyb0RvYy54bWxQSwUGAAAAAAYABgBZAQAAogUAAAAA&#10;">
                        <v:fill on="f" focussize="0,0"/>
                        <v:stroke color="#000000" joinstyle="round" endarrow="block"/>
                        <v:imagedata o:title=""/>
                        <o:lock v:ext="edit" aspectratio="f"/>
                      </v:line>
                      <v:line id="_x0000_s1026" o:spid="_x0000_s1026" o:spt="20" style="position:absolute;left:3086100;top:1042035;flip:y;height:635;width:193040;" filled="f" stroked="t" coordsize="21600,21600" o:gfxdata="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rRTIzWAAAABQEAAA8AAAAAAAAA&#10;AQAgAAAAIgAAAGRycy9kb3ducmV2LnhtbFBLAQIUABQAAAAIAIdO4kB/qVJJEwIAAAMEAAAOAAAA&#10;AAAAAAEAIAAAACUBAABkcnMvZTJvRG9jLnhtbFBLBQYAAAAABgAGAFkBAACqBQAAAAA=&#10;">
                        <v:fill on="f" focussize="0,0"/>
                        <v:stroke color="#000000" joinstyle="round" endarrow="block"/>
                        <v:imagedata o:title=""/>
                        <o:lock v:ext="edit" aspectratio="f"/>
                      </v:line>
                      <v:line id="_x0000_s1026" o:spid="_x0000_s1026" o:spt="20" style="position:absolute;left:4137660;top:1042670;height:635;width:208915;" filled="f" stroked="t" coordsize="21600,21600" o:gfxdata="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Cudnf1gAAAAUBAAAPAAAAAAAAAAEAIAAAACIA&#10;AABkcnMvZG93bnJldi54bWxQSwECFAAUAAAACACHTuJAQTz1vgsCAAD5AwAADgAAAAAAAAABACAA&#10;AAAlAQAAZHJzL2Uyb0RvYy54bWxQSwUGAAAAAAYABgBZAQAAogUAAAAA&#10;">
                        <v:fill on="f" focussize="0,0"/>
                        <v:stroke color="#000000" joinstyle="round" endarrow="block"/>
                        <v:imagedata o:title=""/>
                        <o:lock v:ext="edit" aspectratio="f"/>
                      </v:line>
                      <v:line id="_x0000_s1026" o:spid="_x0000_s1026" o:spt="20" style="position:absolute;left:457200;top:594360;flip:y;height:297815;width:635;" filled="f" stroked="t" coordsize="21600,21600" o:gfxdata="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vpeljWAAAABQEAAA8AAAAAAAAAAQAg&#10;AAAAIgAAAGRycy9kb3ducmV2LnhtbFBLAQIUABQAAAAIAIdO4kCq8AiWEAIAAAAEAAAOAAAAAAAA&#10;AAEAIAAAACUBAABkcnMvZTJvRG9jLnhtbFBLBQYAAAAABgAGAFkBAACnBQAAAAA=&#10;">
                        <v:fill on="f" focussize="0,0"/>
                        <v:stroke weight="0.5pt" color="#000000" joinstyle="round" dashstyle="dash" endarrow="block"/>
                        <v:imagedata o:title=""/>
                        <o:lock v:ext="edit" aspectratio="f"/>
                      </v:line>
                      <v:line id="_x0000_s1026" o:spid="_x0000_s1026" o:spt="20" style="position:absolute;left:1599565;top:583565;flip:y;height:296545;width:0;" filled="f" stroked="t" coordsize="21600,21600" o:gfxdata="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wPtCdIAAAAFAQAADwAAAAAAAAABACAAAAAi&#10;AAAAZHJzL2Rvd25yZXYueG1sUEsBAhQAFAAAAAgAh07iQIr1NJYQAgAA/wMAAA4AAAAAAAAAAQAg&#10;AAAAIQEAAGRycy9lMm9Eb2MueG1sUEsFBgAAAAAGAAYAWQEAAKMFAAAAAA==&#10;">
                        <v:fill on="f" focussize="0,0"/>
                        <v:stroke color="#000000" joinstyle="round" dashstyle="dash" endarrow="block"/>
                        <v:imagedata o:title=""/>
                        <o:lock v:ext="edit" aspectratio="f"/>
                      </v:line>
                      <v:line id="_x0000_s1026" o:spid="_x0000_s1026" o:spt="20" style="position:absolute;left:2743200;top:594360;flip:y;height:297815;width:0;" filled="f" stroked="t" coordsize="21600,21600" o:gfxdata="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wPtCdIAAAAFAQAADwAAAAAAAAABACAAAAAi&#10;AAAAZHJzL2Rvd25yZXYueG1sUEsBAhQAFAAAAAgAh07iQOBerSsQAgAA/wMAAA4AAAAAAAAAAQAg&#10;AAAAIQEAAGRycy9lMm9Eb2MueG1sUEsFBgAAAAAGAAYAWQEAAKMFAAAAAA==&#10;">
                        <v:fill on="f" focussize="0,0"/>
                        <v:stroke color="#000000" joinstyle="round" dashstyle="dash" endarrow="block"/>
                        <v:imagedata o:title=""/>
                        <o:lock v:ext="edit" aspectratio="f"/>
                      </v:line>
                      <v:line id="_x0000_s1026" o:spid="_x0000_s1026" o:spt="20" style="position:absolute;left:3591559;top:594360;flip:y;height:297815;width:635;" filled="f" stroked="t" coordsize="21600,21600" o:gfxdata="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wPtCdIAAAAFAQAADwAAAAAAAAABACAAAAAi&#10;AAAAZHJzL2Rvd25yZXYueG1sUEsBAhQAFAAAAAgAh07iQHPEi0EQAgAAAQQAAA4AAAAAAAAAAQAg&#10;AAAAIQEAAGRycy9lMm9Eb2MueG1sUEsFBgAAAAAGAAYAWQEAAKMFAAAAAA==&#10;">
                        <v:fill on="f" focussize="0,0"/>
                        <v:stroke color="#000000" joinstyle="round" dashstyle="dash" endarrow="block"/>
                        <v:imagedata o:title=""/>
                        <o:lock v:ext="edit" aspectratio="f"/>
                      </v:line>
                      <v:shape id="_x0000_s1026" o:spid="_x0000_s1026" o:spt="109" type="#_x0000_t109" style="position:absolute;left:3460750;top:1684020;height:297180;width:948690;" fillcolor="#FFFFFF" filled="t" stroked="t" coordsize="21600,21600" o:gfxdata="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14PcwdYAAAAFAQAADwAAAAAAAAABACAAAAAiAAAAZHJzL2Rvd25yZXYueG1sUEsBAhQAFAAAAAgA&#10;h07iQOp2DZ0nAgAATwQAAA4AAAAAAAAAAQAgAAAAJQEAAGRycy9lMm9Eb2MueG1sUEsFBgAAAAAG&#10;AAYAWQEAAL4FAAAAAA==&#10;">
                        <v:fill on="t" focussize="0,0"/>
                        <v:stroke color="#000000" joinstyle="miter"/>
                        <v:imagedata o:title=""/>
                        <o:lock v:ext="edit" aspectratio="f"/>
                        <v:textbox>
                          <w:txbxContent>
                            <w:p>
                              <w:pPr>
                                <w:pStyle w:val="87"/>
                                <w:ind w:firstLine="420" w:firstLineChars="200"/>
                                <w:rPr>
                                  <w:rFonts w:hint="eastAsia"/>
                                </w:rPr>
                              </w:pPr>
                              <w:r>
                                <w:rPr>
                                  <w:rFonts w:hint="eastAsia"/>
                                </w:rPr>
                                <w:t>拆模</w:t>
                              </w:r>
                            </w:p>
                          </w:txbxContent>
                        </v:textbox>
                      </v:shape>
                      <v:line id="_x0000_s1026" o:spid="_x0000_s1026" o:spt="20" style="position:absolute;left:2991485;top:1844040;flip:x;height:1270;width:455295;" filled="f" stroked="t" coordsize="21600,21600" o:gfxdata="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tFMjNYAAAAFAQAADwAAAAAA&#10;AAABACAAAAAiAAAAZHJzL2Rvd25yZXYueG1sUEsBAhQAFAAAAAgAh07iQMtDcz4VAgAABAQAAA4A&#10;AAAAAAAAAQAgAAAAJQEAAGRycy9lMm9Eb2MueG1sUEsFBgAAAAAGAAYAWQEAAKwFAAAAAA==&#10;">
                        <v:fill on="f" focussize="0,0"/>
                        <v:stroke color="#000000" joinstyle="round" endarrow="block"/>
                        <v:imagedata o:title=""/>
                        <o:lock v:ext="edit" aspectratio="f"/>
                      </v:line>
                      <v:line id="_x0000_s1026" o:spid="_x0000_s1026" o:spt="20" style="position:absolute;left:3895725;top:1985645;height:296545;width:635;" filled="f" stroked="t" coordsize="21600,21600" o:gfxdata="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Wu6/vXAAAABQEAAA8AAAAAAAAAAQAgAAAA&#10;IgAAAGRycy9kb3ducmV2LnhtbFBLAQIUABQAAAAIAIdO4kCC3ANRDAIAAPgDAAAOAAAAAAAAAAEA&#10;IAAAACYBAABkcnMvZTJvRG9jLnhtbFBLBQYAAAAABgAGAFkBAACkBQAAAAA=&#10;">
                        <v:fill on="f" focussize="0,0"/>
                        <v:stroke color="#000000" joinstyle="round" dashstyle="dash" endarrow="block"/>
                        <v:imagedata o:title=""/>
                        <o:lock v:ext="edit" aspectratio="f"/>
                      </v:line>
                      <v:shape id="_x0000_s1026" o:spid="_x0000_s1026" o:spt="33" type="#_x0000_t33" style="position:absolute;left:4264660;top:1411605;height:276225;width:558165;rotation:5898240f;" filled="f" stroked="t" coordsize="21600,21600" o:gfxdata="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Pyo9jWAAAA&#10;BQEAAA8AAAAAAAAAAQAgAAAAIgAAAGRycy9kb3ducmV2LnhtbFBLAQIUABQAAAAIAIdO4kAOxJTU&#10;HwIAABIEAAAOAAAAAAAAAAEAIAAAACUBAABkcnMvZTJvRG9jLnhtbFBLBQYAAAAABgAGAFkBAAC2&#10;BQAAAAA=&#10;">
                        <v:fill on="f" focussize="0,0"/>
                        <v:stroke color="#000000" joinstyle="miter" endarrow="block"/>
                        <v:imagedata o:title=""/>
                        <o:lock v:ext="edit" aspectratio="f"/>
                      </v:shape>
                      <v:shape id="_x0000_s1026" o:spid="_x0000_s1026" o:spt="109" type="#_x0000_t109" style="position:absolute;left:1348740;top:2584450;height:320040;width:2696845;" fillcolor="#FFFFFF" filled="t" stroked="f" coordsize="21600,21600" o:gfxdata="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xiPvXVAAAABQEAAA8AAAAAAAAA&#10;AQAgAAAAIgAAAGRycy9kb3ducmV2LnhtbFBLAQIUABQAAAAIAIdO4kBRKwZj2wEAAJEDAAAOAAAA&#10;AAAAAAEAIAAAACQBAABkcnMvZTJvRG9jLnhtbFBLBQYAAAAABgAGAFkBAABxBQAAAAA=&#10;">
                        <v:fill on="t" focussize="0,0"/>
                        <v:stroke on="f"/>
                        <v:imagedata o:title=""/>
                        <o:lock v:ext="edit" aspectratio="f"/>
                        <v:textbox>
                          <w:txbxContent>
                            <w:p>
                              <w:pPr>
                                <w:jc w:val="center"/>
                                <w:rPr>
                                  <w:rFonts w:hint="eastAsia"/>
                                  <w:b/>
                                  <w:color w:val="000000"/>
                                </w:rPr>
                              </w:pPr>
                              <w:r>
                                <w:rPr>
                                  <w:rFonts w:hint="eastAsia"/>
                                  <w:b/>
                                  <w:color w:val="000000"/>
                                </w:rPr>
                                <w:t>图</w:t>
                              </w:r>
                              <w:r>
                                <w:rPr>
                                  <w:rFonts w:hint="eastAsia"/>
                                  <w:b/>
                                  <w:color w:val="000000"/>
                                  <w:lang w:val="en-US" w:eastAsia="zh-CN"/>
                                </w:rPr>
                                <w:t>2-21</w:t>
                              </w:r>
                              <w:r>
                                <w:rPr>
                                  <w:rFonts w:hint="eastAsia"/>
                                  <w:b/>
                                  <w:color w:val="000000"/>
                                </w:rPr>
                                <w:t xml:space="preserve"> 施工</w:t>
                              </w:r>
                              <w:r>
                                <w:rPr>
                                  <w:b/>
                                  <w:color w:val="000000"/>
                                </w:rPr>
                                <w:t>工艺流程</w:t>
                              </w:r>
                              <w:r>
                                <w:rPr>
                                  <w:rFonts w:hint="eastAsia"/>
                                  <w:b/>
                                  <w:color w:val="000000"/>
                                </w:rPr>
                                <w:t>及</w:t>
                              </w:r>
                              <w:r>
                                <w:rPr>
                                  <w:b/>
                                  <w:color w:val="000000"/>
                                </w:rPr>
                                <w:t>产污节点图</w:t>
                              </w:r>
                            </w:p>
                          </w:txbxContent>
                        </v:textbox>
                      </v:shape>
                      <w10:wrap type="none"/>
                      <w10:anchorlock/>
                    </v:group>
                  </w:pict>
                </mc:Fallback>
              </mc:AlternateContent>
            </w:r>
          </w:p>
          <w:p>
            <w:pPr>
              <w:pStyle w:val="138"/>
              <w:ind w:firstLine="482"/>
              <w:rPr>
                <w:rFonts w:ascii="Times New Roman" w:hAnsi="Times New Roman"/>
                <w:color w:val="000000"/>
              </w:rPr>
            </w:pPr>
            <w:r>
              <w:rPr>
                <w:rFonts w:hint="eastAsia"/>
                <w:b/>
                <w:color w:val="000000"/>
              </w:rPr>
              <w:t>机耕桥：</w:t>
            </w:r>
            <w:r>
              <w:rPr>
                <w:rFonts w:hint="eastAsia"/>
                <w:color w:val="000000"/>
              </w:rPr>
              <w:t>机耕桥为不设人行道的农桥，参照《公路桥涵设计通用规范》JTGD60-2015公路桥涵等级，按4级公路Ⅱ级桥梁设计荷载等级要求，设计荷载等级按“10吨荷载”考虑，钢筋砼平桥结构，设计桥面宽为4.0m，桥墩采用C20埋石砼梯形断面结构。</w:t>
            </w:r>
          </w:p>
          <w:p>
            <w:pPr>
              <w:pStyle w:val="138"/>
              <w:ind w:firstLine="482"/>
              <w:rPr>
                <w:rFonts w:hint="eastAsia"/>
                <w:color w:val="000000"/>
              </w:rPr>
            </w:pPr>
            <w:r>
              <w:rPr>
                <w:rFonts w:hint="eastAsia" w:ascii="宋体" w:hAnsi="宋体"/>
                <w:b/>
                <w:color w:val="000000"/>
              </w:rPr>
              <w:t>人行桥：</w:t>
            </w:r>
            <w:r>
              <w:rPr>
                <w:rFonts w:hint="eastAsia"/>
                <w:color w:val="000000"/>
              </w:rPr>
              <w:t>人行桥采桥面板为单跨简支板梁结构，跨度随整治渠道口面宽度变化，宽度2.0m，板厚20cm，C20砼结构。</w:t>
            </w:r>
          </w:p>
          <w:p>
            <w:pPr>
              <w:pStyle w:val="138"/>
              <w:ind w:firstLine="482"/>
              <w:rPr>
                <w:rFonts w:hint="eastAsia"/>
                <w:color w:val="000000"/>
              </w:rPr>
            </w:pPr>
            <w:r>
              <w:rPr>
                <w:rFonts w:hint="eastAsia"/>
                <w:b/>
                <w:color w:val="000000"/>
              </w:rPr>
              <w:t>便民梯步：</w:t>
            </w:r>
            <w:r>
              <w:rPr>
                <w:rFonts w:hint="eastAsia"/>
                <w:color w:val="000000"/>
              </w:rPr>
              <w:t>梯步宽1.0m，采用C20砼结构，由渠顶伸至渠底。</w:t>
            </w:r>
          </w:p>
          <w:p>
            <w:pPr>
              <w:pStyle w:val="138"/>
              <w:ind w:firstLine="482"/>
              <w:rPr>
                <w:rFonts w:hint="eastAsia"/>
                <w:b/>
                <w:bCs/>
                <w:color w:val="000000"/>
              </w:rPr>
            </w:pPr>
            <w:r>
              <w:rPr>
                <w:rFonts w:hint="eastAsia"/>
                <w:b/>
                <w:bCs/>
                <w:color w:val="000000"/>
              </w:rPr>
              <w:t>（8）管理设施维护</w:t>
            </w:r>
          </w:p>
          <w:p>
            <w:pPr>
              <w:pStyle w:val="138"/>
              <w:rPr>
                <w:rFonts w:hint="eastAsia"/>
                <w:color w:val="000000"/>
              </w:rPr>
            </w:pPr>
            <w:r>
              <w:rPr>
                <w:rFonts w:hint="eastAsia"/>
                <w:color w:val="000000"/>
              </w:rPr>
              <w:t>高中水库管理处办公楼面积750m</w:t>
            </w:r>
            <w:r>
              <w:rPr>
                <w:rFonts w:hint="eastAsia"/>
                <w:color w:val="000000"/>
                <w:vertAlign w:val="superscript"/>
              </w:rPr>
              <w:t>2</w:t>
            </w:r>
            <w:r>
              <w:rPr>
                <w:rFonts w:hint="eastAsia"/>
                <w:color w:val="000000"/>
              </w:rPr>
              <w:t>，由于年久失修，出现屋顶漏雨，外墙瓷砖局部掉落，电线老化等问题，本次拟对办公内进行维修，内容包含：外墙砖更换、内墙翻新、电线更换、栏杆更换、门窗更换等。</w:t>
            </w:r>
          </w:p>
          <w:p>
            <w:pPr>
              <w:adjustRightInd w:val="0"/>
              <w:snapToGrid w:val="0"/>
              <w:spacing w:line="360" w:lineRule="auto"/>
              <w:ind w:firstLine="480" w:firstLineChars="200"/>
              <w:rPr>
                <w:rFonts w:hint="eastAsia"/>
                <w:sz w:val="24"/>
              </w:rPr>
            </w:pPr>
            <w:r>
              <w:rPr>
                <w:rFonts w:hint="eastAsia"/>
                <w:sz w:val="24"/>
              </w:rPr>
              <w:t>施工期工艺流程及产污节点如下图所示：</w:t>
            </w:r>
          </w:p>
          <w:p>
            <w:pPr>
              <w:adjustRightInd w:val="0"/>
              <w:snapToGrid w:val="0"/>
              <w:spacing w:line="360" w:lineRule="auto"/>
              <w:rPr>
                <w:rFonts w:hint="eastAsia"/>
                <w:sz w:val="24"/>
              </w:rPr>
            </w:pPr>
            <w:r>
              <w:rPr>
                <w:rFonts w:hint="eastAsia"/>
                <w:sz w:val="24"/>
              </w:rPr>
              <mc:AlternateContent>
                <mc:Choice Requires="wps">
                  <w:drawing>
                    <wp:anchor distT="0" distB="0" distL="114300" distR="114300" simplePos="0" relativeHeight="251774976" behindDoc="0" locked="0" layoutInCell="1" allowOverlap="1">
                      <wp:simplePos x="0" y="0"/>
                      <wp:positionH relativeFrom="column">
                        <wp:posOffset>3262630</wp:posOffset>
                      </wp:positionH>
                      <wp:positionV relativeFrom="paragraph">
                        <wp:posOffset>39370</wp:posOffset>
                      </wp:positionV>
                      <wp:extent cx="499110" cy="297180"/>
                      <wp:effectExtent l="4445" t="4445" r="10795" b="22225"/>
                      <wp:wrapNone/>
                      <wp:docPr id="322" name="矩形 322"/>
                      <wp:cNvGraphicFramePr/>
                      <a:graphic xmlns:a="http://schemas.openxmlformats.org/drawingml/2006/main">
                        <a:graphicData uri="http://schemas.microsoft.com/office/word/2010/wordprocessingShape">
                          <wps:wsp>
                            <wps:cNvSpPr/>
                            <wps:spPr>
                              <a:xfrm>
                                <a:off x="0" y="0"/>
                                <a:ext cx="49911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噪声</w:t>
                                  </w:r>
                                </w:p>
                              </w:txbxContent>
                            </wps:txbx>
                            <wps:bodyPr upright="1"/>
                          </wps:wsp>
                        </a:graphicData>
                      </a:graphic>
                    </wp:anchor>
                  </w:drawing>
                </mc:Choice>
                <mc:Fallback>
                  <w:pict>
                    <v:rect id="_x0000_s1026" o:spid="_x0000_s1026" o:spt="1" style="position:absolute;left:0pt;margin-left:256.9pt;margin-top:3.1pt;height:23.4pt;width:39.3pt;z-index:251774976;mso-width-relative:page;mso-height-relative:page;" stroked="t" coordsize="21600,21600" o:gfxdata="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1VHtWNcAAAAIAQAADwAAAAAAAAABACAAAAAiAAAAZHJzL2Rvd25y&#10;ZXYueG1sUEsBAhQAFAAAAAgAh07iQG8KsNz/AQAALAQAAA4AAAAAAAAAAQAgAAAAJgEAAGRycy9l&#10;Mm9Eb2MueG1sUEsFBgAAAAAGAAYAWQEAAJcFAAAAAA==&#10;">
                      <v:path/>
                      <v:fill focussize="0,0"/>
                      <v:stroke color="#FFFFFF"/>
                      <v:imagedata o:title=""/>
                      <o:lock v:ext="edit"/>
                      <v:textbox>
                        <w:txbxContent>
                          <w:p>
                            <w:pPr>
                              <w:rPr>
                                <w:rFonts w:hint="eastAsia"/>
                              </w:rPr>
                            </w:pPr>
                            <w:r>
                              <w:rPr>
                                <w:rFonts w:hint="eastAsia"/>
                              </w:rPr>
                              <w:t>噪声</w:t>
                            </w:r>
                          </w:p>
                        </w:txbxContent>
                      </v:textbox>
                    </v:rect>
                  </w:pict>
                </mc:Fallback>
              </mc:AlternateContent>
            </w:r>
            <w:r>
              <w:rPr>
                <w:rFonts w:hint="eastAsia"/>
                <w:sz w:val="24"/>
              </w:rPr>
              <mc:AlternateContent>
                <mc:Choice Requires="wps">
                  <w:drawing>
                    <wp:anchor distT="0" distB="0" distL="114300" distR="114300" simplePos="0" relativeHeight="251776000" behindDoc="0" locked="0" layoutInCell="1" allowOverlap="1">
                      <wp:simplePos x="0" y="0"/>
                      <wp:positionH relativeFrom="column">
                        <wp:posOffset>1818640</wp:posOffset>
                      </wp:positionH>
                      <wp:positionV relativeFrom="paragraph">
                        <wp:posOffset>39370</wp:posOffset>
                      </wp:positionV>
                      <wp:extent cx="571500" cy="297180"/>
                      <wp:effectExtent l="4445" t="4445" r="14605" b="22225"/>
                      <wp:wrapNone/>
                      <wp:docPr id="323" name="矩形 323"/>
                      <wp:cNvGraphicFramePr/>
                      <a:graphic xmlns:a="http://schemas.openxmlformats.org/drawingml/2006/main">
                        <a:graphicData uri="http://schemas.microsoft.com/office/word/2010/wordprocessingShape">
                          <wps:wsp>
                            <wps:cNvSpPr/>
                            <wps:spPr>
                              <a:xfrm>
                                <a:off x="0" y="0"/>
                                <a:ext cx="57150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rPr>
                                  </w:pPr>
                                  <w:r>
                                    <w:rPr>
                                      <w:rFonts w:hint="eastAsia"/>
                                    </w:rPr>
                                    <w:t>噪声</w:t>
                                  </w:r>
                                </w:p>
                              </w:txbxContent>
                            </wps:txbx>
                            <wps:bodyPr upright="1"/>
                          </wps:wsp>
                        </a:graphicData>
                      </a:graphic>
                    </wp:anchor>
                  </w:drawing>
                </mc:Choice>
                <mc:Fallback>
                  <w:pict>
                    <v:rect id="_x0000_s1026" o:spid="_x0000_s1026" o:spt="1" style="position:absolute;left:0pt;margin-left:143.2pt;margin-top:3.1pt;height:23.4pt;width:45pt;z-index:251776000;mso-width-relative:page;mso-height-relative:page;" stroked="t" coordsize="21600,21600" o:gfxdata="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f4C49YAAAAIAQAADwAAAAAAAAABACAAAAAiAAAAZHJzL2Rvd25y&#10;ZXYueG1sUEsBAhQAFAAAAAgAh07iQB04SigAAgAALAQAAA4AAAAAAAAAAQAgAAAAJQEAAGRycy9l&#10;Mm9Eb2MueG1sUEsFBgAAAAAGAAYAWQEAAJcFAAAAAA==&#10;">
                      <v:path/>
                      <v:fill focussize="0,0"/>
                      <v:stroke color="#FFFFFF"/>
                      <v:imagedata o:title=""/>
                      <o:lock v:ext="edit"/>
                      <v:textbox>
                        <w:txbxContent>
                          <w:p>
                            <w:pPr>
                              <w:rPr>
                                <w:rFonts w:hint="eastAsia"/>
                              </w:rPr>
                            </w:pPr>
                            <w:r>
                              <w:rPr>
                                <w:rFonts w:hint="eastAsia"/>
                              </w:rPr>
                              <w:t>噪声</w:t>
                            </w:r>
                          </w:p>
                        </w:txbxContent>
                      </v:textbox>
                    </v:rect>
                  </w:pict>
                </mc:Fallback>
              </mc:AlternateContent>
            </w:r>
          </w:p>
          <w:p>
            <w:pPr>
              <w:adjustRightInd w:val="0"/>
              <w:snapToGrid w:val="0"/>
              <w:spacing w:line="360" w:lineRule="auto"/>
              <w:rPr>
                <w:rFonts w:hint="eastAsia"/>
                <w:sz w:val="24"/>
              </w:rPr>
            </w:pPr>
            <w:r>
              <w:rPr>
                <w:rFonts w:hint="eastAsia"/>
                <w:sz w:val="24"/>
              </w:rPr>
              <mc:AlternateContent>
                <mc:Choice Requires="wps">
                  <w:drawing>
                    <wp:anchor distT="0" distB="0" distL="114300" distR="114300" simplePos="0" relativeHeight="251799552" behindDoc="0" locked="0" layoutInCell="1" allowOverlap="1">
                      <wp:simplePos x="0" y="0"/>
                      <wp:positionH relativeFrom="column">
                        <wp:posOffset>10795</wp:posOffset>
                      </wp:positionH>
                      <wp:positionV relativeFrom="paragraph">
                        <wp:posOffset>172720</wp:posOffset>
                      </wp:positionV>
                      <wp:extent cx="965200" cy="495300"/>
                      <wp:effectExtent l="4445" t="4445" r="20955" b="14605"/>
                      <wp:wrapNone/>
                      <wp:docPr id="324" name="矩形 324"/>
                      <wp:cNvGraphicFramePr/>
                      <a:graphic xmlns:a="http://schemas.openxmlformats.org/drawingml/2006/main">
                        <a:graphicData uri="http://schemas.microsoft.com/office/word/2010/wordprocessingShape">
                          <wps:wsp>
                            <wps:cNvSpPr/>
                            <wps:spPr>
                              <a:xfrm>
                                <a:off x="0" y="0"/>
                                <a:ext cx="965200" cy="4953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施工队伍、施工机械入场</w:t>
                                  </w:r>
                                </w:p>
                              </w:txbxContent>
                            </wps:txbx>
                            <wps:bodyPr upright="1"/>
                          </wps:wsp>
                        </a:graphicData>
                      </a:graphic>
                    </wp:anchor>
                  </w:drawing>
                </mc:Choice>
                <mc:Fallback>
                  <w:pict>
                    <v:rect id="_x0000_s1026" o:spid="_x0000_s1026" o:spt="1" style="position:absolute;left:0pt;margin-left:0.85pt;margin-top:13.6pt;height:39pt;width:76pt;z-index:251799552;mso-width-relative:page;mso-height-relative:page;" fillcolor="#FFFFFF" filled="t" stroked="t" coordsize="21600,21600" o:gfxdata="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q0ULNUAAAAIAQAADwAAAAAAAAABACAAAAAiAAAAZHJzL2Rvd25y&#10;ZXYueG1sUEsBAhQAFAAAAAgAh07iQEoJYVYBAgAALAQAAA4AAAAAAAAAAQAgAAAAJAEAAGRycy9l&#10;Mm9Eb2MueG1sUEsFBgAAAAAGAAYAWQEAAJcFAAAAAA==&#10;">
                      <v:path/>
                      <v:fill on="t" color2="#FFFFFF" focussize="0,0"/>
                      <v:stroke joinstyle="miter"/>
                      <v:imagedata o:title=""/>
                      <o:lock v:ext="edit" aspectratio="f"/>
                      <v:textbox>
                        <w:txbxContent>
                          <w:p>
                            <w:pPr>
                              <w:rPr>
                                <w:rFonts w:hint="eastAsia"/>
                              </w:rPr>
                            </w:pPr>
                            <w:r>
                              <w:rPr>
                                <w:rFonts w:hint="eastAsia"/>
                              </w:rPr>
                              <w:t>施工队伍、施工机械入场</w:t>
                            </w:r>
                          </w:p>
                        </w:txbxContent>
                      </v:textbox>
                    </v:rect>
                  </w:pict>
                </mc:Fallback>
              </mc:AlternateContent>
            </w:r>
            <w:r>
              <w:rPr>
                <w:rFonts w:hint="eastAsia"/>
                <w:sz w:val="24"/>
              </w:rPr>
              <mc:AlternateContent>
                <mc:Choice Requires="wps">
                  <w:drawing>
                    <wp:anchor distT="0" distB="0" distL="114300" distR="114300" simplePos="0" relativeHeight="251788288" behindDoc="0" locked="0" layoutInCell="1" allowOverlap="1">
                      <wp:simplePos x="0" y="0"/>
                      <wp:positionH relativeFrom="column">
                        <wp:posOffset>3507740</wp:posOffset>
                      </wp:positionH>
                      <wp:positionV relativeFrom="paragraph">
                        <wp:posOffset>-8255</wp:posOffset>
                      </wp:positionV>
                      <wp:extent cx="0" cy="297180"/>
                      <wp:effectExtent l="38100" t="0" r="38100" b="7620"/>
                      <wp:wrapNone/>
                      <wp:docPr id="325" name="直接连接符 325"/>
                      <wp:cNvGraphicFramePr/>
                      <a:graphic xmlns:a="http://schemas.openxmlformats.org/drawingml/2006/main">
                        <a:graphicData uri="http://schemas.microsoft.com/office/word/2010/wordprocessingShape">
                          <wps:wsp>
                            <wps:cNvSpPr/>
                            <wps:spPr>
                              <a:xfrm flipV="1">
                                <a:off x="0" y="0"/>
                                <a:ext cx="0" cy="29718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276.2pt;margin-top:-0.65pt;height:23.4pt;width:0pt;z-index:251788288;mso-width-relative:page;mso-height-relative:page;" filled="f" stroked="t" coordsize="21600,21600" o:gfxdata="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d1vtbWAAAACQEAAA8AAAAAAAAAAQAgAAAAIgAAAGRycy9k&#10;b3ducmV2LnhtbFBLAQIUABQAAAAIAIdO4kAHcDSjBAIAAPQDAAAOAAAAAAAAAAEAIAAAACUBAABk&#10;cnMvZTJvRG9jLnhtbFBLBQYAAAAABgAGAFkBAACbBQAAAAA=&#10;">
                      <v:path arrowok="t"/>
                      <v:fill on="f" focussize="0,0"/>
                      <v:stroke dashstyle="dash" endarrow="block"/>
                      <v:imagedata o:title=""/>
                      <o:lock v:ext="edit"/>
                    </v:line>
                  </w:pict>
                </mc:Fallback>
              </mc:AlternateContent>
            </w:r>
            <w:r>
              <w:rPr>
                <w:rFonts w:hint="eastAsia"/>
                <w:sz w:val="24"/>
              </w:rPr>
              <mc:AlternateContent>
                <mc:Choice Requires="wps">
                  <w:drawing>
                    <wp:anchor distT="0" distB="0" distL="114300" distR="114300" simplePos="0" relativeHeight="251787264" behindDoc="0" locked="0" layoutInCell="1" allowOverlap="1">
                      <wp:simplePos x="0" y="0"/>
                      <wp:positionH relativeFrom="column">
                        <wp:posOffset>2060575</wp:posOffset>
                      </wp:positionH>
                      <wp:positionV relativeFrom="paragraph">
                        <wp:posOffset>13970</wp:posOffset>
                      </wp:positionV>
                      <wp:extent cx="0" cy="297180"/>
                      <wp:effectExtent l="38100" t="0" r="38100" b="7620"/>
                      <wp:wrapNone/>
                      <wp:docPr id="326" name="直接连接符 326"/>
                      <wp:cNvGraphicFramePr/>
                      <a:graphic xmlns:a="http://schemas.openxmlformats.org/drawingml/2006/main">
                        <a:graphicData uri="http://schemas.microsoft.com/office/word/2010/wordprocessingShape">
                          <wps:wsp>
                            <wps:cNvSpPr/>
                            <wps:spPr>
                              <a:xfrm flipV="1">
                                <a:off x="0" y="0"/>
                                <a:ext cx="0" cy="29718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62.25pt;margin-top:1.1pt;height:23.4pt;width:0pt;z-index:251787264;mso-width-relative:page;mso-height-relative:page;" filled="f" stroked="t" coordsize="21600,21600" o:gfxdata="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lpNKDUAAAACAEAAA8AAAAAAAAAAQAgAAAAIgAAAGRycy9k&#10;b3ducmV2LnhtbFBLAQIUABQAAAAIAIdO4kAT+euHBgIAAPQDAAAOAAAAAAAAAAEAIAAAACMBAABk&#10;cnMvZTJvRG9jLnhtbFBLBQYAAAAABgAGAFkBAACbBQAAAAA=&#10;">
                      <v:path arrowok="t"/>
                      <v:fill on="f" focussize="0,0"/>
                      <v:stroke dashstyle="dash" endarrow="block"/>
                      <v:imagedata o:title=""/>
                      <o:lock v:ext="edit"/>
                    </v:line>
                  </w:pict>
                </mc:Fallback>
              </mc:AlternateContent>
            </w:r>
          </w:p>
          <w:p>
            <w:pPr>
              <w:adjustRightInd w:val="0"/>
              <w:snapToGrid w:val="0"/>
              <w:spacing w:line="360" w:lineRule="auto"/>
              <w:rPr>
                <w:rFonts w:hint="eastAsia"/>
                <w:sz w:val="24"/>
              </w:rPr>
            </w:pPr>
            <w:r>
              <w:rPr>
                <w:rFonts w:hint="eastAsia"/>
                <w:sz w:val="24"/>
              </w:rPr>
              <mc:AlternateContent>
                <mc:Choice Requires="wps">
                  <w:drawing>
                    <wp:anchor distT="0" distB="0" distL="114300" distR="114300" simplePos="0" relativeHeight="251782144" behindDoc="0" locked="0" layoutInCell="1" allowOverlap="1">
                      <wp:simplePos x="0" y="0"/>
                      <wp:positionH relativeFrom="column">
                        <wp:posOffset>4184650</wp:posOffset>
                      </wp:positionH>
                      <wp:positionV relativeFrom="paragraph">
                        <wp:posOffset>31750</wp:posOffset>
                      </wp:positionV>
                      <wp:extent cx="738505" cy="297180"/>
                      <wp:effectExtent l="4445" t="5080" r="19050" b="21590"/>
                      <wp:wrapNone/>
                      <wp:docPr id="327" name="矩形 327"/>
                      <wp:cNvGraphicFramePr/>
                      <a:graphic xmlns:a="http://schemas.openxmlformats.org/drawingml/2006/main">
                        <a:graphicData uri="http://schemas.microsoft.com/office/word/2010/wordprocessingShape">
                          <wps:wsp>
                            <wps:cNvSpPr/>
                            <wps:spPr>
                              <a:xfrm>
                                <a:off x="0" y="0"/>
                                <a:ext cx="73850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交付使用</w:t>
                                  </w:r>
                                </w:p>
                              </w:txbxContent>
                            </wps:txbx>
                            <wps:bodyPr upright="1"/>
                          </wps:wsp>
                        </a:graphicData>
                      </a:graphic>
                    </wp:anchor>
                  </w:drawing>
                </mc:Choice>
                <mc:Fallback>
                  <w:pict>
                    <v:rect id="_x0000_s1026" o:spid="_x0000_s1026" o:spt="1" style="position:absolute;left:0pt;margin-left:329.5pt;margin-top:2.5pt;height:23.4pt;width:58.15pt;z-index:251782144;mso-width-relative:page;mso-height-relative:page;" coordsize="21600,21600" o:gfxdata="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JPFctcAAAAIAQAADwAAAAAAAAABACAAAAAiAAAAZHJz&#10;L2Rvd25yZXYueG1sUEsBAhQAFAAAAAgAh07iQAd1TwwFAgAALAQAAA4AAAAAAAAAAQAgAAAAJgEA&#10;AGRycy9lMm9Eb2MueG1sUEsFBgAAAAAGAAYAWQEAAJ0FAAAAAA==&#10;">
                      <v:path/>
                      <v:fill focussize="0,0"/>
                      <v:stroke/>
                      <v:imagedata o:title=""/>
                      <o:lock v:ext="edit"/>
                      <v:textbox>
                        <w:txbxContent>
                          <w:p>
                            <w:pPr>
                              <w:rPr>
                                <w:rFonts w:hint="eastAsia"/>
                              </w:rPr>
                            </w:pPr>
                            <w:r>
                              <w:rPr>
                                <w:rFonts w:hint="eastAsia"/>
                              </w:rPr>
                              <w:t>交付使用</w:t>
                            </w:r>
                          </w:p>
                        </w:txbxContent>
                      </v:textbox>
                    </v:rect>
                  </w:pict>
                </mc:Fallback>
              </mc:AlternateContent>
            </w:r>
            <w:r>
              <w:rPr>
                <w:rFonts w:hint="eastAsia"/>
                <w:sz w:val="24"/>
              </w:rPr>
              <mc:AlternateContent>
                <mc:Choice Requires="wps">
                  <w:drawing>
                    <wp:anchor distT="0" distB="0" distL="114300" distR="114300" simplePos="0" relativeHeight="251781120" behindDoc="0" locked="0" layoutInCell="1" allowOverlap="1">
                      <wp:simplePos x="0" y="0"/>
                      <wp:positionH relativeFrom="column">
                        <wp:posOffset>3841115</wp:posOffset>
                      </wp:positionH>
                      <wp:positionV relativeFrom="paragraph">
                        <wp:posOffset>176530</wp:posOffset>
                      </wp:positionV>
                      <wp:extent cx="342900" cy="0"/>
                      <wp:effectExtent l="0" t="38100" r="0" b="38100"/>
                      <wp:wrapNone/>
                      <wp:docPr id="328" name="直接连接符 328"/>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02.45pt;margin-top:13.9pt;height:0pt;width:27pt;z-index:251781120;mso-width-relative:page;mso-height-relative:page;" filled="f" coordsize="21600,21600" o:gfxdata="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SvPEjYAAAACQEAAA8AAAAAAAAAAQAgAAAAIgAAAGRycy9kb3ducmV2&#10;LnhtbFBLAQIUABQAAAAIAIdO4kByQCtQ/AEAAOsDAAAOAAAAAAAAAAEAIAAAACcBAABkcnMvZTJv&#10;RG9jLnhtbFBLBQYAAAAABgAGAFkBAACVBQAAAAA=&#10;">
                      <v:path arrowok="t"/>
                      <v:fill on="f" focussize="0,0"/>
                      <v:stroke endarrow="block"/>
                      <v:imagedata o:title=""/>
                      <o:lock v:ext="edit"/>
                    </v:line>
                  </w:pict>
                </mc:Fallback>
              </mc:AlternateContent>
            </w:r>
            <w:r>
              <w:rPr>
                <w:rFonts w:hint="eastAsia"/>
                <w:sz w:val="24"/>
              </w:rPr>
              <mc:AlternateContent>
                <mc:Choice Requires="wps">
                  <w:drawing>
                    <wp:anchor distT="0" distB="0" distL="114300" distR="114300" simplePos="0" relativeHeight="251780096" behindDoc="0" locked="0" layoutInCell="1" allowOverlap="1">
                      <wp:simplePos x="0" y="0"/>
                      <wp:positionH relativeFrom="column">
                        <wp:posOffset>3053715</wp:posOffset>
                      </wp:positionH>
                      <wp:positionV relativeFrom="paragraph">
                        <wp:posOffset>34290</wp:posOffset>
                      </wp:positionV>
                      <wp:extent cx="786130" cy="297180"/>
                      <wp:effectExtent l="4445" t="4445" r="9525" b="22225"/>
                      <wp:wrapNone/>
                      <wp:docPr id="329" name="矩形 329"/>
                      <wp:cNvGraphicFramePr/>
                      <a:graphic xmlns:a="http://schemas.openxmlformats.org/drawingml/2006/main">
                        <a:graphicData uri="http://schemas.microsoft.com/office/word/2010/wordprocessingShape">
                          <wps:wsp>
                            <wps:cNvSpPr/>
                            <wps:spPr>
                              <a:xfrm>
                                <a:off x="0" y="0"/>
                                <a:ext cx="78613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360" w:firstLineChars="150"/>
                                    <w:rPr>
                                      <w:rFonts w:hint="eastAsia"/>
                                    </w:rPr>
                                  </w:pPr>
                                  <w:r>
                                    <w:rPr>
                                      <w:rFonts w:hint="eastAsia"/>
                                    </w:rPr>
                                    <w:t>装修</w:t>
                                  </w:r>
                                </w:p>
                              </w:txbxContent>
                            </wps:txbx>
                            <wps:bodyPr upright="1"/>
                          </wps:wsp>
                        </a:graphicData>
                      </a:graphic>
                    </wp:anchor>
                  </w:drawing>
                </mc:Choice>
                <mc:Fallback>
                  <w:pict>
                    <v:rect id="_x0000_s1026" o:spid="_x0000_s1026" o:spt="1" style="position:absolute;left:0pt;margin-left:240.45pt;margin-top:2.7pt;height:23.4pt;width:61.9pt;z-index:251780096;mso-width-relative:page;mso-height-relative:page;" coordsize="21600,21600" o:gfxdata="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bL0J9YAAAAIAQAADwAAAAAAAAABACAAAAAiAAAAZHJz&#10;L2Rvd25yZXYueG1sUEsBAhQAFAAAAAgAh07iQBhzb6QGAgAALAQAAA4AAAAAAAAAAQAgAAAAJQEA&#10;AGRycy9lMm9Eb2MueG1sUEsFBgAAAAAGAAYAWQEAAJ0FAAAAAA==&#10;">
                      <v:path/>
                      <v:fill focussize="0,0"/>
                      <v:stroke/>
                      <v:imagedata o:title=""/>
                      <o:lock v:ext="edit"/>
                      <v:textbox>
                        <w:txbxContent>
                          <w:p>
                            <w:pPr>
                              <w:ind w:firstLine="360" w:firstLineChars="150"/>
                              <w:rPr>
                                <w:rFonts w:hint="eastAsia"/>
                              </w:rPr>
                            </w:pPr>
                            <w:r>
                              <w:rPr>
                                <w:rFonts w:hint="eastAsia"/>
                              </w:rPr>
                              <w:t>装修</w:t>
                            </w:r>
                          </w:p>
                        </w:txbxContent>
                      </v:textbox>
                    </v:rect>
                  </w:pict>
                </mc:Fallback>
              </mc:AlternateContent>
            </w:r>
            <w:r>
              <w:rPr>
                <w:rFonts w:hint="eastAsia"/>
                <w:sz w:val="24"/>
              </w:rPr>
              <mc:AlternateContent>
                <mc:Choice Requires="wps">
                  <w:drawing>
                    <wp:anchor distT="0" distB="0" distL="114300" distR="114300" simplePos="0" relativeHeight="251777024" behindDoc="0" locked="0" layoutInCell="1" allowOverlap="1">
                      <wp:simplePos x="0" y="0"/>
                      <wp:positionH relativeFrom="column">
                        <wp:posOffset>983615</wp:posOffset>
                      </wp:positionH>
                      <wp:positionV relativeFrom="paragraph">
                        <wp:posOffset>163195</wp:posOffset>
                      </wp:positionV>
                      <wp:extent cx="363220" cy="2540"/>
                      <wp:effectExtent l="0" t="37465" r="17780" b="36195"/>
                      <wp:wrapNone/>
                      <wp:docPr id="330" name="直接连接符 330"/>
                      <wp:cNvGraphicFramePr/>
                      <a:graphic xmlns:a="http://schemas.openxmlformats.org/drawingml/2006/main">
                        <a:graphicData uri="http://schemas.microsoft.com/office/word/2010/wordprocessingShape">
                          <wps:wsp>
                            <wps:cNvSpPr/>
                            <wps:spPr>
                              <a:xfrm flipV="1">
                                <a:off x="0" y="0"/>
                                <a:ext cx="363220" cy="25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77.45pt;margin-top:12.85pt;height:0.2pt;width:28.6pt;z-index:251777024;mso-width-relative:page;mso-height-relative:page;" filled="f" coordsize="21600,21600" o:gfxdata="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p+2/rYAAAACQEAAA8AAAAAAAAAAQAgAAAAIgAA&#10;AGRycy9kb3ducmV2LnhtbFBLAQIUABQAAAAIAIdO4kAbfQnoCAIAAPgDAAAOAAAAAAAAAAEAIAAA&#10;ACcBAABkcnMvZTJvRG9jLnhtbFBLBQYAAAAABgAGAFkBAAChBQAAAAA=&#10;">
                      <v:path arrowok="t"/>
                      <v:fill on="f" focussize="0,0"/>
                      <v:stroke endarrow="block"/>
                      <v:imagedata o:title=""/>
                      <o:lock v:ext="edit"/>
                    </v:line>
                  </w:pict>
                </mc:Fallback>
              </mc:AlternateContent>
            </w:r>
            <w:r>
              <w:rPr>
                <w:rFonts w:hint="eastAsia"/>
                <w:sz w:val="24"/>
              </w:rPr>
              <mc:AlternateContent>
                <mc:Choice Requires="wps">
                  <w:drawing>
                    <wp:anchor distT="0" distB="0" distL="114300" distR="114300" simplePos="0" relativeHeight="251779072" behindDoc="0" locked="0" layoutInCell="1" allowOverlap="1">
                      <wp:simplePos x="0" y="0"/>
                      <wp:positionH relativeFrom="column">
                        <wp:posOffset>2728595</wp:posOffset>
                      </wp:positionH>
                      <wp:positionV relativeFrom="paragraph">
                        <wp:posOffset>179070</wp:posOffset>
                      </wp:positionV>
                      <wp:extent cx="322580" cy="2540"/>
                      <wp:effectExtent l="0" t="36195" r="1270" b="37465"/>
                      <wp:wrapNone/>
                      <wp:docPr id="331" name="直接连接符 331"/>
                      <wp:cNvGraphicFramePr/>
                      <a:graphic xmlns:a="http://schemas.openxmlformats.org/drawingml/2006/main">
                        <a:graphicData uri="http://schemas.microsoft.com/office/word/2010/wordprocessingShape">
                          <wps:wsp>
                            <wps:cNvSpPr/>
                            <wps:spPr>
                              <a:xfrm>
                                <a:off x="0" y="0"/>
                                <a:ext cx="322580" cy="25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14.85pt;margin-top:14.1pt;height:0.2pt;width:25.4pt;z-index:251779072;mso-width-relative:page;mso-height-relative:page;" filled="f" coordsize="21600,21600" o:gfxdata="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ll4gtkAAAAJAQAADwAAAAAAAAABACAAAAAiAAAAZHJzL2Rv&#10;d25yZXYueG1sUEsBAhQAFAAAAAgAh07iQJJe/qwAAgAA7gMAAA4AAAAAAAAAAQAgAAAAKAEAAGRy&#10;cy9lMm9Eb2MueG1sUEsFBgAAAAAGAAYAWQEAAJoFAAAAAA==&#10;">
                      <v:path arrowok="t"/>
                      <v:fill on="f" focussize="0,0"/>
                      <v:stroke endarrow="block"/>
                      <v:imagedata o:title=""/>
                      <o:lock v:ext="edit"/>
                    </v:line>
                  </w:pict>
                </mc:Fallback>
              </mc:AlternateContent>
            </w:r>
            <w:r>
              <w:rPr>
                <w:rFonts w:hint="eastAsia"/>
                <w:sz w:val="24"/>
              </w:rPr>
              <mc:AlternateContent>
                <mc:Choice Requires="wps">
                  <w:drawing>
                    <wp:anchor distT="0" distB="0" distL="114300" distR="114300" simplePos="0" relativeHeight="251778048" behindDoc="0" locked="0" layoutInCell="1" allowOverlap="1">
                      <wp:simplePos x="0" y="0"/>
                      <wp:positionH relativeFrom="column">
                        <wp:posOffset>1341755</wp:posOffset>
                      </wp:positionH>
                      <wp:positionV relativeFrom="paragraph">
                        <wp:posOffset>31750</wp:posOffset>
                      </wp:positionV>
                      <wp:extent cx="1385570" cy="297180"/>
                      <wp:effectExtent l="4445" t="4445" r="19685" b="22225"/>
                      <wp:wrapNone/>
                      <wp:docPr id="332" name="矩形 332"/>
                      <wp:cNvGraphicFramePr/>
                      <a:graphic xmlns:a="http://schemas.openxmlformats.org/drawingml/2006/main">
                        <a:graphicData uri="http://schemas.microsoft.com/office/word/2010/wordprocessingShape">
                          <wps:wsp>
                            <wps:cNvSpPr/>
                            <wps:spPr>
                              <a:xfrm>
                                <a:off x="0" y="0"/>
                                <a:ext cx="138557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right="0" w:rightChars="0" w:firstLine="0" w:firstLineChars="0"/>
                                    <w:jc w:val="center"/>
                                    <w:rPr>
                                      <w:rFonts w:hint="eastAsia"/>
                                    </w:rPr>
                                  </w:pPr>
                                  <w:r>
                                    <w:rPr>
                                      <w:rFonts w:hint="eastAsia"/>
                                    </w:rPr>
                                    <w:t>外墙砖、设施更换</w:t>
                                  </w:r>
                                </w:p>
                              </w:txbxContent>
                            </wps:txbx>
                            <wps:bodyPr upright="1"/>
                          </wps:wsp>
                        </a:graphicData>
                      </a:graphic>
                    </wp:anchor>
                  </w:drawing>
                </mc:Choice>
                <mc:Fallback>
                  <w:pict>
                    <v:rect id="_x0000_s1026" o:spid="_x0000_s1026" o:spt="1" style="position:absolute;left:0pt;margin-left:105.65pt;margin-top:2.5pt;height:23.4pt;width:109.1pt;z-index:251778048;mso-width-relative:page;mso-height-relative:page;" coordsize="21600,21600" o:gfxdata="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RRtDHWAAAACAEAAA8AAAAAAAAAAQAgAAAAIgAAAGRy&#10;cy9kb3ducmV2LnhtbFBLAQIUABQAAAAIAIdO4kARoFW2BwIAAC0EAAAOAAAAAAAAAAEAIAAAACUB&#10;AABkcnMvZTJvRG9jLnhtbFBLBQYAAAAABgAGAFkBAACeBQAAAAA=&#10;">
                      <v:path/>
                      <v:fill focussize="0,0"/>
                      <v:stroke/>
                      <v:imagedata o:title=""/>
                      <o:lock v:ext="edit"/>
                      <v:textbox>
                        <w:txbxContent>
                          <w:p>
                            <w:pPr>
                              <w:ind w:left="0" w:leftChars="0" w:right="0" w:rightChars="0" w:firstLine="0" w:firstLineChars="0"/>
                              <w:jc w:val="center"/>
                              <w:rPr>
                                <w:rFonts w:hint="eastAsia"/>
                              </w:rPr>
                            </w:pPr>
                            <w:r>
                              <w:rPr>
                                <w:rFonts w:hint="eastAsia"/>
                              </w:rPr>
                              <w:t>外墙砖、设施更换</w:t>
                            </w:r>
                          </w:p>
                        </w:txbxContent>
                      </v:textbox>
                    </v:rect>
                  </w:pict>
                </mc:Fallback>
              </mc:AlternateContent>
            </w:r>
          </w:p>
          <w:p>
            <w:pPr>
              <w:adjustRightInd w:val="0"/>
              <w:snapToGrid w:val="0"/>
              <w:spacing w:line="360" w:lineRule="auto"/>
              <w:rPr>
                <w:rFonts w:hint="eastAsia"/>
                <w:sz w:val="24"/>
              </w:rPr>
            </w:pPr>
            <w:r>
              <w:rPr>
                <w:rFonts w:hint="eastAsia"/>
                <w:sz w:val="24"/>
              </w:rPr>
              <mc:AlternateContent>
                <mc:Choice Requires="wps">
                  <w:drawing>
                    <wp:anchor distT="0" distB="0" distL="114300" distR="114300" simplePos="0" relativeHeight="251783168" behindDoc="0" locked="0" layoutInCell="1" allowOverlap="1">
                      <wp:simplePos x="0" y="0"/>
                      <wp:positionH relativeFrom="column">
                        <wp:posOffset>635000</wp:posOffset>
                      </wp:positionH>
                      <wp:positionV relativeFrom="paragraph">
                        <wp:posOffset>120650</wp:posOffset>
                      </wp:positionV>
                      <wp:extent cx="10160" cy="286385"/>
                      <wp:effectExtent l="35560" t="0" r="30480" b="18415"/>
                      <wp:wrapNone/>
                      <wp:docPr id="333" name="直接连接符 333"/>
                      <wp:cNvGraphicFramePr/>
                      <a:graphic xmlns:a="http://schemas.openxmlformats.org/drawingml/2006/main">
                        <a:graphicData uri="http://schemas.microsoft.com/office/word/2010/wordprocessingShape">
                          <wps:wsp>
                            <wps:cNvSpPr/>
                            <wps:spPr>
                              <a:xfrm flipH="1">
                                <a:off x="0" y="0"/>
                                <a:ext cx="10160" cy="28638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x;margin-left:50pt;margin-top:9.5pt;height:22.55pt;width:0.8pt;z-index:251783168;mso-width-relative:page;mso-height-relative:page;" filled="f" stroked="t" coordsize="21600,21600" o:gfxdata="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AmKVNUAAAAJAQAADwAAAAAAAAABACAAAAAiAAAAZHJz&#10;L2Rvd25yZXYueG1sUEsBAhQAFAAAAAgAh07iQJNY2M8HAgAA+AMAAA4AAAAAAAAAAQAgAAAAJAEA&#10;AGRycy9lMm9Eb2MueG1sUEsFBgAAAAAGAAYAWQEAAJ0FAAAAAA==&#10;">
                      <v:path arrowok="t"/>
                      <v:fill on="f" focussize="0,0"/>
                      <v:stroke dashstyle="dash" endarrow="block"/>
                      <v:imagedata o:title=""/>
                      <o:lock v:ext="edit" aspectratio="f"/>
                    </v:line>
                  </w:pict>
                </mc:Fallback>
              </mc:AlternateContent>
            </w:r>
            <w:r>
              <w:rPr>
                <w:rFonts w:hint="eastAsia"/>
                <w:sz w:val="24"/>
              </w:rPr>
              <mc:AlternateContent>
                <mc:Choice Requires="wps">
                  <w:drawing>
                    <wp:anchor distT="0" distB="0" distL="114300" distR="114300" simplePos="0" relativeHeight="251784192" behindDoc="0" locked="0" layoutInCell="1" allowOverlap="1">
                      <wp:simplePos x="0" y="0"/>
                      <wp:positionH relativeFrom="column">
                        <wp:posOffset>2089785</wp:posOffset>
                      </wp:positionH>
                      <wp:positionV relativeFrom="paragraph">
                        <wp:posOffset>78740</wp:posOffset>
                      </wp:positionV>
                      <wp:extent cx="1905" cy="332740"/>
                      <wp:effectExtent l="37465" t="0" r="36830" b="10160"/>
                      <wp:wrapNone/>
                      <wp:docPr id="334" name="直接连接符 334"/>
                      <wp:cNvGraphicFramePr/>
                      <a:graphic xmlns:a="http://schemas.openxmlformats.org/drawingml/2006/main">
                        <a:graphicData uri="http://schemas.microsoft.com/office/word/2010/wordprocessingShape">
                          <wps:wsp>
                            <wps:cNvSpPr/>
                            <wps:spPr>
                              <a:xfrm flipH="1">
                                <a:off x="0" y="0"/>
                                <a:ext cx="1905" cy="33274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x;margin-left:164.55pt;margin-top:6.2pt;height:26.2pt;width:0.15pt;z-index:251784192;mso-width-relative:page;mso-height-relative:page;" filled="f" stroked="t" coordsize="21600,21600" o:gfxdata="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eUHuLWAAAACQEAAA8AAAAAAAAAAQAgAAAAIgAA&#10;AGRycy9kb3ducmV2LnhtbFBLAQIUABQAAAAIAIdO4kDWvnT8CgIAAPcDAAAOAAAAAAAAAAEAIAAA&#10;ACUBAABkcnMvZTJvRG9jLnhtbFBLBQYAAAAABgAGAFkBAAChBQAAAAA=&#10;">
                      <v:path arrowok="t"/>
                      <v:fill on="f" focussize="0,0"/>
                      <v:stroke dashstyle="dash" endarrow="block"/>
                      <v:imagedata o:title=""/>
                      <o:lock v:ext="edit"/>
                    </v:line>
                  </w:pict>
                </mc:Fallback>
              </mc:AlternateContent>
            </w:r>
            <w:r>
              <w:rPr>
                <w:rFonts w:hint="eastAsia"/>
                <w:sz w:val="24"/>
              </w:rPr>
              <mc:AlternateContent>
                <mc:Choice Requires="wps">
                  <w:drawing>
                    <wp:anchor distT="0" distB="0" distL="114300" distR="114300" simplePos="0" relativeHeight="251785216" behindDoc="0" locked="0" layoutInCell="1" allowOverlap="1">
                      <wp:simplePos x="0" y="0"/>
                      <wp:positionH relativeFrom="column">
                        <wp:posOffset>3507105</wp:posOffset>
                      </wp:positionH>
                      <wp:positionV relativeFrom="paragraph">
                        <wp:posOffset>76200</wp:posOffset>
                      </wp:positionV>
                      <wp:extent cx="0" cy="335280"/>
                      <wp:effectExtent l="38100" t="0" r="38100" b="7620"/>
                      <wp:wrapNone/>
                      <wp:docPr id="335" name="直接连接符 335"/>
                      <wp:cNvGraphicFramePr/>
                      <a:graphic xmlns:a="http://schemas.openxmlformats.org/drawingml/2006/main">
                        <a:graphicData uri="http://schemas.microsoft.com/office/word/2010/wordprocessingShape">
                          <wps:wsp>
                            <wps:cNvSpPr/>
                            <wps:spPr>
                              <a:xfrm>
                                <a:off x="0" y="0"/>
                                <a:ext cx="0" cy="33528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margin-left:276.15pt;margin-top:6pt;height:26.4pt;width:0pt;z-index:251785216;mso-width-relative:page;mso-height-relative:page;" filled="f" stroked="t" coordsize="21600,21600" o:gfxdata="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ECQvzYAAAACQEAAA8AAAAAAAAAAQAgAAAAIgAAAGRycy9kb3ducmV2&#10;LnhtbFBLAQIUABQAAAAIAIdO4kDVj3Di/AEAAOoDAAAOAAAAAAAAAAEAIAAAACcBAABkcnMvZTJv&#10;RG9jLnhtbFBLBQYAAAAABgAGAFkBAACVBQAAAAA=&#10;">
                      <v:path arrowok="t"/>
                      <v:fill on="f" focussize="0,0"/>
                      <v:stroke dashstyle="dash" endarrow="block"/>
                      <v:imagedata o:title=""/>
                      <o:lock v:ext="edit"/>
                    </v:line>
                  </w:pict>
                </mc:Fallback>
              </mc:AlternateContent>
            </w:r>
          </w:p>
          <w:p>
            <w:pPr>
              <w:adjustRightInd w:val="0"/>
              <w:snapToGrid w:val="0"/>
              <w:spacing w:line="360" w:lineRule="auto"/>
              <w:ind w:firstLine="480" w:firstLineChars="200"/>
              <w:jc w:val="left"/>
              <w:rPr>
                <w:rFonts w:hint="eastAsia"/>
                <w:sz w:val="24"/>
              </w:rPr>
            </w:pPr>
            <w:r>
              <w:rPr>
                <w:rFonts w:hint="eastAsia"/>
                <w:sz w:val="24"/>
              </w:rPr>
              <mc:AlternateContent>
                <mc:Choice Requires="wps">
                  <w:drawing>
                    <wp:anchor distT="0" distB="0" distL="114300" distR="114300" simplePos="0" relativeHeight="251786240" behindDoc="0" locked="0" layoutInCell="1" allowOverlap="1">
                      <wp:simplePos x="0" y="0"/>
                      <wp:positionH relativeFrom="column">
                        <wp:posOffset>350520</wp:posOffset>
                      </wp:positionH>
                      <wp:positionV relativeFrom="paragraph">
                        <wp:posOffset>146050</wp:posOffset>
                      </wp:positionV>
                      <wp:extent cx="3771900" cy="297180"/>
                      <wp:effectExtent l="4445" t="5080" r="14605" b="21590"/>
                      <wp:wrapNone/>
                      <wp:docPr id="336" name="矩形 336"/>
                      <wp:cNvGraphicFramePr/>
                      <a:graphic xmlns:a="http://schemas.openxmlformats.org/drawingml/2006/main">
                        <a:graphicData uri="http://schemas.microsoft.com/office/word/2010/wordprocessingShape">
                          <wps:wsp>
                            <wps:cNvSpPr/>
                            <wps:spPr>
                              <a:xfrm>
                                <a:off x="0" y="0"/>
                                <a:ext cx="3771900" cy="297180"/>
                              </a:xfrm>
                              <a:prstGeom prst="rect">
                                <a:avLst/>
                              </a:prstGeom>
                              <a:solidFill>
                                <a:srgbClr val="FFFFFF"/>
                              </a:solidFill>
                              <a:ln w="9525" cap="flat" cmpd="sng">
                                <a:solidFill>
                                  <a:srgbClr val="000000"/>
                                </a:solidFill>
                                <a:prstDash val="dash"/>
                                <a:miter/>
                                <a:headEnd type="none" w="med" len="med"/>
                                <a:tailEnd type="none" w="med" len="med"/>
                              </a:ln>
                            </wps:spPr>
                            <wps:txbx>
                              <w:txbxContent>
                                <w:p>
                                  <w:pPr>
                                    <w:ind w:left="0" w:leftChars="0" w:right="0" w:rightChars="0" w:firstLine="0" w:firstLineChars="0"/>
                                    <w:jc w:val="center"/>
                                    <w:rPr>
                                      <w:rFonts w:hint="eastAsia"/>
                                    </w:rPr>
                                  </w:pPr>
                                  <w:r>
                                    <w:rPr>
                                      <w:rFonts w:hint="eastAsia"/>
                                    </w:rPr>
                                    <w:t>生活垃圾、生活污水</w:t>
                                  </w:r>
                                </w:p>
                              </w:txbxContent>
                            </wps:txbx>
                            <wps:bodyPr upright="1"/>
                          </wps:wsp>
                        </a:graphicData>
                      </a:graphic>
                    </wp:anchor>
                  </w:drawing>
                </mc:Choice>
                <mc:Fallback>
                  <w:pict>
                    <v:rect id="_x0000_s1026" o:spid="_x0000_s1026" o:spt="1" style="position:absolute;left:0pt;margin-left:27.6pt;margin-top:11.5pt;height:23.4pt;width:297pt;z-index:251786240;mso-width-relative:page;mso-height-relative:page;" stroked="t" coordsize="21600,21600" o:gfxdata="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HfNq7ZAAAACAEAAA8AAAAAAAAAAQAgAAAAIgAA&#10;AGRycy9kb3ducmV2LnhtbFBLAQIUABQAAAAIAIdO4kCW8gMHBwIAACwEAAAOAAAAAAAAAAEAIAAA&#10;ACgBAABkcnMvZTJvRG9jLnhtbFBLBQYAAAAABgAGAFkBAAChBQAAAAA=&#10;">
                      <v:path/>
                      <v:fill focussize="0,0"/>
                      <v:stroke dashstyle="dash"/>
                      <v:imagedata o:title=""/>
                      <o:lock v:ext="edit"/>
                      <v:textbox>
                        <w:txbxContent>
                          <w:p>
                            <w:pPr>
                              <w:ind w:left="0" w:leftChars="0" w:right="0" w:rightChars="0" w:firstLine="0" w:firstLineChars="0"/>
                              <w:jc w:val="center"/>
                              <w:rPr>
                                <w:rFonts w:hint="eastAsia"/>
                              </w:rPr>
                            </w:pPr>
                            <w:r>
                              <w:rPr>
                                <w:rFonts w:hint="eastAsia"/>
                              </w:rPr>
                              <w:t>生活垃圾、生活污水</w:t>
                            </w:r>
                          </w:p>
                        </w:txbxContent>
                      </v:textbox>
                    </v:rect>
                  </w:pict>
                </mc:Fallback>
              </mc:AlternateContent>
            </w:r>
          </w:p>
          <w:p>
            <w:pPr>
              <w:adjustRightInd w:val="0"/>
              <w:snapToGrid w:val="0"/>
              <w:spacing w:line="360" w:lineRule="auto"/>
              <w:ind w:firstLine="480" w:firstLineChars="200"/>
              <w:jc w:val="left"/>
              <w:rPr>
                <w:rFonts w:hint="eastAsia"/>
                <w:sz w:val="24"/>
              </w:rPr>
            </w:pPr>
          </w:p>
          <w:p>
            <w:pPr>
              <w:adjustRightInd w:val="0"/>
              <w:snapToGrid w:val="0"/>
              <w:spacing w:line="360" w:lineRule="auto"/>
              <w:ind w:left="0" w:leftChars="0" w:right="0" w:rightChars="0" w:firstLine="0" w:firstLineChars="0"/>
              <w:jc w:val="center"/>
              <w:rPr>
                <w:rFonts w:hint="eastAsia"/>
                <w:b/>
                <w:szCs w:val="21"/>
              </w:rPr>
            </w:pPr>
            <w:r>
              <w:rPr>
                <w:rFonts w:hint="eastAsia"/>
                <w:b/>
                <w:szCs w:val="21"/>
              </w:rPr>
              <w:t>图</w:t>
            </w:r>
            <w:r>
              <w:rPr>
                <w:rFonts w:hint="eastAsia"/>
                <w:b/>
                <w:szCs w:val="21"/>
                <w:lang w:val="en-US" w:eastAsia="zh-CN"/>
              </w:rPr>
              <w:t>2-22</w:t>
            </w:r>
            <w:r>
              <w:rPr>
                <w:rFonts w:hint="eastAsia"/>
                <w:b/>
                <w:szCs w:val="21"/>
              </w:rPr>
              <w:t xml:space="preserve">  施工期工艺流程及产污节点图</w:t>
            </w:r>
          </w:p>
          <w:p>
            <w:pPr>
              <w:pStyle w:val="138"/>
              <w:ind w:firstLine="482"/>
              <w:rPr>
                <w:rFonts w:hint="eastAsia"/>
                <w:b/>
                <w:bCs/>
                <w:color w:val="000000"/>
              </w:rPr>
            </w:pPr>
            <w:r>
              <w:rPr>
                <w:rFonts w:hint="eastAsia"/>
                <w:b/>
                <w:bCs/>
                <w:color w:val="000000"/>
              </w:rPr>
              <w:t>（9）公路维护</w:t>
            </w:r>
          </w:p>
          <w:p>
            <w:pPr>
              <w:pStyle w:val="138"/>
              <w:rPr>
                <w:rFonts w:hint="eastAsia"/>
                <w:color w:val="000000"/>
              </w:rPr>
            </w:pPr>
            <w:r>
              <w:rPr>
                <w:rFonts w:hint="eastAsia"/>
                <w:color w:val="000000"/>
              </w:rPr>
              <w:t>本次需对进库公路进行整治，长度约4km，主要是对破损路面进行填平，</w:t>
            </w:r>
            <w:r>
              <w:rPr>
                <w:rFonts w:hint="eastAsia"/>
                <w:color w:val="000000"/>
                <w:lang w:eastAsia="zh-CN"/>
              </w:rPr>
              <w:t>铺设沥青，</w:t>
            </w:r>
            <w:r>
              <w:rPr>
                <w:rFonts w:hint="eastAsia"/>
                <w:color w:val="000000"/>
              </w:rPr>
              <w:t>边坡整治、防撞栏等的安装。</w:t>
            </w:r>
          </w:p>
          <w:p>
            <w:pPr>
              <w:spacing w:line="360" w:lineRule="auto"/>
            </w:pPr>
            <w:r>
              <w:rPr>
                <w:b/>
                <w:sz w:val="24"/>
              </w:rPr>
              <mc:AlternateContent>
                <mc:Choice Requires="wpc">
                  <w:drawing>
                    <wp:inline distT="0" distB="0" distL="114300" distR="114300">
                      <wp:extent cx="5061585" cy="1531620"/>
                      <wp:effectExtent l="0" t="0" r="5715" b="12065"/>
                      <wp:docPr id="383" name="画布 3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8" name="直接连接符 368"/>
                              <wps:cNvSpPr/>
                              <wps:spPr>
                                <a:xfrm>
                                  <a:off x="1887220" y="560302"/>
                                  <a:ext cx="635" cy="325255"/>
                                </a:xfrm>
                                <a:prstGeom prst="line">
                                  <a:avLst/>
                                </a:prstGeom>
                                <a:ln w="9525" cap="flat" cmpd="sng">
                                  <a:solidFill>
                                    <a:srgbClr val="000000"/>
                                  </a:solidFill>
                                  <a:prstDash val="dash"/>
                                  <a:headEnd type="none" w="med" len="med"/>
                                  <a:tailEnd type="triangle" w="med" len="med"/>
                                </a:ln>
                              </wps:spPr>
                              <wps:bodyPr upright="1"/>
                            </wps:wsp>
                            <wps:wsp>
                              <wps:cNvPr id="369" name="矩形 369"/>
                              <wps:cNvSpPr/>
                              <wps:spPr>
                                <a:xfrm>
                                  <a:off x="114300" y="264905"/>
                                  <a:ext cx="1143000" cy="3144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待整治公路清理</w:t>
                                    </w:r>
                                  </w:p>
                                </w:txbxContent>
                              </wps:txbx>
                              <wps:bodyPr upright="1"/>
                            </wps:wsp>
                            <wps:wsp>
                              <wps:cNvPr id="370" name="矩形 370"/>
                              <wps:cNvSpPr/>
                              <wps:spPr>
                                <a:xfrm>
                                  <a:off x="1532890" y="143570"/>
                                  <a:ext cx="852170" cy="4694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eastAsia="zh-CN"/>
                                      </w:rPr>
                                    </w:pPr>
                                    <w:r>
                                      <w:rPr>
                                        <w:rFonts w:hint="eastAsia"/>
                                        <w:lang w:eastAsia="zh-CN"/>
                                      </w:rPr>
                                      <w:t>铺设沥青、</w:t>
                                    </w:r>
                                  </w:p>
                                  <w:p>
                                    <w:pPr>
                                      <w:rPr>
                                        <w:rFonts w:hint="eastAsia"/>
                                      </w:rPr>
                                    </w:pPr>
                                    <w:r>
                                      <w:rPr>
                                        <w:rFonts w:hint="eastAsia"/>
                                      </w:rPr>
                                      <w:t>边坡整治</w:t>
                                    </w:r>
                                  </w:p>
                                </w:txbxContent>
                              </wps:txbx>
                              <wps:bodyPr upright="1"/>
                            </wps:wsp>
                            <wps:wsp>
                              <wps:cNvPr id="371" name="矩形 371"/>
                              <wps:cNvSpPr/>
                              <wps:spPr>
                                <a:xfrm>
                                  <a:off x="2828290" y="251564"/>
                                  <a:ext cx="915035" cy="29730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防撞栏安装</w:t>
                                    </w:r>
                                  </w:p>
                                </w:txbxContent>
                              </wps:txbx>
                              <wps:bodyPr upright="1"/>
                            </wps:wsp>
                            <wps:wsp>
                              <wps:cNvPr id="372" name="矩形 372"/>
                              <wps:cNvSpPr/>
                              <wps:spPr>
                                <a:xfrm>
                                  <a:off x="4204335" y="251564"/>
                                  <a:ext cx="800100" cy="29793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道路运营</w:t>
                                    </w:r>
                                  </w:p>
                                </w:txbxContent>
                              </wps:txbx>
                              <wps:bodyPr upright="1"/>
                            </wps:wsp>
                            <wps:wsp>
                              <wps:cNvPr id="373" name="矩形 373"/>
                              <wps:cNvSpPr/>
                              <wps:spPr>
                                <a:xfrm>
                                  <a:off x="125730" y="923673"/>
                                  <a:ext cx="1143000" cy="469460"/>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弃渣、扬尘、噪声、废气</w:t>
                                    </w:r>
                                  </w:p>
                                </w:txbxContent>
                              </wps:txbx>
                              <wps:bodyPr upright="1"/>
                            </wps:wsp>
                            <wps:wsp>
                              <wps:cNvPr id="374" name="矩形 374"/>
                              <wps:cNvSpPr/>
                              <wps:spPr>
                                <a:xfrm>
                                  <a:off x="1268730" y="893816"/>
                                  <a:ext cx="1143000" cy="592701"/>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施工废水、扬尘、噪声、尾气、水土流失</w:t>
                                    </w:r>
                                  </w:p>
                                  <w:p/>
                                </w:txbxContent>
                              </wps:txbx>
                              <wps:bodyPr upright="1"/>
                            </wps:wsp>
                            <wps:wsp>
                              <wps:cNvPr id="375" name="矩形 375"/>
                              <wps:cNvSpPr/>
                              <wps:spPr>
                                <a:xfrm>
                                  <a:off x="2599690" y="941460"/>
                                  <a:ext cx="1143635" cy="451672"/>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噪声、固体废物、扬尘</w:t>
                                    </w:r>
                                  </w:p>
                                  <w:p/>
                                </w:txbxContent>
                              </wps:txbx>
                              <wps:bodyPr upright="1"/>
                            </wps:wsp>
                            <wps:wsp>
                              <wps:cNvPr id="376" name="矩形 376"/>
                              <wps:cNvSpPr/>
                              <wps:spPr>
                                <a:xfrm>
                                  <a:off x="3861435" y="959248"/>
                                  <a:ext cx="1143000" cy="451672"/>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hint="eastAsia"/>
                                      </w:rPr>
                                      <w:t>交通噪声、汽车尾气、扬尘</w:t>
                                    </w:r>
                                  </w:p>
                                  <w:p/>
                                </w:txbxContent>
                              </wps:txbx>
                              <wps:bodyPr upright="1"/>
                            </wps:wsp>
                            <wps:wsp>
                              <wps:cNvPr id="377" name="直接连接符 377"/>
                              <wps:cNvSpPr/>
                              <wps:spPr>
                                <a:xfrm>
                                  <a:off x="1268730" y="384334"/>
                                  <a:ext cx="254000" cy="635"/>
                                </a:xfrm>
                                <a:prstGeom prst="line">
                                  <a:avLst/>
                                </a:prstGeom>
                                <a:ln w="9525" cap="flat" cmpd="sng">
                                  <a:solidFill>
                                    <a:srgbClr val="000000"/>
                                  </a:solidFill>
                                  <a:prstDash val="solid"/>
                                  <a:headEnd type="none" w="med" len="med"/>
                                  <a:tailEnd type="triangle" w="med" len="med"/>
                                </a:ln>
                              </wps:spPr>
                              <wps:bodyPr upright="1"/>
                            </wps:wsp>
                            <wps:wsp>
                              <wps:cNvPr id="378" name="直接连接符 378"/>
                              <wps:cNvSpPr/>
                              <wps:spPr>
                                <a:xfrm flipV="1">
                                  <a:off x="2416810" y="384334"/>
                                  <a:ext cx="411480" cy="9529"/>
                                </a:xfrm>
                                <a:prstGeom prst="line">
                                  <a:avLst/>
                                </a:prstGeom>
                                <a:ln w="9525" cap="flat" cmpd="sng">
                                  <a:solidFill>
                                    <a:srgbClr val="000000"/>
                                  </a:solidFill>
                                  <a:prstDash val="solid"/>
                                  <a:headEnd type="none" w="med" len="med"/>
                                  <a:tailEnd type="triangle" w="med" len="med"/>
                                </a:ln>
                              </wps:spPr>
                              <wps:bodyPr upright="1"/>
                            </wps:wsp>
                            <wps:wsp>
                              <wps:cNvPr id="379" name="直接连接符 379"/>
                              <wps:cNvSpPr/>
                              <wps:spPr>
                                <a:xfrm>
                                  <a:off x="3743325" y="386240"/>
                                  <a:ext cx="457200" cy="635"/>
                                </a:xfrm>
                                <a:prstGeom prst="line">
                                  <a:avLst/>
                                </a:prstGeom>
                                <a:ln w="9525" cap="flat" cmpd="sng">
                                  <a:solidFill>
                                    <a:srgbClr val="000000"/>
                                  </a:solidFill>
                                  <a:prstDash val="solid"/>
                                  <a:headEnd type="none" w="med" len="med"/>
                                  <a:tailEnd type="triangle" w="med" len="med"/>
                                </a:ln>
                              </wps:spPr>
                              <wps:bodyPr upright="1"/>
                            </wps:wsp>
                            <wps:wsp>
                              <wps:cNvPr id="380" name="直接连接符 380"/>
                              <wps:cNvSpPr/>
                              <wps:spPr>
                                <a:xfrm>
                                  <a:off x="621030" y="595242"/>
                                  <a:ext cx="635" cy="346219"/>
                                </a:xfrm>
                                <a:prstGeom prst="line">
                                  <a:avLst/>
                                </a:prstGeom>
                                <a:ln w="9525" cap="flat" cmpd="sng">
                                  <a:solidFill>
                                    <a:srgbClr val="000000"/>
                                  </a:solidFill>
                                  <a:prstDash val="dash"/>
                                  <a:headEnd type="none" w="med" len="med"/>
                                  <a:tailEnd type="triangle" w="med" len="med"/>
                                </a:ln>
                              </wps:spPr>
                              <wps:bodyPr upright="1"/>
                            </wps:wsp>
                            <wps:wsp>
                              <wps:cNvPr id="381" name="直接连接符 381"/>
                              <wps:cNvSpPr/>
                              <wps:spPr>
                                <a:xfrm>
                                  <a:off x="3193415" y="560302"/>
                                  <a:ext cx="635" cy="381158"/>
                                </a:xfrm>
                                <a:prstGeom prst="line">
                                  <a:avLst/>
                                </a:prstGeom>
                                <a:ln w="9525" cap="flat" cmpd="sng">
                                  <a:solidFill>
                                    <a:srgbClr val="000000"/>
                                  </a:solidFill>
                                  <a:prstDash val="dash"/>
                                  <a:headEnd type="none" w="med" len="med"/>
                                  <a:tailEnd type="triangle" w="med" len="med"/>
                                </a:ln>
                              </wps:spPr>
                              <wps:bodyPr upright="1"/>
                            </wps:wsp>
                            <wps:wsp>
                              <wps:cNvPr id="382" name="直接连接符 382"/>
                              <wps:cNvSpPr/>
                              <wps:spPr>
                                <a:xfrm>
                                  <a:off x="4504055" y="549503"/>
                                  <a:ext cx="635" cy="391958"/>
                                </a:xfrm>
                                <a:prstGeom prst="line">
                                  <a:avLst/>
                                </a:prstGeom>
                                <a:ln w="9525" cap="flat" cmpd="sng">
                                  <a:solidFill>
                                    <a:srgbClr val="000000"/>
                                  </a:solidFill>
                                  <a:prstDash val="dash"/>
                                  <a:headEnd type="none" w="med" len="med"/>
                                  <a:tailEnd type="triangle" w="med" len="med"/>
                                </a:ln>
                              </wps:spPr>
                              <wps:bodyPr upright="1"/>
                            </wps:wsp>
                          </wpc:wpc>
                        </a:graphicData>
                      </a:graphic>
                    </wp:inline>
                  </w:drawing>
                </mc:Choice>
                <mc:Fallback>
                  <w:pict>
                    <v:group id="_x0000_s1026" o:spid="_x0000_s1026" o:spt="203" style="height:120.6pt;width:398.55pt;" coordsize="5061585,1531620" editas="canvas" o:gfxdata="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DreVci&#10;1QAAAAUBAAAPAAAAAAAAAAEAIAAAACIAAABkcnMvZG93bnJldi54bWxQSwECFAAUAAAACACHTuJA&#10;fy4IDwkFAACaJAAADgAAAAAAAAABACAAAAAkAQAAZHJzL2Uyb0RvYy54bWxQSwUGAAAAAAYABgBZ&#10;AQAAnwgAAAAA&#10;">
                      <o:lock v:ext="edit" aspectratio="f"/>
                      <v:rect id="_x0000_s1026" o:spid="_x0000_s1026" o:spt="1" style="position:absolute;left:0;top:0;height:1531620;width:5061585;" filled="f" stroked="f" coordsize="21600,21600" o:gfxdata="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">
                        <v:path/>
                        <v:fill on="f" focussize="0,0"/>
                        <v:stroke on="f"/>
                        <v:imagedata o:title=""/>
                        <o:lock v:ext="edit" rotation="t" text="t" aspectratio="t"/>
                      </v:rect>
                      <v:line id="_x0000_s1026" o:spid="_x0000_s1026" o:spt="20" style="position:absolute;left:1887220;top:560302;height:325255;width:635;" filled="f" stroked="t" coordsize="21600,21600" o:gfxdata="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F3nTQ2AAAAAUBAAAPAAAAAAAAAAEAIAAAACIA&#10;AABkcnMvZG93bnJldi54bWxQSwECFAAUAAAACACHTuJAsj0KqQkCAAD3AwAADgAAAAAAAAABACAA&#10;AAAnAQAAZHJzL2Uyb0RvYy54bWxQSwUGAAAAAAYABgBZAQAAogUAAAAA&#10;">
                        <v:fill on="f" focussize="0,0"/>
                        <v:stroke color="#000000" joinstyle="round" dashstyle="dash" endarrow="block"/>
                        <v:imagedata o:title=""/>
                        <o:lock v:ext="edit" aspectratio="f"/>
                      </v:line>
                      <v:rect id="_x0000_s1026" o:spid="_x0000_s1026" o:spt="1" style="position:absolute;left:114300;top:264904;height:314456;width:1143000;" fillcolor="#FFFFFF" filled="t" stroked="t" coordsize="21600,21600" o:gfxdata="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K2cE+1QAAAAUBAAAPAAAAAAAAAAEAIAAAACIA&#10;AABkcnMvZG93bnJldi54bWxQSwECFAAUAAAACACHTuJAHkwkxAwCAAA3BAAADgAAAAAAAAABACAA&#10;AAAkAQAAZHJzL2Uyb0RvYy54bWxQSwUGAAAAAAYABgBZAQAAogUAAAAA&#10;">
                        <v:fill on="t" focussize="0,0"/>
                        <v:stroke color="#000000" joinstyle="miter"/>
                        <v:imagedata o:title=""/>
                        <o:lock v:ext="edit" aspectratio="f"/>
                        <v:textbox>
                          <w:txbxContent>
                            <w:p>
                              <w:pPr>
                                <w:rPr>
                                  <w:rFonts w:hint="eastAsia"/>
                                </w:rPr>
                              </w:pPr>
                              <w:r>
                                <w:rPr>
                                  <w:rFonts w:hint="eastAsia"/>
                                </w:rPr>
                                <w:t>待整治公路清理</w:t>
                              </w:r>
                            </w:p>
                          </w:txbxContent>
                        </v:textbox>
                      </v:rect>
                      <v:rect id="_x0000_s1026" o:spid="_x0000_s1026" o:spt="1" style="position:absolute;left:1532890;top:143569;height:469460;width:852170;" fillcolor="#FFFFFF" filled="t" stroked="t" coordsize="21600,21600" o:gfxdata="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rZwT7VAAAABQEAAA8AAAAAAAAAAQAgAAAA&#10;IgAAAGRycy9kb3ducmV2LnhtbFBLAQIUABQAAAAIAIdO4kDed04VDgIAADcEAAAOAAAAAAAAAAEA&#10;IAAAACQBAABkcnMvZTJvRG9jLnhtbFBLBQYAAAAABgAGAFkBAACkBQAAAAA=&#10;">
                        <v:fill on="t" focussize="0,0"/>
                        <v:stroke color="#000000" joinstyle="miter"/>
                        <v:imagedata o:title=""/>
                        <o:lock v:ext="edit" aspectratio="f"/>
                        <v:textbox>
                          <w:txbxContent>
                            <w:p>
                              <w:pPr>
                                <w:rPr>
                                  <w:rFonts w:hint="eastAsia"/>
                                  <w:lang w:eastAsia="zh-CN"/>
                                </w:rPr>
                              </w:pPr>
                              <w:r>
                                <w:rPr>
                                  <w:rFonts w:hint="eastAsia"/>
                                  <w:lang w:eastAsia="zh-CN"/>
                                </w:rPr>
                                <w:t>铺设沥青、</w:t>
                              </w:r>
                            </w:p>
                            <w:p>
                              <w:pPr>
                                <w:rPr>
                                  <w:rFonts w:hint="eastAsia"/>
                                </w:rPr>
                              </w:pPr>
                              <w:r>
                                <w:rPr>
                                  <w:rFonts w:hint="eastAsia"/>
                                </w:rPr>
                                <w:t>边坡整治</w:t>
                              </w:r>
                            </w:p>
                          </w:txbxContent>
                        </v:textbox>
                      </v:rect>
                      <v:rect id="_x0000_s1026" o:spid="_x0000_s1026" o:spt="1" style="position:absolute;left:2828290;top:251564;height:297303;width:915035;" fillcolor="#FFFFFF" filled="t" stroked="t" coordsize="21600,21600" o:gfxdata="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K2cE+1QAAAAUBAAAPAAAAAAAAAAEAIAAAACIA&#10;AABkcnMvZG93bnJldi54bWxQSwECFAAUAAAACACHTuJAtQoOFAwCAAA3BAAADgAAAAAAAAABACAA&#10;AAAkAQAAZHJzL2Uyb0RvYy54bWxQSwUGAAAAAAYABgBZAQAAogUAAAAA&#10;">
                        <v:fill on="t" focussize="0,0"/>
                        <v:stroke color="#000000" joinstyle="miter"/>
                        <v:imagedata o:title=""/>
                        <o:lock v:ext="edit" aspectratio="f"/>
                        <v:textbox>
                          <w:txbxContent>
                            <w:p>
                              <w:pPr>
                                <w:rPr>
                                  <w:rFonts w:hint="eastAsia"/>
                                </w:rPr>
                              </w:pPr>
                              <w:r>
                                <w:rPr>
                                  <w:rFonts w:hint="eastAsia"/>
                                </w:rPr>
                                <w:t>防撞栏安装</w:t>
                              </w:r>
                            </w:p>
                          </w:txbxContent>
                        </v:textbox>
                      </v:rect>
                      <v:rect id="_x0000_s1026" o:spid="_x0000_s1026" o:spt="1" style="position:absolute;left:4204335;top:251564;height:297938;width:800100;" fillcolor="#FFFFFF" filled="t" stroked="t" coordsize="21600,21600" o:gfxdata="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rZwT7VAAAABQEAAA8AAAAAAAAAAQAgAAAA&#10;IgAAAGRycy9kb3ducmV2LnhtbFBLAQIUABQAAAAIAIdO4kDSi3VsDgIAADcEAAAOAAAAAAAAAAEA&#10;IAAAACQBAABkcnMvZTJvRG9jLnhtbFBLBQYAAAAABgAGAFkBAACkBQAAAAA=&#10;">
                        <v:fill on="t" focussize="0,0"/>
                        <v:stroke color="#000000" joinstyle="miter"/>
                        <v:imagedata o:title=""/>
                        <o:lock v:ext="edit" aspectratio="f"/>
                        <v:textbox>
                          <w:txbxContent>
                            <w:p>
                              <w:pPr>
                                <w:rPr>
                                  <w:rFonts w:hint="eastAsia"/>
                                </w:rPr>
                              </w:pPr>
                              <w:r>
                                <w:rPr>
                                  <w:rFonts w:hint="eastAsia"/>
                                </w:rPr>
                                <w:t>道路运营</w:t>
                              </w:r>
                            </w:p>
                          </w:txbxContent>
                        </v:textbox>
                      </v:rect>
                      <v:rect id="_x0000_s1026" o:spid="_x0000_s1026" o:spt="1" style="position:absolute;left:125729;top:923672;height:469460;width:1143001;" fillcolor="#FFFFFF" filled="t" stroked="t" coordsize="21600,21600" o:gfxdata="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8IUTdQAAAAFAQAADwAAAAAAAAABACAAAAAiAAAA&#10;ZHJzL2Rvd25yZXYueG1sUEsBAhQAFAAAAAgAh07iQE2Z8VQLAgAANwQAAA4AAAAAAAAAAQAgAAAA&#10;IwEAAGRycy9lMm9Eb2MueG1sUEsFBgAAAAAGAAYAWQEAAKAFAAAAAA==&#10;">
                        <v:fill on="t" focussize="0,0"/>
                        <v:stroke color="#FFFFFF" joinstyle="miter"/>
                        <v:imagedata o:title=""/>
                        <o:lock v:ext="edit" aspectratio="f"/>
                        <v:textbox>
                          <w:txbxContent>
                            <w:p>
                              <w:r>
                                <w:rPr>
                                  <w:rFonts w:hint="eastAsia"/>
                                </w:rPr>
                                <w:t>弃渣、扬尘、噪声、废气</w:t>
                              </w:r>
                            </w:p>
                          </w:txbxContent>
                        </v:textbox>
                      </v:rect>
                      <v:rect id="_x0000_s1026" o:spid="_x0000_s1026" o:spt="1" style="position:absolute;left:1268730;top:893815;height:592701;width:1143000;" fillcolor="#FFFFFF" filled="t" stroked="t" coordsize="21600,21600" o:gfxdata="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8IUTdQAAAAFAQAADwAAAAAAAAABACAAAAAiAAAA&#10;ZHJzL2Rvd25yZXYueG1sUEsBAhQAFAAAAAgAh07iQFkuZr0LAgAAOAQAAA4AAAAAAAAAAQAgAAAA&#10;IwEAAGRycy9lMm9Eb2MueG1sUEsFBgAAAAAGAAYAWQEAAKAFAAAAAA==&#10;">
                        <v:fill on="t" focussize="0,0"/>
                        <v:stroke color="#FFFFFF" joinstyle="miter"/>
                        <v:imagedata o:title=""/>
                        <o:lock v:ext="edit" aspectratio="f"/>
                        <v:textbox>
                          <w:txbxContent>
                            <w:p>
                              <w:r>
                                <w:rPr>
                                  <w:rFonts w:hint="eastAsia"/>
                                </w:rPr>
                                <w:t>施工废水、扬尘、噪声、尾气、水土流失</w:t>
                              </w:r>
                            </w:p>
                            <w:p/>
                          </w:txbxContent>
                        </v:textbox>
                      </v:rect>
                      <v:rect id="_x0000_s1026" o:spid="_x0000_s1026" o:spt="1" style="position:absolute;left:2599690;top:941460;height:451672;width:1143635;" fillcolor="#FFFFFF" filled="t" stroked="t" coordsize="21600,21600" o:gfxdata="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8IUTdQAAAAFAQAADwAAAAAAAAABACAAAAAiAAAA&#10;ZHJzL2Rvd25yZXYueG1sUEsBAhQAFAAAAAgAh07iQH/OwhMLAgAAOAQAAA4AAAAAAAAAAQAgAAAA&#10;IwEAAGRycy9lMm9Eb2MueG1sUEsFBgAAAAAGAAYAWQEAAKAFAAAAAA==&#10;">
                        <v:fill on="t" focussize="0,0"/>
                        <v:stroke color="#FFFFFF" joinstyle="miter"/>
                        <v:imagedata o:title=""/>
                        <o:lock v:ext="edit" aspectratio="f"/>
                        <v:textbox>
                          <w:txbxContent>
                            <w:p>
                              <w:r>
                                <w:rPr>
                                  <w:rFonts w:hint="eastAsia"/>
                                </w:rPr>
                                <w:t>噪声、固体废物、扬尘</w:t>
                              </w:r>
                            </w:p>
                            <w:p/>
                          </w:txbxContent>
                        </v:textbox>
                      </v:rect>
                      <v:rect id="_x0000_s1026" o:spid="_x0000_s1026" o:spt="1" style="position:absolute;left:3861435;top:959247;height:451672;width:1143000;" fillcolor="#FFFFFF" filled="t" stroked="t" coordsize="21600,21600" o:gfxdata="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XwhRN1AAAAAUBAAAPAAAAAAAAAAEAIAAAACIAAABk&#10;cnMvZG93bnJldi54bWxQSwECFAAUAAAACACHTuJA5bTT1woCAAA4BAAADgAAAAAAAAABACAAAAAj&#10;AQAAZHJzL2Uyb0RvYy54bWxQSwUGAAAAAAYABgBZAQAAnwUAAAAA&#10;">
                        <v:fill on="t" focussize="0,0"/>
                        <v:stroke color="#FFFFFF" joinstyle="miter"/>
                        <v:imagedata o:title=""/>
                        <o:lock v:ext="edit" aspectratio="f"/>
                        <v:textbox>
                          <w:txbxContent>
                            <w:p>
                              <w:r>
                                <w:rPr>
                                  <w:rFonts w:hint="eastAsia"/>
                                </w:rPr>
                                <w:t>交通噪声、汽车尾气、扬尘</w:t>
                              </w:r>
                            </w:p>
                            <w:p/>
                          </w:txbxContent>
                        </v:textbox>
                      </v:rect>
                      <v:line id="_x0000_s1026" o:spid="_x0000_s1026" o:spt="20" style="position:absolute;left:1268730;top:384334;height:635;width:254000;" filled="f" stroked="t" coordsize="21600,21600" o:gfxdata="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slG9NgAAAAFAQAADwAAAAAAAAABACAAAAAi&#10;AAAAZHJzL2Rvd25yZXYueG1sUEsBAhQAFAAAAAgAh07iQPHvXysKAgAA+AMAAA4AAAAAAAAAAQAg&#10;AAAAJwEAAGRycy9lMm9Eb2MueG1sUEsFBgAAAAAGAAYAWQEAAKMFAAAAAA==&#10;">
                        <v:fill on="f" focussize="0,0"/>
                        <v:stroke color="#000000" joinstyle="round" endarrow="block"/>
                        <v:imagedata o:title=""/>
                        <o:lock v:ext="edit" aspectratio="f"/>
                      </v:line>
                      <v:line id="_x0000_s1026" o:spid="_x0000_s1026" o:spt="20" style="position:absolute;left:2416810;top:384334;flip:y;height:9529;width:411480;" filled="f" stroked="t" coordsize="21600,21600" o:gfxdata="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KodOn1wAAAAUBAAAPAAAAAAAAAAEA&#10;IAAAACIAAABkcnMvZG93bnJldi54bWxQSwECFAAUAAAACACHTuJABHSSnRACAAADBAAADgAAAAAA&#10;AAABACAAAAAmAQAAZHJzL2Uyb0RvYy54bWxQSwUGAAAAAAYABgBZAQAAqAUAAAAA&#10;">
                        <v:fill on="f" focussize="0,0"/>
                        <v:stroke color="#000000" joinstyle="round" endarrow="block"/>
                        <v:imagedata o:title=""/>
                        <o:lock v:ext="edit" aspectratio="f"/>
                      </v:line>
                      <v:line id="_x0000_s1026" o:spid="_x0000_s1026" o:spt="20" style="position:absolute;left:3743325;top:386240;height:635;width:457200;" filled="f" stroked="t" coordsize="21600,21600" o:gfxdata="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slG9NgAAAAFAQAADwAAAAAAAAABACAAAAAiAAAA&#10;ZHJzL2Rvd25yZXYueG1sUEsBAhQAFAAAAAgAh07iQE0SUtEHAgAA+AMAAA4AAAAAAAAAAQAgAAAA&#10;JwEAAGRycy9lMm9Eb2MueG1sUEsFBgAAAAAGAAYAWQEAAKAFAAAAAA==&#10;">
                        <v:fill on="f" focussize="0,0"/>
                        <v:stroke color="#000000" joinstyle="round" endarrow="block"/>
                        <v:imagedata o:title=""/>
                        <o:lock v:ext="edit" aspectratio="f"/>
                      </v:line>
                      <v:line id="_x0000_s1026" o:spid="_x0000_s1026" o:spt="20" style="position:absolute;left:621030;top:595241;height:346219;width:635;" filled="f" stroked="t" coordsize="21600,21600" o:gfxdata="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d500NgAAAAFAQAADwAAAAAAAAABACAAAAAiAAAA&#10;ZHJzL2Rvd25yZXYueG1sUEsBAhQAFAAAAAgAh07iQDsX3PYHAgAA9gMAAA4AAAAAAAAAAQAgAAAA&#10;JwEAAGRycy9lMm9Eb2MueG1sUEsFBgAAAAAGAAYAWQEAAKAFAAAAAA==&#10;">
                        <v:fill on="f" focussize="0,0"/>
                        <v:stroke color="#000000" joinstyle="round" dashstyle="dash" endarrow="block"/>
                        <v:imagedata o:title=""/>
                        <o:lock v:ext="edit" aspectratio="f"/>
                      </v:line>
                      <v:line id="_x0000_s1026" o:spid="_x0000_s1026" o:spt="20" style="position:absolute;left:3193415;top:560302;height:381158;width:635;" filled="f" stroked="t" coordsize="21600,21600" o:gfxdata="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XedNDYAAAABQEAAA8AAAAAAAAAAQAgAAAAIgAA&#10;AGRycy9kb3ducmV2LnhtbFBLAQIUABQAAAAIAIdO4kCum7zGCAIAAPcDAAAOAAAAAAAAAAEAIAAA&#10;ACcBAABkcnMvZTJvRG9jLnhtbFBLBQYAAAAABgAGAFkBAAChBQAAAAA=&#10;">
                        <v:fill on="f" focussize="0,0"/>
                        <v:stroke color="#000000" joinstyle="round" dashstyle="dash" endarrow="block"/>
                        <v:imagedata o:title=""/>
                        <o:lock v:ext="edit" aspectratio="f"/>
                      </v:line>
                      <v:line id="_x0000_s1026" o:spid="_x0000_s1026" o:spt="20" style="position:absolute;left:4504055;top:549502;height:391958;width:635;" filled="f" stroked="t" coordsize="21600,21600" o:gfxdata="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XedNDYAAAABQEAAA8AAAAAAAAAAQAgAAAA&#10;IgAAAGRycy9kb3ducmV2LnhtbFBLAQIUABQAAAAIAIdO4kBXR3wnCwIAAPcDAAAOAAAAAAAAAAEA&#10;IAAAACcBAABkcnMvZTJvRG9jLnhtbFBLBQYAAAAABgAGAFkBAACkBQAAAAA=&#10;">
                        <v:fill on="f" focussize="0,0"/>
                        <v:stroke color="#000000" joinstyle="round" dashstyle="dash" endarrow="block"/>
                        <v:imagedata o:title=""/>
                        <o:lock v:ext="edit" aspectratio="f"/>
                      </v:line>
                      <w10:wrap type="none"/>
                      <w10:anchorlock/>
                    </v:group>
                  </w:pict>
                </mc:Fallback>
              </mc:AlternateContent>
            </w:r>
          </w:p>
          <w:p>
            <w:pPr>
              <w:pStyle w:val="138"/>
              <w:spacing w:line="360" w:lineRule="auto"/>
              <w:ind w:left="0" w:leftChars="0" w:right="0" w:rightChars="0" w:firstLine="0" w:firstLineChars="0"/>
              <w:jc w:val="center"/>
              <w:rPr>
                <w:rFonts w:hint="eastAsia"/>
                <w:b/>
                <w:bCs/>
                <w:color w:val="000000"/>
                <w:sz w:val="21"/>
                <w:szCs w:val="21"/>
              </w:rPr>
            </w:pPr>
            <w:r>
              <w:rPr>
                <w:rFonts w:hint="eastAsia"/>
                <w:b/>
                <w:bCs/>
                <w:color w:val="000000"/>
                <w:sz w:val="21"/>
                <w:szCs w:val="21"/>
              </w:rPr>
              <w:t>图</w:t>
            </w:r>
            <w:r>
              <w:rPr>
                <w:rFonts w:hint="eastAsia"/>
                <w:b/>
                <w:bCs/>
                <w:color w:val="000000"/>
                <w:sz w:val="21"/>
                <w:szCs w:val="21"/>
                <w:lang w:val="en-US" w:eastAsia="zh-CN"/>
              </w:rPr>
              <w:t>2-23</w:t>
            </w:r>
            <w:r>
              <w:rPr>
                <w:rFonts w:hint="eastAsia"/>
                <w:b/>
                <w:bCs/>
                <w:color w:val="000000"/>
                <w:sz w:val="21"/>
                <w:szCs w:val="21"/>
              </w:rPr>
              <w:t xml:space="preserve">   整治道路</w:t>
            </w:r>
            <w:r>
              <w:rPr>
                <w:rFonts w:hAnsi="宋体"/>
                <w:b/>
                <w:bCs/>
                <w:snapToGrid w:val="0"/>
                <w:color w:val="000000"/>
                <w:sz w:val="21"/>
                <w:szCs w:val="21"/>
              </w:rPr>
              <w:t>施工工艺流程</w:t>
            </w:r>
            <w:r>
              <w:rPr>
                <w:rFonts w:hint="eastAsia"/>
                <w:b/>
                <w:bCs/>
                <w:color w:val="000000"/>
                <w:sz w:val="21"/>
                <w:szCs w:val="21"/>
              </w:rPr>
              <w:t>及产污节点图</w:t>
            </w:r>
          </w:p>
          <w:p>
            <w:pPr>
              <w:spacing w:line="360" w:lineRule="auto"/>
              <w:rPr>
                <w:rFonts w:ascii="Times New Roman" w:hAnsi="Times New Roman"/>
                <w:b/>
                <w:bCs/>
                <w:color w:val="000000"/>
                <w:sz w:val="28"/>
                <w:szCs w:val="28"/>
              </w:rPr>
            </w:pPr>
            <w:r>
              <w:rPr>
                <w:rFonts w:ascii="Times New Roman" w:hAnsi="Times New Roman"/>
                <w:b/>
                <w:bCs/>
                <w:color w:val="000000"/>
                <w:sz w:val="28"/>
                <w:szCs w:val="28"/>
              </w:rPr>
              <w:t>5、施工人员及施工设备</w:t>
            </w:r>
          </w:p>
          <w:p>
            <w:pPr>
              <w:widowControl/>
              <w:spacing w:line="360" w:lineRule="auto"/>
              <w:ind w:firstLine="480" w:firstLineChars="200"/>
              <w:rPr>
                <w:rFonts w:ascii="Times New Roman" w:hAnsi="Times New Roman"/>
              </w:rPr>
            </w:pPr>
            <w:r>
              <w:rPr>
                <w:rFonts w:ascii="Times New Roman" w:hAnsi="Times New Roman"/>
                <w:color w:val="000000"/>
                <w:kern w:val="0"/>
                <w:sz w:val="24"/>
                <w:lang w:bidi="ar"/>
              </w:rPr>
              <w:t>本项目土建部分的施工以机械为主，人工为辅，根</w:t>
            </w:r>
            <w:r>
              <w:rPr>
                <w:rFonts w:hint="eastAsia" w:ascii="Times New Roman" w:hAnsi="Times New Roman"/>
                <w:color w:val="000000"/>
                <w:kern w:val="0"/>
                <w:sz w:val="24"/>
                <w:lang w:bidi="ar"/>
              </w:rPr>
              <w:t>据</w:t>
            </w:r>
            <w:r>
              <w:rPr>
                <w:rFonts w:hint="eastAsia" w:ascii="Times New Roman" w:hAnsi="Times New Roman"/>
                <w:color w:val="000000"/>
                <w:kern w:val="0"/>
                <w:sz w:val="24"/>
                <w:szCs w:val="24"/>
                <w:lang w:bidi="ar"/>
              </w:rPr>
              <w:t>立项建议报告</w:t>
            </w:r>
            <w:r>
              <w:rPr>
                <w:rFonts w:hint="eastAsia" w:ascii="Times New Roman" w:hAnsi="Times New Roman"/>
                <w:color w:val="000000"/>
                <w:kern w:val="0"/>
                <w:sz w:val="24"/>
                <w:lang w:bidi="ar"/>
              </w:rPr>
              <w:t>等</w:t>
            </w:r>
            <w:r>
              <w:rPr>
                <w:rFonts w:ascii="Times New Roman" w:hAnsi="Times New Roman"/>
                <w:color w:val="000000"/>
                <w:kern w:val="0"/>
                <w:sz w:val="24"/>
                <w:lang w:bidi="ar"/>
              </w:rPr>
              <w:t>资料，本项目主要施工机械见表2-1</w:t>
            </w:r>
            <w:r>
              <w:rPr>
                <w:rFonts w:hint="eastAsia" w:ascii="Times New Roman" w:hAnsi="Times New Roman"/>
                <w:color w:val="000000"/>
                <w:kern w:val="0"/>
                <w:sz w:val="24"/>
                <w:lang w:bidi="ar"/>
              </w:rPr>
              <w:t>1</w:t>
            </w:r>
            <w:r>
              <w:rPr>
                <w:rFonts w:ascii="Times New Roman" w:hAnsi="Times New Roman"/>
                <w:color w:val="000000"/>
                <w:kern w:val="0"/>
                <w:sz w:val="24"/>
                <w:lang w:bidi="ar"/>
              </w:rPr>
              <w:t>。根据工程量及施工工期的要求，施工高峰人数150人。</w:t>
            </w:r>
          </w:p>
          <w:p>
            <w:pPr>
              <w:pStyle w:val="138"/>
              <w:ind w:firstLine="0" w:firstLineChars="0"/>
              <w:jc w:val="center"/>
              <w:rPr>
                <w:rFonts w:ascii="Times New Roman" w:hAnsi="Times New Roman"/>
                <w:b/>
                <w:bCs/>
                <w:color w:val="000000"/>
                <w:sz w:val="21"/>
                <w:szCs w:val="21"/>
              </w:rPr>
            </w:pPr>
            <w:r>
              <w:rPr>
                <w:rFonts w:ascii="Times New Roman" w:hAnsi="Times New Roman"/>
                <w:b/>
                <w:bCs/>
                <w:color w:val="000000"/>
                <w:sz w:val="21"/>
                <w:szCs w:val="21"/>
              </w:rPr>
              <w:t>表2-1</w:t>
            </w:r>
            <w:r>
              <w:rPr>
                <w:rFonts w:hint="eastAsia" w:ascii="Times New Roman" w:hAnsi="Times New Roman"/>
                <w:b/>
                <w:bCs/>
                <w:color w:val="000000"/>
                <w:sz w:val="21"/>
                <w:szCs w:val="21"/>
              </w:rPr>
              <w:t>1</w:t>
            </w:r>
            <w:r>
              <w:rPr>
                <w:rFonts w:ascii="Times New Roman" w:hAnsi="Times New Roman"/>
                <w:b/>
                <w:bCs/>
                <w:color w:val="000000"/>
                <w:sz w:val="21"/>
                <w:szCs w:val="21"/>
              </w:rPr>
              <w:t xml:space="preserve">  主要施工机械设备表</w:t>
            </w:r>
          </w:p>
          <w:tbl>
            <w:tblPr>
              <w:tblStyle w:val="39"/>
              <w:tblW w:w="781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0"/>
              <w:gridCol w:w="1834"/>
              <w:gridCol w:w="2012"/>
              <w:gridCol w:w="1089"/>
              <w:gridCol w:w="18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080" w:type="dxa"/>
                  <w:noWrap w:val="0"/>
                  <w:vAlign w:val="center"/>
                </w:tcPr>
                <w:p>
                  <w:pPr>
                    <w:spacing w:line="260" w:lineRule="exact"/>
                    <w:jc w:val="center"/>
                    <w:rPr>
                      <w:rFonts w:hint="eastAsia"/>
                      <w:b/>
                      <w:bCs/>
                      <w:szCs w:val="21"/>
                    </w:rPr>
                  </w:pPr>
                  <w:r>
                    <w:rPr>
                      <w:rFonts w:hint="eastAsia"/>
                      <w:b/>
                      <w:bCs/>
                      <w:szCs w:val="21"/>
                    </w:rPr>
                    <w:t>序号</w:t>
                  </w:r>
                </w:p>
              </w:tc>
              <w:tc>
                <w:tcPr>
                  <w:tcW w:w="1834" w:type="dxa"/>
                  <w:noWrap w:val="0"/>
                  <w:vAlign w:val="center"/>
                </w:tcPr>
                <w:p>
                  <w:pPr>
                    <w:spacing w:line="260" w:lineRule="exact"/>
                    <w:jc w:val="center"/>
                    <w:rPr>
                      <w:rFonts w:hint="eastAsia"/>
                      <w:b/>
                      <w:bCs/>
                      <w:szCs w:val="21"/>
                    </w:rPr>
                  </w:pPr>
                  <w:r>
                    <w:rPr>
                      <w:rFonts w:hint="eastAsia"/>
                      <w:b/>
                      <w:bCs/>
                      <w:szCs w:val="21"/>
                    </w:rPr>
                    <w:t>设备名称</w:t>
                  </w:r>
                </w:p>
              </w:tc>
              <w:tc>
                <w:tcPr>
                  <w:tcW w:w="2012" w:type="dxa"/>
                  <w:noWrap w:val="0"/>
                  <w:vAlign w:val="center"/>
                </w:tcPr>
                <w:p>
                  <w:pPr>
                    <w:spacing w:line="260" w:lineRule="exact"/>
                    <w:jc w:val="center"/>
                    <w:rPr>
                      <w:rFonts w:hint="eastAsia"/>
                      <w:b/>
                      <w:bCs/>
                      <w:szCs w:val="21"/>
                    </w:rPr>
                  </w:pPr>
                  <w:r>
                    <w:rPr>
                      <w:rFonts w:hint="eastAsia"/>
                      <w:b/>
                      <w:bCs/>
                      <w:szCs w:val="21"/>
                    </w:rPr>
                    <w:t>规格型号</w:t>
                  </w:r>
                </w:p>
              </w:tc>
              <w:tc>
                <w:tcPr>
                  <w:tcW w:w="1089" w:type="dxa"/>
                  <w:noWrap w:val="0"/>
                  <w:vAlign w:val="center"/>
                </w:tcPr>
                <w:p>
                  <w:pPr>
                    <w:spacing w:line="260" w:lineRule="exact"/>
                    <w:jc w:val="center"/>
                    <w:rPr>
                      <w:rFonts w:hint="eastAsia"/>
                      <w:b/>
                      <w:bCs/>
                      <w:szCs w:val="21"/>
                    </w:rPr>
                  </w:pPr>
                  <w:r>
                    <w:rPr>
                      <w:rFonts w:hint="eastAsia"/>
                      <w:b/>
                      <w:bCs/>
                      <w:szCs w:val="21"/>
                    </w:rPr>
                    <w:t>单位</w:t>
                  </w:r>
                </w:p>
              </w:tc>
              <w:tc>
                <w:tcPr>
                  <w:tcW w:w="1803" w:type="dxa"/>
                  <w:noWrap w:val="0"/>
                  <w:vAlign w:val="center"/>
                </w:tcPr>
                <w:p>
                  <w:pPr>
                    <w:spacing w:line="260" w:lineRule="exact"/>
                    <w:jc w:val="center"/>
                    <w:rPr>
                      <w:rFonts w:hint="eastAsia"/>
                      <w:b/>
                      <w:bCs/>
                      <w:szCs w:val="21"/>
                    </w:rPr>
                  </w:pPr>
                  <w:r>
                    <w:rPr>
                      <w:rFonts w:hint="eastAsia"/>
                      <w:b/>
                      <w:bCs/>
                      <w:szCs w:val="21"/>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一</w:t>
                  </w:r>
                </w:p>
              </w:tc>
              <w:tc>
                <w:tcPr>
                  <w:tcW w:w="1834" w:type="dxa"/>
                  <w:noWrap w:val="0"/>
                  <w:vAlign w:val="center"/>
                </w:tcPr>
                <w:p>
                  <w:pPr>
                    <w:spacing w:line="260" w:lineRule="exact"/>
                    <w:jc w:val="center"/>
                    <w:rPr>
                      <w:rFonts w:hint="eastAsia"/>
                      <w:szCs w:val="21"/>
                    </w:rPr>
                  </w:pPr>
                  <w:r>
                    <w:rPr>
                      <w:rFonts w:hint="eastAsia"/>
                      <w:szCs w:val="21"/>
                    </w:rPr>
                    <w:t>土石方机械</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挖掘机</w:t>
                  </w:r>
                </w:p>
              </w:tc>
              <w:tc>
                <w:tcPr>
                  <w:tcW w:w="2012" w:type="dxa"/>
                  <w:noWrap w:val="0"/>
                  <w:vAlign w:val="center"/>
                </w:tcPr>
                <w:p>
                  <w:pPr>
                    <w:spacing w:line="260" w:lineRule="exact"/>
                    <w:jc w:val="center"/>
                    <w:rPr>
                      <w:rFonts w:hint="eastAsia"/>
                      <w:szCs w:val="21"/>
                    </w:rPr>
                  </w:pPr>
                  <w:r>
                    <w:rPr>
                      <w:rFonts w:hint="eastAsia"/>
                      <w:szCs w:val="21"/>
                    </w:rPr>
                    <w:t>0.</w:t>
                  </w:r>
                  <w:r>
                    <w:rPr>
                      <w:szCs w:val="21"/>
                    </w:rPr>
                    <w:t>6</w:t>
                  </w:r>
                  <w:r>
                    <w:rPr>
                      <w:rFonts w:hint="eastAsia"/>
                      <w:szCs w:val="21"/>
                    </w:rPr>
                    <w:t>m</w:t>
                  </w:r>
                  <w:r>
                    <w:rPr>
                      <w:rFonts w:hint="eastAsia"/>
                      <w:szCs w:val="21"/>
                      <w:vertAlign w:val="superscript"/>
                    </w:rPr>
                    <w:t>3</w:t>
                  </w:r>
                  <w:r>
                    <w:rPr>
                      <w:rFonts w:hint="eastAsia"/>
                      <w:szCs w:val="21"/>
                    </w:rPr>
                    <w:t>、1m</w:t>
                  </w:r>
                  <w:r>
                    <w:rPr>
                      <w:rFonts w:hint="eastAsia"/>
                      <w:szCs w:val="21"/>
                      <w:vertAlign w:val="superscript"/>
                    </w:rPr>
                    <w:t>3</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2</w:t>
                  </w:r>
                </w:p>
              </w:tc>
              <w:tc>
                <w:tcPr>
                  <w:tcW w:w="1834" w:type="dxa"/>
                  <w:noWrap w:val="0"/>
                  <w:vAlign w:val="center"/>
                </w:tcPr>
                <w:p>
                  <w:pPr>
                    <w:spacing w:line="260" w:lineRule="exact"/>
                    <w:jc w:val="center"/>
                    <w:rPr>
                      <w:rFonts w:hint="eastAsia"/>
                      <w:szCs w:val="21"/>
                    </w:rPr>
                  </w:pPr>
                  <w:r>
                    <w:rPr>
                      <w:rFonts w:hint="eastAsia"/>
                      <w:szCs w:val="21"/>
                    </w:rPr>
                    <w:t>装载机</w:t>
                  </w:r>
                </w:p>
              </w:tc>
              <w:tc>
                <w:tcPr>
                  <w:tcW w:w="2012" w:type="dxa"/>
                  <w:noWrap w:val="0"/>
                  <w:vAlign w:val="center"/>
                </w:tcPr>
                <w:p>
                  <w:pPr>
                    <w:spacing w:line="260" w:lineRule="exact"/>
                    <w:jc w:val="center"/>
                    <w:rPr>
                      <w:rFonts w:hint="eastAsia"/>
                      <w:szCs w:val="21"/>
                    </w:rPr>
                  </w:pPr>
                  <w:r>
                    <w:rPr>
                      <w:rFonts w:hint="eastAsia"/>
                      <w:szCs w:val="21"/>
                    </w:rPr>
                    <w:t>1m</w:t>
                  </w:r>
                  <w:r>
                    <w:rPr>
                      <w:rFonts w:hint="eastAsia"/>
                      <w:szCs w:val="21"/>
                      <w:vertAlign w:val="superscript"/>
                    </w:rPr>
                    <w:t>3</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3</w:t>
                  </w:r>
                </w:p>
              </w:tc>
              <w:tc>
                <w:tcPr>
                  <w:tcW w:w="1834" w:type="dxa"/>
                  <w:noWrap w:val="0"/>
                  <w:vAlign w:val="center"/>
                </w:tcPr>
                <w:p>
                  <w:pPr>
                    <w:spacing w:line="260" w:lineRule="exact"/>
                    <w:jc w:val="center"/>
                    <w:rPr>
                      <w:rFonts w:hint="eastAsia"/>
                      <w:szCs w:val="21"/>
                    </w:rPr>
                  </w:pPr>
                  <w:r>
                    <w:rPr>
                      <w:rFonts w:hint="eastAsia"/>
                      <w:szCs w:val="21"/>
                    </w:rPr>
                    <w:t>推土机</w:t>
                  </w:r>
                </w:p>
              </w:tc>
              <w:tc>
                <w:tcPr>
                  <w:tcW w:w="2012" w:type="dxa"/>
                  <w:noWrap w:val="0"/>
                  <w:vAlign w:val="center"/>
                </w:tcPr>
                <w:p>
                  <w:pPr>
                    <w:spacing w:line="260" w:lineRule="exact"/>
                    <w:jc w:val="center"/>
                    <w:rPr>
                      <w:rFonts w:hint="eastAsia"/>
                      <w:szCs w:val="21"/>
                    </w:rPr>
                  </w:pPr>
                  <w:r>
                    <w:rPr>
                      <w:rFonts w:hint="eastAsia"/>
                      <w:szCs w:val="21"/>
                    </w:rPr>
                    <w:t>D80</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4</w:t>
                  </w:r>
                </w:p>
              </w:tc>
              <w:tc>
                <w:tcPr>
                  <w:tcW w:w="1834" w:type="dxa"/>
                  <w:noWrap w:val="0"/>
                  <w:vAlign w:val="center"/>
                </w:tcPr>
                <w:p>
                  <w:pPr>
                    <w:spacing w:line="260" w:lineRule="exact"/>
                    <w:jc w:val="center"/>
                    <w:rPr>
                      <w:rFonts w:hint="eastAsia"/>
                      <w:szCs w:val="21"/>
                    </w:rPr>
                  </w:pPr>
                  <w:r>
                    <w:rPr>
                      <w:rFonts w:hint="eastAsia"/>
                      <w:szCs w:val="21"/>
                    </w:rPr>
                    <w:t>风钻</w:t>
                  </w:r>
                </w:p>
              </w:tc>
              <w:tc>
                <w:tcPr>
                  <w:tcW w:w="2012" w:type="dxa"/>
                  <w:noWrap w:val="0"/>
                  <w:vAlign w:val="center"/>
                </w:tcPr>
                <w:p>
                  <w:pPr>
                    <w:spacing w:line="260" w:lineRule="exact"/>
                    <w:jc w:val="center"/>
                    <w:rPr>
                      <w:rFonts w:hint="eastAsia"/>
                      <w:szCs w:val="21"/>
                    </w:rPr>
                  </w:pPr>
                  <w:r>
                    <w:rPr>
                      <w:rFonts w:hint="eastAsia"/>
                      <w:szCs w:val="21"/>
                    </w:rPr>
                    <w:t>YT23、Y30</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5</w:t>
                  </w:r>
                </w:p>
              </w:tc>
              <w:tc>
                <w:tcPr>
                  <w:tcW w:w="1834" w:type="dxa"/>
                  <w:noWrap w:val="0"/>
                  <w:vAlign w:val="center"/>
                </w:tcPr>
                <w:p>
                  <w:pPr>
                    <w:spacing w:line="260" w:lineRule="exact"/>
                    <w:jc w:val="center"/>
                    <w:rPr>
                      <w:rFonts w:hint="eastAsia"/>
                      <w:szCs w:val="21"/>
                    </w:rPr>
                  </w:pPr>
                  <w:r>
                    <w:rPr>
                      <w:rFonts w:hint="eastAsia"/>
                      <w:szCs w:val="21"/>
                    </w:rPr>
                    <w:t>手风钻</w:t>
                  </w:r>
                </w:p>
              </w:tc>
              <w:tc>
                <w:tcPr>
                  <w:tcW w:w="2012" w:type="dxa"/>
                  <w:noWrap w:val="0"/>
                  <w:vAlign w:val="center"/>
                </w:tcPr>
                <w:p>
                  <w:pPr>
                    <w:spacing w:line="260" w:lineRule="exact"/>
                    <w:jc w:val="center"/>
                    <w:rPr>
                      <w:rFonts w:hint="eastAsia"/>
                      <w:szCs w:val="21"/>
                    </w:rPr>
                  </w:pPr>
                  <w:r>
                    <w:rPr>
                      <w:rFonts w:hint="eastAsia"/>
                      <w:szCs w:val="21"/>
                    </w:rPr>
                    <w:t>01—30</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8</w:t>
                  </w:r>
                </w:p>
              </w:tc>
              <w:tc>
                <w:tcPr>
                  <w:tcW w:w="1834" w:type="dxa"/>
                  <w:noWrap w:val="0"/>
                  <w:vAlign w:val="center"/>
                </w:tcPr>
                <w:p>
                  <w:pPr>
                    <w:spacing w:line="260" w:lineRule="exact"/>
                    <w:jc w:val="center"/>
                    <w:rPr>
                      <w:rFonts w:hint="eastAsia"/>
                      <w:szCs w:val="21"/>
                    </w:rPr>
                  </w:pPr>
                  <w:r>
                    <w:rPr>
                      <w:rFonts w:hint="eastAsia"/>
                      <w:szCs w:val="21"/>
                    </w:rPr>
                    <w:t>蛙式夯实机</w:t>
                  </w:r>
                </w:p>
              </w:tc>
              <w:tc>
                <w:tcPr>
                  <w:tcW w:w="2012" w:type="dxa"/>
                  <w:noWrap w:val="0"/>
                  <w:vAlign w:val="center"/>
                </w:tcPr>
                <w:p>
                  <w:pPr>
                    <w:spacing w:line="260" w:lineRule="exact"/>
                    <w:jc w:val="center"/>
                    <w:rPr>
                      <w:rFonts w:hint="eastAsia"/>
                      <w:szCs w:val="21"/>
                    </w:rPr>
                  </w:pPr>
                  <w:r>
                    <w:rPr>
                      <w:rFonts w:hint="eastAsia"/>
                      <w:szCs w:val="21"/>
                    </w:rPr>
                    <w:t>HW150</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二</w:t>
                  </w:r>
                </w:p>
              </w:tc>
              <w:tc>
                <w:tcPr>
                  <w:tcW w:w="1834" w:type="dxa"/>
                  <w:noWrap w:val="0"/>
                  <w:vAlign w:val="center"/>
                </w:tcPr>
                <w:p>
                  <w:pPr>
                    <w:spacing w:line="260" w:lineRule="exact"/>
                    <w:jc w:val="center"/>
                    <w:rPr>
                      <w:rFonts w:hint="eastAsia"/>
                      <w:szCs w:val="21"/>
                    </w:rPr>
                  </w:pPr>
                  <w:r>
                    <w:rPr>
                      <w:rFonts w:hint="eastAsia"/>
                      <w:szCs w:val="21"/>
                    </w:rPr>
                    <w:t>混凝土浇筑机械</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插入式振捣</w:t>
                  </w:r>
                </w:p>
              </w:tc>
              <w:tc>
                <w:tcPr>
                  <w:tcW w:w="2012" w:type="dxa"/>
                  <w:noWrap w:val="0"/>
                  <w:vAlign w:val="center"/>
                </w:tcPr>
                <w:p>
                  <w:pPr>
                    <w:spacing w:line="260" w:lineRule="exact"/>
                    <w:jc w:val="center"/>
                    <w:rPr>
                      <w:rFonts w:hint="eastAsia"/>
                      <w:szCs w:val="21"/>
                    </w:rPr>
                  </w:pPr>
                  <w:r>
                    <w:rPr>
                      <w:rFonts w:hint="eastAsia"/>
                      <w:szCs w:val="21"/>
                    </w:rPr>
                    <w:t>ZN35</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2</w:t>
                  </w:r>
                </w:p>
              </w:tc>
              <w:tc>
                <w:tcPr>
                  <w:tcW w:w="1834" w:type="dxa"/>
                  <w:noWrap w:val="0"/>
                  <w:vAlign w:val="center"/>
                </w:tcPr>
                <w:p>
                  <w:pPr>
                    <w:spacing w:line="260" w:lineRule="exact"/>
                    <w:jc w:val="center"/>
                    <w:rPr>
                      <w:rFonts w:hint="eastAsia"/>
                      <w:szCs w:val="21"/>
                    </w:rPr>
                  </w:pPr>
                  <w:r>
                    <w:rPr>
                      <w:rFonts w:hint="eastAsia"/>
                      <w:szCs w:val="21"/>
                    </w:rPr>
                    <w:t>插入式振捣器</w:t>
                  </w:r>
                </w:p>
              </w:tc>
              <w:tc>
                <w:tcPr>
                  <w:tcW w:w="2012" w:type="dxa"/>
                  <w:noWrap w:val="0"/>
                  <w:vAlign w:val="center"/>
                </w:tcPr>
                <w:p>
                  <w:pPr>
                    <w:spacing w:line="260" w:lineRule="exact"/>
                    <w:jc w:val="center"/>
                    <w:rPr>
                      <w:rFonts w:hint="eastAsia"/>
                      <w:szCs w:val="21"/>
                    </w:rPr>
                  </w:pPr>
                  <w:r>
                    <w:rPr>
                      <w:rFonts w:hint="eastAsia"/>
                      <w:szCs w:val="21"/>
                    </w:rPr>
                    <w:t>ZN50</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三</w:t>
                  </w:r>
                </w:p>
              </w:tc>
              <w:tc>
                <w:tcPr>
                  <w:tcW w:w="1834" w:type="dxa"/>
                  <w:noWrap w:val="0"/>
                  <w:vAlign w:val="center"/>
                </w:tcPr>
                <w:p>
                  <w:pPr>
                    <w:spacing w:line="260" w:lineRule="exact"/>
                    <w:jc w:val="center"/>
                    <w:rPr>
                      <w:rFonts w:hint="eastAsia"/>
                      <w:szCs w:val="21"/>
                    </w:rPr>
                  </w:pPr>
                  <w:r>
                    <w:rPr>
                      <w:rFonts w:hint="eastAsia"/>
                      <w:szCs w:val="21"/>
                    </w:rPr>
                    <w:t>混凝土生产机械</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砼拌和机</w:t>
                  </w:r>
                </w:p>
              </w:tc>
              <w:tc>
                <w:tcPr>
                  <w:tcW w:w="2012" w:type="dxa"/>
                  <w:noWrap w:val="0"/>
                  <w:vAlign w:val="center"/>
                </w:tcPr>
                <w:p>
                  <w:pPr>
                    <w:spacing w:line="260" w:lineRule="exact"/>
                    <w:jc w:val="center"/>
                    <w:rPr>
                      <w:rFonts w:hint="eastAsia"/>
                      <w:szCs w:val="21"/>
                    </w:rPr>
                  </w:pPr>
                  <w:r>
                    <w:rPr>
                      <w:rFonts w:hint="eastAsia"/>
                      <w:szCs w:val="21"/>
                    </w:rPr>
                    <w:t>0.4m</w:t>
                  </w:r>
                  <w:r>
                    <w:rPr>
                      <w:rFonts w:hint="eastAsia"/>
                      <w:szCs w:val="21"/>
                      <w:vertAlign w:val="superscript"/>
                    </w:rPr>
                    <w:t>3</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1080" w:type="dxa"/>
                  <w:noWrap w:val="0"/>
                  <w:vAlign w:val="center"/>
                </w:tcPr>
                <w:p>
                  <w:pPr>
                    <w:spacing w:line="260" w:lineRule="exact"/>
                    <w:jc w:val="center"/>
                    <w:rPr>
                      <w:rFonts w:hint="eastAsia"/>
                      <w:szCs w:val="21"/>
                    </w:rPr>
                  </w:pPr>
                  <w:r>
                    <w:rPr>
                      <w:rFonts w:hint="eastAsia"/>
                      <w:szCs w:val="21"/>
                    </w:rPr>
                    <w:t>四</w:t>
                  </w:r>
                </w:p>
              </w:tc>
              <w:tc>
                <w:tcPr>
                  <w:tcW w:w="1834" w:type="dxa"/>
                  <w:noWrap w:val="0"/>
                  <w:vAlign w:val="center"/>
                </w:tcPr>
                <w:p>
                  <w:pPr>
                    <w:spacing w:line="260" w:lineRule="exact"/>
                    <w:jc w:val="center"/>
                    <w:rPr>
                      <w:rFonts w:hint="eastAsia"/>
                      <w:szCs w:val="21"/>
                    </w:rPr>
                  </w:pPr>
                  <w:r>
                    <w:rPr>
                      <w:rFonts w:hint="eastAsia"/>
                      <w:szCs w:val="21"/>
                    </w:rPr>
                    <w:t>运输机械</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自卸汽车</w:t>
                  </w:r>
                </w:p>
              </w:tc>
              <w:tc>
                <w:tcPr>
                  <w:tcW w:w="2012" w:type="dxa"/>
                  <w:noWrap w:val="0"/>
                  <w:vAlign w:val="center"/>
                </w:tcPr>
                <w:p>
                  <w:pPr>
                    <w:spacing w:line="260" w:lineRule="exact"/>
                    <w:jc w:val="center"/>
                    <w:rPr>
                      <w:rFonts w:hint="eastAsia"/>
                      <w:szCs w:val="21"/>
                    </w:rPr>
                  </w:pPr>
                  <w:r>
                    <w:rPr>
                      <w:rFonts w:hint="eastAsia"/>
                      <w:szCs w:val="21"/>
                    </w:rPr>
                    <w:t>3.5t、5</w:t>
                  </w:r>
                  <w:r>
                    <w:rPr>
                      <w:szCs w:val="21"/>
                    </w:rPr>
                    <w:t>t</w:t>
                  </w: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rFonts w:hint="eastAsia"/>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2</w:t>
                  </w:r>
                </w:p>
              </w:tc>
              <w:tc>
                <w:tcPr>
                  <w:tcW w:w="1834" w:type="dxa"/>
                  <w:noWrap w:val="0"/>
                  <w:vAlign w:val="center"/>
                </w:tcPr>
                <w:p>
                  <w:pPr>
                    <w:spacing w:line="260" w:lineRule="exact"/>
                    <w:jc w:val="center"/>
                    <w:rPr>
                      <w:rFonts w:hint="eastAsia"/>
                      <w:szCs w:val="21"/>
                    </w:rPr>
                  </w:pPr>
                  <w:r>
                    <w:rPr>
                      <w:rFonts w:hint="eastAsia"/>
                      <w:szCs w:val="21"/>
                    </w:rPr>
                    <w:t>自卸汽车</w:t>
                  </w:r>
                </w:p>
              </w:tc>
              <w:tc>
                <w:tcPr>
                  <w:tcW w:w="2012" w:type="dxa"/>
                  <w:noWrap w:val="0"/>
                  <w:vAlign w:val="center"/>
                </w:tcPr>
                <w:p>
                  <w:pPr>
                    <w:spacing w:line="260" w:lineRule="exact"/>
                    <w:jc w:val="center"/>
                    <w:rPr>
                      <w:rFonts w:hint="eastAsia"/>
                      <w:szCs w:val="21"/>
                    </w:rPr>
                  </w:pPr>
                  <w:r>
                    <w:rPr>
                      <w:szCs w:val="21"/>
                    </w:rPr>
                    <w:t>10t</w:t>
                  </w: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3</w:t>
                  </w:r>
                </w:p>
              </w:tc>
              <w:tc>
                <w:tcPr>
                  <w:tcW w:w="1834" w:type="dxa"/>
                  <w:noWrap w:val="0"/>
                  <w:vAlign w:val="center"/>
                </w:tcPr>
                <w:p>
                  <w:pPr>
                    <w:spacing w:line="260" w:lineRule="exact"/>
                    <w:jc w:val="center"/>
                    <w:rPr>
                      <w:rFonts w:hint="eastAsia"/>
                      <w:szCs w:val="21"/>
                    </w:rPr>
                  </w:pPr>
                  <w:r>
                    <w:rPr>
                      <w:rFonts w:hint="eastAsia"/>
                      <w:szCs w:val="21"/>
                    </w:rPr>
                    <w:t>农用汽车</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4</w:t>
                  </w:r>
                </w:p>
              </w:tc>
              <w:tc>
                <w:tcPr>
                  <w:tcW w:w="1834" w:type="dxa"/>
                  <w:noWrap w:val="0"/>
                  <w:vAlign w:val="center"/>
                </w:tcPr>
                <w:p>
                  <w:pPr>
                    <w:spacing w:line="260" w:lineRule="exact"/>
                    <w:jc w:val="center"/>
                    <w:rPr>
                      <w:rFonts w:hint="eastAsia"/>
                      <w:szCs w:val="21"/>
                    </w:rPr>
                  </w:pPr>
                  <w:r>
                    <w:rPr>
                      <w:rFonts w:hint="eastAsia"/>
                      <w:szCs w:val="21"/>
                    </w:rPr>
                    <w:t>机动翻斗车</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rFonts w:hint="eastAsia"/>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6</w:t>
                  </w:r>
                </w:p>
              </w:tc>
              <w:tc>
                <w:tcPr>
                  <w:tcW w:w="1834" w:type="dxa"/>
                  <w:noWrap w:val="0"/>
                  <w:vAlign w:val="center"/>
                </w:tcPr>
                <w:p>
                  <w:pPr>
                    <w:spacing w:line="260" w:lineRule="exact"/>
                    <w:jc w:val="center"/>
                    <w:rPr>
                      <w:rFonts w:hint="eastAsia"/>
                      <w:szCs w:val="21"/>
                    </w:rPr>
                  </w:pPr>
                  <w:r>
                    <w:rPr>
                      <w:rFonts w:hint="eastAsia"/>
                      <w:szCs w:val="21"/>
                    </w:rPr>
                    <w:t>双胶轮车</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7</w:t>
                  </w:r>
                </w:p>
              </w:tc>
              <w:tc>
                <w:tcPr>
                  <w:tcW w:w="1834" w:type="dxa"/>
                  <w:noWrap w:val="0"/>
                  <w:vAlign w:val="center"/>
                </w:tcPr>
                <w:p>
                  <w:pPr>
                    <w:spacing w:line="260" w:lineRule="exact"/>
                    <w:jc w:val="center"/>
                    <w:rPr>
                      <w:rFonts w:hint="eastAsia"/>
                      <w:szCs w:val="21"/>
                    </w:rPr>
                  </w:pPr>
                  <w:r>
                    <w:rPr>
                      <w:rFonts w:hint="eastAsia"/>
                      <w:szCs w:val="21"/>
                    </w:rPr>
                    <w:t>载重汽车</w:t>
                  </w:r>
                </w:p>
              </w:tc>
              <w:tc>
                <w:tcPr>
                  <w:tcW w:w="2012" w:type="dxa"/>
                  <w:noWrap w:val="0"/>
                  <w:vAlign w:val="center"/>
                </w:tcPr>
                <w:p>
                  <w:pPr>
                    <w:spacing w:line="260" w:lineRule="exact"/>
                    <w:jc w:val="center"/>
                    <w:rPr>
                      <w:rFonts w:hint="eastAsia"/>
                      <w:szCs w:val="21"/>
                    </w:rPr>
                  </w:pPr>
                  <w:r>
                    <w:rPr>
                      <w:rFonts w:hint="eastAsia"/>
                      <w:szCs w:val="21"/>
                    </w:rPr>
                    <w:t>5t、10t</w:t>
                  </w: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五</w:t>
                  </w:r>
                </w:p>
              </w:tc>
              <w:tc>
                <w:tcPr>
                  <w:tcW w:w="1834" w:type="dxa"/>
                  <w:noWrap w:val="0"/>
                  <w:vAlign w:val="center"/>
                </w:tcPr>
                <w:p>
                  <w:pPr>
                    <w:spacing w:line="260" w:lineRule="exact"/>
                    <w:jc w:val="center"/>
                    <w:rPr>
                      <w:rFonts w:hint="eastAsia"/>
                      <w:szCs w:val="21"/>
                    </w:rPr>
                  </w:pPr>
                  <w:r>
                    <w:rPr>
                      <w:rFonts w:hint="eastAsia"/>
                      <w:szCs w:val="21"/>
                    </w:rPr>
                    <w:t>风、水、电系统</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轴流风机</w:t>
                  </w:r>
                </w:p>
              </w:tc>
              <w:tc>
                <w:tcPr>
                  <w:tcW w:w="2012" w:type="dxa"/>
                  <w:noWrap w:val="0"/>
                  <w:vAlign w:val="center"/>
                </w:tcPr>
                <w:p>
                  <w:pPr>
                    <w:spacing w:line="260" w:lineRule="exact"/>
                    <w:jc w:val="center"/>
                    <w:rPr>
                      <w:szCs w:val="21"/>
                    </w:rPr>
                  </w:pPr>
                  <w:r>
                    <w:rPr>
                      <w:rFonts w:hint="eastAsia"/>
                      <w:szCs w:val="21"/>
                    </w:rPr>
                    <w:t>28</w:t>
                  </w:r>
                  <w:r>
                    <w:rPr>
                      <w:szCs w:val="21"/>
                    </w:rPr>
                    <w:t>kw</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2</w:t>
                  </w:r>
                </w:p>
              </w:tc>
              <w:tc>
                <w:tcPr>
                  <w:tcW w:w="1834" w:type="dxa"/>
                  <w:noWrap w:val="0"/>
                  <w:vAlign w:val="center"/>
                </w:tcPr>
                <w:p>
                  <w:pPr>
                    <w:spacing w:line="260" w:lineRule="exact"/>
                    <w:jc w:val="center"/>
                    <w:rPr>
                      <w:rFonts w:hint="eastAsia"/>
                      <w:szCs w:val="21"/>
                    </w:rPr>
                  </w:pPr>
                  <w:r>
                    <w:rPr>
                      <w:rFonts w:hint="eastAsia"/>
                      <w:szCs w:val="21"/>
                    </w:rPr>
                    <w:t>空压机</w:t>
                  </w:r>
                </w:p>
              </w:tc>
              <w:tc>
                <w:tcPr>
                  <w:tcW w:w="2012" w:type="dxa"/>
                  <w:noWrap w:val="0"/>
                  <w:vAlign w:val="center"/>
                </w:tcPr>
                <w:p>
                  <w:pPr>
                    <w:spacing w:line="260" w:lineRule="exact"/>
                    <w:jc w:val="center"/>
                    <w:rPr>
                      <w:rFonts w:hint="eastAsia"/>
                      <w:szCs w:val="21"/>
                    </w:rPr>
                  </w:pPr>
                  <w:r>
                    <w:rPr>
                      <w:szCs w:val="21"/>
                    </w:rPr>
                    <w:t>6</w:t>
                  </w:r>
                  <w:r>
                    <w:rPr>
                      <w:rFonts w:hint="eastAsia"/>
                      <w:szCs w:val="21"/>
                    </w:rPr>
                    <w:t>m</w:t>
                  </w:r>
                  <w:r>
                    <w:rPr>
                      <w:rFonts w:hint="eastAsia"/>
                      <w:szCs w:val="21"/>
                      <w:vertAlign w:val="superscript"/>
                    </w:rPr>
                    <w:t>3</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3</w:t>
                  </w:r>
                </w:p>
              </w:tc>
              <w:tc>
                <w:tcPr>
                  <w:tcW w:w="1834" w:type="dxa"/>
                  <w:noWrap w:val="0"/>
                  <w:vAlign w:val="center"/>
                </w:tcPr>
                <w:p>
                  <w:pPr>
                    <w:spacing w:line="260" w:lineRule="exact"/>
                    <w:jc w:val="center"/>
                    <w:rPr>
                      <w:rFonts w:hint="eastAsia"/>
                      <w:szCs w:val="21"/>
                    </w:rPr>
                  </w:pPr>
                  <w:r>
                    <w:rPr>
                      <w:rFonts w:hint="eastAsia"/>
                      <w:szCs w:val="21"/>
                    </w:rPr>
                    <w:t>空压机</w:t>
                  </w:r>
                </w:p>
              </w:tc>
              <w:tc>
                <w:tcPr>
                  <w:tcW w:w="2012" w:type="dxa"/>
                  <w:noWrap w:val="0"/>
                  <w:vAlign w:val="center"/>
                </w:tcPr>
                <w:p>
                  <w:pPr>
                    <w:spacing w:line="260" w:lineRule="exact"/>
                    <w:jc w:val="center"/>
                    <w:rPr>
                      <w:rFonts w:hint="eastAsia"/>
                      <w:szCs w:val="21"/>
                    </w:rPr>
                  </w:pPr>
                  <w:r>
                    <w:rPr>
                      <w:rFonts w:hint="eastAsia"/>
                      <w:szCs w:val="21"/>
                    </w:rPr>
                    <w:t>3m</w:t>
                  </w:r>
                  <w:r>
                    <w:rPr>
                      <w:rFonts w:hint="eastAsia"/>
                      <w:szCs w:val="21"/>
                      <w:vertAlign w:val="superscript"/>
                    </w:rPr>
                    <w:t>3</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4</w:t>
                  </w:r>
                </w:p>
              </w:tc>
              <w:tc>
                <w:tcPr>
                  <w:tcW w:w="1834" w:type="dxa"/>
                  <w:noWrap w:val="0"/>
                  <w:vAlign w:val="center"/>
                </w:tcPr>
                <w:p>
                  <w:pPr>
                    <w:spacing w:line="260" w:lineRule="exact"/>
                    <w:jc w:val="center"/>
                    <w:rPr>
                      <w:rFonts w:hint="eastAsia"/>
                      <w:szCs w:val="21"/>
                    </w:rPr>
                  </w:pPr>
                  <w:r>
                    <w:rPr>
                      <w:rFonts w:hint="eastAsia"/>
                      <w:szCs w:val="21"/>
                    </w:rPr>
                    <w:t>水泵</w:t>
                  </w:r>
                </w:p>
              </w:tc>
              <w:tc>
                <w:tcPr>
                  <w:tcW w:w="2012" w:type="dxa"/>
                  <w:noWrap w:val="0"/>
                  <w:vAlign w:val="center"/>
                </w:tcPr>
                <w:p>
                  <w:pPr>
                    <w:spacing w:line="260" w:lineRule="exact"/>
                    <w:jc w:val="center"/>
                    <w:rPr>
                      <w:rFonts w:hint="eastAsia"/>
                      <w:szCs w:val="21"/>
                    </w:rPr>
                  </w:pPr>
                  <w:r>
                    <w:rPr>
                      <w:rFonts w:hint="eastAsia"/>
                      <w:szCs w:val="21"/>
                    </w:rPr>
                    <w:t>多型号</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5</w:t>
                  </w:r>
                </w:p>
              </w:tc>
              <w:tc>
                <w:tcPr>
                  <w:tcW w:w="1834" w:type="dxa"/>
                  <w:noWrap w:val="0"/>
                  <w:vAlign w:val="center"/>
                </w:tcPr>
                <w:p>
                  <w:pPr>
                    <w:spacing w:line="260" w:lineRule="exact"/>
                    <w:jc w:val="center"/>
                    <w:rPr>
                      <w:rFonts w:hint="eastAsia"/>
                      <w:szCs w:val="21"/>
                    </w:rPr>
                  </w:pPr>
                  <w:r>
                    <w:rPr>
                      <w:rFonts w:hint="eastAsia"/>
                      <w:szCs w:val="21"/>
                    </w:rPr>
                    <w:t>抽水泵</w:t>
                  </w:r>
                </w:p>
              </w:tc>
              <w:tc>
                <w:tcPr>
                  <w:tcW w:w="2012" w:type="dxa"/>
                  <w:noWrap w:val="0"/>
                  <w:vAlign w:val="center"/>
                </w:tcPr>
                <w:p>
                  <w:pPr>
                    <w:spacing w:line="260" w:lineRule="exact"/>
                    <w:jc w:val="center"/>
                    <w:rPr>
                      <w:rFonts w:hint="eastAsia"/>
                      <w:szCs w:val="21"/>
                    </w:rPr>
                  </w:pPr>
                  <w:r>
                    <w:rPr>
                      <w:rFonts w:hint="eastAsia"/>
                      <w:szCs w:val="21"/>
                    </w:rPr>
                    <w:t>多型号</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七</w:t>
                  </w:r>
                </w:p>
              </w:tc>
              <w:tc>
                <w:tcPr>
                  <w:tcW w:w="1834" w:type="dxa"/>
                  <w:noWrap w:val="0"/>
                  <w:vAlign w:val="center"/>
                </w:tcPr>
                <w:p>
                  <w:pPr>
                    <w:spacing w:line="260" w:lineRule="exact"/>
                    <w:jc w:val="center"/>
                    <w:rPr>
                      <w:rFonts w:hint="eastAsia"/>
                      <w:szCs w:val="21"/>
                    </w:rPr>
                  </w:pPr>
                  <w:r>
                    <w:rPr>
                      <w:rFonts w:hint="eastAsia"/>
                      <w:szCs w:val="21"/>
                    </w:rPr>
                    <w:t>其他</w:t>
                  </w:r>
                </w:p>
              </w:tc>
              <w:tc>
                <w:tcPr>
                  <w:tcW w:w="2012" w:type="dxa"/>
                  <w:noWrap w:val="0"/>
                  <w:vAlign w:val="center"/>
                </w:tcPr>
                <w:p>
                  <w:pPr>
                    <w:spacing w:line="260" w:lineRule="exact"/>
                    <w:jc w:val="center"/>
                    <w:rPr>
                      <w:rFonts w:hint="eastAsia"/>
                      <w:szCs w:val="21"/>
                    </w:rPr>
                  </w:pPr>
                </w:p>
              </w:tc>
              <w:tc>
                <w:tcPr>
                  <w:tcW w:w="1089" w:type="dxa"/>
                  <w:noWrap w:val="0"/>
                  <w:vAlign w:val="center"/>
                </w:tcPr>
                <w:p>
                  <w:pPr>
                    <w:spacing w:line="260" w:lineRule="exact"/>
                    <w:jc w:val="center"/>
                    <w:rPr>
                      <w:rFonts w:hint="eastAsia"/>
                      <w:szCs w:val="21"/>
                    </w:rPr>
                  </w:pPr>
                </w:p>
              </w:tc>
              <w:tc>
                <w:tcPr>
                  <w:tcW w:w="1803" w:type="dxa"/>
                  <w:noWrap w:val="0"/>
                  <w:vAlign w:val="center"/>
                </w:tcPr>
                <w:p>
                  <w:pPr>
                    <w:spacing w:line="2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1</w:t>
                  </w:r>
                </w:p>
              </w:tc>
              <w:tc>
                <w:tcPr>
                  <w:tcW w:w="1834" w:type="dxa"/>
                  <w:noWrap w:val="0"/>
                  <w:vAlign w:val="center"/>
                </w:tcPr>
                <w:p>
                  <w:pPr>
                    <w:spacing w:line="260" w:lineRule="exact"/>
                    <w:jc w:val="center"/>
                    <w:rPr>
                      <w:rFonts w:hint="eastAsia"/>
                      <w:szCs w:val="21"/>
                    </w:rPr>
                  </w:pPr>
                  <w:r>
                    <w:rPr>
                      <w:rFonts w:hint="eastAsia"/>
                      <w:szCs w:val="21"/>
                    </w:rPr>
                    <w:t>汽车起重机</w:t>
                  </w:r>
                </w:p>
              </w:tc>
              <w:tc>
                <w:tcPr>
                  <w:tcW w:w="2012" w:type="dxa"/>
                  <w:noWrap w:val="0"/>
                  <w:vAlign w:val="center"/>
                </w:tcPr>
                <w:p>
                  <w:pPr>
                    <w:spacing w:line="260" w:lineRule="exact"/>
                    <w:jc w:val="center"/>
                    <w:rPr>
                      <w:rFonts w:hint="eastAsia"/>
                      <w:szCs w:val="21"/>
                    </w:rPr>
                  </w:pPr>
                  <w:r>
                    <w:rPr>
                      <w:rFonts w:hint="eastAsia"/>
                      <w:szCs w:val="21"/>
                    </w:rPr>
                    <w:t>8、16</w:t>
                  </w:r>
                  <w:r>
                    <w:rPr>
                      <w:szCs w:val="21"/>
                    </w:rPr>
                    <w:t>t</w:t>
                  </w:r>
                </w:p>
              </w:tc>
              <w:tc>
                <w:tcPr>
                  <w:tcW w:w="1089" w:type="dxa"/>
                  <w:noWrap w:val="0"/>
                  <w:vAlign w:val="center"/>
                </w:tcPr>
                <w:p>
                  <w:pPr>
                    <w:spacing w:line="260" w:lineRule="exact"/>
                    <w:jc w:val="center"/>
                    <w:rPr>
                      <w:rFonts w:hint="eastAsia"/>
                      <w:szCs w:val="21"/>
                    </w:rPr>
                  </w:pPr>
                  <w:r>
                    <w:rPr>
                      <w:rFonts w:hint="eastAsia"/>
                      <w:szCs w:val="21"/>
                    </w:rPr>
                    <w:t>辆</w:t>
                  </w:r>
                </w:p>
              </w:tc>
              <w:tc>
                <w:tcPr>
                  <w:tcW w:w="1803" w:type="dxa"/>
                  <w:noWrap w:val="0"/>
                  <w:vAlign w:val="center"/>
                </w:tcPr>
                <w:p>
                  <w:pPr>
                    <w:spacing w:line="260" w:lineRule="exact"/>
                    <w:jc w:val="center"/>
                    <w:rPr>
                      <w:rFonts w:hint="eastAsia"/>
                      <w:szCs w:val="21"/>
                    </w:rPr>
                  </w:pPr>
                  <w:r>
                    <w:rPr>
                      <w:rFonts w:hint="eastAsia"/>
                      <w:szCs w:val="21"/>
                    </w:rPr>
                    <w:t>各1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2</w:t>
                  </w:r>
                </w:p>
              </w:tc>
              <w:tc>
                <w:tcPr>
                  <w:tcW w:w="1834" w:type="dxa"/>
                  <w:noWrap w:val="0"/>
                  <w:vAlign w:val="center"/>
                </w:tcPr>
                <w:p>
                  <w:pPr>
                    <w:spacing w:line="260" w:lineRule="exact"/>
                    <w:jc w:val="center"/>
                    <w:rPr>
                      <w:rFonts w:hint="eastAsia"/>
                      <w:szCs w:val="21"/>
                    </w:rPr>
                  </w:pPr>
                  <w:r>
                    <w:rPr>
                      <w:rFonts w:hint="eastAsia"/>
                      <w:szCs w:val="21"/>
                    </w:rPr>
                    <w:t>卷扬机</w:t>
                  </w:r>
                </w:p>
              </w:tc>
              <w:tc>
                <w:tcPr>
                  <w:tcW w:w="2012" w:type="dxa"/>
                  <w:noWrap w:val="0"/>
                  <w:vAlign w:val="center"/>
                </w:tcPr>
                <w:p>
                  <w:pPr>
                    <w:spacing w:line="260" w:lineRule="exact"/>
                    <w:jc w:val="center"/>
                    <w:rPr>
                      <w:rFonts w:hint="eastAsia"/>
                      <w:szCs w:val="21"/>
                    </w:rPr>
                  </w:pPr>
                  <w:r>
                    <w:rPr>
                      <w:rFonts w:hint="eastAsia"/>
                      <w:szCs w:val="21"/>
                    </w:rPr>
                    <w:t>2~10</w:t>
                  </w:r>
                  <w:r>
                    <w:rPr>
                      <w:szCs w:val="21"/>
                    </w:rPr>
                    <w:t>t</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3</w:t>
                  </w:r>
                </w:p>
              </w:tc>
              <w:tc>
                <w:tcPr>
                  <w:tcW w:w="1834" w:type="dxa"/>
                  <w:noWrap w:val="0"/>
                  <w:vAlign w:val="center"/>
                </w:tcPr>
                <w:p>
                  <w:pPr>
                    <w:spacing w:line="260" w:lineRule="exact"/>
                    <w:jc w:val="center"/>
                    <w:rPr>
                      <w:rFonts w:hint="eastAsia"/>
                      <w:szCs w:val="21"/>
                    </w:rPr>
                  </w:pPr>
                  <w:r>
                    <w:rPr>
                      <w:rFonts w:hint="eastAsia"/>
                      <w:szCs w:val="21"/>
                    </w:rPr>
                    <w:t>焊机</w:t>
                  </w:r>
                </w:p>
              </w:tc>
              <w:tc>
                <w:tcPr>
                  <w:tcW w:w="2012" w:type="dxa"/>
                  <w:noWrap w:val="0"/>
                  <w:vAlign w:val="center"/>
                </w:tcPr>
                <w:p>
                  <w:pPr>
                    <w:spacing w:line="260" w:lineRule="exact"/>
                    <w:jc w:val="center"/>
                    <w:rPr>
                      <w:rFonts w:hint="eastAsia"/>
                      <w:szCs w:val="21"/>
                    </w:rPr>
                  </w:pPr>
                  <w:r>
                    <w:rPr>
                      <w:rFonts w:hint="eastAsia"/>
                      <w:szCs w:val="21"/>
                    </w:rPr>
                    <w:t>各类</w:t>
                  </w:r>
                </w:p>
              </w:tc>
              <w:tc>
                <w:tcPr>
                  <w:tcW w:w="1089" w:type="dxa"/>
                  <w:noWrap w:val="0"/>
                  <w:vAlign w:val="center"/>
                </w:tcPr>
                <w:p>
                  <w:pPr>
                    <w:spacing w:line="260" w:lineRule="exact"/>
                    <w:jc w:val="center"/>
                    <w:rPr>
                      <w:rFonts w:hint="eastAsia"/>
                      <w:szCs w:val="21"/>
                    </w:rPr>
                  </w:pPr>
                  <w:r>
                    <w:rPr>
                      <w:rFonts w:hint="eastAsia"/>
                      <w:szCs w:val="21"/>
                    </w:rPr>
                    <w:t>台</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080" w:type="dxa"/>
                  <w:noWrap w:val="0"/>
                  <w:vAlign w:val="center"/>
                </w:tcPr>
                <w:p>
                  <w:pPr>
                    <w:spacing w:line="260" w:lineRule="exact"/>
                    <w:jc w:val="center"/>
                    <w:rPr>
                      <w:rFonts w:hint="eastAsia"/>
                      <w:szCs w:val="21"/>
                    </w:rPr>
                  </w:pPr>
                  <w:r>
                    <w:rPr>
                      <w:rFonts w:hint="eastAsia"/>
                      <w:szCs w:val="21"/>
                    </w:rPr>
                    <w:t>4</w:t>
                  </w:r>
                </w:p>
              </w:tc>
              <w:tc>
                <w:tcPr>
                  <w:tcW w:w="1834" w:type="dxa"/>
                  <w:noWrap w:val="0"/>
                  <w:vAlign w:val="center"/>
                </w:tcPr>
                <w:p>
                  <w:pPr>
                    <w:spacing w:line="260" w:lineRule="exact"/>
                    <w:jc w:val="center"/>
                    <w:rPr>
                      <w:rFonts w:hint="eastAsia"/>
                      <w:szCs w:val="21"/>
                    </w:rPr>
                  </w:pPr>
                  <w:r>
                    <w:rPr>
                      <w:rFonts w:hint="eastAsia"/>
                      <w:szCs w:val="21"/>
                    </w:rPr>
                    <w:t>钢筋加工机械</w:t>
                  </w:r>
                </w:p>
              </w:tc>
              <w:tc>
                <w:tcPr>
                  <w:tcW w:w="2012" w:type="dxa"/>
                  <w:noWrap w:val="0"/>
                  <w:vAlign w:val="center"/>
                </w:tcPr>
                <w:p>
                  <w:pPr>
                    <w:spacing w:line="260" w:lineRule="exact"/>
                    <w:jc w:val="center"/>
                    <w:rPr>
                      <w:rFonts w:hint="eastAsia"/>
                      <w:szCs w:val="21"/>
                    </w:rPr>
                  </w:pPr>
                  <w:r>
                    <w:rPr>
                      <w:rFonts w:hint="eastAsia"/>
                      <w:szCs w:val="21"/>
                    </w:rPr>
                    <w:t>套</w:t>
                  </w:r>
                </w:p>
              </w:tc>
              <w:tc>
                <w:tcPr>
                  <w:tcW w:w="1089" w:type="dxa"/>
                  <w:noWrap w:val="0"/>
                  <w:vAlign w:val="center"/>
                </w:tcPr>
                <w:p>
                  <w:pPr>
                    <w:spacing w:line="260" w:lineRule="exact"/>
                    <w:jc w:val="center"/>
                    <w:rPr>
                      <w:rFonts w:hint="eastAsia"/>
                      <w:szCs w:val="21"/>
                    </w:rPr>
                  </w:pPr>
                  <w:r>
                    <w:rPr>
                      <w:rFonts w:hint="eastAsia"/>
                      <w:szCs w:val="21"/>
                    </w:rPr>
                    <w:t>套</w:t>
                  </w:r>
                </w:p>
              </w:tc>
              <w:tc>
                <w:tcPr>
                  <w:tcW w:w="1803" w:type="dxa"/>
                  <w:noWrap w:val="0"/>
                  <w:vAlign w:val="center"/>
                </w:tcPr>
                <w:p>
                  <w:pPr>
                    <w:spacing w:line="260" w:lineRule="exact"/>
                    <w:jc w:val="center"/>
                    <w:rPr>
                      <w:rFonts w:hint="eastAsia"/>
                      <w:szCs w:val="21"/>
                    </w:rPr>
                  </w:pP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jc w:val="center"/>
              </w:trPr>
              <w:tc>
                <w:tcPr>
                  <w:tcW w:w="1080" w:type="dxa"/>
                  <w:noWrap w:val="0"/>
                  <w:vAlign w:val="center"/>
                </w:tcPr>
                <w:p>
                  <w:pPr>
                    <w:spacing w:line="260" w:lineRule="exact"/>
                    <w:jc w:val="center"/>
                    <w:rPr>
                      <w:rFonts w:hint="eastAsia"/>
                      <w:szCs w:val="21"/>
                    </w:rPr>
                  </w:pPr>
                  <w:r>
                    <w:rPr>
                      <w:rFonts w:hint="eastAsia"/>
                      <w:szCs w:val="21"/>
                    </w:rPr>
                    <w:t>5</w:t>
                  </w:r>
                </w:p>
              </w:tc>
              <w:tc>
                <w:tcPr>
                  <w:tcW w:w="1834" w:type="dxa"/>
                  <w:noWrap w:val="0"/>
                  <w:vAlign w:val="center"/>
                </w:tcPr>
                <w:p>
                  <w:pPr>
                    <w:spacing w:line="260" w:lineRule="exact"/>
                    <w:jc w:val="center"/>
                    <w:rPr>
                      <w:rFonts w:hint="eastAsia"/>
                      <w:szCs w:val="21"/>
                    </w:rPr>
                  </w:pPr>
                  <w:r>
                    <w:rPr>
                      <w:rFonts w:hint="eastAsia"/>
                      <w:szCs w:val="21"/>
                    </w:rPr>
                    <w:t>木材加工机械</w:t>
                  </w:r>
                </w:p>
              </w:tc>
              <w:tc>
                <w:tcPr>
                  <w:tcW w:w="2012" w:type="dxa"/>
                  <w:noWrap w:val="0"/>
                  <w:vAlign w:val="center"/>
                </w:tcPr>
                <w:p>
                  <w:pPr>
                    <w:spacing w:line="260" w:lineRule="exact"/>
                    <w:jc w:val="center"/>
                    <w:rPr>
                      <w:rFonts w:hint="eastAsia"/>
                      <w:szCs w:val="21"/>
                    </w:rPr>
                  </w:pPr>
                  <w:r>
                    <w:rPr>
                      <w:rFonts w:hint="eastAsia"/>
                      <w:szCs w:val="21"/>
                    </w:rPr>
                    <w:t>套</w:t>
                  </w:r>
                </w:p>
              </w:tc>
              <w:tc>
                <w:tcPr>
                  <w:tcW w:w="1089" w:type="dxa"/>
                  <w:noWrap w:val="0"/>
                  <w:vAlign w:val="center"/>
                </w:tcPr>
                <w:p>
                  <w:pPr>
                    <w:spacing w:line="260" w:lineRule="exact"/>
                    <w:jc w:val="center"/>
                    <w:rPr>
                      <w:rFonts w:hint="eastAsia"/>
                      <w:szCs w:val="21"/>
                    </w:rPr>
                  </w:pPr>
                  <w:r>
                    <w:rPr>
                      <w:rFonts w:hint="eastAsia"/>
                      <w:szCs w:val="21"/>
                    </w:rPr>
                    <w:t>套</w:t>
                  </w:r>
                </w:p>
              </w:tc>
              <w:tc>
                <w:tcPr>
                  <w:tcW w:w="1803" w:type="dxa"/>
                  <w:noWrap w:val="0"/>
                  <w:vAlign w:val="center"/>
                </w:tcPr>
                <w:p>
                  <w:pPr>
                    <w:spacing w:line="260" w:lineRule="exact"/>
                    <w:jc w:val="center"/>
                    <w:rPr>
                      <w:rFonts w:hint="eastAsia"/>
                      <w:szCs w:val="21"/>
                    </w:rPr>
                  </w:pPr>
                  <w:r>
                    <w:rPr>
                      <w:rFonts w:hint="eastAsia"/>
                      <w:szCs w:val="21"/>
                    </w:rPr>
                    <w:t>10</w:t>
                  </w:r>
                </w:p>
              </w:tc>
            </w:tr>
          </w:tbl>
          <w:p>
            <w:pPr>
              <w:pStyle w:val="138"/>
              <w:ind w:firstLine="0" w:firstLineChars="0"/>
              <w:rPr>
                <w:rFonts w:ascii="Times New Roman" w:hAnsi="Times New Roman"/>
                <w:color w:val="00000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232" w:type="pct"/>
            <w:noWrap w:val="0"/>
            <w:vAlign w:val="center"/>
          </w:tcPr>
          <w:p>
            <w:pPr>
              <w:adjustRightInd w:val="0"/>
              <w:snapToGrid w:val="0"/>
              <w:jc w:val="center"/>
              <w:rPr>
                <w:rFonts w:ascii="Times New Roman" w:hAnsi="Times New Roman"/>
                <w:color w:val="000000"/>
                <w:kern w:val="0"/>
                <w:szCs w:val="21"/>
              </w:rPr>
            </w:pPr>
            <w:r>
              <w:rPr>
                <w:rFonts w:ascii="Times New Roman" w:hAnsi="Times New Roman"/>
                <w:color w:val="000000"/>
                <w:kern w:val="0"/>
                <w:sz w:val="24"/>
              </w:rPr>
              <w:t>其他</w:t>
            </w:r>
          </w:p>
        </w:tc>
        <w:tc>
          <w:tcPr>
            <w:tcW w:w="4767" w:type="pct"/>
            <w:noWrap w:val="0"/>
            <w:vAlign w:val="center"/>
          </w:tcPr>
          <w:p>
            <w:pPr>
              <w:pStyle w:val="223"/>
              <w:bidi w:val="0"/>
              <w:rPr>
                <w:rFonts w:hint="eastAsia" w:eastAsia="宋体"/>
                <w:color w:val="000000"/>
                <w:lang w:eastAsia="zh-CN"/>
              </w:rPr>
            </w:pPr>
            <w:r>
              <w:rPr>
                <w:rFonts w:hint="eastAsia"/>
                <w:b/>
                <w:bCs/>
                <w:color w:val="000000"/>
                <w:lang w:eastAsia="zh-CN"/>
              </w:rPr>
              <w:t>一、</w:t>
            </w:r>
            <w:r>
              <w:rPr>
                <w:rFonts w:hint="eastAsia" w:ascii="宋体" w:hAnsi="宋体" w:cs="宋体"/>
                <w:b/>
                <w:bCs/>
                <w:color w:val="000000"/>
              </w:rPr>
              <w:t>隧洞方</w:t>
            </w:r>
            <w:r>
              <w:rPr>
                <w:rFonts w:hint="eastAsia" w:ascii="宋体" w:hAnsi="宋体" w:cs="宋体"/>
                <w:b/>
                <w:color w:val="000000"/>
              </w:rPr>
              <w:t>案比较选择</w:t>
            </w:r>
          </w:p>
          <w:p>
            <w:pPr>
              <w:pStyle w:val="223"/>
              <w:bidi w:val="0"/>
              <w:rPr>
                <w:rFonts w:hint="eastAsia" w:ascii="Times New Roman" w:hAnsi="Times New Roman"/>
                <w:color w:val="000000"/>
              </w:rPr>
            </w:pPr>
            <w:r>
              <w:rPr>
                <w:rFonts w:hint="eastAsia"/>
                <w:color w:val="000000"/>
              </w:rPr>
              <w:t>根据工程建设内容，项目右干渠整治、分水洞、机耕桥等整治是在既有设施上进行，不存在工程选址选线比选。工程比选主要集中在新建的青白渠，根据《</w:t>
            </w:r>
            <w:r>
              <w:rPr>
                <w:rFonts w:hint="eastAsia"/>
                <w:color w:val="000000"/>
                <w:lang w:eastAsia="zh-CN"/>
              </w:rPr>
              <w:t>乐山市市中区高中水库灌区2023-2025年续建配套与节水改造项目</w:t>
            </w:r>
            <w:r>
              <w:rPr>
                <w:rFonts w:hint="eastAsia"/>
                <w:color w:val="000000"/>
              </w:rPr>
              <w:t>立项建议报告》，由于青白渠主要为灌溉</w:t>
            </w:r>
            <w:r>
              <w:rPr>
                <w:rFonts w:ascii="Times New Roman" w:hAnsi="Times New Roman"/>
                <w:color w:val="000000"/>
              </w:rPr>
              <w:t>青平镇八一村、铁蛇坳村、水竹村、宝兴村，白马镇磨池河村、白鹤村等土地</w:t>
            </w:r>
            <w:r>
              <w:rPr>
                <w:rFonts w:hint="eastAsia" w:ascii="Times New Roman" w:hAnsi="Times New Roman"/>
                <w:color w:val="000000"/>
              </w:rPr>
              <w:t>灌溉区域既定，因此线路部分位置基本确定，不存在比选，比选主要集中在隧洞方案的确定。</w:t>
            </w:r>
          </w:p>
          <w:p>
            <w:pPr>
              <w:pStyle w:val="223"/>
              <w:bidi w:val="0"/>
              <w:rPr>
                <w:rFonts w:hint="eastAsia"/>
                <w:color w:val="000000"/>
              </w:rPr>
            </w:pPr>
            <w:r>
              <w:rPr>
                <w:rFonts w:hint="eastAsia" w:ascii="Times New Roman" w:hAnsi="Times New Roman"/>
              </w:rPr>
              <w:t>根据工程设计，</w:t>
            </w:r>
            <w:r>
              <w:rPr>
                <w:rFonts w:hint="eastAsia"/>
                <w:color w:val="000000"/>
              </w:rPr>
              <w:t>本次新建青白渠拟在高中水库库区内新建放水设施取水，后采用管道输水，根据水库周边地形，以及青白渠灌面所在方向，在水库进水闸后需要穿过水库岸边山体，将水引至水库岸边山体另一侧的王沟，在顺王沟向下布置。根据现场勘测情况，本阶段对本段线路采用以下两种方案进行比较，分别为方案一、方案二</w:t>
            </w:r>
          </w:p>
          <w:p>
            <w:pPr>
              <w:pStyle w:val="223"/>
              <w:bidi w:val="0"/>
              <w:rPr>
                <w:rFonts w:hint="eastAsia"/>
                <w:color w:val="000000"/>
              </w:rPr>
            </w:pPr>
            <w:r>
              <w:rPr>
                <w:rFonts w:hint="eastAsia"/>
                <w:color w:val="000000"/>
              </w:rPr>
              <w:t>方案一：此方案在高中水库棉洞冲（</w:t>
            </w:r>
            <w:r>
              <w:rPr>
                <w:rFonts w:ascii="Times New Roman" w:hAnsi="Times New Roman"/>
                <w:sz w:val="24"/>
              </w:rPr>
              <w:t>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54</w:t>
            </w:r>
            <w:r>
              <w:rPr>
                <w:rFonts w:ascii="Times New Roman" w:hAnsi="Times New Roman"/>
                <w:sz w:val="24"/>
              </w:rPr>
              <w:t>′</w:t>
            </w:r>
            <w:r>
              <w:rPr>
                <w:rFonts w:hint="eastAsia" w:ascii="Times New Roman" w:hAnsi="Times New Roman"/>
                <w:sz w:val="24"/>
                <w:lang w:val="en-US" w:eastAsia="zh-CN"/>
              </w:rPr>
              <w:t>29.451</w:t>
            </w:r>
            <w:r>
              <w:rPr>
                <w:rFonts w:ascii="Times New Roman" w:hAnsi="Times New Roman"/>
                <w:sz w:val="24"/>
              </w:rPr>
              <w:t>″，29°</w:t>
            </w:r>
            <w:r>
              <w:rPr>
                <w:rFonts w:hint="eastAsia" w:ascii="Times New Roman" w:hAnsi="Times New Roman"/>
                <w:sz w:val="24"/>
                <w:lang w:val="en-US" w:eastAsia="zh-CN"/>
              </w:rPr>
              <w:t>38</w:t>
            </w:r>
            <w:r>
              <w:rPr>
                <w:rFonts w:ascii="Times New Roman" w:hAnsi="Times New Roman"/>
                <w:sz w:val="24"/>
              </w:rPr>
              <w:t>′</w:t>
            </w:r>
            <w:r>
              <w:rPr>
                <w:rFonts w:hint="eastAsia" w:ascii="Times New Roman" w:hAnsi="Times New Roman"/>
                <w:sz w:val="24"/>
                <w:lang w:val="en-US" w:eastAsia="zh-CN"/>
              </w:rPr>
              <w:t>12.749</w:t>
            </w:r>
            <w:r>
              <w:rPr>
                <w:rFonts w:ascii="Times New Roman" w:hAnsi="Times New Roman"/>
                <w:sz w:val="24"/>
              </w:rPr>
              <w:t>″</w:t>
            </w:r>
            <w:r>
              <w:rPr>
                <w:rFonts w:hint="eastAsia"/>
                <w:color w:val="000000"/>
              </w:rPr>
              <w:t>）处新建放水设施取水，开挖180m隧洞穿过山体，管道穿过隧洞沿王沟1#支沟，将水引至水碾坝（方案一、方案二交汇处），该段管线总长900m。</w:t>
            </w:r>
          </w:p>
          <w:p>
            <w:pPr>
              <w:pStyle w:val="223"/>
              <w:bidi w:val="0"/>
              <w:rPr>
                <w:rFonts w:hint="eastAsia"/>
                <w:color w:val="000000"/>
              </w:rPr>
            </w:pPr>
            <w:r>
              <w:rPr>
                <w:rFonts w:hint="eastAsia"/>
                <w:color w:val="000000"/>
              </w:rPr>
              <w:t>方案二：此方案在高中水库棉洞冲（</w:t>
            </w:r>
            <w:r>
              <w:rPr>
                <w:rFonts w:ascii="Times New Roman" w:hAnsi="Times New Roman"/>
                <w:sz w:val="24"/>
              </w:rPr>
              <w:t>10</w:t>
            </w:r>
            <w:r>
              <w:rPr>
                <w:rFonts w:hint="eastAsia" w:ascii="Times New Roman" w:hAnsi="Times New Roman"/>
                <w:sz w:val="24"/>
                <w:lang w:val="en-US" w:eastAsia="zh-CN"/>
              </w:rPr>
              <w:t>3</w:t>
            </w:r>
            <w:r>
              <w:rPr>
                <w:rFonts w:ascii="Times New Roman" w:hAnsi="Times New Roman"/>
                <w:sz w:val="24"/>
              </w:rPr>
              <w:t>°</w:t>
            </w:r>
            <w:r>
              <w:rPr>
                <w:rFonts w:hint="eastAsia" w:ascii="Times New Roman" w:hAnsi="Times New Roman"/>
                <w:sz w:val="24"/>
                <w:lang w:val="en-US" w:eastAsia="zh-CN"/>
              </w:rPr>
              <w:t>54</w:t>
            </w:r>
            <w:r>
              <w:rPr>
                <w:rFonts w:ascii="Times New Roman" w:hAnsi="Times New Roman"/>
                <w:sz w:val="24"/>
              </w:rPr>
              <w:t>′</w:t>
            </w:r>
            <w:r>
              <w:rPr>
                <w:rFonts w:hint="eastAsia" w:ascii="Times New Roman" w:hAnsi="Times New Roman"/>
                <w:sz w:val="24"/>
                <w:lang w:val="en-US" w:eastAsia="zh-CN"/>
              </w:rPr>
              <w:t>29.451</w:t>
            </w:r>
            <w:r>
              <w:rPr>
                <w:rFonts w:ascii="Times New Roman" w:hAnsi="Times New Roman"/>
                <w:sz w:val="24"/>
              </w:rPr>
              <w:t>″，29°</w:t>
            </w:r>
            <w:r>
              <w:rPr>
                <w:rFonts w:hint="eastAsia" w:ascii="Times New Roman" w:hAnsi="Times New Roman"/>
                <w:sz w:val="24"/>
                <w:lang w:val="en-US" w:eastAsia="zh-CN"/>
              </w:rPr>
              <w:t>38</w:t>
            </w:r>
            <w:r>
              <w:rPr>
                <w:rFonts w:ascii="Times New Roman" w:hAnsi="Times New Roman"/>
                <w:sz w:val="24"/>
              </w:rPr>
              <w:t>′</w:t>
            </w:r>
            <w:r>
              <w:rPr>
                <w:rFonts w:hint="eastAsia" w:ascii="Times New Roman" w:hAnsi="Times New Roman"/>
                <w:sz w:val="24"/>
                <w:lang w:val="en-US" w:eastAsia="zh-CN"/>
              </w:rPr>
              <w:t>12.749</w:t>
            </w:r>
            <w:r>
              <w:rPr>
                <w:rFonts w:ascii="Times New Roman" w:hAnsi="Times New Roman"/>
                <w:sz w:val="24"/>
              </w:rPr>
              <w:t>″</w:t>
            </w:r>
            <w:r>
              <w:rPr>
                <w:rFonts w:hint="eastAsia"/>
                <w:color w:val="000000"/>
              </w:rPr>
              <w:t>）处新建放水设施取水，开挖388m隧洞穿过山体，管道穿过隧洞沿王沟2#支沟，将水引至水碾坝（方案一、方案二交汇处），该段管线总长1120m。</w:t>
            </w:r>
          </w:p>
          <w:p>
            <w:pPr>
              <w:pStyle w:val="138"/>
              <w:ind w:firstLine="0" w:firstLineChars="0"/>
              <w:jc w:val="center"/>
              <w:rPr>
                <w:rFonts w:hint="eastAsia"/>
                <w:color w:val="000000"/>
              </w:rPr>
            </w:pPr>
            <w:r>
              <w:drawing>
                <wp:inline distT="0" distB="0" distL="114300" distR="114300">
                  <wp:extent cx="4547870" cy="3160395"/>
                  <wp:effectExtent l="0" t="0" r="5080" b="1905"/>
                  <wp:docPr id="3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8"/>
                          <pic:cNvPicPr>
                            <a:picLocks noChangeAspect="1"/>
                          </pic:cNvPicPr>
                        </pic:nvPicPr>
                        <pic:blipFill>
                          <a:blip r:embed="rId53"/>
                          <a:stretch>
                            <a:fillRect/>
                          </a:stretch>
                        </pic:blipFill>
                        <pic:spPr>
                          <a:xfrm>
                            <a:off x="0" y="0"/>
                            <a:ext cx="4547870" cy="3160395"/>
                          </a:xfrm>
                          <a:prstGeom prst="rect">
                            <a:avLst/>
                          </a:prstGeom>
                          <a:noFill/>
                          <a:ln>
                            <a:noFill/>
                          </a:ln>
                        </pic:spPr>
                      </pic:pic>
                    </a:graphicData>
                  </a:graphic>
                </wp:inline>
              </w:drawing>
            </w:r>
          </w:p>
          <w:p>
            <w:pPr>
              <w:pStyle w:val="138"/>
              <w:ind w:firstLine="0" w:firstLineChars="0"/>
              <w:jc w:val="center"/>
              <w:rPr>
                <w:b/>
                <w:bCs/>
                <w:color w:val="000000"/>
                <w:sz w:val="21"/>
                <w:szCs w:val="21"/>
              </w:rPr>
            </w:pPr>
            <w:r>
              <w:rPr>
                <w:rFonts w:hint="eastAsia"/>
                <w:b/>
                <w:bCs/>
                <w:color w:val="000000"/>
                <w:sz w:val="21"/>
                <w:szCs w:val="21"/>
              </w:rPr>
              <w:t>图2-</w:t>
            </w:r>
            <w:r>
              <w:rPr>
                <w:rFonts w:hint="eastAsia"/>
                <w:b/>
                <w:bCs/>
                <w:color w:val="000000"/>
                <w:sz w:val="21"/>
                <w:szCs w:val="21"/>
                <w:lang w:val="en-US" w:eastAsia="zh-CN"/>
              </w:rPr>
              <w:t>24</w:t>
            </w:r>
            <w:r>
              <w:rPr>
                <w:rFonts w:hint="eastAsia"/>
                <w:b/>
                <w:bCs/>
                <w:color w:val="000000"/>
                <w:sz w:val="21"/>
                <w:szCs w:val="21"/>
              </w:rPr>
              <w:t xml:space="preserve">  青白渠线路方案比较图</w:t>
            </w:r>
          </w:p>
          <w:p>
            <w:pPr>
              <w:pStyle w:val="138"/>
              <w:rPr>
                <w:rFonts w:hint="eastAsia"/>
                <w:color w:val="000000"/>
              </w:rPr>
            </w:pPr>
            <w:r>
              <w:rPr>
                <w:rFonts w:hint="eastAsia"/>
                <w:color w:val="000000"/>
              </w:rPr>
              <w:t>经比较，方案一隧洞为180m，管道长900m，方案二隧洞长388m，管道长1120。方案一比方案二直接工程投资底216万，因此本工程推荐方案一为推荐方案。</w:t>
            </w:r>
          </w:p>
          <w:p>
            <w:pPr>
              <w:pStyle w:val="138"/>
              <w:rPr>
                <w:rFonts w:hint="eastAsia" w:ascii="Times New Roman" w:hAnsi="Times New Roman" w:eastAsia="宋体" w:cs="Times New Roman"/>
                <w:b/>
                <w:bCs/>
                <w:color w:val="000000"/>
                <w:lang w:val="en-US" w:eastAsia="zh-CN"/>
              </w:rPr>
            </w:pPr>
            <w:r>
              <w:rPr>
                <w:rFonts w:hint="eastAsia" w:ascii="Times New Roman" w:hAnsi="Times New Roman" w:cs="Times New Roman"/>
                <w:b/>
                <w:bCs/>
                <w:color w:val="000000"/>
                <w:lang w:val="en-US" w:eastAsia="zh-CN"/>
              </w:rPr>
              <w:t>三、工程施工布置的环境合理性分析</w:t>
            </w:r>
          </w:p>
          <w:p>
            <w:pPr>
              <w:pStyle w:val="138"/>
              <w:rPr>
                <w:rFonts w:hint="eastAsia"/>
                <w:color w:val="000000"/>
              </w:rPr>
            </w:pPr>
            <w:r>
              <w:rPr>
                <w:rFonts w:hint="eastAsia"/>
                <w:color w:val="000000"/>
              </w:rPr>
              <w:t>本项目的临时场地选址符合以下原则：①地形较为平坦，有利于场地排水；②尽量远离水域，降低可能产生水土流失对周边水域造成危害；③距离现状道路较近，便于车辆的进出；④尽量少占地，减少运距；⑤临时堆场不得占用永久基本农田。</w:t>
            </w:r>
          </w:p>
          <w:p>
            <w:pPr>
              <w:pStyle w:val="138"/>
              <w:rPr>
                <w:rFonts w:hint="eastAsia"/>
                <w:color w:val="000000"/>
              </w:rPr>
            </w:pPr>
            <w:r>
              <w:rPr>
                <w:rFonts w:hint="eastAsia"/>
                <w:color w:val="000000"/>
              </w:rPr>
              <w:t>根据本工程建筑物布置特点及施工条件，采取分散分片布置的原则。工程</w:t>
            </w:r>
            <w:r>
              <w:rPr>
                <w:rFonts w:hint="eastAsia"/>
                <w:color w:val="000000"/>
                <w:lang w:eastAsia="zh-CN"/>
              </w:rPr>
              <w:t>沿线</w:t>
            </w:r>
            <w:r>
              <w:rPr>
                <w:rFonts w:hint="eastAsia"/>
                <w:color w:val="000000"/>
              </w:rPr>
              <w:t>布设</w:t>
            </w:r>
            <w:r>
              <w:rPr>
                <w:rFonts w:hint="eastAsia"/>
                <w:color w:val="000000"/>
                <w:lang w:eastAsia="zh-CN"/>
              </w:rPr>
              <w:t>多个</w:t>
            </w:r>
            <w:r>
              <w:rPr>
                <w:rFonts w:hint="eastAsia"/>
                <w:color w:val="000000"/>
              </w:rPr>
              <w:t>施工</w:t>
            </w:r>
            <w:r>
              <w:rPr>
                <w:rFonts w:hint="eastAsia"/>
                <w:color w:val="000000"/>
                <w:lang w:eastAsia="zh-CN"/>
              </w:rPr>
              <w:t>工区</w:t>
            </w:r>
            <w:r>
              <w:rPr>
                <w:rFonts w:hint="eastAsia"/>
                <w:color w:val="000000"/>
              </w:rPr>
              <w:t>，符合线性工程分段施工的特点，分散布置更好地利用周边现有设施。施工区占地以耕地和</w:t>
            </w:r>
            <w:r>
              <w:rPr>
                <w:rFonts w:hint="eastAsia"/>
                <w:color w:val="000000"/>
                <w:lang w:eastAsia="zh-CN"/>
              </w:rPr>
              <w:t>林</w:t>
            </w:r>
            <w:r>
              <w:rPr>
                <w:rFonts w:hint="eastAsia"/>
                <w:color w:val="000000"/>
              </w:rPr>
              <w:t>地为主，未发现珍稀动植物。布置前先把表土收集，施工完毕需采取措施复耕，从生态角度和环保角度考虑，项目外环境较为简单，不涉及自然保护区、风景名胜区、饮用水源地等敏感目标。</w:t>
            </w:r>
          </w:p>
          <w:p>
            <w:pPr>
              <w:pStyle w:val="138"/>
              <w:rPr>
                <w:rFonts w:ascii="Times New Roman" w:hAnsi="Times New Roman"/>
                <w:color w:val="000000"/>
              </w:rPr>
            </w:pPr>
            <w:r>
              <w:rPr>
                <w:rFonts w:hint="eastAsia"/>
                <w:color w:val="000000"/>
              </w:rPr>
              <w:t>因此，本项目施工布置选址合理。</w:t>
            </w:r>
          </w:p>
        </w:tc>
      </w:tr>
    </w:tbl>
    <w:p>
      <w:pPr>
        <w:pStyle w:val="34"/>
        <w:jc w:val="center"/>
        <w:outlineLvl w:val="0"/>
        <w:rPr>
          <w:rFonts w:ascii="黑体" w:hAnsi="黑体" w:eastAsia="黑体"/>
          <w:snapToGrid w:val="0"/>
          <w:color w:val="000000"/>
          <w:sz w:val="30"/>
          <w:szCs w:val="30"/>
        </w:rPr>
      </w:pPr>
      <w:r>
        <w:rPr>
          <w:rFonts w:eastAsia="仿宋_GB2312"/>
          <w:b/>
          <w:bCs/>
          <w:color w:val="000000"/>
        </w:rPr>
        <w:br w:type="page"/>
      </w:r>
      <w:r>
        <w:rPr>
          <w:rFonts w:hint="eastAsia" w:ascii="黑体" w:hAnsi="黑体" w:eastAsia="黑体"/>
          <w:snapToGrid w:val="0"/>
          <w:color w:val="000000"/>
          <w:sz w:val="30"/>
          <w:szCs w:val="30"/>
        </w:rPr>
        <w:t>三、生态环境现状、保护目标及评价标准</w:t>
      </w:r>
    </w:p>
    <w:tbl>
      <w:tblPr>
        <w:tblStyle w:val="3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7"/>
        <w:gridCol w:w="77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68" w:type="pct"/>
            <w:noWrap w:val="0"/>
            <w:vAlign w:val="center"/>
          </w:tcPr>
          <w:p>
            <w:pPr>
              <w:adjustRightInd w:val="0"/>
              <w:snapToGrid w:val="0"/>
              <w:jc w:val="center"/>
              <w:rPr>
                <w:rFonts w:ascii="宋体" w:hAnsi="宋体" w:cs="宋体"/>
                <w:color w:val="000000"/>
                <w:kern w:val="0"/>
                <w:szCs w:val="21"/>
              </w:rPr>
            </w:pPr>
            <w:r>
              <w:rPr>
                <w:rFonts w:hint="eastAsia" w:ascii="宋体" w:hAnsi="宋体" w:cs="宋体"/>
                <w:color w:val="000000"/>
                <w:kern w:val="0"/>
                <w:sz w:val="24"/>
              </w:rPr>
              <w:t>生态环境现状</w:t>
            </w:r>
          </w:p>
        </w:tc>
        <w:tc>
          <w:tcPr>
            <w:tcW w:w="4531" w:type="pct"/>
            <w:noWrap w:val="0"/>
            <w:vAlign w:val="center"/>
          </w:tcPr>
          <w:p>
            <w:pPr>
              <w:pStyle w:val="145"/>
              <w:spacing w:line="360" w:lineRule="auto"/>
              <w:ind w:firstLine="482"/>
              <w:rPr>
                <w:rFonts w:ascii="宋体" w:hAnsi="宋体"/>
                <w:b/>
                <w:bCs/>
                <w:color w:val="000000"/>
              </w:rPr>
            </w:pPr>
            <w:r>
              <w:rPr>
                <w:rFonts w:hint="eastAsia"/>
                <w:b/>
                <w:color w:val="000000"/>
              </w:rPr>
              <w:t>1、</w:t>
            </w:r>
            <w:r>
              <w:rPr>
                <w:rFonts w:hint="eastAsia" w:ascii="宋体" w:hAnsi="宋体"/>
                <w:b/>
                <w:bCs/>
                <w:color w:val="000000"/>
              </w:rPr>
              <w:t>环境空气质量现状</w:t>
            </w:r>
          </w:p>
          <w:p>
            <w:pPr>
              <w:wordWrap w:val="0"/>
              <w:adjustRightInd w:val="0"/>
              <w:spacing w:line="360" w:lineRule="auto"/>
              <w:ind w:firstLine="480" w:firstLineChars="200"/>
              <w:rPr>
                <w:rFonts w:hint="eastAsia" w:ascii="Times New Roman" w:hAnsi="Times New Roman"/>
                <w:bCs/>
                <w:color w:val="000000"/>
                <w:sz w:val="24"/>
              </w:rPr>
            </w:pPr>
            <w:r>
              <w:rPr>
                <w:rFonts w:ascii="Times New Roman" w:hAnsi="Times New Roman"/>
                <w:bCs/>
                <w:color w:val="000000"/>
                <w:sz w:val="24"/>
              </w:rPr>
              <w:t>本项目位于</w:t>
            </w:r>
            <w:r>
              <w:rPr>
                <w:rFonts w:hint="eastAsia" w:ascii="Times New Roman" w:hAnsi="Times New Roman"/>
                <w:bCs/>
                <w:color w:val="000000"/>
                <w:sz w:val="24"/>
              </w:rPr>
              <w:t>乐山市市中区</w:t>
            </w:r>
            <w:r>
              <w:rPr>
                <w:rFonts w:ascii="Times New Roman" w:hAnsi="Times New Roman"/>
                <w:bCs/>
                <w:color w:val="000000"/>
                <w:sz w:val="24"/>
              </w:rPr>
              <w:t>，项目所在环境空气功能区属二类区，环境空气质量现状评价采用《环境空气质量标准》（GB3095-2012）及其修改单（生态环境部2018年第29号）中的二级标准。根据乐山市生态环境局网站上公布的《2020年</w:t>
            </w:r>
            <w:r>
              <w:rPr>
                <w:rFonts w:hint="eastAsia" w:ascii="Times New Roman" w:hAnsi="Times New Roman"/>
                <w:bCs/>
                <w:color w:val="000000"/>
                <w:sz w:val="24"/>
              </w:rPr>
              <w:t>市中区</w:t>
            </w:r>
            <w:r>
              <w:rPr>
                <w:rFonts w:ascii="Times New Roman" w:hAnsi="Times New Roman"/>
                <w:bCs/>
                <w:color w:val="000000"/>
                <w:sz w:val="24"/>
              </w:rPr>
              <w:t>环境质量公报》（网址：</w:t>
            </w:r>
            <w:r>
              <w:rPr>
                <w:rFonts w:ascii="Times New Roman" w:hAnsi="Times New Roman"/>
                <w:bCs/>
                <w:color w:val="000000"/>
                <w:sz w:val="24"/>
              </w:rPr>
              <w:fldChar w:fldCharType="begin"/>
            </w:r>
            <w:r>
              <w:rPr>
                <w:rFonts w:ascii="Times New Roman" w:hAnsi="Times New Roman"/>
                <w:bCs/>
                <w:color w:val="000000"/>
                <w:sz w:val="24"/>
              </w:rPr>
              <w:instrText xml:space="preserve"> HYPERLINK "http://www.lsszq.gov.cn/zfxxgk/gcontent.shtml?id=20210809165512-856981-00-000），环境空气中二氧化硫、二氧化氮、臭氧、一氧化碳、细颗粒物和可吸入颗粒物年均浓度分别为6.1ug/m3、27.1ug/m3、143.5ug/m3、1.1mg/m3、35.0ug/m3和52.9ug/m3，均优于国家环境空气二级标准，其中细颗粒物为\“十三五\”以来首次达到国家环境空气二级标准。六参数年均浓度同比情况见表3-1" </w:instrText>
            </w:r>
            <w:r>
              <w:rPr>
                <w:rFonts w:ascii="Times New Roman" w:hAnsi="Times New Roman"/>
                <w:bCs/>
                <w:color w:val="000000"/>
                <w:sz w:val="24"/>
              </w:rPr>
              <w:fldChar w:fldCharType="separate"/>
            </w:r>
            <w:r>
              <w:rPr>
                <w:rStyle w:val="45"/>
                <w:rFonts w:ascii="Times New Roman" w:hAnsi="Times New Roman"/>
                <w:bCs/>
                <w:sz w:val="24"/>
              </w:rPr>
              <w:t>http://www.lsszq.gov.cn/zfxxgk/gcontent.shtml?id=20210809165512-856981-00-000）</w:t>
            </w:r>
            <w:r>
              <w:rPr>
                <w:rStyle w:val="45"/>
                <w:rFonts w:hint="eastAsia" w:ascii="Times New Roman" w:hAnsi="Times New Roman"/>
                <w:bCs/>
                <w:sz w:val="24"/>
              </w:rPr>
              <w:t>，</w:t>
            </w:r>
            <w:r>
              <w:rPr>
                <w:rStyle w:val="45"/>
                <w:rFonts w:ascii="Times New Roman" w:hAnsi="Times New Roman"/>
                <w:bCs/>
                <w:sz w:val="24"/>
              </w:rPr>
              <w:t>环境空气中二氧化硫、二氧化氮、臭氧、一氧化碳、细颗粒物和可吸入颗粒物年均浓度分别为6.1ug/m</w:t>
            </w:r>
            <w:r>
              <w:rPr>
                <w:rStyle w:val="45"/>
                <w:rFonts w:ascii="Times New Roman" w:hAnsi="Times New Roman"/>
                <w:bCs/>
                <w:sz w:val="24"/>
                <w:vertAlign w:val="superscript"/>
              </w:rPr>
              <w:t>3</w:t>
            </w:r>
            <w:r>
              <w:rPr>
                <w:rStyle w:val="45"/>
                <w:rFonts w:ascii="Times New Roman" w:hAnsi="Times New Roman"/>
                <w:bCs/>
                <w:sz w:val="24"/>
              </w:rPr>
              <w:t>、27.1ug/m</w:t>
            </w:r>
            <w:r>
              <w:rPr>
                <w:rStyle w:val="45"/>
                <w:rFonts w:ascii="Times New Roman" w:hAnsi="Times New Roman"/>
                <w:bCs/>
                <w:sz w:val="24"/>
                <w:vertAlign w:val="superscript"/>
              </w:rPr>
              <w:t>3</w:t>
            </w:r>
            <w:r>
              <w:rPr>
                <w:rStyle w:val="45"/>
                <w:rFonts w:ascii="Times New Roman" w:hAnsi="Times New Roman"/>
                <w:bCs/>
                <w:sz w:val="24"/>
              </w:rPr>
              <w:t>、143.5ug/m</w:t>
            </w:r>
            <w:r>
              <w:rPr>
                <w:rStyle w:val="45"/>
                <w:rFonts w:ascii="Times New Roman" w:hAnsi="Times New Roman"/>
                <w:bCs/>
                <w:sz w:val="24"/>
                <w:vertAlign w:val="superscript"/>
              </w:rPr>
              <w:t>3</w:t>
            </w:r>
            <w:r>
              <w:rPr>
                <w:rStyle w:val="45"/>
                <w:rFonts w:ascii="Times New Roman" w:hAnsi="Times New Roman"/>
                <w:bCs/>
                <w:sz w:val="24"/>
              </w:rPr>
              <w:t>、1.1mg/m</w:t>
            </w:r>
            <w:r>
              <w:rPr>
                <w:rStyle w:val="45"/>
                <w:rFonts w:ascii="Times New Roman" w:hAnsi="Times New Roman"/>
                <w:bCs/>
                <w:sz w:val="24"/>
                <w:vertAlign w:val="superscript"/>
              </w:rPr>
              <w:t>3</w:t>
            </w:r>
            <w:r>
              <w:rPr>
                <w:rStyle w:val="45"/>
                <w:rFonts w:ascii="Times New Roman" w:hAnsi="Times New Roman"/>
                <w:bCs/>
                <w:sz w:val="24"/>
              </w:rPr>
              <w:t>、35.0ug/m</w:t>
            </w:r>
            <w:r>
              <w:rPr>
                <w:rStyle w:val="45"/>
                <w:rFonts w:ascii="Times New Roman" w:hAnsi="Times New Roman"/>
                <w:bCs/>
                <w:sz w:val="24"/>
                <w:vertAlign w:val="superscript"/>
              </w:rPr>
              <w:t>3</w:t>
            </w:r>
            <w:r>
              <w:rPr>
                <w:rStyle w:val="45"/>
                <w:rFonts w:ascii="Times New Roman" w:hAnsi="Times New Roman"/>
                <w:bCs/>
                <w:sz w:val="24"/>
              </w:rPr>
              <w:t>和52.9ug/m</w:t>
            </w:r>
            <w:r>
              <w:rPr>
                <w:rStyle w:val="45"/>
                <w:rFonts w:ascii="Times New Roman" w:hAnsi="Times New Roman"/>
                <w:bCs/>
                <w:sz w:val="24"/>
                <w:vertAlign w:val="superscript"/>
              </w:rPr>
              <w:t>3</w:t>
            </w:r>
            <w:r>
              <w:rPr>
                <w:rStyle w:val="45"/>
                <w:rFonts w:ascii="Times New Roman" w:hAnsi="Times New Roman"/>
                <w:bCs/>
                <w:sz w:val="24"/>
              </w:rPr>
              <w:t>，均优于国家环境空气二级标准，其中细颗粒物为“十三五”以来首次达到国家环境空气二级标准。六参数年均浓度同比情况见表</w:t>
            </w:r>
            <w:r>
              <w:rPr>
                <w:rStyle w:val="45"/>
                <w:rFonts w:hint="eastAsia" w:ascii="Times New Roman" w:hAnsi="Times New Roman"/>
                <w:bCs/>
                <w:sz w:val="24"/>
              </w:rPr>
              <w:t>3-1</w:t>
            </w:r>
            <w:r>
              <w:rPr>
                <w:rFonts w:ascii="Times New Roman" w:hAnsi="Times New Roman"/>
                <w:bCs/>
                <w:color w:val="000000"/>
                <w:sz w:val="24"/>
              </w:rPr>
              <w:fldChar w:fldCharType="end"/>
            </w:r>
            <w:r>
              <w:rPr>
                <w:rFonts w:hint="eastAsia" w:ascii="Times New Roman" w:hAnsi="Times New Roman"/>
                <w:bCs/>
                <w:color w:val="000000"/>
                <w:sz w:val="24"/>
              </w:rPr>
              <w:t>。</w:t>
            </w:r>
          </w:p>
          <w:p>
            <w:pPr>
              <w:wordWrap w:val="0"/>
              <w:adjustRightInd w:val="0"/>
              <w:spacing w:line="360" w:lineRule="auto"/>
              <w:jc w:val="center"/>
              <w:rPr>
                <w:rFonts w:ascii="Times New Roman" w:hAnsi="Times New Roman"/>
                <w:b/>
                <w:color w:val="000000"/>
                <w:szCs w:val="21"/>
              </w:rPr>
            </w:pPr>
            <w:r>
              <w:rPr>
                <w:rFonts w:ascii="Times New Roman" w:hAnsi="Times New Roman"/>
                <w:b/>
                <w:color w:val="000000"/>
                <w:szCs w:val="21"/>
              </w:rPr>
              <w:t>表3-1  空气质量六参数年均浓度同比情况表</w:t>
            </w:r>
          </w:p>
          <w:tbl>
            <w:tblPr>
              <w:tblStyle w:val="39"/>
              <w:tblW w:w="75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22"/>
              <w:gridCol w:w="1122"/>
              <w:gridCol w:w="1109"/>
              <w:gridCol w:w="1088"/>
              <w:gridCol w:w="881"/>
              <w:gridCol w:w="1144"/>
              <w:gridCol w:w="12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5" w:hRule="atLeast"/>
                <w:jc w:val="center"/>
              </w:trPr>
              <w:tc>
                <w:tcPr>
                  <w:tcW w:w="922" w:type="dxa"/>
                  <w:tcBorders>
                    <w:tl2br w:val="single" w:color="auto" w:sz="4" w:space="0"/>
                  </w:tcBorders>
                  <w:noWrap w:val="0"/>
                  <w:vAlign w:val="center"/>
                </w:tcPr>
                <w:p>
                  <w:pPr>
                    <w:jc w:val="right"/>
                    <w:rPr>
                      <w:rFonts w:ascii="Times New Roman" w:hAnsi="Times New Roman"/>
                      <w:bCs/>
                      <w:szCs w:val="21"/>
                    </w:rPr>
                  </w:pPr>
                  <w:r>
                    <w:rPr>
                      <w:rFonts w:ascii="Times New Roman" w:hAnsi="Times New Roman"/>
                      <w:bCs/>
                      <w:szCs w:val="21"/>
                    </w:rPr>
                    <w:t>指标</w:t>
                  </w:r>
                </w:p>
                <w:p>
                  <w:pPr>
                    <w:jc w:val="left"/>
                    <w:rPr>
                      <w:rFonts w:ascii="Times New Roman" w:hAnsi="Times New Roman"/>
                      <w:bCs/>
                      <w:szCs w:val="21"/>
                    </w:rPr>
                  </w:pPr>
                  <w:r>
                    <w:rPr>
                      <w:rFonts w:ascii="Times New Roman" w:hAnsi="Times New Roman"/>
                      <w:bCs/>
                      <w:szCs w:val="21"/>
                    </w:rPr>
                    <w:t>年度</w:t>
                  </w:r>
                </w:p>
              </w:tc>
              <w:tc>
                <w:tcPr>
                  <w:tcW w:w="1122" w:type="dxa"/>
                  <w:noWrap w:val="0"/>
                  <w:vAlign w:val="center"/>
                </w:tcPr>
                <w:p>
                  <w:pPr>
                    <w:jc w:val="center"/>
                    <w:rPr>
                      <w:rFonts w:ascii="Times New Roman" w:hAnsi="Times New Roman"/>
                      <w:bCs/>
                      <w:szCs w:val="21"/>
                    </w:rPr>
                  </w:pPr>
                  <w:r>
                    <w:rPr>
                      <w:rFonts w:ascii="Times New Roman" w:hAnsi="Times New Roman"/>
                      <w:bCs/>
                      <w:szCs w:val="21"/>
                    </w:rPr>
                    <w:t>二氧化硫（ug/m</w:t>
                  </w:r>
                  <w:r>
                    <w:rPr>
                      <w:rFonts w:ascii="Times New Roman" w:hAnsi="Times New Roman"/>
                      <w:bCs/>
                      <w:szCs w:val="21"/>
                      <w:vertAlign w:val="superscript"/>
                    </w:rPr>
                    <w:t>3</w:t>
                  </w:r>
                  <w:r>
                    <w:rPr>
                      <w:rFonts w:ascii="Times New Roman" w:hAnsi="Times New Roman"/>
                      <w:bCs/>
                      <w:szCs w:val="21"/>
                    </w:rPr>
                    <w:t>）</w:t>
                  </w:r>
                </w:p>
              </w:tc>
              <w:tc>
                <w:tcPr>
                  <w:tcW w:w="1109" w:type="dxa"/>
                  <w:noWrap w:val="0"/>
                  <w:vAlign w:val="center"/>
                </w:tcPr>
                <w:p>
                  <w:pPr>
                    <w:jc w:val="center"/>
                    <w:rPr>
                      <w:rFonts w:hint="eastAsia" w:ascii="Times New Roman" w:hAnsi="Times New Roman"/>
                      <w:bCs/>
                      <w:szCs w:val="21"/>
                    </w:rPr>
                  </w:pPr>
                  <w:r>
                    <w:rPr>
                      <w:rFonts w:ascii="Times New Roman" w:hAnsi="Times New Roman"/>
                      <w:bCs/>
                      <w:szCs w:val="21"/>
                    </w:rPr>
                    <w:t>二氧化氮</w:t>
                  </w:r>
                  <w:r>
                    <w:rPr>
                      <w:rFonts w:hint="eastAsia" w:ascii="Times New Roman" w:hAnsi="Times New Roman"/>
                      <w:bCs/>
                      <w:szCs w:val="21"/>
                    </w:rPr>
                    <w:t>(</w:t>
                  </w:r>
                  <w:r>
                    <w:rPr>
                      <w:rFonts w:ascii="Times New Roman" w:hAnsi="Times New Roman"/>
                      <w:bCs/>
                      <w:szCs w:val="21"/>
                    </w:rPr>
                    <w:t>ug/m</w:t>
                  </w:r>
                  <w:r>
                    <w:rPr>
                      <w:rFonts w:ascii="Times New Roman" w:hAnsi="Times New Roman"/>
                      <w:bCs/>
                      <w:szCs w:val="21"/>
                      <w:vertAlign w:val="superscript"/>
                    </w:rPr>
                    <w:t>3</w:t>
                  </w:r>
                  <w:r>
                    <w:rPr>
                      <w:rFonts w:hint="eastAsia" w:ascii="Times New Roman" w:hAnsi="Times New Roman"/>
                      <w:bCs/>
                      <w:szCs w:val="21"/>
                    </w:rPr>
                    <w:t>)</w:t>
                  </w:r>
                </w:p>
              </w:tc>
              <w:tc>
                <w:tcPr>
                  <w:tcW w:w="1088" w:type="dxa"/>
                  <w:noWrap w:val="0"/>
                  <w:vAlign w:val="center"/>
                </w:tcPr>
                <w:p>
                  <w:pPr>
                    <w:jc w:val="center"/>
                    <w:rPr>
                      <w:rFonts w:hint="eastAsia" w:ascii="Times New Roman" w:hAnsi="Times New Roman"/>
                      <w:bCs/>
                      <w:szCs w:val="21"/>
                    </w:rPr>
                  </w:pPr>
                  <w:r>
                    <w:rPr>
                      <w:rFonts w:ascii="Times New Roman" w:hAnsi="Times New Roman"/>
                      <w:bCs/>
                      <w:szCs w:val="21"/>
                    </w:rPr>
                    <w:t>一氧化碳</w:t>
                  </w:r>
                  <w:r>
                    <w:rPr>
                      <w:rFonts w:hint="eastAsia" w:ascii="Times New Roman" w:hAnsi="Times New Roman"/>
                      <w:bCs/>
                      <w:szCs w:val="21"/>
                    </w:rPr>
                    <w:t>(</w:t>
                  </w:r>
                  <w:r>
                    <w:rPr>
                      <w:rFonts w:ascii="Times New Roman" w:hAnsi="Times New Roman"/>
                      <w:bCs/>
                      <w:szCs w:val="21"/>
                    </w:rPr>
                    <w:t>mg/m</w:t>
                  </w:r>
                  <w:r>
                    <w:rPr>
                      <w:rFonts w:ascii="Times New Roman" w:hAnsi="Times New Roman"/>
                      <w:bCs/>
                      <w:szCs w:val="21"/>
                      <w:vertAlign w:val="superscript"/>
                    </w:rPr>
                    <w:t>3</w:t>
                  </w:r>
                  <w:r>
                    <w:rPr>
                      <w:rFonts w:hint="eastAsia" w:ascii="Times New Roman" w:hAnsi="Times New Roman"/>
                      <w:bCs/>
                      <w:szCs w:val="21"/>
                    </w:rPr>
                    <w:t>)</w:t>
                  </w:r>
                </w:p>
              </w:tc>
              <w:tc>
                <w:tcPr>
                  <w:tcW w:w="881" w:type="dxa"/>
                  <w:noWrap w:val="0"/>
                  <w:vAlign w:val="center"/>
                </w:tcPr>
                <w:p>
                  <w:pPr>
                    <w:jc w:val="center"/>
                    <w:rPr>
                      <w:rFonts w:hint="eastAsia" w:ascii="Times New Roman" w:hAnsi="Times New Roman"/>
                      <w:bCs/>
                      <w:szCs w:val="21"/>
                    </w:rPr>
                  </w:pPr>
                  <w:r>
                    <w:rPr>
                      <w:rFonts w:ascii="Times New Roman" w:hAnsi="Times New Roman"/>
                      <w:bCs/>
                      <w:szCs w:val="21"/>
                    </w:rPr>
                    <w:t>臭氧</w:t>
                  </w:r>
                  <w:r>
                    <w:rPr>
                      <w:rFonts w:hint="eastAsia" w:ascii="Times New Roman" w:hAnsi="Times New Roman"/>
                      <w:bCs/>
                      <w:szCs w:val="21"/>
                    </w:rPr>
                    <w:t>(</w:t>
                  </w:r>
                  <w:r>
                    <w:rPr>
                      <w:rFonts w:ascii="Times New Roman" w:hAnsi="Times New Roman"/>
                      <w:bCs/>
                      <w:szCs w:val="21"/>
                    </w:rPr>
                    <w:t>ug/m</w:t>
                  </w:r>
                  <w:r>
                    <w:rPr>
                      <w:rFonts w:ascii="Times New Roman" w:hAnsi="Times New Roman"/>
                      <w:bCs/>
                      <w:szCs w:val="21"/>
                      <w:vertAlign w:val="superscript"/>
                    </w:rPr>
                    <w:t>3</w:t>
                  </w:r>
                  <w:r>
                    <w:rPr>
                      <w:rFonts w:hint="eastAsia" w:ascii="Times New Roman" w:hAnsi="Times New Roman"/>
                      <w:bCs/>
                      <w:szCs w:val="21"/>
                    </w:rPr>
                    <w:t>)</w:t>
                  </w:r>
                </w:p>
              </w:tc>
              <w:tc>
                <w:tcPr>
                  <w:tcW w:w="1144" w:type="dxa"/>
                  <w:noWrap w:val="0"/>
                  <w:vAlign w:val="center"/>
                </w:tcPr>
                <w:p>
                  <w:pPr>
                    <w:jc w:val="center"/>
                    <w:rPr>
                      <w:rFonts w:hint="eastAsia" w:ascii="Times New Roman" w:hAnsi="Times New Roman"/>
                      <w:bCs/>
                      <w:szCs w:val="21"/>
                    </w:rPr>
                  </w:pPr>
                  <w:r>
                    <w:rPr>
                      <w:rFonts w:ascii="Times New Roman" w:hAnsi="Times New Roman"/>
                      <w:bCs/>
                      <w:szCs w:val="21"/>
                    </w:rPr>
                    <w:t>细颗粒物</w:t>
                  </w:r>
                  <w:r>
                    <w:rPr>
                      <w:rFonts w:hint="eastAsia" w:ascii="Times New Roman" w:hAnsi="Times New Roman"/>
                      <w:bCs/>
                      <w:szCs w:val="21"/>
                    </w:rPr>
                    <w:t>(</w:t>
                  </w:r>
                  <w:r>
                    <w:rPr>
                      <w:rFonts w:ascii="Times New Roman" w:hAnsi="Times New Roman"/>
                      <w:bCs/>
                      <w:szCs w:val="21"/>
                    </w:rPr>
                    <w:t>ug/m</w:t>
                  </w:r>
                  <w:r>
                    <w:rPr>
                      <w:rFonts w:ascii="Times New Roman" w:hAnsi="Times New Roman"/>
                      <w:bCs/>
                      <w:szCs w:val="21"/>
                      <w:vertAlign w:val="superscript"/>
                    </w:rPr>
                    <w:t>3</w:t>
                  </w:r>
                  <w:r>
                    <w:rPr>
                      <w:rFonts w:hint="eastAsia" w:ascii="Times New Roman" w:hAnsi="Times New Roman"/>
                      <w:bCs/>
                      <w:szCs w:val="21"/>
                    </w:rPr>
                    <w:t>)</w:t>
                  </w:r>
                </w:p>
              </w:tc>
              <w:tc>
                <w:tcPr>
                  <w:tcW w:w="1272" w:type="dxa"/>
                  <w:noWrap w:val="0"/>
                  <w:vAlign w:val="center"/>
                </w:tcPr>
                <w:p>
                  <w:pPr>
                    <w:jc w:val="center"/>
                    <w:rPr>
                      <w:rFonts w:hint="eastAsia" w:ascii="Times New Roman" w:hAnsi="Times New Roman"/>
                      <w:bCs/>
                      <w:szCs w:val="21"/>
                    </w:rPr>
                  </w:pPr>
                  <w:r>
                    <w:rPr>
                      <w:rFonts w:ascii="Times New Roman" w:hAnsi="Times New Roman"/>
                      <w:bCs/>
                      <w:szCs w:val="21"/>
                    </w:rPr>
                    <w:t>可吸入颗粒物</w:t>
                  </w:r>
                  <w:r>
                    <w:rPr>
                      <w:rFonts w:hint="eastAsia" w:ascii="Times New Roman" w:hAnsi="Times New Roman"/>
                      <w:bCs/>
                      <w:szCs w:val="21"/>
                    </w:rPr>
                    <w:t>(</w:t>
                  </w:r>
                  <w:r>
                    <w:rPr>
                      <w:rFonts w:ascii="Times New Roman" w:hAnsi="Times New Roman"/>
                      <w:bCs/>
                      <w:szCs w:val="21"/>
                    </w:rPr>
                    <w:t>ug/m</w:t>
                  </w:r>
                  <w:r>
                    <w:rPr>
                      <w:rFonts w:ascii="Times New Roman" w:hAnsi="Times New Roman"/>
                      <w:bCs/>
                      <w:szCs w:val="21"/>
                      <w:vertAlign w:val="superscript"/>
                    </w:rPr>
                    <w:t>3</w:t>
                  </w:r>
                  <w:r>
                    <w:rPr>
                      <w:rFonts w:hint="eastAsia" w:ascii="Times New Roman" w:hAnsi="Times New Roman"/>
                      <w:bCs/>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922" w:type="dxa"/>
                  <w:noWrap w:val="0"/>
                  <w:vAlign w:val="center"/>
                </w:tcPr>
                <w:p>
                  <w:pPr>
                    <w:jc w:val="center"/>
                    <w:rPr>
                      <w:rFonts w:ascii="Times New Roman" w:hAnsi="Times New Roman"/>
                      <w:szCs w:val="21"/>
                    </w:rPr>
                  </w:pPr>
                  <w:r>
                    <w:rPr>
                      <w:rFonts w:ascii="Times New Roman" w:hAnsi="Times New Roman"/>
                      <w:szCs w:val="21"/>
                    </w:rPr>
                    <w:t>2020年</w:t>
                  </w:r>
                </w:p>
              </w:tc>
              <w:tc>
                <w:tcPr>
                  <w:tcW w:w="1122" w:type="dxa"/>
                  <w:noWrap w:val="0"/>
                  <w:vAlign w:val="center"/>
                </w:tcPr>
                <w:p>
                  <w:pPr>
                    <w:jc w:val="center"/>
                    <w:rPr>
                      <w:rFonts w:ascii="Times New Roman" w:hAnsi="Times New Roman"/>
                      <w:szCs w:val="21"/>
                    </w:rPr>
                  </w:pPr>
                  <w:r>
                    <w:rPr>
                      <w:rFonts w:ascii="Times New Roman" w:hAnsi="Times New Roman"/>
                      <w:szCs w:val="21"/>
                    </w:rPr>
                    <w:t>6.1</w:t>
                  </w:r>
                </w:p>
              </w:tc>
              <w:tc>
                <w:tcPr>
                  <w:tcW w:w="1109" w:type="dxa"/>
                  <w:noWrap w:val="0"/>
                  <w:vAlign w:val="center"/>
                </w:tcPr>
                <w:p>
                  <w:pPr>
                    <w:jc w:val="center"/>
                    <w:rPr>
                      <w:rFonts w:ascii="Times New Roman" w:hAnsi="Times New Roman"/>
                      <w:szCs w:val="21"/>
                    </w:rPr>
                  </w:pPr>
                  <w:r>
                    <w:rPr>
                      <w:rFonts w:ascii="Times New Roman" w:hAnsi="Times New Roman"/>
                      <w:szCs w:val="21"/>
                    </w:rPr>
                    <w:t>27.1</w:t>
                  </w:r>
                </w:p>
              </w:tc>
              <w:tc>
                <w:tcPr>
                  <w:tcW w:w="1088" w:type="dxa"/>
                  <w:noWrap w:val="0"/>
                  <w:vAlign w:val="center"/>
                </w:tcPr>
                <w:p>
                  <w:pPr>
                    <w:jc w:val="center"/>
                    <w:rPr>
                      <w:rFonts w:ascii="Times New Roman" w:hAnsi="Times New Roman"/>
                      <w:szCs w:val="21"/>
                    </w:rPr>
                  </w:pPr>
                  <w:r>
                    <w:rPr>
                      <w:rFonts w:ascii="Times New Roman" w:hAnsi="Times New Roman"/>
                      <w:szCs w:val="21"/>
                    </w:rPr>
                    <w:t>1.1</w:t>
                  </w:r>
                </w:p>
              </w:tc>
              <w:tc>
                <w:tcPr>
                  <w:tcW w:w="881" w:type="dxa"/>
                  <w:noWrap w:val="0"/>
                  <w:vAlign w:val="center"/>
                </w:tcPr>
                <w:p>
                  <w:pPr>
                    <w:jc w:val="center"/>
                    <w:rPr>
                      <w:rFonts w:ascii="Times New Roman" w:hAnsi="Times New Roman"/>
                      <w:szCs w:val="21"/>
                    </w:rPr>
                  </w:pPr>
                  <w:r>
                    <w:rPr>
                      <w:rFonts w:ascii="Times New Roman" w:hAnsi="Times New Roman"/>
                      <w:szCs w:val="21"/>
                    </w:rPr>
                    <w:t>143.5</w:t>
                  </w:r>
                </w:p>
              </w:tc>
              <w:tc>
                <w:tcPr>
                  <w:tcW w:w="1144" w:type="dxa"/>
                  <w:noWrap w:val="0"/>
                  <w:vAlign w:val="center"/>
                </w:tcPr>
                <w:p>
                  <w:pPr>
                    <w:jc w:val="center"/>
                    <w:rPr>
                      <w:rFonts w:ascii="Times New Roman" w:hAnsi="Times New Roman"/>
                      <w:szCs w:val="21"/>
                    </w:rPr>
                  </w:pPr>
                  <w:r>
                    <w:rPr>
                      <w:rFonts w:ascii="Times New Roman" w:hAnsi="Times New Roman"/>
                      <w:szCs w:val="21"/>
                    </w:rPr>
                    <w:t>35.0</w:t>
                  </w:r>
                </w:p>
              </w:tc>
              <w:tc>
                <w:tcPr>
                  <w:tcW w:w="1272" w:type="dxa"/>
                  <w:noWrap w:val="0"/>
                  <w:vAlign w:val="center"/>
                </w:tcPr>
                <w:p>
                  <w:pPr>
                    <w:jc w:val="center"/>
                    <w:rPr>
                      <w:rFonts w:ascii="Times New Roman" w:hAnsi="Times New Roman"/>
                      <w:szCs w:val="21"/>
                    </w:rPr>
                  </w:pPr>
                  <w:r>
                    <w:rPr>
                      <w:rFonts w:ascii="Times New Roman" w:hAnsi="Times New Roman"/>
                      <w:szCs w:val="21"/>
                    </w:rPr>
                    <w:t>52.9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jc w:val="center"/>
              </w:trPr>
              <w:tc>
                <w:tcPr>
                  <w:tcW w:w="922" w:type="dxa"/>
                  <w:noWrap w:val="0"/>
                  <w:vAlign w:val="center"/>
                </w:tcPr>
                <w:p>
                  <w:pPr>
                    <w:jc w:val="center"/>
                    <w:rPr>
                      <w:rFonts w:ascii="Times New Roman" w:hAnsi="Times New Roman"/>
                      <w:szCs w:val="21"/>
                    </w:rPr>
                  </w:pPr>
                  <w:r>
                    <w:rPr>
                      <w:rFonts w:ascii="Times New Roman" w:hAnsi="Times New Roman"/>
                      <w:szCs w:val="21"/>
                    </w:rPr>
                    <w:t>同比变化</w:t>
                  </w:r>
                </w:p>
              </w:tc>
              <w:tc>
                <w:tcPr>
                  <w:tcW w:w="1122" w:type="dxa"/>
                  <w:noWrap w:val="0"/>
                  <w:vAlign w:val="center"/>
                </w:tcPr>
                <w:p>
                  <w:pPr>
                    <w:jc w:val="center"/>
                    <w:rPr>
                      <w:rFonts w:ascii="Times New Roman" w:hAnsi="Times New Roman"/>
                      <w:szCs w:val="21"/>
                    </w:rPr>
                  </w:pPr>
                  <w:r>
                    <w:rPr>
                      <w:rFonts w:ascii="Times New Roman" w:hAnsi="Times New Roman"/>
                      <w:szCs w:val="21"/>
                    </w:rPr>
                    <w:t>下降</w:t>
                  </w:r>
                </w:p>
                <w:p>
                  <w:pPr>
                    <w:jc w:val="center"/>
                    <w:rPr>
                      <w:rFonts w:ascii="Times New Roman" w:hAnsi="Times New Roman"/>
                      <w:szCs w:val="21"/>
                    </w:rPr>
                  </w:pPr>
                  <w:r>
                    <w:rPr>
                      <w:rFonts w:ascii="Times New Roman" w:hAnsi="Times New Roman"/>
                      <w:szCs w:val="21"/>
                    </w:rPr>
                    <w:t>17.6%</w:t>
                  </w:r>
                </w:p>
              </w:tc>
              <w:tc>
                <w:tcPr>
                  <w:tcW w:w="1109" w:type="dxa"/>
                  <w:noWrap w:val="0"/>
                  <w:vAlign w:val="center"/>
                </w:tcPr>
                <w:p>
                  <w:pPr>
                    <w:jc w:val="center"/>
                    <w:rPr>
                      <w:rFonts w:ascii="Times New Roman" w:hAnsi="Times New Roman"/>
                      <w:szCs w:val="21"/>
                    </w:rPr>
                  </w:pPr>
                  <w:r>
                    <w:rPr>
                      <w:rFonts w:ascii="Times New Roman" w:hAnsi="Times New Roman"/>
                      <w:szCs w:val="21"/>
                    </w:rPr>
                    <w:t>下降</w:t>
                  </w:r>
                </w:p>
                <w:p>
                  <w:pPr>
                    <w:jc w:val="center"/>
                    <w:rPr>
                      <w:rFonts w:ascii="Times New Roman" w:hAnsi="Times New Roman"/>
                      <w:szCs w:val="21"/>
                    </w:rPr>
                  </w:pPr>
                  <w:r>
                    <w:rPr>
                      <w:rFonts w:ascii="Times New Roman" w:hAnsi="Times New Roman"/>
                      <w:szCs w:val="21"/>
                    </w:rPr>
                    <w:t>4.9%</w:t>
                  </w:r>
                </w:p>
              </w:tc>
              <w:tc>
                <w:tcPr>
                  <w:tcW w:w="1088" w:type="dxa"/>
                  <w:noWrap w:val="0"/>
                  <w:vAlign w:val="center"/>
                </w:tcPr>
                <w:p>
                  <w:pPr>
                    <w:jc w:val="center"/>
                    <w:rPr>
                      <w:rFonts w:ascii="Times New Roman" w:hAnsi="Times New Roman"/>
                      <w:szCs w:val="21"/>
                    </w:rPr>
                  </w:pPr>
                  <w:r>
                    <w:rPr>
                      <w:rFonts w:ascii="Times New Roman" w:hAnsi="Times New Roman"/>
                      <w:szCs w:val="21"/>
                    </w:rPr>
                    <w:t>下降</w:t>
                  </w:r>
                </w:p>
                <w:p>
                  <w:pPr>
                    <w:jc w:val="center"/>
                    <w:rPr>
                      <w:rFonts w:ascii="Times New Roman" w:hAnsi="Times New Roman"/>
                      <w:szCs w:val="21"/>
                    </w:rPr>
                  </w:pPr>
                  <w:r>
                    <w:rPr>
                      <w:rFonts w:ascii="Times New Roman" w:hAnsi="Times New Roman"/>
                      <w:szCs w:val="21"/>
                    </w:rPr>
                    <w:t>8.3%</w:t>
                  </w:r>
                </w:p>
              </w:tc>
              <w:tc>
                <w:tcPr>
                  <w:tcW w:w="881" w:type="dxa"/>
                  <w:noWrap w:val="0"/>
                  <w:vAlign w:val="center"/>
                </w:tcPr>
                <w:p>
                  <w:pPr>
                    <w:jc w:val="center"/>
                    <w:rPr>
                      <w:rFonts w:ascii="Times New Roman" w:hAnsi="Times New Roman"/>
                      <w:szCs w:val="21"/>
                    </w:rPr>
                  </w:pPr>
                  <w:r>
                    <w:rPr>
                      <w:rFonts w:ascii="Times New Roman" w:hAnsi="Times New Roman"/>
                      <w:szCs w:val="21"/>
                    </w:rPr>
                    <w:t>上升</w:t>
                  </w:r>
                </w:p>
                <w:p>
                  <w:pPr>
                    <w:jc w:val="center"/>
                    <w:rPr>
                      <w:rFonts w:ascii="Times New Roman" w:hAnsi="Times New Roman"/>
                      <w:szCs w:val="21"/>
                    </w:rPr>
                  </w:pPr>
                  <w:r>
                    <w:rPr>
                      <w:rFonts w:ascii="Times New Roman" w:hAnsi="Times New Roman"/>
                      <w:szCs w:val="21"/>
                    </w:rPr>
                    <w:t>8.7%</w:t>
                  </w:r>
                </w:p>
              </w:tc>
              <w:tc>
                <w:tcPr>
                  <w:tcW w:w="1144" w:type="dxa"/>
                  <w:noWrap w:val="0"/>
                  <w:vAlign w:val="center"/>
                </w:tcPr>
                <w:p>
                  <w:pPr>
                    <w:jc w:val="center"/>
                    <w:rPr>
                      <w:rFonts w:ascii="Times New Roman" w:hAnsi="Times New Roman"/>
                      <w:szCs w:val="21"/>
                    </w:rPr>
                  </w:pPr>
                  <w:r>
                    <w:rPr>
                      <w:rFonts w:ascii="Times New Roman" w:hAnsi="Times New Roman"/>
                      <w:szCs w:val="21"/>
                    </w:rPr>
                    <w:t>下降</w:t>
                  </w:r>
                </w:p>
                <w:p>
                  <w:pPr>
                    <w:jc w:val="center"/>
                    <w:rPr>
                      <w:rFonts w:ascii="Times New Roman" w:hAnsi="Times New Roman"/>
                      <w:szCs w:val="21"/>
                    </w:rPr>
                  </w:pPr>
                  <w:r>
                    <w:rPr>
                      <w:rFonts w:ascii="Times New Roman" w:hAnsi="Times New Roman"/>
                      <w:szCs w:val="21"/>
                    </w:rPr>
                    <w:t>16.2%</w:t>
                  </w:r>
                </w:p>
              </w:tc>
              <w:tc>
                <w:tcPr>
                  <w:tcW w:w="1272" w:type="dxa"/>
                  <w:noWrap w:val="0"/>
                  <w:vAlign w:val="center"/>
                </w:tcPr>
                <w:p>
                  <w:pPr>
                    <w:jc w:val="center"/>
                    <w:rPr>
                      <w:rFonts w:ascii="Times New Roman" w:hAnsi="Times New Roman"/>
                      <w:szCs w:val="21"/>
                    </w:rPr>
                  </w:pPr>
                  <w:r>
                    <w:rPr>
                      <w:rFonts w:ascii="Times New Roman" w:hAnsi="Times New Roman"/>
                      <w:szCs w:val="21"/>
                    </w:rPr>
                    <w:t>下降</w:t>
                  </w:r>
                </w:p>
                <w:p>
                  <w:pPr>
                    <w:jc w:val="center"/>
                    <w:rPr>
                      <w:rFonts w:ascii="Times New Roman" w:hAnsi="Times New Roman"/>
                      <w:szCs w:val="21"/>
                    </w:rPr>
                  </w:pPr>
                  <w:r>
                    <w:rPr>
                      <w:rFonts w:ascii="Times New Roman" w:hAnsi="Times New Roman"/>
                      <w:szCs w:val="21"/>
                    </w:rPr>
                    <w:t>8.2%</w:t>
                  </w:r>
                </w:p>
              </w:tc>
            </w:tr>
          </w:tbl>
          <w:p>
            <w:pPr>
              <w:adjustRightInd w:val="0"/>
              <w:snapToGrid w:val="0"/>
              <w:spacing w:line="360" w:lineRule="auto"/>
              <w:ind w:firstLine="480" w:firstLineChars="200"/>
              <w:rPr>
                <w:rFonts w:hint="eastAsia"/>
                <w:color w:val="000000"/>
                <w:sz w:val="24"/>
              </w:rPr>
            </w:pPr>
            <w:r>
              <w:rPr>
                <w:rFonts w:ascii="Times New Roman" w:hAnsi="Times New Roman"/>
                <w:bCs/>
                <w:color w:val="000000"/>
                <w:sz w:val="24"/>
              </w:rPr>
              <w:t>由上表统计结果可知，乐山市</w:t>
            </w:r>
            <w:r>
              <w:rPr>
                <w:rFonts w:hint="eastAsia" w:ascii="Times New Roman" w:hAnsi="Times New Roman"/>
                <w:bCs/>
                <w:color w:val="000000"/>
                <w:sz w:val="24"/>
              </w:rPr>
              <w:t>市中区</w:t>
            </w:r>
            <w:r>
              <w:rPr>
                <w:rFonts w:ascii="Times New Roman" w:hAnsi="Times New Roman"/>
                <w:bCs/>
                <w:color w:val="000000"/>
                <w:sz w:val="24"/>
              </w:rPr>
              <w:t>环境空气中SO</w:t>
            </w:r>
            <w:r>
              <w:rPr>
                <w:rFonts w:ascii="Times New Roman" w:hAnsi="Times New Roman"/>
                <w:bCs/>
                <w:color w:val="000000"/>
                <w:sz w:val="24"/>
                <w:vertAlign w:val="subscript"/>
              </w:rPr>
              <w:t>2</w:t>
            </w:r>
            <w:r>
              <w:rPr>
                <w:rFonts w:ascii="Times New Roman" w:hAnsi="Times New Roman"/>
                <w:bCs/>
                <w:color w:val="000000"/>
                <w:sz w:val="24"/>
              </w:rPr>
              <w:t>、NO</w:t>
            </w:r>
            <w:r>
              <w:rPr>
                <w:rFonts w:ascii="Times New Roman" w:hAnsi="Times New Roman"/>
                <w:bCs/>
                <w:color w:val="000000"/>
                <w:sz w:val="24"/>
                <w:vertAlign w:val="subscript"/>
              </w:rPr>
              <w:t>2</w:t>
            </w:r>
            <w:r>
              <w:rPr>
                <w:rFonts w:ascii="Times New Roman" w:hAnsi="Times New Roman"/>
                <w:bCs/>
                <w:color w:val="000000"/>
                <w:sz w:val="24"/>
              </w:rPr>
              <w:t>、CO、O</w:t>
            </w:r>
            <w:r>
              <w:rPr>
                <w:rFonts w:ascii="Times New Roman" w:hAnsi="Times New Roman"/>
                <w:bCs/>
                <w:color w:val="000000"/>
                <w:sz w:val="24"/>
                <w:vertAlign w:val="subscript"/>
              </w:rPr>
              <w:t>3</w:t>
            </w:r>
            <w:r>
              <w:rPr>
                <w:rFonts w:ascii="Times New Roman" w:hAnsi="Times New Roman"/>
                <w:bCs/>
                <w:color w:val="000000"/>
                <w:sz w:val="24"/>
              </w:rPr>
              <w:t>、PM</w:t>
            </w:r>
            <w:r>
              <w:rPr>
                <w:rFonts w:ascii="Times New Roman" w:hAnsi="Times New Roman"/>
                <w:bCs/>
                <w:color w:val="000000"/>
                <w:sz w:val="24"/>
                <w:vertAlign w:val="subscript"/>
              </w:rPr>
              <w:t>10</w:t>
            </w:r>
            <w:r>
              <w:rPr>
                <w:rFonts w:ascii="Times New Roman" w:hAnsi="Times New Roman"/>
                <w:bCs/>
                <w:color w:val="000000"/>
                <w:sz w:val="24"/>
              </w:rPr>
              <w:t>、PM</w:t>
            </w:r>
            <w:r>
              <w:rPr>
                <w:rFonts w:ascii="Times New Roman" w:hAnsi="Times New Roman"/>
                <w:bCs/>
                <w:color w:val="000000"/>
                <w:sz w:val="24"/>
                <w:vertAlign w:val="subscript"/>
              </w:rPr>
              <w:t>2.5</w:t>
            </w:r>
            <w:r>
              <w:rPr>
                <w:rFonts w:ascii="Times New Roman" w:hAnsi="Times New Roman"/>
                <w:bCs/>
                <w:color w:val="000000"/>
                <w:sz w:val="24"/>
              </w:rPr>
              <w:t>均满足《环境空气质量标准》（GB3095-2012）中二级标准，属于环境空气质量达标区。</w:t>
            </w:r>
          </w:p>
          <w:p>
            <w:pPr>
              <w:widowControl/>
              <w:spacing w:line="360" w:lineRule="auto"/>
              <w:ind w:firstLine="482" w:firstLineChars="200"/>
              <w:jc w:val="left"/>
            </w:pPr>
            <w:r>
              <w:rPr>
                <w:rFonts w:ascii="Times New Roman" w:hAnsi="Times New Roman"/>
                <w:b/>
                <w:bCs/>
                <w:color w:val="000000"/>
                <w:sz w:val="24"/>
              </w:rPr>
              <w:t>2、</w:t>
            </w:r>
            <w:r>
              <w:rPr>
                <w:rFonts w:hint="eastAsia" w:ascii="宋体" w:hAnsi="宋体" w:cs="宋体"/>
                <w:b/>
                <w:bCs/>
                <w:color w:val="000000"/>
                <w:kern w:val="0"/>
                <w:sz w:val="24"/>
                <w:lang w:bidi="ar"/>
              </w:rPr>
              <w:t>水环境质量现状</w:t>
            </w:r>
          </w:p>
          <w:p>
            <w:pPr>
              <w:adjustRightInd w:val="0"/>
              <w:snapToGrid w:val="0"/>
              <w:spacing w:line="360" w:lineRule="auto"/>
              <w:ind w:firstLine="480" w:firstLineChars="200"/>
              <w:rPr>
                <w:rFonts w:hint="eastAsia"/>
                <w:color w:val="000000"/>
                <w:sz w:val="24"/>
              </w:rPr>
            </w:pPr>
            <w:r>
              <w:rPr>
                <w:rFonts w:hint="eastAsia"/>
                <w:color w:val="000000"/>
                <w:sz w:val="24"/>
              </w:rPr>
              <w:t>本项目为</w:t>
            </w:r>
            <w:r>
              <w:rPr>
                <w:rFonts w:hint="eastAsia"/>
                <w:color w:val="000000"/>
                <w:sz w:val="24"/>
                <w:lang w:eastAsia="zh-CN"/>
              </w:rPr>
              <w:t>乐山市市中区引水工程建设项目（二期工程）—高中水库灌区2023-2025年续建配套与节水改造项目</w:t>
            </w:r>
            <w:r>
              <w:rPr>
                <w:rFonts w:hint="eastAsia"/>
                <w:color w:val="000000"/>
                <w:sz w:val="24"/>
              </w:rPr>
              <w:t>，来水于高中水库，退水于磨池河。</w:t>
            </w:r>
          </w:p>
          <w:p>
            <w:pPr>
              <w:adjustRightInd w:val="0"/>
              <w:snapToGrid w:val="0"/>
              <w:spacing w:line="360" w:lineRule="auto"/>
              <w:ind w:firstLine="480" w:firstLineChars="200"/>
              <w:rPr>
                <w:rFonts w:hint="eastAsia"/>
              </w:rPr>
            </w:pPr>
            <w:r>
              <w:rPr>
                <w:rFonts w:hint="eastAsia"/>
                <w:color w:val="000000"/>
                <w:sz w:val="24"/>
              </w:rPr>
              <w:t>根据乐山市生态环境局网站上公布的《2020年市中区环境质量公报》可知，从全年监测数据来看，市中区水库水质稳中向好，根据乐山市市中区生态环境监测站2021年5月对市中区水库水质的例行监测报告，水质监测结果如下表。</w:t>
            </w:r>
          </w:p>
          <w:p>
            <w:pPr>
              <w:wordWrap w:val="0"/>
              <w:adjustRightInd w:val="0"/>
              <w:spacing w:line="360" w:lineRule="auto"/>
              <w:jc w:val="right"/>
              <w:rPr>
                <w:color w:val="000000"/>
                <w:sz w:val="24"/>
              </w:rPr>
            </w:pPr>
            <w:r>
              <w:rPr>
                <w:rFonts w:ascii="Times New Roman" w:hAnsi="Times New Roman"/>
                <w:b/>
                <w:color w:val="000000"/>
                <w:szCs w:val="21"/>
              </w:rPr>
              <w:t>表3-</w:t>
            </w:r>
            <w:r>
              <w:rPr>
                <w:rFonts w:hint="eastAsia" w:ascii="Times New Roman" w:hAnsi="Times New Roman"/>
                <w:b/>
                <w:color w:val="000000"/>
                <w:szCs w:val="21"/>
              </w:rPr>
              <w:t>2</w:t>
            </w:r>
            <w:r>
              <w:rPr>
                <w:rFonts w:ascii="Times New Roman" w:hAnsi="Times New Roman"/>
                <w:b/>
                <w:color w:val="000000"/>
                <w:szCs w:val="21"/>
              </w:rPr>
              <w:t xml:space="preserve">  </w:t>
            </w:r>
            <w:r>
              <w:rPr>
                <w:rFonts w:hint="eastAsia" w:ascii="Times New Roman" w:hAnsi="Times New Roman"/>
                <w:b/>
                <w:color w:val="000000"/>
                <w:szCs w:val="21"/>
              </w:rPr>
              <w:t>2021年5月市中区水库水质监测结果表      单位：mg/L</w:t>
            </w:r>
          </w:p>
          <w:tbl>
            <w:tblPr>
              <w:tblStyle w:val="39"/>
              <w:tblW w:w="76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17"/>
              <w:gridCol w:w="1350"/>
              <w:gridCol w:w="1163"/>
              <w:gridCol w:w="1031"/>
              <w:gridCol w:w="1125"/>
              <w:gridCol w:w="10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9" w:hRule="atLeast"/>
                <w:jc w:val="center"/>
              </w:trPr>
              <w:tc>
                <w:tcPr>
                  <w:tcW w:w="1917" w:type="dxa"/>
                  <w:tcBorders>
                    <w:tl2br w:val="single" w:color="auto" w:sz="4" w:space="0"/>
                  </w:tcBorders>
                  <w:noWrap w:val="0"/>
                  <w:vAlign w:val="center"/>
                </w:tcPr>
                <w:p>
                  <w:pPr>
                    <w:jc w:val="right"/>
                    <w:rPr>
                      <w:rFonts w:hint="eastAsia" w:ascii="Times New Roman" w:hAnsi="Times New Roman"/>
                      <w:bCs/>
                      <w:szCs w:val="21"/>
                    </w:rPr>
                  </w:pPr>
                  <w:r>
                    <w:rPr>
                      <w:rFonts w:hint="eastAsia" w:ascii="Times New Roman" w:hAnsi="Times New Roman"/>
                      <w:bCs/>
                      <w:szCs w:val="21"/>
                    </w:rPr>
                    <w:t>监测项目</w:t>
                  </w:r>
                </w:p>
                <w:p>
                  <w:pPr>
                    <w:jc w:val="left"/>
                    <w:rPr>
                      <w:rFonts w:hint="eastAsia" w:ascii="Times New Roman" w:hAnsi="Times New Roman"/>
                      <w:bCs/>
                      <w:szCs w:val="21"/>
                    </w:rPr>
                  </w:pPr>
                  <w:r>
                    <w:rPr>
                      <w:rFonts w:hint="eastAsia" w:ascii="Times New Roman" w:hAnsi="Times New Roman"/>
                      <w:bCs/>
                      <w:szCs w:val="21"/>
                    </w:rPr>
                    <w:t>水库名称</w:t>
                  </w:r>
                </w:p>
              </w:tc>
              <w:tc>
                <w:tcPr>
                  <w:tcW w:w="1350" w:type="dxa"/>
                  <w:noWrap w:val="0"/>
                  <w:vAlign w:val="center"/>
                </w:tcPr>
                <w:p>
                  <w:pPr>
                    <w:jc w:val="center"/>
                    <w:rPr>
                      <w:rFonts w:hint="eastAsia" w:ascii="Times New Roman" w:hAnsi="Times New Roman"/>
                      <w:bCs/>
                      <w:szCs w:val="21"/>
                    </w:rPr>
                  </w:pPr>
                  <w:r>
                    <w:rPr>
                      <w:rFonts w:hint="eastAsia" w:ascii="Times New Roman" w:hAnsi="Times New Roman"/>
                      <w:bCs/>
                      <w:szCs w:val="21"/>
                    </w:rPr>
                    <w:t>高锰酸盐指数（COD</w:t>
                  </w:r>
                  <w:r>
                    <w:rPr>
                      <w:rFonts w:hint="eastAsia" w:ascii="Times New Roman" w:hAnsi="Times New Roman"/>
                      <w:bCs/>
                      <w:szCs w:val="21"/>
                      <w:vertAlign w:val="subscript"/>
                    </w:rPr>
                    <w:t>Mn</w:t>
                  </w:r>
                  <w:r>
                    <w:rPr>
                      <w:rFonts w:hint="eastAsia" w:ascii="Times New Roman" w:hAnsi="Times New Roman"/>
                      <w:bCs/>
                      <w:szCs w:val="21"/>
                    </w:rPr>
                    <w:t>）</w:t>
                  </w:r>
                </w:p>
              </w:tc>
              <w:tc>
                <w:tcPr>
                  <w:tcW w:w="1163" w:type="dxa"/>
                  <w:noWrap w:val="0"/>
                  <w:vAlign w:val="center"/>
                </w:tcPr>
                <w:p>
                  <w:pPr>
                    <w:jc w:val="center"/>
                    <w:rPr>
                      <w:rFonts w:hint="eastAsia" w:ascii="Times New Roman" w:hAnsi="Times New Roman"/>
                      <w:bCs/>
                      <w:szCs w:val="21"/>
                    </w:rPr>
                  </w:pPr>
                  <w:r>
                    <w:rPr>
                      <w:rFonts w:hint="eastAsia" w:ascii="Times New Roman" w:hAnsi="Times New Roman"/>
                      <w:bCs/>
                      <w:szCs w:val="21"/>
                    </w:rPr>
                    <w:t>总氮</w:t>
                  </w:r>
                </w:p>
              </w:tc>
              <w:tc>
                <w:tcPr>
                  <w:tcW w:w="1031" w:type="dxa"/>
                  <w:noWrap w:val="0"/>
                  <w:vAlign w:val="center"/>
                </w:tcPr>
                <w:p>
                  <w:pPr>
                    <w:jc w:val="center"/>
                    <w:rPr>
                      <w:rFonts w:hint="eastAsia" w:ascii="Times New Roman" w:hAnsi="Times New Roman"/>
                      <w:bCs/>
                      <w:szCs w:val="21"/>
                    </w:rPr>
                  </w:pPr>
                  <w:r>
                    <w:rPr>
                      <w:rFonts w:hint="eastAsia" w:ascii="Times New Roman" w:hAnsi="Times New Roman"/>
                      <w:bCs/>
                      <w:szCs w:val="21"/>
                    </w:rPr>
                    <w:t>总磷</w:t>
                  </w:r>
                </w:p>
              </w:tc>
              <w:tc>
                <w:tcPr>
                  <w:tcW w:w="1125" w:type="dxa"/>
                  <w:noWrap w:val="0"/>
                  <w:vAlign w:val="center"/>
                </w:tcPr>
                <w:p>
                  <w:pPr>
                    <w:jc w:val="center"/>
                    <w:rPr>
                      <w:rFonts w:ascii="Times New Roman" w:hAnsi="Times New Roman"/>
                      <w:bCs/>
                      <w:szCs w:val="21"/>
                    </w:rPr>
                  </w:pPr>
                  <w:r>
                    <w:rPr>
                      <w:rFonts w:hint="eastAsia" w:ascii="Times New Roman" w:hAnsi="Times New Roman"/>
                      <w:bCs/>
                      <w:szCs w:val="21"/>
                    </w:rPr>
                    <w:t>叶绿素a（ug/L）</w:t>
                  </w:r>
                </w:p>
              </w:tc>
              <w:tc>
                <w:tcPr>
                  <w:tcW w:w="1030" w:type="dxa"/>
                  <w:noWrap w:val="0"/>
                  <w:vAlign w:val="center"/>
                </w:tcPr>
                <w:p>
                  <w:pPr>
                    <w:jc w:val="center"/>
                    <w:rPr>
                      <w:rFonts w:hint="eastAsia" w:ascii="Times New Roman" w:hAnsi="Times New Roman"/>
                      <w:bCs/>
                      <w:szCs w:val="21"/>
                    </w:rPr>
                  </w:pPr>
                  <w:r>
                    <w:rPr>
                      <w:rFonts w:hint="eastAsia" w:ascii="Times New Roman" w:hAnsi="Times New Roman"/>
                      <w:bCs/>
                      <w:szCs w:val="21"/>
                    </w:rPr>
                    <w:t>透明度（cm）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17" w:type="dxa"/>
                  <w:noWrap w:val="0"/>
                  <w:vAlign w:val="center"/>
                </w:tcPr>
                <w:p>
                  <w:pPr>
                    <w:jc w:val="center"/>
                    <w:rPr>
                      <w:rFonts w:hint="eastAsia" w:ascii="Times New Roman" w:hAnsi="Times New Roman"/>
                      <w:szCs w:val="21"/>
                    </w:rPr>
                  </w:pPr>
                  <w:r>
                    <w:rPr>
                      <w:rFonts w:hint="eastAsia" w:ascii="Times New Roman" w:hAnsi="Times New Roman"/>
                      <w:szCs w:val="21"/>
                    </w:rPr>
                    <w:t>高中水库</w:t>
                  </w:r>
                </w:p>
              </w:tc>
              <w:tc>
                <w:tcPr>
                  <w:tcW w:w="1350" w:type="dxa"/>
                  <w:noWrap w:val="0"/>
                  <w:vAlign w:val="center"/>
                </w:tcPr>
                <w:p>
                  <w:pPr>
                    <w:jc w:val="center"/>
                    <w:rPr>
                      <w:rFonts w:ascii="Times New Roman" w:hAnsi="Times New Roman"/>
                      <w:szCs w:val="21"/>
                    </w:rPr>
                  </w:pPr>
                  <w:r>
                    <w:rPr>
                      <w:rFonts w:hint="eastAsia" w:ascii="Times New Roman" w:hAnsi="Times New Roman"/>
                      <w:szCs w:val="21"/>
                    </w:rPr>
                    <w:t>5.6</w:t>
                  </w:r>
                </w:p>
              </w:tc>
              <w:tc>
                <w:tcPr>
                  <w:tcW w:w="1163" w:type="dxa"/>
                  <w:noWrap w:val="0"/>
                  <w:vAlign w:val="center"/>
                </w:tcPr>
                <w:p>
                  <w:pPr>
                    <w:jc w:val="center"/>
                    <w:rPr>
                      <w:rFonts w:ascii="Times New Roman" w:hAnsi="Times New Roman"/>
                      <w:szCs w:val="21"/>
                    </w:rPr>
                  </w:pPr>
                  <w:r>
                    <w:rPr>
                      <w:rFonts w:hint="eastAsia" w:ascii="Times New Roman" w:hAnsi="Times New Roman"/>
                      <w:szCs w:val="21"/>
                    </w:rPr>
                    <w:t>0.75</w:t>
                  </w:r>
                </w:p>
              </w:tc>
              <w:tc>
                <w:tcPr>
                  <w:tcW w:w="1031" w:type="dxa"/>
                  <w:noWrap w:val="0"/>
                  <w:vAlign w:val="center"/>
                </w:tcPr>
                <w:p>
                  <w:pPr>
                    <w:jc w:val="center"/>
                    <w:rPr>
                      <w:rFonts w:ascii="Times New Roman" w:hAnsi="Times New Roman"/>
                      <w:szCs w:val="21"/>
                    </w:rPr>
                  </w:pPr>
                  <w:r>
                    <w:rPr>
                      <w:rFonts w:hint="eastAsia" w:ascii="Times New Roman" w:hAnsi="Times New Roman"/>
                      <w:szCs w:val="21"/>
                    </w:rPr>
                    <w:t>0.06</w:t>
                  </w:r>
                </w:p>
              </w:tc>
              <w:tc>
                <w:tcPr>
                  <w:tcW w:w="1125" w:type="dxa"/>
                  <w:noWrap w:val="0"/>
                  <w:vAlign w:val="center"/>
                </w:tcPr>
                <w:p>
                  <w:pPr>
                    <w:jc w:val="center"/>
                    <w:rPr>
                      <w:rFonts w:ascii="Times New Roman" w:hAnsi="Times New Roman"/>
                      <w:szCs w:val="21"/>
                    </w:rPr>
                  </w:pPr>
                  <w:r>
                    <w:rPr>
                      <w:rFonts w:hint="eastAsia" w:ascii="Times New Roman" w:hAnsi="Times New Roman"/>
                      <w:szCs w:val="21"/>
                    </w:rPr>
                    <w:t>14</w:t>
                  </w:r>
                </w:p>
              </w:tc>
              <w:tc>
                <w:tcPr>
                  <w:tcW w:w="1030" w:type="dxa"/>
                  <w:noWrap w:val="0"/>
                  <w:vAlign w:val="center"/>
                </w:tcPr>
                <w:p>
                  <w:pPr>
                    <w:jc w:val="center"/>
                    <w:rPr>
                      <w:rFonts w:ascii="Times New Roman" w:hAnsi="Times New Roman"/>
                      <w:szCs w:val="21"/>
                    </w:rPr>
                  </w:pPr>
                  <w:r>
                    <w:rPr>
                      <w:rFonts w:hint="eastAsia" w:ascii="Times New Roman" w:hAnsi="Times New Roman"/>
                      <w:szCs w:val="21"/>
                    </w:rPr>
                    <w:t>130</w:t>
                  </w:r>
                </w:p>
              </w:tc>
            </w:tr>
          </w:tbl>
          <w:p>
            <w:pPr>
              <w:adjustRightInd w:val="0"/>
              <w:snapToGrid w:val="0"/>
              <w:spacing w:line="360" w:lineRule="auto"/>
              <w:ind w:firstLine="480" w:firstLineChars="200"/>
              <w:rPr>
                <w:rFonts w:hint="eastAsia"/>
                <w:color w:val="000000"/>
                <w:sz w:val="24"/>
              </w:rPr>
            </w:pPr>
            <w:r>
              <w:rPr>
                <w:rFonts w:ascii="Times New Roman" w:hAnsi="Times New Roman"/>
                <w:bCs/>
                <w:color w:val="000000"/>
                <w:sz w:val="24"/>
              </w:rPr>
              <w:t>由上表</w:t>
            </w:r>
            <w:r>
              <w:rPr>
                <w:rFonts w:hint="eastAsia" w:ascii="Times New Roman" w:hAnsi="Times New Roman"/>
                <w:bCs/>
                <w:color w:val="000000"/>
                <w:sz w:val="24"/>
              </w:rPr>
              <w:t>监测</w:t>
            </w:r>
            <w:r>
              <w:rPr>
                <w:rFonts w:ascii="Times New Roman" w:hAnsi="Times New Roman"/>
                <w:bCs/>
                <w:color w:val="000000"/>
                <w:sz w:val="24"/>
              </w:rPr>
              <w:t>结果可知，</w:t>
            </w:r>
            <w:r>
              <w:rPr>
                <w:rFonts w:hint="eastAsia" w:ascii="Times New Roman" w:hAnsi="Times New Roman"/>
                <w:bCs/>
                <w:color w:val="000000"/>
                <w:sz w:val="24"/>
              </w:rPr>
              <w:t>高中水库水质满足《地表水环境质量标准》（GB3838-2002）Ⅲ类标准，水质状况优良。</w:t>
            </w:r>
          </w:p>
          <w:p>
            <w:pPr>
              <w:adjustRightInd w:val="0"/>
              <w:snapToGrid w:val="0"/>
              <w:spacing w:line="360" w:lineRule="auto"/>
              <w:ind w:firstLine="480" w:firstLineChars="200"/>
              <w:rPr>
                <w:rFonts w:hint="eastAsia"/>
                <w:color w:val="000000"/>
                <w:sz w:val="24"/>
              </w:rPr>
            </w:pPr>
            <w:r>
              <w:rPr>
                <w:rFonts w:hint="eastAsia"/>
                <w:color w:val="000000"/>
                <w:sz w:val="24"/>
              </w:rPr>
              <w:t>根据乐山市生态环境局网站上公布的《2020年市中区环境质量公报》可知，磨池河市控出境断面（汇入茫溪河前）达到地表水Ⅳ类水质标准。该断面年均值为：总磷0.296毫克/升，同比下降18.5%；氨氮0.164毫克/升，同比下降39.3%；高锰酸盐指数7.0毫克/升，同比无变化。磨池河由上年同期Ⅴ类改善为Ⅳ类。</w:t>
            </w:r>
          </w:p>
          <w:p>
            <w:pPr>
              <w:adjustRightInd w:val="0"/>
              <w:snapToGrid w:val="0"/>
              <w:spacing w:line="360" w:lineRule="auto"/>
              <w:jc w:val="center"/>
              <w:rPr>
                <w:rFonts w:hint="eastAsia"/>
                <w:b/>
                <w:bCs/>
                <w:color w:val="000000"/>
                <w:szCs w:val="21"/>
              </w:rPr>
            </w:pPr>
            <w:r>
              <w:rPr>
                <w:rFonts w:hint="eastAsia"/>
                <w:b/>
                <w:bCs/>
                <w:color w:val="000000"/>
                <w:szCs w:val="21"/>
              </w:rPr>
              <w:t>表3-3  2020年市中区市控断面水质情况统计表</w:t>
            </w:r>
          </w:p>
          <w:tbl>
            <w:tblPr>
              <w:tblStyle w:val="39"/>
              <w:tblW w:w="765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76"/>
              <w:gridCol w:w="1262"/>
              <w:gridCol w:w="1774"/>
              <w:gridCol w:w="1291"/>
              <w:gridCol w:w="1209"/>
              <w:gridCol w:w="13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3" w:hRule="atLeast"/>
                <w:tblHeader/>
                <w:jc w:val="center"/>
              </w:trPr>
              <w:tc>
                <w:tcPr>
                  <w:tcW w:w="776" w:type="dxa"/>
                  <w:noWrap w:val="0"/>
                  <w:vAlign w:val="center"/>
                </w:tcPr>
                <w:p>
                  <w:pPr>
                    <w:jc w:val="center"/>
                    <w:rPr>
                      <w:rFonts w:ascii="Times New Roman" w:hAnsi="Times New Roman"/>
                      <w:b/>
                      <w:szCs w:val="21"/>
                    </w:rPr>
                  </w:pPr>
                  <w:r>
                    <w:rPr>
                      <w:rFonts w:ascii="Times New Roman" w:hAnsi="Times New Roman"/>
                      <w:b/>
                      <w:szCs w:val="21"/>
                    </w:rPr>
                    <w:t>序号</w:t>
                  </w:r>
                </w:p>
              </w:tc>
              <w:tc>
                <w:tcPr>
                  <w:tcW w:w="1262" w:type="dxa"/>
                  <w:noWrap w:val="0"/>
                  <w:vAlign w:val="center"/>
                </w:tcPr>
                <w:p>
                  <w:pPr>
                    <w:jc w:val="center"/>
                    <w:rPr>
                      <w:rFonts w:ascii="Times New Roman" w:hAnsi="Times New Roman"/>
                      <w:b/>
                      <w:szCs w:val="21"/>
                    </w:rPr>
                  </w:pPr>
                  <w:r>
                    <w:rPr>
                      <w:rFonts w:ascii="Times New Roman" w:hAnsi="Times New Roman"/>
                      <w:b/>
                      <w:szCs w:val="21"/>
                    </w:rPr>
                    <w:t>所在流域水体</w:t>
                  </w:r>
                </w:p>
              </w:tc>
              <w:tc>
                <w:tcPr>
                  <w:tcW w:w="1774" w:type="dxa"/>
                  <w:noWrap w:val="0"/>
                  <w:vAlign w:val="center"/>
                </w:tcPr>
                <w:p>
                  <w:pPr>
                    <w:jc w:val="center"/>
                    <w:rPr>
                      <w:rFonts w:ascii="Times New Roman" w:hAnsi="Times New Roman"/>
                      <w:b/>
                      <w:szCs w:val="21"/>
                    </w:rPr>
                  </w:pPr>
                  <w:r>
                    <w:rPr>
                      <w:rFonts w:ascii="Times New Roman" w:hAnsi="Times New Roman"/>
                      <w:b/>
                      <w:szCs w:val="21"/>
                    </w:rPr>
                    <w:t>断面名称</w:t>
                  </w:r>
                </w:p>
              </w:tc>
              <w:tc>
                <w:tcPr>
                  <w:tcW w:w="1291" w:type="dxa"/>
                  <w:noWrap w:val="0"/>
                  <w:vAlign w:val="center"/>
                </w:tcPr>
                <w:p>
                  <w:pPr>
                    <w:jc w:val="center"/>
                    <w:rPr>
                      <w:rFonts w:ascii="Times New Roman" w:hAnsi="Times New Roman"/>
                      <w:b/>
                      <w:szCs w:val="21"/>
                    </w:rPr>
                  </w:pPr>
                  <w:r>
                    <w:rPr>
                      <w:rFonts w:ascii="Times New Roman" w:hAnsi="Times New Roman"/>
                      <w:b/>
                      <w:szCs w:val="21"/>
                    </w:rPr>
                    <w:t>2020年水质目标</w:t>
                  </w:r>
                </w:p>
              </w:tc>
              <w:tc>
                <w:tcPr>
                  <w:tcW w:w="1209" w:type="dxa"/>
                  <w:noWrap w:val="0"/>
                  <w:vAlign w:val="center"/>
                </w:tcPr>
                <w:p>
                  <w:pPr>
                    <w:jc w:val="center"/>
                    <w:rPr>
                      <w:rFonts w:ascii="Times New Roman" w:hAnsi="Times New Roman"/>
                      <w:b/>
                      <w:szCs w:val="21"/>
                    </w:rPr>
                  </w:pPr>
                  <w:r>
                    <w:rPr>
                      <w:rFonts w:ascii="Times New Roman" w:hAnsi="Times New Roman"/>
                      <w:b/>
                      <w:szCs w:val="21"/>
                    </w:rPr>
                    <w:t>达标年限</w:t>
                  </w:r>
                </w:p>
              </w:tc>
              <w:tc>
                <w:tcPr>
                  <w:tcW w:w="1346" w:type="dxa"/>
                  <w:noWrap w:val="0"/>
                  <w:vAlign w:val="center"/>
                </w:tcPr>
                <w:p>
                  <w:pPr>
                    <w:jc w:val="center"/>
                    <w:rPr>
                      <w:rFonts w:ascii="Times New Roman" w:hAnsi="Times New Roman"/>
                      <w:b/>
                      <w:szCs w:val="21"/>
                    </w:rPr>
                  </w:pPr>
                  <w:r>
                    <w:rPr>
                      <w:rFonts w:ascii="Times New Roman" w:hAnsi="Times New Roman"/>
                      <w:b/>
                      <w:szCs w:val="21"/>
                    </w:rPr>
                    <w:t>2020年水质类别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776" w:type="dxa"/>
                  <w:noWrap w:val="0"/>
                  <w:vAlign w:val="center"/>
                </w:tcPr>
                <w:p>
                  <w:pPr>
                    <w:jc w:val="center"/>
                    <w:rPr>
                      <w:rFonts w:ascii="Times New Roman" w:hAnsi="Times New Roman"/>
                      <w:bCs/>
                      <w:szCs w:val="21"/>
                    </w:rPr>
                  </w:pPr>
                  <w:r>
                    <w:rPr>
                      <w:rFonts w:ascii="Times New Roman" w:hAnsi="Times New Roman"/>
                      <w:bCs/>
                      <w:szCs w:val="21"/>
                    </w:rPr>
                    <w:t>1</w:t>
                  </w:r>
                </w:p>
              </w:tc>
              <w:tc>
                <w:tcPr>
                  <w:tcW w:w="1262" w:type="dxa"/>
                  <w:noWrap w:val="0"/>
                  <w:vAlign w:val="center"/>
                </w:tcPr>
                <w:p>
                  <w:pPr>
                    <w:jc w:val="center"/>
                    <w:rPr>
                      <w:rFonts w:ascii="Times New Roman" w:hAnsi="Times New Roman"/>
                      <w:bCs/>
                      <w:szCs w:val="21"/>
                    </w:rPr>
                  </w:pPr>
                  <w:r>
                    <w:rPr>
                      <w:rFonts w:ascii="Times New Roman" w:hAnsi="Times New Roman"/>
                      <w:bCs/>
                      <w:szCs w:val="21"/>
                    </w:rPr>
                    <w:t>岷江干流</w:t>
                  </w:r>
                </w:p>
              </w:tc>
              <w:tc>
                <w:tcPr>
                  <w:tcW w:w="1774" w:type="dxa"/>
                  <w:noWrap w:val="0"/>
                  <w:vAlign w:val="center"/>
                </w:tcPr>
                <w:p>
                  <w:pPr>
                    <w:jc w:val="center"/>
                    <w:rPr>
                      <w:rFonts w:ascii="Times New Roman" w:hAnsi="Times New Roman"/>
                      <w:bCs/>
                      <w:szCs w:val="21"/>
                    </w:rPr>
                  </w:pPr>
                  <w:r>
                    <w:rPr>
                      <w:rFonts w:ascii="Times New Roman" w:hAnsi="Times New Roman"/>
                      <w:bCs/>
                      <w:szCs w:val="21"/>
                    </w:rPr>
                    <w:t>市中区与五通桥区交界处</w:t>
                  </w:r>
                </w:p>
              </w:tc>
              <w:tc>
                <w:tcPr>
                  <w:tcW w:w="1291" w:type="dxa"/>
                  <w:noWrap w:val="0"/>
                  <w:vAlign w:val="center"/>
                </w:tcPr>
                <w:p>
                  <w:pPr>
                    <w:jc w:val="center"/>
                    <w:rPr>
                      <w:rFonts w:ascii="Times New Roman" w:hAnsi="Times New Roman"/>
                      <w:bCs/>
                      <w:szCs w:val="21"/>
                    </w:rPr>
                  </w:pPr>
                  <w:r>
                    <w:rPr>
                      <w:rFonts w:ascii="Times New Roman" w:hAnsi="Times New Roman"/>
                      <w:bCs/>
                      <w:szCs w:val="21"/>
                    </w:rPr>
                    <w:t>Ⅲ</w:t>
                  </w:r>
                </w:p>
              </w:tc>
              <w:tc>
                <w:tcPr>
                  <w:tcW w:w="1209" w:type="dxa"/>
                  <w:noWrap w:val="0"/>
                  <w:vAlign w:val="center"/>
                </w:tcPr>
                <w:p>
                  <w:pPr>
                    <w:jc w:val="center"/>
                    <w:rPr>
                      <w:rFonts w:ascii="Times New Roman" w:hAnsi="Times New Roman"/>
                      <w:bCs/>
                      <w:szCs w:val="21"/>
                    </w:rPr>
                  </w:pPr>
                  <w:r>
                    <w:rPr>
                      <w:rFonts w:ascii="Times New Roman" w:hAnsi="Times New Roman"/>
                      <w:bCs/>
                      <w:szCs w:val="21"/>
                    </w:rPr>
                    <w:t>2016年</w:t>
                  </w:r>
                </w:p>
              </w:tc>
              <w:tc>
                <w:tcPr>
                  <w:tcW w:w="1346" w:type="dxa"/>
                  <w:noWrap w:val="0"/>
                  <w:vAlign w:val="center"/>
                </w:tcPr>
                <w:p>
                  <w:pPr>
                    <w:jc w:val="center"/>
                    <w:rPr>
                      <w:rFonts w:ascii="Times New Roman" w:hAnsi="Times New Roman"/>
                      <w:bCs/>
                      <w:szCs w:val="21"/>
                    </w:rPr>
                  </w:pPr>
                  <w:r>
                    <w:rPr>
                      <w:rFonts w:ascii="Times New Roman" w:hAnsi="Times New Roman"/>
                      <w:bCs/>
                      <w:szCs w:val="21"/>
                    </w:rPr>
                    <w:t>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776" w:type="dxa"/>
                  <w:noWrap w:val="0"/>
                  <w:vAlign w:val="center"/>
                </w:tcPr>
                <w:p>
                  <w:pPr>
                    <w:jc w:val="center"/>
                    <w:rPr>
                      <w:rFonts w:ascii="Times New Roman" w:hAnsi="Times New Roman"/>
                      <w:bCs/>
                      <w:szCs w:val="21"/>
                    </w:rPr>
                  </w:pPr>
                  <w:r>
                    <w:rPr>
                      <w:rFonts w:ascii="Times New Roman" w:hAnsi="Times New Roman"/>
                      <w:bCs/>
                      <w:szCs w:val="21"/>
                    </w:rPr>
                    <w:t>2</w:t>
                  </w:r>
                </w:p>
              </w:tc>
              <w:tc>
                <w:tcPr>
                  <w:tcW w:w="1262" w:type="dxa"/>
                  <w:noWrap w:val="0"/>
                  <w:vAlign w:val="center"/>
                </w:tcPr>
                <w:p>
                  <w:pPr>
                    <w:jc w:val="center"/>
                    <w:rPr>
                      <w:rFonts w:ascii="Times New Roman" w:hAnsi="Times New Roman"/>
                      <w:bCs/>
                      <w:szCs w:val="21"/>
                    </w:rPr>
                  </w:pPr>
                  <w:r>
                    <w:rPr>
                      <w:rFonts w:ascii="Times New Roman" w:hAnsi="Times New Roman"/>
                      <w:bCs/>
                      <w:szCs w:val="21"/>
                    </w:rPr>
                    <w:t>泥溪河</w:t>
                  </w:r>
                </w:p>
              </w:tc>
              <w:tc>
                <w:tcPr>
                  <w:tcW w:w="1774" w:type="dxa"/>
                  <w:noWrap w:val="0"/>
                  <w:vAlign w:val="center"/>
                </w:tcPr>
                <w:p>
                  <w:pPr>
                    <w:jc w:val="center"/>
                    <w:rPr>
                      <w:rFonts w:ascii="Times New Roman" w:hAnsi="Times New Roman"/>
                      <w:bCs/>
                      <w:szCs w:val="21"/>
                    </w:rPr>
                  </w:pPr>
                  <w:r>
                    <w:rPr>
                      <w:rFonts w:ascii="Times New Roman" w:hAnsi="Times New Roman"/>
                      <w:bCs/>
                      <w:szCs w:val="21"/>
                    </w:rPr>
                    <w:t>汇入岷江前</w:t>
                  </w:r>
                </w:p>
              </w:tc>
              <w:tc>
                <w:tcPr>
                  <w:tcW w:w="1291" w:type="dxa"/>
                  <w:noWrap w:val="0"/>
                  <w:vAlign w:val="center"/>
                </w:tcPr>
                <w:p>
                  <w:pPr>
                    <w:jc w:val="center"/>
                    <w:rPr>
                      <w:rFonts w:ascii="Times New Roman" w:hAnsi="Times New Roman"/>
                      <w:bCs/>
                      <w:szCs w:val="21"/>
                    </w:rPr>
                  </w:pPr>
                  <w:r>
                    <w:rPr>
                      <w:rFonts w:ascii="Times New Roman" w:hAnsi="Times New Roman"/>
                      <w:bCs/>
                      <w:szCs w:val="21"/>
                    </w:rPr>
                    <w:t>Ⅳ</w:t>
                  </w:r>
                </w:p>
              </w:tc>
              <w:tc>
                <w:tcPr>
                  <w:tcW w:w="1209" w:type="dxa"/>
                  <w:noWrap w:val="0"/>
                  <w:vAlign w:val="center"/>
                </w:tcPr>
                <w:p>
                  <w:pPr>
                    <w:jc w:val="center"/>
                    <w:rPr>
                      <w:rFonts w:ascii="Times New Roman" w:hAnsi="Times New Roman"/>
                      <w:bCs/>
                      <w:szCs w:val="21"/>
                    </w:rPr>
                  </w:pPr>
                  <w:r>
                    <w:rPr>
                      <w:rFonts w:ascii="Times New Roman" w:hAnsi="Times New Roman"/>
                      <w:bCs/>
                      <w:szCs w:val="21"/>
                    </w:rPr>
                    <w:t>2020年</w:t>
                  </w:r>
                </w:p>
              </w:tc>
              <w:tc>
                <w:tcPr>
                  <w:tcW w:w="1346" w:type="dxa"/>
                  <w:noWrap w:val="0"/>
                  <w:vAlign w:val="center"/>
                </w:tcPr>
                <w:p>
                  <w:pPr>
                    <w:jc w:val="center"/>
                    <w:rPr>
                      <w:rFonts w:ascii="Times New Roman" w:hAnsi="Times New Roman"/>
                      <w:bCs/>
                      <w:szCs w:val="21"/>
                    </w:rPr>
                  </w:pPr>
                  <w:r>
                    <w:rPr>
                      <w:rFonts w:ascii="Times New Roman" w:hAnsi="Times New Roman"/>
                      <w:bCs/>
                      <w:szCs w:val="21"/>
                    </w:rPr>
                    <w:t>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0" w:hRule="atLeast"/>
                <w:jc w:val="center"/>
              </w:trPr>
              <w:tc>
                <w:tcPr>
                  <w:tcW w:w="776" w:type="dxa"/>
                  <w:noWrap w:val="0"/>
                  <w:vAlign w:val="center"/>
                </w:tcPr>
                <w:p>
                  <w:pPr>
                    <w:jc w:val="center"/>
                    <w:rPr>
                      <w:rFonts w:ascii="Times New Roman" w:hAnsi="Times New Roman"/>
                      <w:bCs/>
                      <w:szCs w:val="21"/>
                    </w:rPr>
                  </w:pPr>
                  <w:r>
                    <w:rPr>
                      <w:rFonts w:ascii="Times New Roman" w:hAnsi="Times New Roman"/>
                      <w:bCs/>
                      <w:szCs w:val="21"/>
                    </w:rPr>
                    <w:t>3</w:t>
                  </w:r>
                </w:p>
              </w:tc>
              <w:tc>
                <w:tcPr>
                  <w:tcW w:w="1262" w:type="dxa"/>
                  <w:noWrap w:val="0"/>
                  <w:vAlign w:val="center"/>
                </w:tcPr>
                <w:p>
                  <w:pPr>
                    <w:jc w:val="center"/>
                    <w:rPr>
                      <w:rFonts w:ascii="Times New Roman" w:hAnsi="Times New Roman"/>
                      <w:bCs/>
                      <w:szCs w:val="21"/>
                    </w:rPr>
                  </w:pPr>
                  <w:r>
                    <w:rPr>
                      <w:rFonts w:ascii="Times New Roman" w:hAnsi="Times New Roman"/>
                      <w:bCs/>
                      <w:szCs w:val="21"/>
                    </w:rPr>
                    <w:t>峨眉河</w:t>
                  </w:r>
                </w:p>
              </w:tc>
              <w:tc>
                <w:tcPr>
                  <w:tcW w:w="1774" w:type="dxa"/>
                  <w:noWrap w:val="0"/>
                  <w:vAlign w:val="center"/>
                </w:tcPr>
                <w:p>
                  <w:pPr>
                    <w:jc w:val="center"/>
                    <w:rPr>
                      <w:rFonts w:ascii="Times New Roman" w:hAnsi="Times New Roman"/>
                      <w:bCs/>
                      <w:szCs w:val="21"/>
                    </w:rPr>
                  </w:pPr>
                  <w:r>
                    <w:rPr>
                      <w:rFonts w:ascii="Times New Roman" w:hAnsi="Times New Roman"/>
                      <w:bCs/>
                      <w:szCs w:val="21"/>
                    </w:rPr>
                    <w:t>汇入青衣江前</w:t>
                  </w:r>
                </w:p>
              </w:tc>
              <w:tc>
                <w:tcPr>
                  <w:tcW w:w="1291" w:type="dxa"/>
                  <w:noWrap w:val="0"/>
                  <w:vAlign w:val="center"/>
                </w:tcPr>
                <w:p>
                  <w:pPr>
                    <w:jc w:val="center"/>
                    <w:rPr>
                      <w:rFonts w:ascii="Times New Roman" w:hAnsi="Times New Roman"/>
                      <w:bCs/>
                      <w:szCs w:val="21"/>
                    </w:rPr>
                  </w:pPr>
                  <w:r>
                    <w:rPr>
                      <w:rFonts w:ascii="Times New Roman" w:hAnsi="Times New Roman"/>
                      <w:bCs/>
                      <w:szCs w:val="21"/>
                    </w:rPr>
                    <w:t>Ⅲ</w:t>
                  </w:r>
                </w:p>
              </w:tc>
              <w:tc>
                <w:tcPr>
                  <w:tcW w:w="1209" w:type="dxa"/>
                  <w:noWrap w:val="0"/>
                  <w:vAlign w:val="center"/>
                </w:tcPr>
                <w:p>
                  <w:pPr>
                    <w:jc w:val="center"/>
                    <w:rPr>
                      <w:rFonts w:ascii="Times New Roman" w:hAnsi="Times New Roman"/>
                      <w:bCs/>
                      <w:szCs w:val="21"/>
                    </w:rPr>
                  </w:pPr>
                  <w:r>
                    <w:rPr>
                      <w:rFonts w:ascii="Times New Roman" w:hAnsi="Times New Roman"/>
                      <w:bCs/>
                      <w:szCs w:val="21"/>
                    </w:rPr>
                    <w:t>2018年</w:t>
                  </w:r>
                </w:p>
              </w:tc>
              <w:tc>
                <w:tcPr>
                  <w:tcW w:w="1346" w:type="dxa"/>
                  <w:noWrap w:val="0"/>
                  <w:vAlign w:val="center"/>
                </w:tcPr>
                <w:p>
                  <w:pPr>
                    <w:jc w:val="center"/>
                    <w:rPr>
                      <w:rFonts w:ascii="Times New Roman" w:hAnsi="Times New Roman"/>
                      <w:bCs/>
                      <w:szCs w:val="21"/>
                    </w:rPr>
                  </w:pPr>
                  <w:r>
                    <w:rPr>
                      <w:rFonts w:ascii="Times New Roman" w:hAnsi="Times New Roman"/>
                      <w:bCs/>
                      <w:szCs w:val="21"/>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4" w:hRule="atLeast"/>
                <w:jc w:val="center"/>
              </w:trPr>
              <w:tc>
                <w:tcPr>
                  <w:tcW w:w="776" w:type="dxa"/>
                  <w:noWrap w:val="0"/>
                  <w:vAlign w:val="center"/>
                </w:tcPr>
                <w:p>
                  <w:pPr>
                    <w:jc w:val="center"/>
                    <w:rPr>
                      <w:rFonts w:ascii="Times New Roman" w:hAnsi="Times New Roman"/>
                      <w:bCs/>
                      <w:szCs w:val="21"/>
                    </w:rPr>
                  </w:pPr>
                  <w:r>
                    <w:rPr>
                      <w:rFonts w:ascii="Times New Roman" w:hAnsi="Times New Roman"/>
                      <w:bCs/>
                      <w:szCs w:val="21"/>
                    </w:rPr>
                    <w:t>4</w:t>
                  </w:r>
                </w:p>
              </w:tc>
              <w:tc>
                <w:tcPr>
                  <w:tcW w:w="1262" w:type="dxa"/>
                  <w:noWrap w:val="0"/>
                  <w:vAlign w:val="center"/>
                </w:tcPr>
                <w:p>
                  <w:pPr>
                    <w:jc w:val="center"/>
                    <w:rPr>
                      <w:rFonts w:ascii="Times New Roman" w:hAnsi="Times New Roman"/>
                      <w:bCs/>
                      <w:szCs w:val="21"/>
                    </w:rPr>
                  </w:pPr>
                  <w:r>
                    <w:rPr>
                      <w:rFonts w:ascii="Times New Roman" w:hAnsi="Times New Roman"/>
                      <w:bCs/>
                      <w:szCs w:val="21"/>
                    </w:rPr>
                    <w:t>临江河</w:t>
                  </w:r>
                </w:p>
              </w:tc>
              <w:tc>
                <w:tcPr>
                  <w:tcW w:w="1774" w:type="dxa"/>
                  <w:noWrap w:val="0"/>
                  <w:vAlign w:val="center"/>
                </w:tcPr>
                <w:p>
                  <w:pPr>
                    <w:jc w:val="center"/>
                    <w:rPr>
                      <w:rFonts w:ascii="Times New Roman" w:hAnsi="Times New Roman"/>
                      <w:bCs/>
                      <w:szCs w:val="21"/>
                    </w:rPr>
                  </w:pPr>
                  <w:r>
                    <w:rPr>
                      <w:rFonts w:ascii="Times New Roman" w:hAnsi="Times New Roman"/>
                      <w:bCs/>
                      <w:szCs w:val="21"/>
                    </w:rPr>
                    <w:t>汇入大渡河前</w:t>
                  </w:r>
                </w:p>
              </w:tc>
              <w:tc>
                <w:tcPr>
                  <w:tcW w:w="1291" w:type="dxa"/>
                  <w:noWrap w:val="0"/>
                  <w:vAlign w:val="center"/>
                </w:tcPr>
                <w:p>
                  <w:pPr>
                    <w:jc w:val="center"/>
                    <w:rPr>
                      <w:rFonts w:ascii="Times New Roman" w:hAnsi="Times New Roman"/>
                      <w:bCs/>
                      <w:szCs w:val="21"/>
                    </w:rPr>
                  </w:pPr>
                  <w:r>
                    <w:rPr>
                      <w:rFonts w:ascii="Times New Roman" w:hAnsi="Times New Roman"/>
                      <w:bCs/>
                      <w:szCs w:val="21"/>
                    </w:rPr>
                    <w:t>Ⅲ</w:t>
                  </w:r>
                </w:p>
              </w:tc>
              <w:tc>
                <w:tcPr>
                  <w:tcW w:w="1209" w:type="dxa"/>
                  <w:noWrap w:val="0"/>
                  <w:vAlign w:val="center"/>
                </w:tcPr>
                <w:p>
                  <w:pPr>
                    <w:jc w:val="center"/>
                    <w:rPr>
                      <w:rFonts w:ascii="Times New Roman" w:hAnsi="Times New Roman"/>
                      <w:bCs/>
                      <w:szCs w:val="21"/>
                    </w:rPr>
                  </w:pPr>
                  <w:r>
                    <w:rPr>
                      <w:rFonts w:ascii="Times New Roman" w:hAnsi="Times New Roman"/>
                      <w:bCs/>
                      <w:szCs w:val="21"/>
                    </w:rPr>
                    <w:t>2019年</w:t>
                  </w:r>
                </w:p>
              </w:tc>
              <w:tc>
                <w:tcPr>
                  <w:tcW w:w="1346" w:type="dxa"/>
                  <w:noWrap w:val="0"/>
                  <w:vAlign w:val="center"/>
                </w:tcPr>
                <w:p>
                  <w:pPr>
                    <w:jc w:val="center"/>
                    <w:rPr>
                      <w:rFonts w:ascii="Times New Roman" w:hAnsi="Times New Roman"/>
                      <w:bCs/>
                      <w:szCs w:val="21"/>
                    </w:rPr>
                  </w:pPr>
                  <w:r>
                    <w:rPr>
                      <w:rFonts w:ascii="Times New Roman" w:hAnsi="Times New Roman"/>
                      <w:bCs/>
                      <w:szCs w:val="21"/>
                    </w:rPr>
                    <w:t>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1" w:hRule="atLeast"/>
                <w:jc w:val="center"/>
              </w:trPr>
              <w:tc>
                <w:tcPr>
                  <w:tcW w:w="776" w:type="dxa"/>
                  <w:noWrap w:val="0"/>
                  <w:vAlign w:val="center"/>
                </w:tcPr>
                <w:p>
                  <w:pPr>
                    <w:jc w:val="center"/>
                    <w:rPr>
                      <w:rFonts w:ascii="Times New Roman" w:hAnsi="Times New Roman"/>
                      <w:bCs/>
                      <w:szCs w:val="21"/>
                    </w:rPr>
                  </w:pPr>
                  <w:r>
                    <w:rPr>
                      <w:rFonts w:ascii="Times New Roman" w:hAnsi="Times New Roman"/>
                      <w:bCs/>
                      <w:szCs w:val="21"/>
                    </w:rPr>
                    <w:t>5</w:t>
                  </w:r>
                </w:p>
              </w:tc>
              <w:tc>
                <w:tcPr>
                  <w:tcW w:w="1262" w:type="dxa"/>
                  <w:noWrap w:val="0"/>
                  <w:vAlign w:val="center"/>
                </w:tcPr>
                <w:p>
                  <w:pPr>
                    <w:jc w:val="center"/>
                    <w:rPr>
                      <w:rFonts w:ascii="Times New Roman" w:hAnsi="Times New Roman"/>
                      <w:bCs/>
                      <w:szCs w:val="21"/>
                    </w:rPr>
                  </w:pPr>
                  <w:r>
                    <w:rPr>
                      <w:rFonts w:ascii="Times New Roman" w:hAnsi="Times New Roman"/>
                      <w:bCs/>
                      <w:szCs w:val="21"/>
                    </w:rPr>
                    <w:t>磨池河</w:t>
                  </w:r>
                </w:p>
              </w:tc>
              <w:tc>
                <w:tcPr>
                  <w:tcW w:w="1774" w:type="dxa"/>
                  <w:noWrap w:val="0"/>
                  <w:vAlign w:val="center"/>
                </w:tcPr>
                <w:p>
                  <w:pPr>
                    <w:jc w:val="center"/>
                    <w:rPr>
                      <w:rFonts w:ascii="Times New Roman" w:hAnsi="Times New Roman"/>
                      <w:bCs/>
                      <w:szCs w:val="21"/>
                    </w:rPr>
                  </w:pPr>
                  <w:r>
                    <w:rPr>
                      <w:rFonts w:ascii="Times New Roman" w:hAnsi="Times New Roman"/>
                      <w:bCs/>
                      <w:szCs w:val="21"/>
                    </w:rPr>
                    <w:t>汇入茫溪河前</w:t>
                  </w:r>
                </w:p>
              </w:tc>
              <w:tc>
                <w:tcPr>
                  <w:tcW w:w="1291" w:type="dxa"/>
                  <w:noWrap w:val="0"/>
                  <w:vAlign w:val="center"/>
                </w:tcPr>
                <w:p>
                  <w:pPr>
                    <w:jc w:val="center"/>
                    <w:rPr>
                      <w:rFonts w:ascii="Times New Roman" w:hAnsi="Times New Roman"/>
                      <w:bCs/>
                      <w:szCs w:val="21"/>
                    </w:rPr>
                  </w:pPr>
                  <w:r>
                    <w:rPr>
                      <w:rFonts w:ascii="Times New Roman" w:hAnsi="Times New Roman"/>
                      <w:bCs/>
                      <w:szCs w:val="21"/>
                    </w:rPr>
                    <w:t>Ⅳ</w:t>
                  </w:r>
                </w:p>
              </w:tc>
              <w:tc>
                <w:tcPr>
                  <w:tcW w:w="1209" w:type="dxa"/>
                  <w:noWrap w:val="0"/>
                  <w:vAlign w:val="center"/>
                </w:tcPr>
                <w:p>
                  <w:pPr>
                    <w:jc w:val="center"/>
                    <w:rPr>
                      <w:rFonts w:ascii="Times New Roman" w:hAnsi="Times New Roman"/>
                      <w:bCs/>
                      <w:szCs w:val="21"/>
                    </w:rPr>
                  </w:pPr>
                  <w:r>
                    <w:rPr>
                      <w:rFonts w:ascii="Times New Roman" w:hAnsi="Times New Roman"/>
                      <w:bCs/>
                      <w:szCs w:val="21"/>
                    </w:rPr>
                    <w:t>2020年</w:t>
                  </w:r>
                </w:p>
              </w:tc>
              <w:tc>
                <w:tcPr>
                  <w:tcW w:w="1346" w:type="dxa"/>
                  <w:noWrap w:val="0"/>
                  <w:vAlign w:val="center"/>
                </w:tcPr>
                <w:p>
                  <w:pPr>
                    <w:jc w:val="center"/>
                    <w:rPr>
                      <w:rFonts w:ascii="Times New Roman" w:hAnsi="Times New Roman"/>
                      <w:bCs/>
                      <w:szCs w:val="21"/>
                    </w:rPr>
                  </w:pPr>
                  <w:r>
                    <w:rPr>
                      <w:rFonts w:ascii="Times New Roman" w:hAnsi="Times New Roman"/>
                      <w:bCs/>
                      <w:szCs w:val="21"/>
                    </w:rPr>
                    <w:t>Ⅳ</w:t>
                  </w:r>
                </w:p>
              </w:tc>
            </w:tr>
          </w:tbl>
          <w:p>
            <w:pPr>
              <w:adjustRightInd w:val="0"/>
              <w:snapToGrid w:val="0"/>
              <w:spacing w:line="360" w:lineRule="auto"/>
              <w:ind w:firstLine="480" w:firstLineChars="200"/>
              <w:rPr>
                <w:rFonts w:hint="eastAsia"/>
                <w:color w:val="000000"/>
                <w:sz w:val="24"/>
              </w:rPr>
            </w:pPr>
            <w:r>
              <w:rPr>
                <w:rFonts w:hint="eastAsia"/>
                <w:color w:val="000000"/>
                <w:sz w:val="24"/>
              </w:rPr>
              <w:t>本项目新建青白渠退水于磨池河处位于白马镇楼子村，根据乐山市市中区生态环境监测站2022年1-2月对市中区磨池河水质的例行监测报告，水质监测结果如下表。</w:t>
            </w:r>
          </w:p>
          <w:p>
            <w:pPr>
              <w:wordWrap w:val="0"/>
              <w:adjustRightInd w:val="0"/>
              <w:spacing w:line="360" w:lineRule="auto"/>
              <w:jc w:val="right"/>
              <w:rPr>
                <w:color w:val="000000"/>
                <w:sz w:val="24"/>
              </w:rPr>
            </w:pPr>
            <w:r>
              <w:rPr>
                <w:rFonts w:ascii="Times New Roman" w:hAnsi="Times New Roman"/>
                <w:b/>
                <w:color w:val="000000"/>
                <w:szCs w:val="21"/>
              </w:rPr>
              <w:t>表3-</w:t>
            </w:r>
            <w:r>
              <w:rPr>
                <w:rFonts w:hint="eastAsia" w:ascii="Times New Roman" w:hAnsi="Times New Roman"/>
                <w:b/>
                <w:color w:val="000000"/>
                <w:szCs w:val="21"/>
              </w:rPr>
              <w:t>4</w:t>
            </w:r>
            <w:r>
              <w:rPr>
                <w:rFonts w:ascii="Times New Roman" w:hAnsi="Times New Roman"/>
                <w:b/>
                <w:color w:val="000000"/>
                <w:szCs w:val="21"/>
              </w:rPr>
              <w:t xml:space="preserve">  </w:t>
            </w:r>
            <w:r>
              <w:rPr>
                <w:rFonts w:hint="eastAsia" w:ascii="Times New Roman" w:hAnsi="Times New Roman"/>
                <w:b/>
                <w:color w:val="000000"/>
                <w:szCs w:val="21"/>
              </w:rPr>
              <w:t>2022年1-2月市中区水库水质监测结果表    单位：mg/L</w:t>
            </w:r>
          </w:p>
          <w:tbl>
            <w:tblPr>
              <w:tblStyle w:val="39"/>
              <w:tblW w:w="765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10"/>
              <w:gridCol w:w="719"/>
              <w:gridCol w:w="1569"/>
              <w:gridCol w:w="1353"/>
              <w:gridCol w:w="1198"/>
              <w:gridCol w:w="13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2229" w:type="dxa"/>
                  <w:gridSpan w:val="2"/>
                  <w:vMerge w:val="restart"/>
                  <w:tcBorders>
                    <w:tl2br w:val="single" w:color="auto" w:sz="4" w:space="0"/>
                  </w:tcBorders>
                  <w:noWrap w:val="0"/>
                  <w:vAlign w:val="center"/>
                </w:tcPr>
                <w:p>
                  <w:pPr>
                    <w:jc w:val="right"/>
                    <w:rPr>
                      <w:rFonts w:hint="eastAsia" w:ascii="Times New Roman" w:hAnsi="Times New Roman"/>
                      <w:bCs/>
                      <w:szCs w:val="21"/>
                    </w:rPr>
                  </w:pPr>
                  <w:r>
                    <w:rPr>
                      <w:rFonts w:hint="eastAsia" w:ascii="Times New Roman" w:hAnsi="Times New Roman"/>
                      <w:bCs/>
                      <w:szCs w:val="21"/>
                    </w:rPr>
                    <w:t>断面位置</w:t>
                  </w:r>
                </w:p>
                <w:p>
                  <w:pPr>
                    <w:jc w:val="left"/>
                    <w:rPr>
                      <w:rFonts w:hint="eastAsia" w:ascii="Times New Roman" w:hAnsi="Times New Roman"/>
                      <w:bCs/>
                      <w:szCs w:val="21"/>
                    </w:rPr>
                  </w:pPr>
                  <w:r>
                    <w:rPr>
                      <w:rFonts w:hint="eastAsia" w:ascii="Times New Roman" w:hAnsi="Times New Roman"/>
                      <w:bCs/>
                      <w:szCs w:val="21"/>
                    </w:rPr>
                    <w:t>评价项目</w:t>
                  </w:r>
                </w:p>
              </w:tc>
              <w:tc>
                <w:tcPr>
                  <w:tcW w:w="2922" w:type="dxa"/>
                  <w:gridSpan w:val="2"/>
                  <w:noWrap w:val="0"/>
                  <w:vAlign w:val="center"/>
                </w:tcPr>
                <w:p>
                  <w:pPr>
                    <w:jc w:val="center"/>
                    <w:rPr>
                      <w:rFonts w:ascii="Times New Roman" w:hAnsi="Times New Roman"/>
                      <w:bCs/>
                      <w:szCs w:val="21"/>
                    </w:rPr>
                  </w:pPr>
                  <w:r>
                    <w:rPr>
                      <w:rFonts w:hint="eastAsia" w:ascii="Times New Roman" w:hAnsi="Times New Roman"/>
                      <w:bCs/>
                      <w:szCs w:val="21"/>
                    </w:rPr>
                    <w:t>白马镇楼子村半边山入境</w:t>
                  </w:r>
                </w:p>
              </w:tc>
              <w:tc>
                <w:tcPr>
                  <w:tcW w:w="2507" w:type="dxa"/>
                  <w:gridSpan w:val="2"/>
                  <w:noWrap w:val="0"/>
                  <w:vAlign w:val="center"/>
                </w:tcPr>
                <w:p>
                  <w:pPr>
                    <w:jc w:val="center"/>
                    <w:rPr>
                      <w:rFonts w:hint="eastAsia" w:ascii="Times New Roman" w:hAnsi="Times New Roman"/>
                      <w:bCs/>
                      <w:szCs w:val="21"/>
                    </w:rPr>
                  </w:pPr>
                  <w:r>
                    <w:rPr>
                      <w:rFonts w:hint="eastAsia" w:ascii="Times New Roman" w:hAnsi="Times New Roman"/>
                      <w:bCs/>
                      <w:szCs w:val="21"/>
                    </w:rPr>
                    <w:t>白马镇-青平镇交界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2229" w:type="dxa"/>
                  <w:gridSpan w:val="2"/>
                  <w:vMerge w:val="continue"/>
                  <w:tcBorders>
                    <w:tl2br w:val="single" w:color="auto" w:sz="4" w:space="0"/>
                  </w:tcBorders>
                  <w:noWrap w:val="0"/>
                  <w:vAlign w:val="center"/>
                </w:tcPr>
                <w:p>
                  <w:pPr>
                    <w:jc w:val="center"/>
                  </w:pPr>
                </w:p>
              </w:tc>
              <w:tc>
                <w:tcPr>
                  <w:tcW w:w="1569" w:type="dxa"/>
                  <w:noWrap w:val="0"/>
                  <w:vAlign w:val="center"/>
                </w:tcPr>
                <w:p>
                  <w:pPr>
                    <w:jc w:val="center"/>
                    <w:rPr>
                      <w:rFonts w:hint="eastAsia"/>
                    </w:rPr>
                  </w:pPr>
                  <w:r>
                    <w:rPr>
                      <w:rFonts w:hint="eastAsia"/>
                    </w:rPr>
                    <w:t>实测值</w:t>
                  </w:r>
                </w:p>
              </w:tc>
              <w:tc>
                <w:tcPr>
                  <w:tcW w:w="1353" w:type="dxa"/>
                  <w:noWrap w:val="0"/>
                  <w:vAlign w:val="center"/>
                </w:tcPr>
                <w:p>
                  <w:pPr>
                    <w:jc w:val="center"/>
                    <w:rPr>
                      <w:rFonts w:hint="eastAsia" w:ascii="Times New Roman" w:hAnsi="Times New Roman"/>
                      <w:bCs/>
                      <w:szCs w:val="21"/>
                    </w:rPr>
                  </w:pPr>
                  <w:r>
                    <w:rPr>
                      <w:rFonts w:hint="eastAsia" w:ascii="Times New Roman" w:hAnsi="Times New Roman"/>
                      <w:bCs/>
                      <w:szCs w:val="21"/>
                    </w:rPr>
                    <w:t>实测类别</w:t>
                  </w:r>
                </w:p>
              </w:tc>
              <w:tc>
                <w:tcPr>
                  <w:tcW w:w="1198" w:type="dxa"/>
                  <w:noWrap w:val="0"/>
                  <w:vAlign w:val="center"/>
                </w:tcPr>
                <w:p>
                  <w:pPr>
                    <w:jc w:val="center"/>
                    <w:rPr>
                      <w:rFonts w:hint="eastAsia"/>
                    </w:rPr>
                  </w:pPr>
                  <w:r>
                    <w:rPr>
                      <w:rFonts w:hint="eastAsia"/>
                    </w:rPr>
                    <w:t>实测值</w:t>
                  </w:r>
                </w:p>
              </w:tc>
              <w:tc>
                <w:tcPr>
                  <w:tcW w:w="1309" w:type="dxa"/>
                  <w:noWrap w:val="0"/>
                  <w:vAlign w:val="center"/>
                </w:tcPr>
                <w:p>
                  <w:pPr>
                    <w:jc w:val="center"/>
                    <w:rPr>
                      <w:rFonts w:hint="eastAsia" w:ascii="Times New Roman" w:hAnsi="Times New Roman"/>
                      <w:bCs/>
                      <w:szCs w:val="21"/>
                    </w:rPr>
                  </w:pPr>
                  <w:r>
                    <w:rPr>
                      <w:rFonts w:hint="eastAsia" w:ascii="Times New Roman" w:hAnsi="Times New Roman"/>
                      <w:bCs/>
                      <w:szCs w:val="21"/>
                    </w:rPr>
                    <w:t>实测类别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3" w:hRule="atLeast"/>
                <w:jc w:val="center"/>
              </w:trPr>
              <w:tc>
                <w:tcPr>
                  <w:tcW w:w="1510" w:type="dxa"/>
                  <w:vMerge w:val="restart"/>
                  <w:noWrap w:val="0"/>
                  <w:vAlign w:val="center"/>
                </w:tcPr>
                <w:p>
                  <w:pPr>
                    <w:jc w:val="center"/>
                    <w:rPr>
                      <w:rFonts w:hint="eastAsia" w:ascii="Times New Roman" w:hAnsi="Times New Roman"/>
                      <w:szCs w:val="21"/>
                    </w:rPr>
                  </w:pPr>
                  <w:r>
                    <w:rPr>
                      <w:rFonts w:hint="eastAsia" w:ascii="Times New Roman" w:hAnsi="Times New Roman"/>
                      <w:bCs/>
                      <w:szCs w:val="21"/>
                    </w:rPr>
                    <w:t>高锰酸盐指数（COD</w:t>
                  </w:r>
                  <w:r>
                    <w:rPr>
                      <w:rFonts w:hint="eastAsia" w:ascii="Times New Roman" w:hAnsi="Times New Roman"/>
                      <w:bCs/>
                      <w:szCs w:val="21"/>
                      <w:vertAlign w:val="subscript"/>
                    </w:rPr>
                    <w:t>Mn</w:t>
                  </w:r>
                  <w:r>
                    <w:rPr>
                      <w:rFonts w:hint="eastAsia" w:ascii="Times New Roman" w:hAnsi="Times New Roman"/>
                      <w:bCs/>
                      <w:szCs w:val="21"/>
                    </w:rPr>
                    <w:t>）</w:t>
                  </w:r>
                </w:p>
              </w:tc>
              <w:tc>
                <w:tcPr>
                  <w:tcW w:w="719" w:type="dxa"/>
                  <w:noWrap w:val="0"/>
                  <w:vAlign w:val="center"/>
                </w:tcPr>
                <w:p>
                  <w:pPr>
                    <w:jc w:val="center"/>
                    <w:rPr>
                      <w:rFonts w:hint="eastAsia" w:ascii="Times New Roman" w:hAnsi="Times New Roman"/>
                      <w:bCs/>
                      <w:szCs w:val="21"/>
                    </w:rPr>
                  </w:pPr>
                  <w:r>
                    <w:rPr>
                      <w:rFonts w:hint="eastAsia" w:ascii="Times New Roman" w:hAnsi="Times New Roman"/>
                      <w:bCs/>
                      <w:szCs w:val="21"/>
                    </w:rPr>
                    <w:t>1月</w:t>
                  </w:r>
                </w:p>
              </w:tc>
              <w:tc>
                <w:tcPr>
                  <w:tcW w:w="1569" w:type="dxa"/>
                  <w:noWrap w:val="0"/>
                  <w:vAlign w:val="center"/>
                </w:tcPr>
                <w:p>
                  <w:pPr>
                    <w:jc w:val="center"/>
                    <w:rPr>
                      <w:rFonts w:ascii="Times New Roman" w:hAnsi="Times New Roman"/>
                      <w:szCs w:val="21"/>
                    </w:rPr>
                  </w:pPr>
                  <w:r>
                    <w:rPr>
                      <w:rFonts w:hint="eastAsia" w:ascii="Times New Roman" w:hAnsi="Times New Roman"/>
                      <w:szCs w:val="21"/>
                    </w:rPr>
                    <w:t>7.5</w:t>
                  </w:r>
                </w:p>
              </w:tc>
              <w:tc>
                <w:tcPr>
                  <w:tcW w:w="1353" w:type="dxa"/>
                  <w:noWrap w:val="0"/>
                  <w:vAlign w:val="center"/>
                </w:tcPr>
                <w:p>
                  <w:pPr>
                    <w:jc w:val="center"/>
                    <w:rPr>
                      <w:rFonts w:ascii="Times New Roman" w:hAnsi="Times New Roman"/>
                      <w:szCs w:val="21"/>
                    </w:rPr>
                  </w:pPr>
                  <w:r>
                    <w:rPr>
                      <w:rFonts w:ascii="Times New Roman" w:hAnsi="Times New Roman"/>
                      <w:bCs/>
                      <w:szCs w:val="21"/>
                    </w:rPr>
                    <w:t>Ⅳ</w:t>
                  </w:r>
                </w:p>
              </w:tc>
              <w:tc>
                <w:tcPr>
                  <w:tcW w:w="1198" w:type="dxa"/>
                  <w:noWrap w:val="0"/>
                  <w:vAlign w:val="center"/>
                </w:tcPr>
                <w:p>
                  <w:pPr>
                    <w:jc w:val="center"/>
                    <w:rPr>
                      <w:rFonts w:ascii="Times New Roman" w:hAnsi="Times New Roman"/>
                      <w:szCs w:val="21"/>
                    </w:rPr>
                  </w:pPr>
                  <w:r>
                    <w:rPr>
                      <w:rFonts w:hint="eastAsia" w:ascii="Times New Roman" w:hAnsi="Times New Roman"/>
                      <w:szCs w:val="21"/>
                    </w:rPr>
                    <w:t>7.0</w:t>
                  </w:r>
                </w:p>
              </w:tc>
              <w:tc>
                <w:tcPr>
                  <w:tcW w:w="1309" w:type="dxa"/>
                  <w:noWrap w:val="0"/>
                  <w:vAlign w:val="center"/>
                </w:tcPr>
                <w:p>
                  <w:pPr>
                    <w:jc w:val="center"/>
                    <w:rPr>
                      <w:rFonts w:ascii="Times New Roman" w:hAnsi="Times New Roman"/>
                      <w:szCs w:val="21"/>
                    </w:rPr>
                  </w:pPr>
                  <w:r>
                    <w:rPr>
                      <w:rFonts w:ascii="Times New Roman" w:hAnsi="Times New Roman"/>
                      <w:bCs/>
                      <w:szCs w:val="21"/>
                    </w:rPr>
                    <w:t>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3" w:hRule="atLeast"/>
                <w:jc w:val="center"/>
              </w:trPr>
              <w:tc>
                <w:tcPr>
                  <w:tcW w:w="1510" w:type="dxa"/>
                  <w:vMerge w:val="continue"/>
                  <w:noWrap w:val="0"/>
                  <w:vAlign w:val="center"/>
                </w:tcPr>
                <w:p>
                  <w:pPr>
                    <w:jc w:val="center"/>
                    <w:rPr>
                      <w:rFonts w:hint="eastAsia" w:ascii="Times New Roman" w:hAnsi="Times New Roman"/>
                      <w:bCs/>
                      <w:szCs w:val="21"/>
                    </w:rPr>
                  </w:pPr>
                </w:p>
              </w:tc>
              <w:tc>
                <w:tcPr>
                  <w:tcW w:w="719" w:type="dxa"/>
                  <w:noWrap w:val="0"/>
                  <w:vAlign w:val="center"/>
                </w:tcPr>
                <w:p>
                  <w:pPr>
                    <w:jc w:val="center"/>
                    <w:rPr>
                      <w:rFonts w:ascii="Times New Roman" w:hAnsi="Times New Roman"/>
                      <w:bCs/>
                      <w:szCs w:val="21"/>
                    </w:rPr>
                  </w:pPr>
                  <w:r>
                    <w:rPr>
                      <w:rFonts w:hint="eastAsia" w:ascii="Times New Roman" w:hAnsi="Times New Roman"/>
                      <w:bCs/>
                      <w:szCs w:val="21"/>
                    </w:rPr>
                    <w:t>2月</w:t>
                  </w:r>
                </w:p>
              </w:tc>
              <w:tc>
                <w:tcPr>
                  <w:tcW w:w="1569" w:type="dxa"/>
                  <w:noWrap w:val="0"/>
                  <w:vAlign w:val="center"/>
                </w:tcPr>
                <w:p>
                  <w:pPr>
                    <w:jc w:val="center"/>
                    <w:rPr>
                      <w:rFonts w:hint="eastAsia" w:ascii="Times New Roman" w:hAnsi="Times New Roman"/>
                      <w:szCs w:val="21"/>
                    </w:rPr>
                  </w:pPr>
                  <w:r>
                    <w:rPr>
                      <w:rFonts w:hint="eastAsia" w:ascii="Times New Roman" w:hAnsi="Times New Roman"/>
                      <w:szCs w:val="21"/>
                    </w:rPr>
                    <w:t>8.5</w:t>
                  </w:r>
                </w:p>
              </w:tc>
              <w:tc>
                <w:tcPr>
                  <w:tcW w:w="1353" w:type="dxa"/>
                  <w:noWrap w:val="0"/>
                  <w:vAlign w:val="center"/>
                </w:tcPr>
                <w:p>
                  <w:pPr>
                    <w:jc w:val="center"/>
                    <w:rPr>
                      <w:rFonts w:hint="eastAsia" w:ascii="Times New Roman" w:hAnsi="Times New Roman"/>
                      <w:szCs w:val="21"/>
                    </w:rPr>
                  </w:pPr>
                  <w:r>
                    <w:rPr>
                      <w:rFonts w:ascii="Times New Roman" w:hAnsi="Times New Roman"/>
                      <w:bCs/>
                      <w:szCs w:val="21"/>
                    </w:rPr>
                    <w:t>Ⅳ</w:t>
                  </w:r>
                </w:p>
              </w:tc>
              <w:tc>
                <w:tcPr>
                  <w:tcW w:w="1198" w:type="dxa"/>
                  <w:noWrap w:val="0"/>
                  <w:vAlign w:val="center"/>
                </w:tcPr>
                <w:p>
                  <w:pPr>
                    <w:jc w:val="center"/>
                    <w:rPr>
                      <w:rFonts w:hint="eastAsia" w:ascii="Times New Roman" w:hAnsi="Times New Roman"/>
                      <w:szCs w:val="21"/>
                    </w:rPr>
                  </w:pPr>
                  <w:r>
                    <w:rPr>
                      <w:rFonts w:hint="eastAsia" w:ascii="Times New Roman" w:hAnsi="Times New Roman"/>
                      <w:szCs w:val="21"/>
                    </w:rPr>
                    <w:t>10.0</w:t>
                  </w:r>
                </w:p>
              </w:tc>
              <w:tc>
                <w:tcPr>
                  <w:tcW w:w="1309" w:type="dxa"/>
                  <w:noWrap w:val="0"/>
                  <w:vAlign w:val="center"/>
                </w:tcPr>
                <w:p>
                  <w:pPr>
                    <w:jc w:val="center"/>
                    <w:rPr>
                      <w:rFonts w:hint="eastAsia" w:ascii="Times New Roman" w:hAnsi="Times New Roman"/>
                      <w:szCs w:val="21"/>
                    </w:rPr>
                  </w:pPr>
                  <w:r>
                    <w:rPr>
                      <w:rFonts w:ascii="Times New Roman" w:hAnsi="Times New Roman"/>
                      <w:bCs/>
                      <w:szCs w:val="21"/>
                    </w:rPr>
                    <w:t>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3" w:hRule="atLeast"/>
                <w:jc w:val="center"/>
              </w:trPr>
              <w:tc>
                <w:tcPr>
                  <w:tcW w:w="1510" w:type="dxa"/>
                  <w:vMerge w:val="restart"/>
                  <w:noWrap w:val="0"/>
                  <w:vAlign w:val="center"/>
                </w:tcPr>
                <w:p>
                  <w:pPr>
                    <w:jc w:val="center"/>
                    <w:rPr>
                      <w:rFonts w:hint="eastAsia" w:ascii="Times New Roman" w:hAnsi="Times New Roman"/>
                      <w:bCs/>
                      <w:szCs w:val="21"/>
                    </w:rPr>
                  </w:pPr>
                  <w:r>
                    <w:rPr>
                      <w:rFonts w:hint="eastAsia" w:ascii="Times New Roman" w:hAnsi="Times New Roman"/>
                      <w:bCs/>
                      <w:szCs w:val="21"/>
                    </w:rPr>
                    <w:t>总磷</w:t>
                  </w:r>
                </w:p>
              </w:tc>
              <w:tc>
                <w:tcPr>
                  <w:tcW w:w="719" w:type="dxa"/>
                  <w:noWrap w:val="0"/>
                  <w:vAlign w:val="center"/>
                </w:tcPr>
                <w:p>
                  <w:pPr>
                    <w:jc w:val="center"/>
                    <w:rPr>
                      <w:rFonts w:hint="eastAsia" w:ascii="Times New Roman" w:hAnsi="Times New Roman"/>
                      <w:bCs/>
                      <w:szCs w:val="21"/>
                    </w:rPr>
                  </w:pPr>
                  <w:r>
                    <w:rPr>
                      <w:rFonts w:hint="eastAsia" w:ascii="Times New Roman" w:hAnsi="Times New Roman"/>
                      <w:bCs/>
                      <w:szCs w:val="21"/>
                    </w:rPr>
                    <w:t>1月</w:t>
                  </w:r>
                </w:p>
              </w:tc>
              <w:tc>
                <w:tcPr>
                  <w:tcW w:w="1569" w:type="dxa"/>
                  <w:noWrap w:val="0"/>
                  <w:vAlign w:val="center"/>
                </w:tcPr>
                <w:p>
                  <w:pPr>
                    <w:jc w:val="center"/>
                    <w:rPr>
                      <w:rFonts w:ascii="Times New Roman" w:hAnsi="Times New Roman"/>
                      <w:bCs/>
                      <w:szCs w:val="21"/>
                    </w:rPr>
                  </w:pPr>
                  <w:r>
                    <w:rPr>
                      <w:rFonts w:hint="eastAsia" w:ascii="Times New Roman" w:hAnsi="Times New Roman"/>
                      <w:bCs/>
                      <w:szCs w:val="21"/>
                    </w:rPr>
                    <w:t>0.23</w:t>
                  </w:r>
                </w:p>
              </w:tc>
              <w:tc>
                <w:tcPr>
                  <w:tcW w:w="1353" w:type="dxa"/>
                  <w:noWrap w:val="0"/>
                  <w:vAlign w:val="center"/>
                </w:tcPr>
                <w:p>
                  <w:pPr>
                    <w:jc w:val="center"/>
                    <w:rPr>
                      <w:rFonts w:hint="eastAsia" w:ascii="Times New Roman" w:hAnsi="Times New Roman"/>
                      <w:szCs w:val="21"/>
                    </w:rPr>
                  </w:pPr>
                  <w:r>
                    <w:rPr>
                      <w:rFonts w:ascii="Times New Roman" w:hAnsi="Times New Roman"/>
                      <w:bCs/>
                      <w:szCs w:val="21"/>
                    </w:rPr>
                    <w:t>Ⅳ</w:t>
                  </w:r>
                </w:p>
              </w:tc>
              <w:tc>
                <w:tcPr>
                  <w:tcW w:w="1198" w:type="dxa"/>
                  <w:noWrap w:val="0"/>
                  <w:vAlign w:val="center"/>
                </w:tcPr>
                <w:p>
                  <w:pPr>
                    <w:jc w:val="center"/>
                    <w:rPr>
                      <w:rFonts w:ascii="Times New Roman" w:hAnsi="Times New Roman"/>
                      <w:szCs w:val="21"/>
                    </w:rPr>
                  </w:pPr>
                  <w:r>
                    <w:rPr>
                      <w:rFonts w:hint="eastAsia" w:ascii="Times New Roman" w:hAnsi="Times New Roman"/>
                      <w:szCs w:val="21"/>
                    </w:rPr>
                    <w:t>0.22</w:t>
                  </w:r>
                </w:p>
              </w:tc>
              <w:tc>
                <w:tcPr>
                  <w:tcW w:w="1309" w:type="dxa"/>
                  <w:noWrap w:val="0"/>
                  <w:vAlign w:val="center"/>
                </w:tcPr>
                <w:p>
                  <w:pPr>
                    <w:jc w:val="center"/>
                    <w:rPr>
                      <w:rFonts w:hint="eastAsia" w:ascii="Times New Roman" w:hAnsi="Times New Roman"/>
                      <w:szCs w:val="21"/>
                    </w:rPr>
                  </w:pPr>
                  <w:r>
                    <w:rPr>
                      <w:rFonts w:ascii="Times New Roman" w:hAnsi="Times New Roman"/>
                      <w:bCs/>
                      <w:szCs w:val="21"/>
                    </w:rPr>
                    <w:t>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1510" w:type="dxa"/>
                  <w:vMerge w:val="continue"/>
                  <w:noWrap w:val="0"/>
                  <w:vAlign w:val="center"/>
                </w:tcPr>
                <w:p>
                  <w:pPr>
                    <w:jc w:val="center"/>
                    <w:rPr>
                      <w:rFonts w:hint="eastAsia" w:ascii="Times New Roman" w:hAnsi="Times New Roman"/>
                      <w:bCs/>
                      <w:szCs w:val="21"/>
                    </w:rPr>
                  </w:pPr>
                </w:p>
              </w:tc>
              <w:tc>
                <w:tcPr>
                  <w:tcW w:w="719" w:type="dxa"/>
                  <w:noWrap w:val="0"/>
                  <w:vAlign w:val="center"/>
                </w:tcPr>
                <w:p>
                  <w:pPr>
                    <w:jc w:val="center"/>
                    <w:rPr>
                      <w:rFonts w:hint="eastAsia" w:ascii="Times New Roman" w:hAnsi="Times New Roman"/>
                      <w:bCs/>
                      <w:szCs w:val="21"/>
                    </w:rPr>
                  </w:pPr>
                  <w:r>
                    <w:rPr>
                      <w:rFonts w:hint="eastAsia" w:ascii="Times New Roman" w:hAnsi="Times New Roman"/>
                      <w:bCs/>
                      <w:szCs w:val="21"/>
                    </w:rPr>
                    <w:t>2月</w:t>
                  </w:r>
                </w:p>
              </w:tc>
              <w:tc>
                <w:tcPr>
                  <w:tcW w:w="1569" w:type="dxa"/>
                  <w:noWrap w:val="0"/>
                  <w:vAlign w:val="center"/>
                </w:tcPr>
                <w:p>
                  <w:pPr>
                    <w:jc w:val="center"/>
                    <w:rPr>
                      <w:rFonts w:hint="eastAsia" w:ascii="Times New Roman" w:hAnsi="Times New Roman"/>
                      <w:bCs/>
                      <w:szCs w:val="21"/>
                    </w:rPr>
                  </w:pPr>
                  <w:r>
                    <w:rPr>
                      <w:rFonts w:hint="eastAsia" w:ascii="Times New Roman" w:hAnsi="Times New Roman"/>
                      <w:bCs/>
                      <w:szCs w:val="21"/>
                    </w:rPr>
                    <w:t>0.24</w:t>
                  </w:r>
                </w:p>
              </w:tc>
              <w:tc>
                <w:tcPr>
                  <w:tcW w:w="1353" w:type="dxa"/>
                  <w:noWrap w:val="0"/>
                  <w:vAlign w:val="center"/>
                </w:tcPr>
                <w:p>
                  <w:pPr>
                    <w:jc w:val="center"/>
                    <w:rPr>
                      <w:rFonts w:hint="eastAsia" w:ascii="Times New Roman" w:hAnsi="Times New Roman"/>
                      <w:szCs w:val="21"/>
                    </w:rPr>
                  </w:pPr>
                  <w:r>
                    <w:rPr>
                      <w:rFonts w:ascii="Times New Roman" w:hAnsi="Times New Roman"/>
                      <w:bCs/>
                      <w:szCs w:val="21"/>
                    </w:rPr>
                    <w:t>Ⅳ</w:t>
                  </w:r>
                </w:p>
              </w:tc>
              <w:tc>
                <w:tcPr>
                  <w:tcW w:w="1198" w:type="dxa"/>
                  <w:noWrap w:val="0"/>
                  <w:vAlign w:val="center"/>
                </w:tcPr>
                <w:p>
                  <w:pPr>
                    <w:jc w:val="center"/>
                    <w:rPr>
                      <w:rFonts w:hint="eastAsia" w:ascii="Times New Roman" w:hAnsi="Times New Roman"/>
                      <w:szCs w:val="21"/>
                    </w:rPr>
                  </w:pPr>
                  <w:r>
                    <w:rPr>
                      <w:rFonts w:hint="eastAsia" w:ascii="Times New Roman" w:hAnsi="Times New Roman"/>
                      <w:szCs w:val="21"/>
                    </w:rPr>
                    <w:t>0.26</w:t>
                  </w:r>
                </w:p>
              </w:tc>
              <w:tc>
                <w:tcPr>
                  <w:tcW w:w="1309" w:type="dxa"/>
                  <w:noWrap w:val="0"/>
                  <w:vAlign w:val="center"/>
                </w:tcPr>
                <w:p>
                  <w:pPr>
                    <w:jc w:val="center"/>
                    <w:rPr>
                      <w:rFonts w:hint="eastAsia" w:ascii="Times New Roman" w:hAnsi="Times New Roman"/>
                      <w:szCs w:val="21"/>
                    </w:rPr>
                  </w:pPr>
                  <w:r>
                    <w:rPr>
                      <w:rFonts w:ascii="Times New Roman" w:hAnsi="Times New Roman"/>
                      <w:bCs/>
                      <w:szCs w:val="21"/>
                    </w:rPr>
                    <w:t>Ⅳ</w:t>
                  </w:r>
                </w:p>
              </w:tc>
            </w:tr>
          </w:tbl>
          <w:p>
            <w:pPr>
              <w:spacing w:line="360" w:lineRule="auto"/>
              <w:ind w:firstLine="480" w:firstLineChars="200"/>
              <w:rPr>
                <w:rFonts w:hint="eastAsia"/>
                <w:sz w:val="24"/>
              </w:rPr>
            </w:pPr>
            <w:r>
              <w:rPr>
                <w:rFonts w:ascii="Times New Roman" w:hAnsi="Times New Roman"/>
                <w:bCs/>
                <w:color w:val="000000"/>
                <w:sz w:val="24"/>
              </w:rPr>
              <w:t>由上表</w:t>
            </w:r>
            <w:r>
              <w:rPr>
                <w:rFonts w:hint="eastAsia" w:ascii="Times New Roman" w:hAnsi="Times New Roman"/>
                <w:bCs/>
                <w:color w:val="000000"/>
                <w:sz w:val="24"/>
              </w:rPr>
              <w:t>监测</w:t>
            </w:r>
            <w:r>
              <w:rPr>
                <w:rFonts w:ascii="Times New Roman" w:hAnsi="Times New Roman"/>
                <w:bCs/>
                <w:color w:val="000000"/>
                <w:sz w:val="24"/>
              </w:rPr>
              <w:t>结果可知，</w:t>
            </w:r>
            <w:r>
              <w:rPr>
                <w:rFonts w:hint="eastAsia" w:ascii="Times New Roman" w:hAnsi="Times New Roman"/>
                <w:bCs/>
                <w:color w:val="000000"/>
                <w:sz w:val="24"/>
              </w:rPr>
              <w:t>磨池河水体中高锰酸盐指数、总磷均满足《地表水环境质量标准》（</w:t>
            </w:r>
            <w:r>
              <w:rPr>
                <w:rFonts w:hint="eastAsia"/>
                <w:sz w:val="24"/>
              </w:rPr>
              <w:t>GB3838-2002）Ⅳ类标准。</w:t>
            </w:r>
          </w:p>
          <w:p>
            <w:pPr>
              <w:spacing w:line="360" w:lineRule="auto"/>
              <w:ind w:firstLine="482" w:firstLineChars="200"/>
              <w:rPr>
                <w:rFonts w:hint="eastAsia"/>
                <w:b/>
                <w:bCs/>
                <w:sz w:val="24"/>
              </w:rPr>
            </w:pPr>
            <w:r>
              <w:rPr>
                <w:rFonts w:hint="eastAsia"/>
                <w:b/>
                <w:bCs/>
                <w:sz w:val="24"/>
              </w:rPr>
              <w:t>3、声环境质量现状</w:t>
            </w:r>
          </w:p>
          <w:p>
            <w:pPr>
              <w:pStyle w:val="121"/>
              <w:ind w:firstLine="480"/>
              <w:rPr>
                <w:rFonts w:ascii="Times New Roman" w:hAnsi="Times New Roman"/>
                <w:kern w:val="0"/>
                <w:szCs w:val="20"/>
              </w:rPr>
            </w:pPr>
            <w:r>
              <w:rPr>
                <w:rFonts w:ascii="Times New Roman" w:hAnsi="Times New Roman"/>
                <w:color w:val="000000"/>
                <w:kern w:val="0"/>
                <w:szCs w:val="20"/>
              </w:rPr>
              <w:t>本项目青白渠新建管道穿越市中区白马镇、青平镇，右干渠整治明渠位于茅桥镇。项目所在地为《声环境质量标准》（GB3096-2008）中的2类声环境功能区，本次评价执行《声环境质量标准》（GB3096-2008）中的2类</w:t>
            </w:r>
            <w:r>
              <w:rPr>
                <w:rFonts w:ascii="Times New Roman" w:hAnsi="Times New Roman"/>
                <w:kern w:val="0"/>
                <w:szCs w:val="20"/>
              </w:rPr>
              <w:t>标准。</w:t>
            </w:r>
          </w:p>
          <w:p>
            <w:pPr>
              <w:pStyle w:val="121"/>
              <w:ind w:firstLine="480"/>
              <w:rPr>
                <w:rFonts w:ascii="Times New Roman" w:hAnsi="Times New Roman"/>
                <w:color w:val="000000"/>
                <w:kern w:val="0"/>
                <w:szCs w:val="20"/>
              </w:rPr>
            </w:pPr>
            <w:r>
              <w:rPr>
                <w:rFonts w:ascii="Times New Roman" w:hAnsi="Times New Roman"/>
                <w:kern w:val="0"/>
                <w:szCs w:val="20"/>
              </w:rPr>
              <w:t>为了解项目所在地的声环境质量，乐山市四维环保科技有限公司委</w:t>
            </w:r>
            <w:r>
              <w:rPr>
                <w:rFonts w:ascii="Times New Roman" w:hAnsi="Times New Roman"/>
                <w:kern w:val="0"/>
                <w:szCs w:val="20"/>
                <w:shd w:val="clear" w:color="auto" w:fill="auto"/>
              </w:rPr>
              <w:t>托</w:t>
            </w:r>
            <w:r>
              <w:rPr>
                <w:rFonts w:hint="eastAsia" w:ascii="Times New Roman" w:hAnsi="Times New Roman"/>
                <w:kern w:val="0"/>
                <w:szCs w:val="20"/>
                <w:shd w:val="clear" w:color="auto" w:fill="auto"/>
                <w:lang w:eastAsia="zh-CN"/>
              </w:rPr>
              <w:t>中优环境检测成都有限责任公司</w:t>
            </w:r>
            <w:r>
              <w:rPr>
                <w:rFonts w:ascii="Times New Roman" w:hAnsi="Times New Roman"/>
                <w:kern w:val="0"/>
                <w:szCs w:val="20"/>
                <w:shd w:val="clear" w:color="auto" w:fill="auto"/>
              </w:rPr>
              <w:t>于202</w:t>
            </w:r>
            <w:r>
              <w:rPr>
                <w:rFonts w:ascii="Times New Roman" w:hAnsi="Times New Roman"/>
                <w:color w:val="000000"/>
                <w:kern w:val="0"/>
                <w:szCs w:val="20"/>
                <w:shd w:val="clear" w:color="auto" w:fill="auto"/>
              </w:rPr>
              <w:t>2年</w:t>
            </w:r>
            <w:r>
              <w:rPr>
                <w:rFonts w:hint="eastAsia" w:ascii="Times New Roman" w:hAnsi="Times New Roman"/>
                <w:color w:val="000000"/>
                <w:kern w:val="0"/>
                <w:szCs w:val="20"/>
                <w:shd w:val="clear" w:color="auto" w:fill="auto"/>
                <w:lang w:val="en-US" w:eastAsia="zh-CN"/>
              </w:rPr>
              <w:t>11</w:t>
            </w:r>
            <w:r>
              <w:rPr>
                <w:rFonts w:ascii="Times New Roman" w:hAnsi="Times New Roman"/>
                <w:color w:val="000000"/>
                <w:kern w:val="0"/>
                <w:szCs w:val="20"/>
                <w:shd w:val="clear" w:color="auto" w:fill="auto"/>
              </w:rPr>
              <w:t>月</w:t>
            </w:r>
            <w:r>
              <w:rPr>
                <w:rFonts w:hint="eastAsia" w:ascii="Times New Roman" w:hAnsi="Times New Roman"/>
                <w:color w:val="000000"/>
                <w:kern w:val="0"/>
                <w:szCs w:val="20"/>
                <w:shd w:val="clear" w:color="auto" w:fill="auto"/>
                <w:lang w:val="en-US" w:eastAsia="zh-CN"/>
              </w:rPr>
              <w:t>13</w:t>
            </w:r>
            <w:r>
              <w:rPr>
                <w:rFonts w:ascii="Times New Roman" w:hAnsi="Times New Roman"/>
                <w:color w:val="000000"/>
                <w:kern w:val="0"/>
                <w:szCs w:val="20"/>
                <w:shd w:val="clear" w:color="auto" w:fill="auto"/>
              </w:rPr>
              <w:t>日对</w:t>
            </w:r>
            <w:r>
              <w:rPr>
                <w:rFonts w:ascii="Times New Roman" w:hAnsi="Times New Roman"/>
                <w:color w:val="000000"/>
                <w:kern w:val="0"/>
                <w:szCs w:val="20"/>
              </w:rPr>
              <w:t>项目所在地的声环境质量进行了现场检测。</w:t>
            </w:r>
          </w:p>
          <w:p>
            <w:pPr>
              <w:wordWrap w:val="0"/>
              <w:adjustRightInd w:val="0"/>
              <w:snapToGrid w:val="0"/>
              <w:spacing w:line="360" w:lineRule="auto"/>
              <w:ind w:left="480"/>
              <w:jc w:val="left"/>
              <w:rPr>
                <w:color w:val="000000"/>
                <w:sz w:val="24"/>
              </w:rPr>
            </w:pPr>
            <w:r>
              <w:rPr>
                <w:rFonts w:hint="eastAsia" w:ascii="宋体" w:hAnsi="宋体"/>
                <w:color w:val="000000"/>
                <w:sz w:val="24"/>
              </w:rPr>
              <w:t>（</w:t>
            </w:r>
            <w:r>
              <w:rPr>
                <w:rFonts w:ascii="宋体" w:hAnsi="宋体"/>
                <w:color w:val="000000"/>
                <w:sz w:val="24"/>
              </w:rPr>
              <w:t>1</w:t>
            </w:r>
            <w:r>
              <w:rPr>
                <w:rFonts w:hint="eastAsia" w:ascii="宋体" w:hAnsi="宋体"/>
                <w:color w:val="000000"/>
                <w:sz w:val="24"/>
              </w:rPr>
              <w:t>）监测点位设置</w:t>
            </w:r>
          </w:p>
          <w:p>
            <w:pPr>
              <w:pStyle w:val="138"/>
              <w:rPr>
                <w:b/>
                <w:bCs/>
                <w:color w:val="000000"/>
              </w:rPr>
            </w:pPr>
            <w:r>
              <w:rPr>
                <w:rFonts w:hint="eastAsia"/>
                <w:color w:val="000000"/>
              </w:rPr>
              <w:t>本次监测共设置4个监测点位，具体如下表所示：</w:t>
            </w:r>
          </w:p>
          <w:p>
            <w:pPr>
              <w:wordWrap w:val="0"/>
              <w:adjustRightInd w:val="0"/>
              <w:snapToGrid w:val="0"/>
              <w:spacing w:line="360" w:lineRule="auto"/>
              <w:ind w:firstLine="482" w:firstLineChars="200"/>
              <w:jc w:val="center"/>
              <w:rPr>
                <w:rFonts w:ascii="宋体"/>
                <w:b/>
                <w:bCs/>
                <w:color w:val="000000"/>
                <w:szCs w:val="21"/>
              </w:rPr>
            </w:pPr>
            <w:r>
              <w:rPr>
                <w:rFonts w:hAnsi="宋体"/>
                <w:b/>
                <w:bCs/>
                <w:color w:val="000000"/>
                <w:szCs w:val="21"/>
              </w:rPr>
              <w:t>表</w:t>
            </w:r>
            <w:r>
              <w:rPr>
                <w:b/>
                <w:bCs/>
                <w:color w:val="000000"/>
                <w:szCs w:val="21"/>
              </w:rPr>
              <w:t>3-</w:t>
            </w:r>
            <w:r>
              <w:rPr>
                <w:rFonts w:hint="eastAsia"/>
                <w:b/>
                <w:bCs/>
                <w:color w:val="000000"/>
                <w:szCs w:val="21"/>
              </w:rPr>
              <w:t xml:space="preserve">5 </w:t>
            </w:r>
            <w:r>
              <w:rPr>
                <w:b/>
                <w:bCs/>
                <w:color w:val="000000"/>
                <w:szCs w:val="21"/>
              </w:rPr>
              <w:t xml:space="preserve"> </w:t>
            </w:r>
            <w:r>
              <w:rPr>
                <w:rFonts w:hAnsi="宋体"/>
                <w:b/>
                <w:bCs/>
                <w:color w:val="000000"/>
                <w:szCs w:val="21"/>
              </w:rPr>
              <w:t>噪声监</w:t>
            </w:r>
            <w:r>
              <w:rPr>
                <w:rFonts w:hint="eastAsia" w:ascii="宋体" w:hAnsi="宋体"/>
                <w:b/>
                <w:bCs/>
                <w:color w:val="000000"/>
                <w:szCs w:val="21"/>
              </w:rPr>
              <w:t>测点位</w:t>
            </w:r>
          </w:p>
          <w:tbl>
            <w:tblPr>
              <w:tblStyle w:val="39"/>
              <w:tblW w:w="7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517"/>
              <w:gridCol w:w="6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857" w:type="dxa"/>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噪声监测点位</w:t>
                  </w:r>
                </w:p>
              </w:tc>
              <w:tc>
                <w:tcPr>
                  <w:tcW w:w="517"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color w:val="000000"/>
                      <w:kern w:val="0"/>
                      <w:szCs w:val="21"/>
                    </w:rPr>
                    <w:t>1#</w:t>
                  </w:r>
                </w:p>
              </w:tc>
              <w:tc>
                <w:tcPr>
                  <w:tcW w:w="6145" w:type="dxa"/>
                  <w:tcBorders>
                    <w:top w:val="single" w:color="auto" w:sz="4" w:space="0"/>
                    <w:left w:val="single" w:color="auto" w:sz="4" w:space="0"/>
                    <w:bottom w:val="single" w:color="auto" w:sz="4" w:space="0"/>
                    <w:right w:val="single" w:color="auto" w:sz="4" w:space="0"/>
                  </w:tcBorders>
                  <w:noWrap w:val="0"/>
                  <w:vAlign w:val="center"/>
                </w:tcPr>
                <w:p>
                  <w:pPr>
                    <w:pStyle w:val="34"/>
                    <w:spacing w:before="0" w:beforeAutospacing="0" w:after="0" w:afterAutospacing="0"/>
                    <w:rPr>
                      <w:rFonts w:ascii="Times New Roman" w:hAnsi="Times New Roman"/>
                      <w:color w:val="000000"/>
                      <w:szCs w:val="21"/>
                    </w:rPr>
                  </w:pPr>
                  <w:r>
                    <w:rPr>
                      <w:rFonts w:hint="eastAsia" w:ascii="Times New Roman" w:hAnsi="Times New Roman"/>
                      <w:sz w:val="21"/>
                      <w:szCs w:val="21"/>
                    </w:rPr>
                    <w:t>新建青白渠</w:t>
                  </w:r>
                  <w:r>
                    <w:rPr>
                      <w:rFonts w:ascii="Times New Roman" w:hAnsi="Times New Roman"/>
                      <w:sz w:val="21"/>
                      <w:szCs w:val="21"/>
                    </w:rPr>
                    <w:t>管线</w:t>
                  </w:r>
                  <w:r>
                    <w:rPr>
                      <w:rFonts w:hint="eastAsia" w:ascii="Times New Roman" w:hAnsi="Times New Roman"/>
                      <w:sz w:val="21"/>
                      <w:szCs w:val="21"/>
                      <w:lang w:eastAsia="zh-CN"/>
                    </w:rPr>
                    <w:t>五雷山</w:t>
                  </w:r>
                  <w:r>
                    <w:rPr>
                      <w:rFonts w:ascii="Times New Roman" w:hAnsi="Times New Roman"/>
                      <w:sz w:val="21"/>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r>
                    <w:rPr>
                      <w:rFonts w:ascii="Times New Roman" w:hAnsi="Times New Roman"/>
                      <w:sz w:val="21"/>
                      <w:szCs w:val="21"/>
                    </w:rPr>
                    <w:t>（103.921437°，29.632315°）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57"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517"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color w:val="000000"/>
                      <w:kern w:val="0"/>
                      <w:szCs w:val="21"/>
                    </w:rPr>
                    <w:t>2#</w:t>
                  </w:r>
                </w:p>
              </w:tc>
              <w:tc>
                <w:tcPr>
                  <w:tcW w:w="614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rPr>
                      <w:rFonts w:ascii="Times New Roman" w:hAnsi="Times New Roman"/>
                      <w:color w:val="000000"/>
                      <w:kern w:val="0"/>
                      <w:szCs w:val="21"/>
                    </w:rPr>
                  </w:pPr>
                  <w:r>
                    <w:rPr>
                      <w:rFonts w:ascii="Times New Roman" w:hAnsi="Times New Roman"/>
                      <w:color w:val="000000"/>
                      <w:kern w:val="0"/>
                      <w:szCs w:val="21"/>
                    </w:rPr>
                    <w:t>新建青白渠管线</w:t>
                  </w:r>
                  <w:r>
                    <w:rPr>
                      <w:rFonts w:hint="eastAsia" w:ascii="Times New Roman" w:hAnsi="Times New Roman"/>
                      <w:color w:val="000000"/>
                      <w:kern w:val="0"/>
                      <w:szCs w:val="21"/>
                      <w:lang w:eastAsia="zh-CN"/>
                    </w:rPr>
                    <w:t>王祠堂</w:t>
                  </w:r>
                  <w:r>
                    <w:rPr>
                      <w:rFonts w:ascii="Times New Roman" w:hAnsi="Times New Roman"/>
                      <w:color w:val="000000"/>
                      <w:kern w:val="0"/>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r>
                    <w:rPr>
                      <w:rFonts w:ascii="Times New Roman" w:hAnsi="Times New Roman"/>
                      <w:szCs w:val="21"/>
                    </w:rPr>
                    <w:t>（</w:t>
                  </w:r>
                  <w:r>
                    <w:rPr>
                      <w:rFonts w:ascii="Times New Roman" w:hAnsi="Times New Roman"/>
                      <w:color w:val="000000"/>
                      <w:kern w:val="0"/>
                      <w:szCs w:val="21"/>
                    </w:rPr>
                    <w:t>103.954482°，29.639096°）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857"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517"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color w:val="000000"/>
                      <w:kern w:val="0"/>
                      <w:szCs w:val="21"/>
                    </w:rPr>
                    <w:t>3#</w:t>
                  </w:r>
                </w:p>
              </w:tc>
              <w:tc>
                <w:tcPr>
                  <w:tcW w:w="614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rPr>
                      <w:rFonts w:ascii="Times New Roman" w:hAnsi="Times New Roman"/>
                      <w:color w:val="000000"/>
                      <w:kern w:val="0"/>
                      <w:szCs w:val="21"/>
                    </w:rPr>
                  </w:pPr>
                  <w:r>
                    <w:rPr>
                      <w:rFonts w:ascii="Times New Roman" w:hAnsi="Times New Roman"/>
                      <w:color w:val="000000"/>
                      <w:kern w:val="0"/>
                      <w:szCs w:val="21"/>
                    </w:rPr>
                    <w:t>新建青白渠管线</w:t>
                  </w:r>
                  <w:r>
                    <w:rPr>
                      <w:rFonts w:hint="eastAsia" w:ascii="Times New Roman" w:hAnsi="Times New Roman"/>
                      <w:color w:val="000000"/>
                      <w:kern w:val="0"/>
                      <w:szCs w:val="21"/>
                      <w:lang w:eastAsia="zh-CN"/>
                    </w:rPr>
                    <w:t>大洪堂</w:t>
                  </w:r>
                  <w:r>
                    <w:rPr>
                      <w:rFonts w:ascii="Times New Roman" w:hAnsi="Times New Roman"/>
                      <w:color w:val="000000"/>
                      <w:kern w:val="0"/>
                      <w:szCs w:val="21"/>
                    </w:rPr>
                    <w:t>居民</w:t>
                  </w:r>
                  <w:r>
                    <w:rPr>
                      <w:rFonts w:hint="eastAsia" w:ascii="Times New Roman" w:hAnsi="Times New Roman"/>
                      <w:color w:val="000000"/>
                      <w:kern w:val="0"/>
                      <w:szCs w:val="21"/>
                    </w:rPr>
                    <w:t>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r>
                    <w:rPr>
                      <w:rFonts w:ascii="Times New Roman" w:hAnsi="Times New Roman"/>
                      <w:color w:val="000000"/>
                      <w:kern w:val="0"/>
                      <w:szCs w:val="21"/>
                    </w:rPr>
                    <w:t>（103.964127°，29.647872°）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7" w:type="dxa"/>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517"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4#</w:t>
                  </w:r>
                </w:p>
              </w:tc>
              <w:tc>
                <w:tcPr>
                  <w:tcW w:w="614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ascii="Times New Roman" w:hAnsi="Times New Roman"/>
                      <w:color w:val="000000"/>
                      <w:kern w:val="0"/>
                      <w:szCs w:val="21"/>
                    </w:rPr>
                  </w:pPr>
                  <w:r>
                    <w:rPr>
                      <w:rFonts w:ascii="Times New Roman" w:hAnsi="Times New Roman"/>
                      <w:color w:val="000000"/>
                      <w:kern w:val="0"/>
                      <w:szCs w:val="21"/>
                    </w:rPr>
                    <w:t>整治右干渠右侧</w:t>
                  </w:r>
                  <w:r>
                    <w:rPr>
                      <w:rFonts w:hint="eastAsia" w:ascii="Times New Roman" w:hAnsi="Times New Roman"/>
                      <w:color w:val="000000"/>
                      <w:kern w:val="0"/>
                      <w:szCs w:val="21"/>
                      <w:lang w:eastAsia="zh-CN"/>
                    </w:rPr>
                    <w:t>大坝寺</w:t>
                  </w:r>
                  <w:r>
                    <w:rPr>
                      <w:rFonts w:ascii="Times New Roman" w:hAnsi="Times New Roman"/>
                      <w:color w:val="000000"/>
                      <w:kern w:val="0"/>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r>
                    <w:rPr>
                      <w:rFonts w:ascii="Times New Roman" w:hAnsi="Times New Roman"/>
                      <w:color w:val="000000"/>
                      <w:kern w:val="0"/>
                      <w:szCs w:val="21"/>
                    </w:rPr>
                    <w:t>（103.885946°，29.514995°）</w:t>
                  </w:r>
                </w:p>
              </w:tc>
            </w:tr>
          </w:tbl>
          <w:p>
            <w:pPr>
              <w:wordWrap w:val="0"/>
              <w:adjustRightInd w:val="0"/>
              <w:snapToGrid w:val="0"/>
              <w:spacing w:line="360" w:lineRule="auto"/>
              <w:ind w:firstLine="480" w:firstLineChars="200"/>
              <w:jc w:val="left"/>
              <w:rPr>
                <w:color w:val="000000"/>
                <w:sz w:val="24"/>
              </w:rPr>
            </w:pPr>
            <w:r>
              <w:rPr>
                <w:rFonts w:hint="eastAsia"/>
                <w:color w:val="000000"/>
                <w:sz w:val="24"/>
              </w:rPr>
              <w:t>（</w:t>
            </w:r>
            <w:r>
              <w:rPr>
                <w:color w:val="000000"/>
                <w:sz w:val="24"/>
              </w:rPr>
              <w:t>2</w:t>
            </w:r>
            <w:r>
              <w:rPr>
                <w:rFonts w:hint="eastAsia"/>
                <w:color w:val="000000"/>
                <w:sz w:val="24"/>
              </w:rPr>
              <w:t>）监测时间与监测频率</w:t>
            </w:r>
          </w:p>
          <w:p>
            <w:pPr>
              <w:wordWrap w:val="0"/>
              <w:adjustRightInd w:val="0"/>
              <w:snapToGrid w:val="0"/>
              <w:spacing w:line="360" w:lineRule="auto"/>
              <w:ind w:firstLine="480" w:firstLineChars="200"/>
              <w:jc w:val="left"/>
              <w:rPr>
                <w:color w:val="000000"/>
                <w:sz w:val="24"/>
              </w:rPr>
            </w:pPr>
            <w:r>
              <w:rPr>
                <w:color w:val="000000"/>
                <w:sz w:val="24"/>
              </w:rPr>
              <w:t>202</w:t>
            </w:r>
            <w:r>
              <w:rPr>
                <w:rFonts w:hint="eastAsia"/>
                <w:color w:val="000000"/>
                <w:sz w:val="24"/>
              </w:rPr>
              <w:t>2年11月</w:t>
            </w:r>
            <w:r>
              <w:rPr>
                <w:rFonts w:hint="eastAsia"/>
                <w:color w:val="000000"/>
                <w:sz w:val="24"/>
                <w:lang w:val="en-US" w:eastAsia="zh-CN"/>
              </w:rPr>
              <w:t>1</w:t>
            </w:r>
            <w:r>
              <w:rPr>
                <w:rFonts w:hint="eastAsia"/>
                <w:color w:val="000000"/>
                <w:sz w:val="24"/>
              </w:rPr>
              <w:t>3日，昼夜各监测一次。</w:t>
            </w:r>
          </w:p>
          <w:p>
            <w:pPr>
              <w:wordWrap w:val="0"/>
              <w:adjustRightInd w:val="0"/>
              <w:snapToGrid w:val="0"/>
              <w:spacing w:line="360" w:lineRule="auto"/>
              <w:ind w:firstLine="480" w:firstLineChars="200"/>
              <w:jc w:val="left"/>
              <w:rPr>
                <w:color w:val="000000"/>
                <w:sz w:val="24"/>
              </w:rPr>
            </w:pPr>
            <w:r>
              <w:rPr>
                <w:rFonts w:hint="eastAsia"/>
                <w:color w:val="000000"/>
                <w:sz w:val="24"/>
              </w:rPr>
              <w:t>（</w:t>
            </w:r>
            <w:r>
              <w:rPr>
                <w:color w:val="000000"/>
                <w:sz w:val="24"/>
              </w:rPr>
              <w:t>3</w:t>
            </w:r>
            <w:r>
              <w:rPr>
                <w:rFonts w:hint="eastAsia"/>
                <w:color w:val="000000"/>
                <w:sz w:val="24"/>
              </w:rPr>
              <w:t>）监测项目与评价方法</w:t>
            </w:r>
          </w:p>
          <w:p>
            <w:pPr>
              <w:wordWrap w:val="0"/>
              <w:adjustRightInd w:val="0"/>
              <w:snapToGrid w:val="0"/>
              <w:spacing w:line="360" w:lineRule="auto"/>
              <w:ind w:firstLine="480" w:firstLineChars="200"/>
              <w:jc w:val="left"/>
              <w:rPr>
                <w:color w:val="000000"/>
                <w:sz w:val="24"/>
              </w:rPr>
            </w:pPr>
            <w:r>
              <w:rPr>
                <w:rFonts w:hint="eastAsia"/>
                <w:color w:val="000000"/>
                <w:sz w:val="24"/>
              </w:rPr>
              <w:t>各测点昼间和夜间的等效连续</w:t>
            </w:r>
            <w:r>
              <w:rPr>
                <w:color w:val="000000"/>
                <w:sz w:val="24"/>
              </w:rPr>
              <w:t>A</w:t>
            </w:r>
            <w:r>
              <w:rPr>
                <w:rFonts w:hint="eastAsia"/>
                <w:color w:val="000000"/>
                <w:sz w:val="24"/>
              </w:rPr>
              <w:t>声级（</w:t>
            </w:r>
            <w:r>
              <w:rPr>
                <w:color w:val="000000"/>
                <w:sz w:val="24"/>
              </w:rPr>
              <w:t>L</w:t>
            </w:r>
            <w:r>
              <w:rPr>
                <w:color w:val="000000"/>
                <w:sz w:val="24"/>
                <w:vertAlign w:val="subscript"/>
              </w:rPr>
              <w:t>Aeq</w:t>
            </w:r>
            <w:r>
              <w:rPr>
                <w:rFonts w:hint="eastAsia"/>
                <w:color w:val="000000"/>
                <w:sz w:val="24"/>
              </w:rPr>
              <w:t>），按实测值（</w:t>
            </w:r>
            <w:r>
              <w:rPr>
                <w:color w:val="000000"/>
                <w:sz w:val="24"/>
              </w:rPr>
              <w:t>LAeq</w:t>
            </w:r>
            <w:r>
              <w:rPr>
                <w:rFonts w:hint="eastAsia"/>
                <w:color w:val="000000"/>
                <w:sz w:val="24"/>
              </w:rPr>
              <w:t>）与评价标准直接比较进行。</w:t>
            </w:r>
          </w:p>
          <w:p>
            <w:pPr>
              <w:wordWrap w:val="0"/>
              <w:adjustRightInd w:val="0"/>
              <w:snapToGrid w:val="0"/>
              <w:spacing w:line="360" w:lineRule="auto"/>
              <w:ind w:firstLine="480" w:firstLineChars="200"/>
              <w:jc w:val="left"/>
              <w:rPr>
                <w:color w:val="000000"/>
                <w:sz w:val="24"/>
              </w:rPr>
            </w:pPr>
            <w:r>
              <w:rPr>
                <w:rFonts w:hint="eastAsia"/>
                <w:color w:val="000000"/>
                <w:sz w:val="24"/>
              </w:rPr>
              <w:t>（</w:t>
            </w:r>
            <w:r>
              <w:rPr>
                <w:color w:val="000000"/>
                <w:sz w:val="24"/>
              </w:rPr>
              <w:t>4</w:t>
            </w:r>
            <w:r>
              <w:rPr>
                <w:rFonts w:hint="eastAsia"/>
                <w:color w:val="000000"/>
                <w:sz w:val="24"/>
              </w:rPr>
              <w:t>）监测结果</w:t>
            </w:r>
          </w:p>
          <w:p>
            <w:pPr>
              <w:wordWrap w:val="0"/>
              <w:adjustRightInd w:val="0"/>
              <w:snapToGrid w:val="0"/>
              <w:spacing w:line="360" w:lineRule="auto"/>
              <w:ind w:firstLine="480" w:firstLineChars="200"/>
              <w:jc w:val="left"/>
              <w:rPr>
                <w:color w:val="000000"/>
                <w:sz w:val="24"/>
              </w:rPr>
            </w:pPr>
            <w:r>
              <w:rPr>
                <w:rFonts w:hint="eastAsia"/>
                <w:color w:val="000000"/>
                <w:sz w:val="24"/>
              </w:rPr>
              <w:t>监测结果见</w:t>
            </w:r>
            <w:r>
              <w:rPr>
                <w:color w:val="000000"/>
                <w:sz w:val="24"/>
              </w:rPr>
              <w:t>3-</w:t>
            </w:r>
            <w:r>
              <w:rPr>
                <w:rFonts w:hint="eastAsia"/>
                <w:color w:val="000000"/>
                <w:sz w:val="24"/>
              </w:rPr>
              <w:t>6：</w:t>
            </w:r>
          </w:p>
          <w:p>
            <w:pPr>
              <w:wordWrap w:val="0"/>
              <w:adjustRightInd w:val="0"/>
              <w:snapToGrid w:val="0"/>
              <w:spacing w:line="360" w:lineRule="auto"/>
              <w:jc w:val="center"/>
              <w:rPr>
                <w:b/>
                <w:color w:val="000000"/>
                <w:szCs w:val="21"/>
              </w:rPr>
            </w:pPr>
            <w:r>
              <w:rPr>
                <w:rFonts w:hint="eastAsia"/>
                <w:b/>
                <w:color w:val="000000"/>
                <w:szCs w:val="21"/>
              </w:rPr>
              <w:t>表</w:t>
            </w:r>
            <w:r>
              <w:rPr>
                <w:b/>
                <w:color w:val="000000"/>
                <w:szCs w:val="21"/>
              </w:rPr>
              <w:t>3-</w:t>
            </w:r>
            <w:r>
              <w:rPr>
                <w:rFonts w:hint="eastAsia"/>
                <w:b/>
                <w:color w:val="000000"/>
                <w:szCs w:val="21"/>
              </w:rPr>
              <w:t>6</w:t>
            </w:r>
            <w:r>
              <w:rPr>
                <w:b/>
                <w:color w:val="000000"/>
                <w:szCs w:val="21"/>
              </w:rPr>
              <w:t xml:space="preserve"> </w:t>
            </w:r>
            <w:r>
              <w:rPr>
                <w:rFonts w:hint="eastAsia"/>
                <w:b/>
                <w:color w:val="000000"/>
                <w:szCs w:val="21"/>
              </w:rPr>
              <w:t xml:space="preserve"> 声环境质量监测结果及评价单位：</w:t>
            </w:r>
            <w:r>
              <w:rPr>
                <w:b/>
                <w:color w:val="000000"/>
                <w:szCs w:val="21"/>
              </w:rPr>
              <w:t>dB</w:t>
            </w:r>
            <w:r>
              <w:rPr>
                <w:rFonts w:hint="eastAsia"/>
                <w:b/>
                <w:color w:val="000000"/>
                <w:szCs w:val="21"/>
              </w:rPr>
              <w:t>（</w:t>
            </w:r>
            <w:r>
              <w:rPr>
                <w:b/>
                <w:color w:val="000000"/>
                <w:szCs w:val="21"/>
              </w:rPr>
              <w:t>A</w:t>
            </w:r>
            <w:r>
              <w:rPr>
                <w:rFonts w:hint="eastAsia"/>
                <w:b/>
                <w:color w:val="000000"/>
                <w:szCs w:val="21"/>
              </w:rPr>
              <w:t>）</w:t>
            </w:r>
          </w:p>
          <w:tbl>
            <w:tblPr>
              <w:tblStyle w:val="39"/>
              <w:tblW w:w="74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2"/>
              <w:gridCol w:w="934"/>
              <w:gridCol w:w="950"/>
              <w:gridCol w:w="716"/>
              <w:gridCol w:w="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7" w:hRule="atLeast"/>
                <w:jc w:val="center"/>
              </w:trPr>
              <w:tc>
                <w:tcPr>
                  <w:tcW w:w="4192" w:type="dxa"/>
                  <w:vMerge w:val="restart"/>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b/>
                      <w:bCs/>
                      <w:color w:val="000000"/>
                      <w:kern w:val="0"/>
                      <w:szCs w:val="21"/>
                    </w:rPr>
                  </w:pPr>
                  <w:r>
                    <w:rPr>
                      <w:rFonts w:hint="eastAsia"/>
                      <w:b/>
                      <w:bCs/>
                      <w:color w:val="000000"/>
                      <w:kern w:val="0"/>
                      <w:szCs w:val="21"/>
                    </w:rPr>
                    <w:t>监测点位</w:t>
                  </w:r>
                </w:p>
              </w:tc>
              <w:tc>
                <w:tcPr>
                  <w:tcW w:w="3307" w:type="dxa"/>
                  <w:gridSpan w:val="4"/>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b/>
                      <w:bCs/>
                      <w:color w:val="000000"/>
                      <w:kern w:val="0"/>
                      <w:szCs w:val="21"/>
                    </w:rPr>
                  </w:pPr>
                  <w:r>
                    <w:rPr>
                      <w:rFonts w:hint="eastAsia"/>
                      <w:b/>
                      <w:bCs/>
                      <w:color w:val="000000"/>
                      <w:kern w:val="0"/>
                      <w:szCs w:val="21"/>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192" w:type="dxa"/>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1884" w:type="dxa"/>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rPr>
                    <w:t>2022.11.</w:t>
                  </w:r>
                  <w:r>
                    <w:rPr>
                      <w:rFonts w:hint="eastAsia"/>
                      <w:color w:val="000000"/>
                      <w:kern w:val="0"/>
                      <w:szCs w:val="21"/>
                      <w:lang w:val="en-US" w:eastAsia="zh-CN"/>
                    </w:rPr>
                    <w:t>13</w:t>
                  </w:r>
                </w:p>
              </w:tc>
              <w:tc>
                <w:tcPr>
                  <w:tcW w:w="1423" w:type="dxa"/>
                  <w:gridSpan w:val="2"/>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192" w:type="dxa"/>
                  <w:vMerge w:val="continue"/>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93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昼间</w:t>
                  </w:r>
                </w:p>
              </w:tc>
              <w:tc>
                <w:tcPr>
                  <w:tcW w:w="950"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夜间</w:t>
                  </w:r>
                </w:p>
              </w:tc>
              <w:tc>
                <w:tcPr>
                  <w:tcW w:w="716"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昼间</w:t>
                  </w:r>
                </w:p>
              </w:tc>
              <w:tc>
                <w:tcPr>
                  <w:tcW w:w="707"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1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1#新建青白渠</w:t>
                  </w:r>
                  <w:r>
                    <w:rPr>
                      <w:rFonts w:ascii="Times New Roman" w:hAnsi="Times New Roman"/>
                      <w:color w:val="000000"/>
                      <w:kern w:val="0"/>
                      <w:szCs w:val="21"/>
                    </w:rPr>
                    <w:t>管线</w:t>
                  </w:r>
                  <w:r>
                    <w:rPr>
                      <w:rFonts w:hint="eastAsia" w:ascii="Times New Roman" w:hAnsi="Times New Roman"/>
                      <w:sz w:val="21"/>
                      <w:szCs w:val="21"/>
                      <w:lang w:eastAsia="zh-CN"/>
                    </w:rPr>
                    <w:t>五雷山</w:t>
                  </w:r>
                  <w:r>
                    <w:rPr>
                      <w:rFonts w:ascii="Times New Roman" w:hAnsi="Times New Roman"/>
                      <w:sz w:val="21"/>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p>
              </w:tc>
              <w:tc>
                <w:tcPr>
                  <w:tcW w:w="93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43</w:t>
                  </w:r>
                </w:p>
              </w:tc>
              <w:tc>
                <w:tcPr>
                  <w:tcW w:w="950"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35</w:t>
                  </w:r>
                </w:p>
              </w:tc>
              <w:tc>
                <w:tcPr>
                  <w:tcW w:w="716" w:type="dxa"/>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color w:val="000000"/>
                      <w:kern w:val="0"/>
                      <w:szCs w:val="21"/>
                    </w:rPr>
                    <w:t>60</w:t>
                  </w:r>
                </w:p>
              </w:tc>
              <w:tc>
                <w:tcPr>
                  <w:tcW w:w="707" w:type="dxa"/>
                  <w:vMerge w:val="restart"/>
                  <w:tcBorders>
                    <w:top w:val="single" w:color="auto" w:sz="4" w:space="0"/>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color w:val="00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1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2#新建青白渠</w:t>
                  </w:r>
                  <w:r>
                    <w:rPr>
                      <w:rFonts w:ascii="Times New Roman" w:hAnsi="Times New Roman"/>
                      <w:color w:val="000000"/>
                      <w:kern w:val="0"/>
                      <w:szCs w:val="21"/>
                    </w:rPr>
                    <w:t>管线</w:t>
                  </w:r>
                  <w:r>
                    <w:rPr>
                      <w:rFonts w:hint="eastAsia" w:ascii="Times New Roman" w:hAnsi="Times New Roman"/>
                      <w:color w:val="000000"/>
                      <w:kern w:val="0"/>
                      <w:szCs w:val="21"/>
                      <w:lang w:eastAsia="zh-CN"/>
                    </w:rPr>
                    <w:t>王祠堂</w:t>
                  </w:r>
                  <w:r>
                    <w:rPr>
                      <w:rFonts w:ascii="Times New Roman" w:hAnsi="Times New Roman"/>
                      <w:color w:val="000000"/>
                      <w:kern w:val="0"/>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p>
              </w:tc>
              <w:tc>
                <w:tcPr>
                  <w:tcW w:w="93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46</w:t>
                  </w:r>
                </w:p>
              </w:tc>
              <w:tc>
                <w:tcPr>
                  <w:tcW w:w="950"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32</w:t>
                  </w:r>
                </w:p>
              </w:tc>
              <w:tc>
                <w:tcPr>
                  <w:tcW w:w="716"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707"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1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r>
                    <w:rPr>
                      <w:rFonts w:hint="eastAsia"/>
                      <w:color w:val="000000"/>
                      <w:kern w:val="0"/>
                      <w:szCs w:val="21"/>
                    </w:rPr>
                    <w:t>3#新建青白渠</w:t>
                  </w:r>
                  <w:r>
                    <w:rPr>
                      <w:rFonts w:ascii="Times New Roman" w:hAnsi="Times New Roman"/>
                      <w:color w:val="000000"/>
                      <w:kern w:val="0"/>
                      <w:szCs w:val="21"/>
                    </w:rPr>
                    <w:t>管线</w:t>
                  </w:r>
                  <w:r>
                    <w:rPr>
                      <w:rFonts w:hint="eastAsia" w:ascii="Times New Roman" w:hAnsi="Times New Roman"/>
                      <w:color w:val="000000"/>
                      <w:kern w:val="0"/>
                      <w:szCs w:val="21"/>
                      <w:lang w:eastAsia="zh-CN"/>
                    </w:rPr>
                    <w:t>大洪堂</w:t>
                  </w:r>
                  <w:r>
                    <w:rPr>
                      <w:rFonts w:ascii="Times New Roman" w:hAnsi="Times New Roman"/>
                      <w:color w:val="000000"/>
                      <w:kern w:val="0"/>
                      <w:szCs w:val="21"/>
                    </w:rPr>
                    <w:t>居民</w:t>
                  </w:r>
                  <w:r>
                    <w:rPr>
                      <w:rFonts w:hint="eastAsia" w:ascii="Times New Roman" w:hAnsi="Times New Roman"/>
                      <w:color w:val="000000"/>
                      <w:kern w:val="0"/>
                      <w:szCs w:val="21"/>
                    </w:rPr>
                    <w:t>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p>
              </w:tc>
              <w:tc>
                <w:tcPr>
                  <w:tcW w:w="93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49</w:t>
                  </w:r>
                </w:p>
              </w:tc>
              <w:tc>
                <w:tcPr>
                  <w:tcW w:w="950"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33</w:t>
                  </w:r>
                </w:p>
              </w:tc>
              <w:tc>
                <w:tcPr>
                  <w:tcW w:w="716"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707" w:type="dxa"/>
                  <w:vMerge w:val="continue"/>
                  <w:tcBorders>
                    <w:left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419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eastAsia"/>
                      <w:color w:val="000000"/>
                      <w:kern w:val="0"/>
                      <w:szCs w:val="21"/>
                    </w:rPr>
                  </w:pPr>
                  <w:r>
                    <w:rPr>
                      <w:rFonts w:hint="eastAsia" w:ascii="Times New Roman" w:hAnsi="Times New Roman"/>
                      <w:color w:val="000000"/>
                      <w:kern w:val="0"/>
                      <w:szCs w:val="21"/>
                    </w:rPr>
                    <w:t>4#</w:t>
                  </w:r>
                  <w:r>
                    <w:rPr>
                      <w:rFonts w:ascii="Times New Roman" w:hAnsi="Times New Roman"/>
                      <w:color w:val="000000"/>
                      <w:kern w:val="0"/>
                      <w:szCs w:val="21"/>
                    </w:rPr>
                    <w:t>整治右干渠右侧</w:t>
                  </w:r>
                  <w:r>
                    <w:rPr>
                      <w:rFonts w:hint="eastAsia" w:ascii="Times New Roman" w:hAnsi="Times New Roman"/>
                      <w:color w:val="000000"/>
                      <w:kern w:val="0"/>
                      <w:szCs w:val="21"/>
                      <w:lang w:eastAsia="zh-CN"/>
                    </w:rPr>
                    <w:t>大坝寺</w:t>
                  </w:r>
                  <w:r>
                    <w:rPr>
                      <w:rFonts w:ascii="Times New Roman" w:hAnsi="Times New Roman"/>
                      <w:color w:val="000000"/>
                      <w:kern w:val="0"/>
                      <w:szCs w:val="21"/>
                    </w:rPr>
                    <w:t>居民点</w:t>
                  </w:r>
                  <w:r>
                    <w:rPr>
                      <w:rFonts w:hint="eastAsia" w:ascii="Times New Roman" w:hAnsi="Times New Roman"/>
                      <w:sz w:val="21"/>
                      <w:szCs w:val="21"/>
                      <w:lang w:eastAsia="zh-CN"/>
                    </w:rPr>
                    <w:t>外</w:t>
                  </w:r>
                  <w:r>
                    <w:rPr>
                      <w:rFonts w:hint="eastAsia" w:ascii="Times New Roman" w:hAnsi="Times New Roman"/>
                      <w:sz w:val="21"/>
                      <w:szCs w:val="21"/>
                      <w:lang w:val="en-US" w:eastAsia="zh-CN"/>
                    </w:rPr>
                    <w:t>1m处</w:t>
                  </w:r>
                </w:p>
              </w:tc>
              <w:tc>
                <w:tcPr>
                  <w:tcW w:w="934"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47</w:t>
                  </w:r>
                </w:p>
              </w:tc>
              <w:tc>
                <w:tcPr>
                  <w:tcW w:w="950"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rFonts w:hint="default" w:eastAsia="宋体"/>
                      <w:color w:val="000000"/>
                      <w:kern w:val="0"/>
                      <w:szCs w:val="21"/>
                      <w:lang w:val="en-US" w:eastAsia="zh-CN"/>
                    </w:rPr>
                  </w:pPr>
                  <w:r>
                    <w:rPr>
                      <w:rFonts w:hint="eastAsia"/>
                      <w:color w:val="000000"/>
                      <w:kern w:val="0"/>
                      <w:szCs w:val="21"/>
                      <w:lang w:val="en-US" w:eastAsia="zh-CN"/>
                    </w:rPr>
                    <w:t>36</w:t>
                  </w:r>
                </w:p>
              </w:tc>
              <w:tc>
                <w:tcPr>
                  <w:tcW w:w="716" w:type="dxa"/>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c>
                <w:tcPr>
                  <w:tcW w:w="707" w:type="dxa"/>
                  <w:vMerge w:val="continue"/>
                  <w:tcBorders>
                    <w:left w:val="single" w:color="auto" w:sz="4" w:space="0"/>
                    <w:bottom w:val="single" w:color="auto" w:sz="4" w:space="0"/>
                    <w:right w:val="single" w:color="auto" w:sz="4" w:space="0"/>
                  </w:tcBorders>
                  <w:noWrap w:val="0"/>
                  <w:vAlign w:val="center"/>
                </w:tcPr>
                <w:p>
                  <w:pPr>
                    <w:wordWrap w:val="0"/>
                    <w:autoSpaceDE w:val="0"/>
                    <w:autoSpaceDN w:val="0"/>
                    <w:adjustRightInd w:val="0"/>
                    <w:spacing w:line="240" w:lineRule="exact"/>
                    <w:jc w:val="center"/>
                    <w:rPr>
                      <w:color w:val="000000"/>
                      <w:kern w:val="0"/>
                      <w:szCs w:val="21"/>
                    </w:rPr>
                  </w:pPr>
                </w:p>
              </w:tc>
            </w:tr>
          </w:tbl>
          <w:p>
            <w:pPr>
              <w:adjustRightInd w:val="0"/>
              <w:snapToGrid w:val="0"/>
              <w:spacing w:line="360" w:lineRule="auto"/>
              <w:ind w:firstLine="480" w:firstLineChars="200"/>
              <w:rPr>
                <w:b/>
                <w:color w:val="000000"/>
                <w:sz w:val="24"/>
              </w:rPr>
            </w:pPr>
            <w:r>
              <w:rPr>
                <w:rFonts w:hint="eastAsia"/>
                <w:color w:val="000000"/>
                <w:sz w:val="24"/>
              </w:rPr>
              <w:t>表</w:t>
            </w:r>
            <w:r>
              <w:rPr>
                <w:color w:val="000000"/>
                <w:sz w:val="24"/>
              </w:rPr>
              <w:t>3-</w:t>
            </w:r>
            <w:r>
              <w:rPr>
                <w:rFonts w:hint="eastAsia"/>
                <w:color w:val="000000"/>
                <w:sz w:val="24"/>
              </w:rPr>
              <w:t>6的监测结果统计表可以看出，项目区域的声环境能够满足《声环境质量标准》（</w:t>
            </w:r>
            <w:r>
              <w:rPr>
                <w:color w:val="000000"/>
                <w:sz w:val="24"/>
              </w:rPr>
              <w:t>GB3096-2008</w:t>
            </w:r>
            <w:r>
              <w:rPr>
                <w:rFonts w:hint="eastAsia"/>
                <w:color w:val="000000"/>
                <w:sz w:val="24"/>
              </w:rPr>
              <w:t>）</w:t>
            </w:r>
            <w:r>
              <w:rPr>
                <w:color w:val="000000"/>
                <w:sz w:val="24"/>
              </w:rPr>
              <w:t>2</w:t>
            </w:r>
            <w:r>
              <w:rPr>
                <w:rFonts w:hint="eastAsia"/>
                <w:color w:val="000000"/>
                <w:sz w:val="24"/>
              </w:rPr>
              <w:t>类标准要求，区域声环境质量较好。</w:t>
            </w:r>
          </w:p>
          <w:p>
            <w:pPr>
              <w:adjustRightInd w:val="0"/>
              <w:snapToGrid w:val="0"/>
              <w:spacing w:line="360" w:lineRule="auto"/>
              <w:ind w:firstLine="482" w:firstLineChars="200"/>
              <w:rPr>
                <w:rFonts w:hint="eastAsia"/>
                <w:b/>
                <w:color w:val="000000"/>
                <w:sz w:val="24"/>
              </w:rPr>
            </w:pPr>
            <w:r>
              <w:rPr>
                <w:rFonts w:hint="eastAsia"/>
                <w:b/>
                <w:color w:val="000000"/>
                <w:sz w:val="24"/>
              </w:rPr>
              <w:t>4、土壤环境现状</w:t>
            </w:r>
          </w:p>
          <w:p>
            <w:pPr>
              <w:pStyle w:val="223"/>
              <w:bidi w:val="0"/>
              <w:rPr>
                <w:rFonts w:ascii="Times New Roman" w:hAnsi="Times New Roman"/>
                <w:bCs/>
                <w:color w:val="000000"/>
                <w:sz w:val="24"/>
              </w:rPr>
            </w:pPr>
            <w:r>
              <w:rPr>
                <w:rFonts w:hint="eastAsia"/>
                <w:bCs/>
                <w:color w:val="000000"/>
                <w:sz w:val="24"/>
              </w:rPr>
              <w:t>本项目为灌区续建配套和节水改造项目，项</w:t>
            </w:r>
            <w:r>
              <w:rPr>
                <w:rFonts w:ascii="Times New Roman" w:hAnsi="Times New Roman"/>
                <w:bCs/>
                <w:color w:val="000000"/>
                <w:sz w:val="24"/>
              </w:rPr>
              <w:t>目运营过程中除噪声外基本上并无其他污染物产生。根据《环境影响评价技术导则</w:t>
            </w:r>
            <w:r>
              <w:rPr>
                <w:rFonts w:hint="eastAsia" w:ascii="Times New Roman" w:hAnsi="Times New Roman"/>
                <w:bCs/>
                <w:color w:val="000000"/>
                <w:sz w:val="24"/>
              </w:rPr>
              <w:t xml:space="preserve"> </w:t>
            </w:r>
            <w:r>
              <w:rPr>
                <w:rFonts w:ascii="Times New Roman" w:hAnsi="Times New Roman"/>
                <w:bCs/>
                <w:color w:val="000000"/>
                <w:sz w:val="24"/>
              </w:rPr>
              <w:t>土壤环境（试行）》（HJ964-2018）附录A，属于属于“</w:t>
            </w:r>
            <w:r>
              <w:rPr>
                <w:rFonts w:hint="eastAsia" w:ascii="Times New Roman" w:hAnsi="Times New Roman"/>
                <w:bCs/>
                <w:color w:val="000000"/>
                <w:sz w:val="24"/>
              </w:rPr>
              <w:t>农林牧渔业</w:t>
            </w:r>
            <w:r>
              <w:rPr>
                <w:rFonts w:ascii="Times New Roman" w:hAnsi="Times New Roman"/>
                <w:bCs/>
                <w:color w:val="000000"/>
                <w:sz w:val="24"/>
              </w:rPr>
              <w:t>-其他”，列入Ⅳ类项目。根据《环境影响评价技术导则</w:t>
            </w:r>
            <w:r>
              <w:rPr>
                <w:rFonts w:hint="eastAsia" w:ascii="Times New Roman" w:hAnsi="Times New Roman"/>
                <w:bCs/>
                <w:color w:val="000000"/>
                <w:sz w:val="24"/>
              </w:rPr>
              <w:t xml:space="preserve"> </w:t>
            </w:r>
            <w:r>
              <w:rPr>
                <w:rFonts w:ascii="Times New Roman" w:hAnsi="Times New Roman"/>
                <w:bCs/>
                <w:color w:val="000000"/>
                <w:sz w:val="24"/>
              </w:rPr>
              <w:t>土壤环境（试行）》（HJ964-2018）表1中生态影响型敏感程度分级表，本项目土壤敏感程度为“不敏感”，可不开展土壤环境质量现状监测和土壤环境影响评价。</w:t>
            </w:r>
          </w:p>
          <w:p>
            <w:pPr>
              <w:adjustRightInd w:val="0"/>
              <w:snapToGrid w:val="0"/>
              <w:spacing w:line="360" w:lineRule="auto"/>
              <w:ind w:firstLine="482" w:firstLineChars="200"/>
              <w:rPr>
                <w:rFonts w:hint="eastAsia"/>
                <w:b/>
                <w:color w:val="000000"/>
                <w:sz w:val="24"/>
              </w:rPr>
            </w:pPr>
            <w:r>
              <w:rPr>
                <w:rFonts w:hint="eastAsia"/>
                <w:b/>
                <w:color w:val="000000"/>
                <w:sz w:val="24"/>
              </w:rPr>
              <w:t>5、地下水环境现状</w:t>
            </w:r>
          </w:p>
          <w:p>
            <w:pPr>
              <w:pStyle w:val="223"/>
              <w:bidi w:val="0"/>
            </w:pPr>
            <w:r>
              <w:rPr>
                <w:rFonts w:hint="eastAsia"/>
              </w:rPr>
              <w:t>本项目属于输水管线工程，根据《环境影响评价技术导则 地下水环境》（HJ610-2016），项目属于“A水利-2、灌区工程-其他和3、引水工程-其他”，因此本项目地下水环境影响评价项目类别为Ⅳ类，可不开展地下水环境影响评价工作。本项目不开展地下水环境质量现状监测和地下水环境影响评价。</w:t>
            </w:r>
          </w:p>
          <w:p>
            <w:pPr>
              <w:adjustRightInd w:val="0"/>
              <w:snapToGrid w:val="0"/>
              <w:spacing w:line="360" w:lineRule="auto"/>
              <w:ind w:firstLine="482" w:firstLineChars="200"/>
              <w:rPr>
                <w:rFonts w:hint="eastAsia"/>
                <w:b/>
                <w:color w:val="000000"/>
                <w:sz w:val="24"/>
              </w:rPr>
            </w:pPr>
            <w:r>
              <w:rPr>
                <w:rFonts w:hint="eastAsia"/>
                <w:b/>
                <w:color w:val="000000"/>
                <w:sz w:val="24"/>
              </w:rPr>
              <w:t>6、生态环境现状调查</w:t>
            </w:r>
          </w:p>
          <w:p>
            <w:pPr>
              <w:autoSpaceDE w:val="0"/>
              <w:autoSpaceDN w:val="0"/>
              <w:adjustRightInd w:val="0"/>
              <w:snapToGrid w:val="0"/>
              <w:spacing w:line="360" w:lineRule="auto"/>
              <w:ind w:firstLine="482" w:firstLineChars="200"/>
              <w:jc w:val="left"/>
              <w:rPr>
                <w:rFonts w:hint="eastAsia"/>
                <w:b/>
                <w:color w:val="000000"/>
                <w:sz w:val="24"/>
              </w:rPr>
            </w:pPr>
            <w:r>
              <w:rPr>
                <w:rFonts w:hint="eastAsia"/>
                <w:b/>
                <w:color w:val="000000"/>
                <w:sz w:val="24"/>
              </w:rPr>
              <w:t>（1）生态评价等级</w:t>
            </w:r>
          </w:p>
          <w:p>
            <w:pPr>
              <w:pStyle w:val="223"/>
              <w:bidi w:val="0"/>
            </w:pPr>
            <w:r>
              <w:rPr>
                <w:rFonts w:hint="eastAsia"/>
              </w:rPr>
              <w:t>本项目根据《环境影响评价技术导则 生态影响》（HJ19-2022）中“6 评价等级和评价范围确定”，评价等级判定见下表。</w:t>
            </w:r>
          </w:p>
          <w:p>
            <w:pPr>
              <w:pStyle w:val="270"/>
            </w:pPr>
            <w:r>
              <w:t>表</w:t>
            </w:r>
            <w:r>
              <w:rPr>
                <w:rFonts w:hint="eastAsia"/>
              </w:rPr>
              <w:t>3-7   评价等级判定表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28"/>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128" w:type="dxa"/>
                  <w:tcBorders>
                    <w:tl2br w:val="nil"/>
                    <w:tr2bl w:val="nil"/>
                  </w:tcBorders>
                  <w:noWrap w:val="0"/>
                  <w:vAlign w:val="center"/>
                </w:tcPr>
                <w:p>
                  <w:pPr>
                    <w:pStyle w:val="269"/>
                    <w:ind w:firstLine="482"/>
                    <w:rPr>
                      <w:b/>
                      <w:sz w:val="21"/>
                      <w:szCs w:val="21"/>
                    </w:rPr>
                  </w:pPr>
                  <w:r>
                    <w:rPr>
                      <w:rFonts w:hint="eastAsia"/>
                      <w:b/>
                      <w:sz w:val="21"/>
                      <w:szCs w:val="21"/>
                    </w:rPr>
                    <w:t>原则</w:t>
                  </w:r>
                </w:p>
              </w:tc>
              <w:tc>
                <w:tcPr>
                  <w:tcW w:w="3134" w:type="dxa"/>
                  <w:tcBorders>
                    <w:tl2br w:val="nil"/>
                    <w:tr2bl w:val="nil"/>
                  </w:tcBorders>
                  <w:noWrap w:val="0"/>
                  <w:vAlign w:val="center"/>
                </w:tcPr>
                <w:p>
                  <w:pPr>
                    <w:pStyle w:val="269"/>
                    <w:ind w:firstLine="482"/>
                    <w:rPr>
                      <w:b/>
                      <w:sz w:val="21"/>
                      <w:szCs w:val="21"/>
                    </w:rPr>
                  </w:pPr>
                  <w:r>
                    <w:rPr>
                      <w:rFonts w:hint="eastAsia"/>
                      <w:b/>
                      <w:sz w:val="21"/>
                      <w:szCs w:val="21"/>
                    </w:rPr>
                    <w:t>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a、涉及国家公园、自然保护区、世界自然遗产、重要生境时，评价等级为一级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本项目不涉及国家公园、自然保护区、世界自然遗产、重要生境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b、涉及自然公园时，评价等级为二级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本项目不涉及自然公园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c、涉及生态保护红线时，评价等级不低于二级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本项目不涉及生态红线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d、根据HJ 2.3判断属于水文要素影响型且地表水评价等级不低于二级的建设项目，生态影响评价等级不低于二级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本项目地表水评价等级为3级B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e、根据HJ 610、HJ 964判断地下水水位或土壤影响范围内分布有天然林、公益林、湿地等生态保护目标的建设项目，生态影响评价等级不低于二级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本项目地下水水位及土壤影响范围内未分布有天然林、公益林、湿地等生态保护目标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4"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f、当工程占地规模大于20km</w:t>
                  </w:r>
                  <w:r>
                    <w:rPr>
                      <w:rFonts w:hint="eastAsia"/>
                      <w:sz w:val="21"/>
                      <w:szCs w:val="21"/>
                      <w:vertAlign w:val="superscript"/>
                    </w:rPr>
                    <w:t>2</w:t>
                  </w:r>
                  <w:r>
                    <w:rPr>
                      <w:rFonts w:hint="eastAsia"/>
                      <w:sz w:val="21"/>
                      <w:szCs w:val="21"/>
                    </w:rPr>
                    <w:t>时（包括永久和临时用地占用陆域和水域），评价等级不低于二级；改扩建项目的占地范围以新增占地（包括陆域和水域）确定</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本项目占地面积小于20km</w:t>
                  </w:r>
                  <w:r>
                    <w:rPr>
                      <w:rFonts w:hint="eastAsia"/>
                      <w:sz w:val="21"/>
                      <w:szCs w:val="21"/>
                      <w:vertAlign w:val="superscript"/>
                    </w:rPr>
                    <w:t>2</w:t>
                  </w:r>
                  <w:r>
                    <w:rPr>
                      <w:rFonts w:hint="eastAsia"/>
                      <w:sz w:val="21"/>
                      <w:szCs w:val="21"/>
                    </w:rPr>
                    <w:t>，本项目不属于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128" w:type="dxa"/>
                  <w:tcBorders>
                    <w:tl2br w:val="nil"/>
                    <w:tr2bl w:val="nil"/>
                  </w:tcBorders>
                  <w:noWrap w:val="0"/>
                  <w:vAlign w:val="center"/>
                </w:tcPr>
                <w:p>
                  <w:pPr>
                    <w:pStyle w:val="269"/>
                    <w:ind w:firstLine="480"/>
                    <w:rPr>
                      <w:sz w:val="21"/>
                      <w:szCs w:val="21"/>
                    </w:rPr>
                  </w:pPr>
                  <w:r>
                    <w:rPr>
                      <w:rFonts w:hint="eastAsia"/>
                      <w:sz w:val="21"/>
                      <w:szCs w:val="21"/>
                    </w:rPr>
                    <w:t>g、除a、b、c、d、e、f以外的情况，评价等级为三级</w:t>
                  </w:r>
                </w:p>
              </w:tc>
              <w:tc>
                <w:tcPr>
                  <w:tcW w:w="3134" w:type="dxa"/>
                  <w:tcBorders>
                    <w:tl2br w:val="nil"/>
                    <w:tr2bl w:val="nil"/>
                  </w:tcBorders>
                  <w:noWrap w:val="0"/>
                  <w:vAlign w:val="center"/>
                </w:tcPr>
                <w:p>
                  <w:pPr>
                    <w:pStyle w:val="269"/>
                    <w:ind w:firstLine="480"/>
                    <w:rPr>
                      <w:sz w:val="21"/>
                      <w:szCs w:val="21"/>
                    </w:rPr>
                  </w:pPr>
                  <w:r>
                    <w:rPr>
                      <w:rFonts w:hint="eastAsia"/>
                      <w:sz w:val="21"/>
                      <w:szCs w:val="21"/>
                    </w:rPr>
                    <w:t>本项目不涉及a、b、c、d、e、f中情况，本项目评价等级为三级</w:t>
                  </w:r>
                </w:p>
              </w:tc>
            </w:tr>
          </w:tbl>
          <w:p>
            <w:pPr>
              <w:autoSpaceDE w:val="0"/>
              <w:autoSpaceDN w:val="0"/>
              <w:adjustRightInd w:val="0"/>
              <w:snapToGrid w:val="0"/>
              <w:spacing w:line="360" w:lineRule="auto"/>
              <w:ind w:firstLine="480" w:firstLineChars="200"/>
              <w:jc w:val="left"/>
              <w:rPr>
                <w:rFonts w:hint="eastAsia"/>
                <w:color w:val="000000"/>
              </w:rPr>
            </w:pPr>
            <w:r>
              <w:rPr>
                <w:rFonts w:hint="eastAsia"/>
                <w:color w:val="000000"/>
                <w:sz w:val="24"/>
              </w:rPr>
              <w:t>综上，本项目生态评价工作等级为三级。本项目为线性工程，未穿越生态敏感区。</w:t>
            </w:r>
          </w:p>
          <w:p>
            <w:pPr>
              <w:autoSpaceDE w:val="0"/>
              <w:autoSpaceDN w:val="0"/>
              <w:adjustRightInd w:val="0"/>
              <w:snapToGrid w:val="0"/>
              <w:spacing w:line="360" w:lineRule="auto"/>
              <w:ind w:firstLine="482" w:firstLineChars="200"/>
              <w:jc w:val="left"/>
              <w:rPr>
                <w:rFonts w:hint="eastAsia"/>
                <w:b/>
                <w:color w:val="000000"/>
                <w:sz w:val="24"/>
              </w:rPr>
            </w:pPr>
            <w:r>
              <w:rPr>
                <w:rFonts w:hint="eastAsia"/>
                <w:b/>
                <w:color w:val="000000"/>
                <w:sz w:val="24"/>
              </w:rPr>
              <w:t>（2）主体功能区划</w:t>
            </w:r>
          </w:p>
          <w:p>
            <w:pPr>
              <w:adjustRightInd w:val="0"/>
              <w:snapToGrid w:val="0"/>
              <w:spacing w:line="360" w:lineRule="auto"/>
              <w:rPr>
                <w:rFonts w:ascii="宋体" w:hAnsi="宋体" w:cs="宋体"/>
                <w:b/>
                <w:kern w:val="0"/>
                <w:sz w:val="24"/>
                <w:szCs w:val="21"/>
              </w:rPr>
            </w:pPr>
            <w:r>
              <w:rPr>
                <w:rFonts w:hint="eastAsia" w:ascii="宋体" w:hAnsi="宋体" w:cs="宋体"/>
                <w:b/>
                <w:kern w:val="0"/>
                <w:sz w:val="24"/>
                <w:szCs w:val="21"/>
              </w:rPr>
              <w:t>一、四川省主体功能区划情况</w:t>
            </w:r>
          </w:p>
          <w:p>
            <w:pPr>
              <w:pStyle w:val="223"/>
              <w:bidi w:val="0"/>
              <w:rPr>
                <w:rFonts w:hint="eastAsia"/>
                <w:kern w:val="0"/>
                <w:sz w:val="24"/>
                <w:szCs w:val="21"/>
              </w:rPr>
            </w:pPr>
            <w:r>
              <w:rPr>
                <w:kern w:val="0"/>
                <w:sz w:val="24"/>
                <w:szCs w:val="21"/>
              </w:rPr>
              <w:t>2013</w:t>
            </w:r>
            <w:r>
              <w:rPr>
                <w:rFonts w:hAnsi="宋体"/>
                <w:kern w:val="0"/>
                <w:sz w:val="24"/>
                <w:szCs w:val="21"/>
              </w:rPr>
              <w:t>年</w:t>
            </w:r>
            <w:r>
              <w:rPr>
                <w:kern w:val="0"/>
                <w:sz w:val="24"/>
                <w:szCs w:val="21"/>
              </w:rPr>
              <w:t>4</w:t>
            </w:r>
            <w:r>
              <w:rPr>
                <w:rFonts w:hAnsi="宋体"/>
                <w:kern w:val="0"/>
                <w:sz w:val="24"/>
                <w:szCs w:val="21"/>
              </w:rPr>
              <w:t>月，四川省人民政府以</w:t>
            </w:r>
            <w:r>
              <w:rPr>
                <w:rFonts w:ascii="宋体" w:hAnsi="宋体"/>
                <w:kern w:val="0"/>
                <w:sz w:val="24"/>
                <w:szCs w:val="21"/>
              </w:rPr>
              <w:t>“川</w:t>
            </w:r>
            <w:r>
              <w:rPr>
                <w:rFonts w:hAnsi="宋体"/>
                <w:kern w:val="0"/>
                <w:sz w:val="24"/>
                <w:szCs w:val="21"/>
              </w:rPr>
              <w:t>府发</w:t>
            </w:r>
            <w:r>
              <w:rPr>
                <w:kern w:val="0"/>
                <w:sz w:val="24"/>
                <w:szCs w:val="21"/>
              </w:rPr>
              <w:t>[2013]16</w:t>
            </w:r>
            <w:r>
              <w:rPr>
                <w:rFonts w:ascii="宋体" w:hAnsi="宋体"/>
                <w:kern w:val="0"/>
                <w:sz w:val="24"/>
                <w:szCs w:val="21"/>
              </w:rPr>
              <w:t>号”</w:t>
            </w:r>
            <w:r>
              <w:rPr>
                <w:rFonts w:hAnsi="宋体"/>
                <w:kern w:val="0"/>
                <w:sz w:val="24"/>
                <w:szCs w:val="21"/>
              </w:rPr>
              <w:t>文印发《四川省人民政府关于印发四川省主体功能区规划的通知》。《四川省主体功能区规划》根据《国务院关于编制全国主体功能区规划的意见》（国发</w:t>
            </w:r>
            <w:r>
              <w:rPr>
                <w:kern w:val="0"/>
                <w:sz w:val="24"/>
                <w:szCs w:val="21"/>
              </w:rPr>
              <w:t>[2007]21</w:t>
            </w:r>
            <w:r>
              <w:rPr>
                <w:rFonts w:hAnsi="宋体"/>
                <w:kern w:val="0"/>
                <w:sz w:val="24"/>
                <w:szCs w:val="21"/>
              </w:rPr>
              <w:t>号）、《全国主</w:t>
            </w:r>
            <w:r>
              <w:rPr>
                <w:kern w:val="0"/>
                <w:sz w:val="24"/>
                <w:szCs w:val="21"/>
              </w:rPr>
              <w:t>体功能区规划》编制。本项目位于</w:t>
            </w:r>
            <w:r>
              <w:rPr>
                <w:rFonts w:hint="eastAsia"/>
                <w:kern w:val="0"/>
                <w:sz w:val="24"/>
                <w:szCs w:val="21"/>
              </w:rPr>
              <w:t>乐山市市中区</w:t>
            </w:r>
            <w:r>
              <w:rPr>
                <w:kern w:val="0"/>
                <w:sz w:val="24"/>
                <w:szCs w:val="21"/>
              </w:rPr>
              <w:t>，</w:t>
            </w:r>
            <w:r>
              <w:rPr>
                <w:rFonts w:hint="eastAsia"/>
                <w:kern w:val="0"/>
                <w:sz w:val="24"/>
                <w:szCs w:val="21"/>
              </w:rPr>
              <w:t>根据《四川省主体功能区划》，属于重点开发区域。根据《四川省生态功能区划》，项目属于川西高山峡谷水源涵养与水土保持功能亚区。</w:t>
            </w:r>
          </w:p>
          <w:p>
            <w:pPr>
              <w:pStyle w:val="223"/>
              <w:bidi w:val="0"/>
            </w:pPr>
            <w:r>
              <w:rPr>
                <w:rFonts w:hint="eastAsia"/>
              </w:rPr>
              <w:t>本项目属于引水工程项目，项目工程区不涉及自然保护区、风景名胜区、水源保护地等生态红线的开发区域，所以本项目符合《四川主体功能区规划》的相关情况。</w:t>
            </w:r>
          </w:p>
          <w:p>
            <w:pPr>
              <w:adjustRightInd w:val="0"/>
              <w:snapToGrid w:val="0"/>
              <w:spacing w:line="360" w:lineRule="auto"/>
              <w:ind w:firstLine="480" w:firstLineChars="200"/>
              <w:rPr>
                <w:kern w:val="0"/>
                <w:sz w:val="24"/>
                <w:szCs w:val="21"/>
              </w:rPr>
            </w:pPr>
            <w:r>
              <w:rPr>
                <w:rFonts w:hint="eastAsia"/>
                <w:kern w:val="0"/>
                <w:sz w:val="24"/>
                <w:szCs w:val="21"/>
              </w:rPr>
              <w:t>2、四川省生态功能区划</w:t>
            </w:r>
          </w:p>
          <w:p>
            <w:pPr>
              <w:adjustRightInd w:val="0"/>
              <w:snapToGrid w:val="0"/>
              <w:spacing w:line="360" w:lineRule="auto"/>
              <w:ind w:firstLine="480" w:firstLineChars="200"/>
              <w:rPr>
                <w:rFonts w:hint="eastAsia"/>
                <w:kern w:val="0"/>
                <w:sz w:val="24"/>
                <w:szCs w:val="21"/>
              </w:rPr>
            </w:pPr>
            <w:r>
              <w:rPr>
                <w:rFonts w:hint="eastAsia"/>
                <w:kern w:val="0"/>
                <w:sz w:val="24"/>
                <w:szCs w:val="21"/>
              </w:rPr>
              <w:t>根据2006年5月实施的《四川省生态功能区划》，项目位于重点开发区域中的成都平原地区。</w:t>
            </w:r>
          </w:p>
          <w:p>
            <w:pPr>
              <w:adjustRightInd w:val="0"/>
              <w:snapToGrid w:val="0"/>
              <w:spacing w:line="360" w:lineRule="auto"/>
              <w:ind w:firstLine="480" w:firstLineChars="200"/>
              <w:rPr>
                <w:rFonts w:hint="eastAsia"/>
                <w:kern w:val="0"/>
                <w:sz w:val="24"/>
                <w:szCs w:val="21"/>
              </w:rPr>
            </w:pPr>
            <w:r>
              <w:rPr>
                <w:rFonts w:hint="eastAsia"/>
                <w:kern w:val="0"/>
                <w:sz w:val="24"/>
                <w:szCs w:val="21"/>
              </w:rPr>
              <w:t>该区域是国家层面的重点开发区域，是全国“两横三纵”城市化战略格局中重要组成部分，是成渝地区的核心区域之一。该区域位于四川盆地西部，龙泉山和龙门山一邛崃山之间。自然条件优越，人口、经济、城镇密集，产业基础雄厚，基础设施完备，科技和人才集聚，辐射带动能力较强，对外开放程度高，发展条件好，是全省经济核心区和带动西部经济社会发展的重要增长极。</w:t>
            </w:r>
          </w:p>
          <w:p>
            <w:pPr>
              <w:adjustRightInd w:val="0"/>
              <w:snapToGrid w:val="0"/>
              <w:spacing w:line="360" w:lineRule="auto"/>
              <w:ind w:firstLine="480" w:firstLineChars="200"/>
              <w:rPr>
                <w:rFonts w:hint="eastAsia"/>
                <w:kern w:val="0"/>
                <w:sz w:val="24"/>
                <w:szCs w:val="21"/>
              </w:rPr>
            </w:pPr>
            <w:r>
              <w:rPr>
                <w:rFonts w:hint="eastAsia"/>
                <w:kern w:val="0"/>
                <w:sz w:val="24"/>
                <w:szCs w:val="21"/>
              </w:rPr>
              <w:t>该区域主体功能定位：西部地区重要的经济中心，全国重要的综合交通枢纽、商贸物流中心和金融中心，以及先进制造业基地、科技创新产业化基地和农产品加工基地。</w:t>
            </w:r>
          </w:p>
          <w:p>
            <w:pPr>
              <w:adjustRightInd w:val="0"/>
              <w:snapToGrid w:val="0"/>
              <w:spacing w:line="360" w:lineRule="auto"/>
              <w:ind w:firstLine="480" w:firstLineChars="200"/>
              <w:rPr>
                <w:rFonts w:hint="eastAsia"/>
                <w:kern w:val="0"/>
                <w:sz w:val="24"/>
                <w:szCs w:val="21"/>
              </w:rPr>
            </w:pPr>
            <w:r>
              <w:rPr>
                <w:rFonts w:hint="eastAsia"/>
                <w:kern w:val="0"/>
                <w:sz w:val="24"/>
                <w:szCs w:val="21"/>
              </w:rPr>
              <w:t>——构建以成都为核心，以成德绵乐为主轴，以周边其他节点城市为支撑的空间开发格局。</w:t>
            </w:r>
          </w:p>
          <w:p>
            <w:pPr>
              <w:adjustRightInd w:val="0"/>
              <w:snapToGrid w:val="0"/>
              <w:spacing w:line="360" w:lineRule="auto"/>
              <w:ind w:firstLine="480" w:firstLineChars="200"/>
              <w:rPr>
                <w:rFonts w:hint="eastAsia"/>
                <w:kern w:val="0"/>
                <w:sz w:val="24"/>
                <w:szCs w:val="21"/>
              </w:rPr>
            </w:pPr>
            <w:r>
              <w:rPr>
                <w:rFonts w:hint="eastAsia"/>
                <w:kern w:val="0"/>
                <w:sz w:val="24"/>
                <w:szCs w:val="21"/>
              </w:rPr>
              <w:t>——强化成都中心城市功能，提升综合服务能力，建设成为全国重要的综合交通、通信枢纽和商贸物流、金融、文化教育中心。推进四川成都天府新区建设，形成以现代制造业为主、高端服务业集聚，宜业、宜商、宜居的国际化现代新城区。</w:t>
            </w:r>
          </w:p>
          <w:p>
            <w:pPr>
              <w:adjustRightInd w:val="0"/>
              <w:snapToGrid w:val="0"/>
              <w:spacing w:line="360" w:lineRule="auto"/>
              <w:ind w:firstLine="480" w:firstLineChars="200"/>
              <w:rPr>
                <w:rFonts w:hint="eastAsia"/>
                <w:kern w:val="0"/>
                <w:sz w:val="24"/>
                <w:szCs w:val="21"/>
              </w:rPr>
            </w:pPr>
            <w:r>
              <w:rPr>
                <w:rFonts w:hint="eastAsia"/>
                <w:kern w:val="0"/>
                <w:sz w:val="24"/>
                <w:szCs w:val="21"/>
              </w:rPr>
              <w:t>——壮大成德绵乐发展带，增强电子信息、先进装备制造、生物医药、石化、农产品加工、新能源等产业的集聚功能，加强产业互补和城市功能对接，推进一体化进程。</w:t>
            </w:r>
          </w:p>
          <w:p>
            <w:pPr>
              <w:adjustRightInd w:val="0"/>
              <w:snapToGrid w:val="0"/>
              <w:spacing w:line="360" w:lineRule="auto"/>
              <w:ind w:firstLine="480" w:firstLineChars="200"/>
              <w:rPr>
                <w:rFonts w:hint="eastAsia"/>
                <w:kern w:val="0"/>
                <w:sz w:val="24"/>
                <w:szCs w:val="21"/>
              </w:rPr>
            </w:pPr>
            <w:r>
              <w:rPr>
                <w:rFonts w:hint="eastAsia"/>
                <w:kern w:val="0"/>
                <w:sz w:val="24"/>
                <w:szCs w:val="21"/>
              </w:rPr>
              <w:t>——壮大其他节点城市人口和经济规模，增强先进制造业和现代服务业的集聚功能，加强产业互补和城市功能对接，形成本区域新的增长点。提高标准化农产品精深加工和现代农业物流水平，发展农业循环经济和农村新能源。</w:t>
            </w:r>
          </w:p>
          <w:p>
            <w:pPr>
              <w:adjustRightInd w:val="0"/>
              <w:snapToGrid w:val="0"/>
              <w:spacing w:line="360" w:lineRule="auto"/>
              <w:ind w:firstLine="480" w:firstLineChars="200"/>
              <w:rPr>
                <w:rFonts w:hint="eastAsia"/>
                <w:kern w:val="0"/>
                <w:sz w:val="24"/>
                <w:szCs w:val="21"/>
              </w:rPr>
            </w:pPr>
            <w:r>
              <w:rPr>
                <w:rFonts w:hint="eastAsia"/>
                <w:kern w:val="0"/>
                <w:sz w:val="24"/>
                <w:szCs w:val="21"/>
              </w:rPr>
              <w:t>——加强水资源的合理开发、优化配置、高效利用和有效保护，提高水源保障能力；加强岷江、沱江、涪江等水系生态环境保护。强化龙泉山等山脉的生态保护与建设，构建以龙门山一邛崃山脉、龙泉山为屏障，以岷江、沱江、涪江为纽带的生态格局。加强防洪基础设施建设，加强山洪灾害防治，提高水旱灾害应对能力。</w:t>
            </w:r>
          </w:p>
          <w:p>
            <w:pPr>
              <w:adjustRightInd w:val="0"/>
              <w:snapToGrid w:val="0"/>
              <w:spacing w:line="360" w:lineRule="auto"/>
              <w:ind w:firstLine="480" w:firstLineChars="200"/>
              <w:rPr>
                <w:rFonts w:hint="eastAsia"/>
                <w:kern w:val="0"/>
                <w:sz w:val="24"/>
                <w:szCs w:val="21"/>
              </w:rPr>
            </w:pPr>
            <w:r>
              <w:rPr>
                <w:rFonts w:hint="eastAsia"/>
                <w:kern w:val="0"/>
                <w:sz w:val="24"/>
                <w:szCs w:val="21"/>
              </w:rPr>
              <w:t>本项目属于引水工程工程项目，为区域的其他产业带来极大的正效益，因此本项目与《四川省主体功能区规划》是协调的。</w:t>
            </w:r>
          </w:p>
          <w:p>
            <w:pPr>
              <w:adjustRightInd w:val="0"/>
              <w:snapToGrid w:val="0"/>
              <w:spacing w:line="360" w:lineRule="auto"/>
              <w:ind w:firstLine="482" w:firstLineChars="200"/>
              <w:rPr>
                <w:rFonts w:hint="eastAsia"/>
                <w:kern w:val="0"/>
                <w:sz w:val="24"/>
                <w:szCs w:val="21"/>
              </w:rPr>
            </w:pPr>
            <w:r>
              <w:rPr>
                <w:rFonts w:hint="eastAsia"/>
                <w:b/>
                <w:kern w:val="0"/>
                <w:sz w:val="24"/>
                <w:szCs w:val="21"/>
              </w:rPr>
              <w:t>因此，本项目的建设与《四川省生态功能区划》的相关要求不矛盾。</w:t>
            </w:r>
          </w:p>
          <w:p>
            <w:pPr>
              <w:adjustRightInd w:val="0"/>
              <w:snapToGrid w:val="0"/>
              <w:spacing w:line="360" w:lineRule="auto"/>
              <w:rPr>
                <w:rFonts w:ascii="宋体" w:hAnsi="宋体" w:cs="宋体"/>
                <w:b/>
                <w:kern w:val="0"/>
                <w:sz w:val="24"/>
                <w:szCs w:val="21"/>
              </w:rPr>
            </w:pPr>
            <w:r>
              <w:rPr>
                <w:rFonts w:hint="eastAsia" w:ascii="宋体" w:hAnsi="宋体" w:cs="宋体"/>
                <w:b/>
                <w:kern w:val="0"/>
                <w:sz w:val="24"/>
                <w:szCs w:val="21"/>
              </w:rPr>
              <w:t>二、生态环境质量现状</w:t>
            </w:r>
          </w:p>
          <w:p>
            <w:pPr>
              <w:autoSpaceDE w:val="0"/>
              <w:autoSpaceDN w:val="0"/>
              <w:adjustRightInd w:val="0"/>
              <w:snapToGrid w:val="0"/>
              <w:spacing w:line="360" w:lineRule="auto"/>
              <w:ind w:firstLine="480" w:firstLineChars="200"/>
              <w:rPr>
                <w:rFonts w:hint="eastAsia" w:ascii="宋体" w:hAnsi="宋体" w:cs="宋体"/>
                <w:color w:val="000000"/>
                <w:kern w:val="0"/>
                <w:sz w:val="24"/>
              </w:rPr>
            </w:pPr>
            <w:r>
              <w:rPr>
                <w:rFonts w:hint="eastAsia" w:ascii="宋体" w:hAnsi="宋体" w:cs="宋体"/>
                <w:color w:val="000000"/>
                <w:kern w:val="0"/>
                <w:sz w:val="24"/>
              </w:rPr>
              <w:t>根据《四川省主体功能区规划》，本工程位于成都平原地区，属于重点开发区域。该区域主体功能定位：西部地区重要的经济中心，全国重要的综合交通枢纽、商贸物流中心和金融中心，以及先进制造业基地、科技创新产业化基地和农产品加工基地。本项目不新增占地，不会对区域提供农产品的主体功能造成影响；该灌区整治工程的实施，可提高灌溉水利用系数，保证工农业生产的持续发展，有利于社会的稳定，符合《四川省主体功能区规划》。</w:t>
            </w:r>
          </w:p>
          <w:p>
            <w:pPr>
              <w:autoSpaceDE w:val="0"/>
              <w:autoSpaceDN w:val="0"/>
              <w:adjustRightInd w:val="0"/>
              <w:snapToGrid w:val="0"/>
              <w:spacing w:line="360" w:lineRule="auto"/>
              <w:ind w:firstLine="482" w:firstLineChars="200"/>
              <w:jc w:val="left"/>
              <w:rPr>
                <w:b/>
                <w:color w:val="000000"/>
                <w:sz w:val="24"/>
              </w:rPr>
            </w:pPr>
            <w:r>
              <w:rPr>
                <w:rFonts w:hint="eastAsia"/>
                <w:b/>
                <w:color w:val="000000"/>
                <w:sz w:val="24"/>
              </w:rPr>
              <w:t>（3）生态功能区划</w:t>
            </w:r>
          </w:p>
          <w:p>
            <w:pPr>
              <w:adjustRightInd w:val="0"/>
              <w:snapToGrid w:val="0"/>
              <w:spacing w:line="360" w:lineRule="auto"/>
              <w:ind w:firstLine="480" w:firstLineChars="200"/>
              <w:rPr>
                <w:rFonts w:ascii="Times New Roman" w:hAnsi="Times New Roman"/>
                <w:bCs/>
                <w:color w:val="000000"/>
                <w:sz w:val="24"/>
              </w:rPr>
            </w:pPr>
            <w:r>
              <w:rPr>
                <w:rFonts w:ascii="Times New Roman" w:hAnsi="Times New Roman"/>
                <w:color w:val="000000"/>
                <w:sz w:val="24"/>
              </w:rPr>
              <w:t>根据《全国生态功能区划（修编版）》（环保部和中科院公告2015年第61号），评价区属于生态调节功能区（I）—水源涵养功能区—岷山-邛崃山-凉山生物多样性保护与水源涵养重要区。</w:t>
            </w:r>
            <w:r>
              <w:rPr>
                <w:rFonts w:hint="eastAsia"/>
                <w:color w:val="000000"/>
                <w:sz w:val="24"/>
              </w:rPr>
              <w:t>根据2006年5月实施的《四川省生态功能区划》，项目所在区域属于“川西南山地亚热带半湿润气候生态区”中的“Ⅱ-2-1峨眉山—大风顶生物多样性保护与水源涵养生态功能区”，生态亚区属于“川西南山地常绿阔叶林生态亚区（Ⅱ-2）”。</w:t>
            </w:r>
          </w:p>
          <w:p>
            <w:pPr>
              <w:pStyle w:val="138"/>
              <w:rPr>
                <w:rFonts w:hint="eastAsia"/>
                <w:color w:val="000000"/>
              </w:rPr>
            </w:pPr>
            <w:r>
              <w:rPr>
                <w:rFonts w:hint="eastAsia"/>
                <w:color w:val="000000"/>
              </w:rPr>
              <w:t>本亚区行政区域涉及雅安市、乐山市和凉山彝族自治州的大部，宜宾市的部分地区。面积约4.46万平方公里。本亚区北部为高山峡谷区，东部呈山原地貌，西南部地貌以中山宽谷为.主，一般海拔1400~3000米，是地质灾害易发区。气候属亚热带湿润季风气候，年均气温10~2℃，≥10℃积温4250~6000℃，年降水740~1750亳米。区内河流分属青衣江、大渡河、金沙江、雅砻江、安宁河水系。植被垂直分布明显，森林类型主要有常绿阔叶林、常绿与落叶阔叶混交林和亚高山针叶林，生物多样性丰富，分布有大熊猫、四川山鹧鸪、珙桐等多种国家保护野生动植物，建有多个国家级和省级自然保护区。本区水力资源和矿产资源富集。本区东北部是我省多雨区和重要水源涵养区。</w:t>
            </w:r>
          </w:p>
          <w:p>
            <w:pPr>
              <w:pStyle w:val="138"/>
              <w:ind w:firstLine="482"/>
              <w:rPr>
                <w:rFonts w:ascii="宋体" w:hAnsi="宋体" w:cs="宋体"/>
                <w:b/>
                <w:color w:val="000000"/>
              </w:rPr>
            </w:pPr>
            <w:r>
              <w:rPr>
                <w:rFonts w:hint="eastAsia"/>
                <w:b/>
                <w:color w:val="000000"/>
              </w:rPr>
              <w:t>（4）陆生生态</w:t>
            </w:r>
          </w:p>
          <w:p>
            <w:pPr>
              <w:autoSpaceDE w:val="0"/>
              <w:autoSpaceDN w:val="0"/>
              <w:adjustRightInd w:val="0"/>
              <w:snapToGrid w:val="0"/>
              <w:spacing w:line="360" w:lineRule="auto"/>
              <w:ind w:firstLine="480" w:firstLineChars="200"/>
              <w:rPr>
                <w:rFonts w:ascii="宋体" w:hAnsi="宋体" w:cs="宋体"/>
                <w:color w:val="000000"/>
                <w:kern w:val="0"/>
                <w:sz w:val="24"/>
              </w:rPr>
            </w:pPr>
            <w:r>
              <w:rPr>
                <w:rFonts w:hint="eastAsia" w:ascii="宋体" w:hAnsi="宋体" w:cs="宋体"/>
                <w:color w:val="000000"/>
                <w:kern w:val="0"/>
                <w:sz w:val="24"/>
              </w:rPr>
              <w:t>①土地利用类型</w:t>
            </w:r>
          </w:p>
          <w:p>
            <w:pPr>
              <w:adjustRightInd w:val="0"/>
              <w:snapToGrid w:val="0"/>
              <w:spacing w:line="360" w:lineRule="auto"/>
              <w:ind w:firstLine="480" w:firstLineChars="200"/>
              <w:rPr>
                <w:bCs/>
                <w:color w:val="000000"/>
                <w:sz w:val="24"/>
              </w:rPr>
            </w:pPr>
            <w:r>
              <w:rPr>
                <w:rFonts w:hint="eastAsia"/>
                <w:color w:val="000000"/>
                <w:sz w:val="24"/>
              </w:rPr>
              <w:t>本项目位于乐山市市中区青平镇、白马镇、茅桥镇。本工程将新建一条灌溉渠道青白渠，渠道管线采用地埋的方式</w:t>
            </w:r>
            <w:r>
              <w:rPr>
                <w:rFonts w:hint="eastAsia"/>
                <w:color w:val="000000"/>
                <w:sz w:val="24"/>
                <w:shd w:val="clear" w:color="auto" w:fill="auto"/>
              </w:rPr>
              <w:t>，不新增永久占地，</w:t>
            </w:r>
            <w:r>
              <w:rPr>
                <w:rFonts w:hint="eastAsia"/>
                <w:color w:val="000000"/>
                <w:sz w:val="24"/>
              </w:rPr>
              <w:t>；右干渠明渠整治在原有的</w:t>
            </w:r>
            <w:r>
              <w:rPr>
                <w:rFonts w:hint="eastAsia" w:ascii="宋体" w:hAnsi="宋体" w:cs="宋体"/>
                <w:color w:val="000000"/>
                <w:kern w:val="0"/>
                <w:sz w:val="24"/>
              </w:rPr>
              <w:t>渠道上整治，不新增永久占地；</w:t>
            </w:r>
            <w:r>
              <w:rPr>
                <w:rFonts w:hint="eastAsia"/>
                <w:bCs/>
                <w:color w:val="000000"/>
                <w:sz w:val="24"/>
              </w:rPr>
              <w:t>工程总占地面积10.41hm</w:t>
            </w:r>
            <w:r>
              <w:rPr>
                <w:rFonts w:hint="eastAsia"/>
                <w:bCs/>
                <w:color w:val="000000"/>
                <w:sz w:val="24"/>
                <w:vertAlign w:val="superscript"/>
              </w:rPr>
              <w:t>2</w:t>
            </w:r>
            <w:r>
              <w:rPr>
                <w:rFonts w:hint="eastAsia"/>
                <w:bCs/>
                <w:color w:val="000000"/>
                <w:sz w:val="24"/>
              </w:rPr>
              <w:t>，其中主体工程永久占地3.64hm</w:t>
            </w:r>
            <w:r>
              <w:rPr>
                <w:rFonts w:hint="eastAsia"/>
                <w:bCs/>
                <w:color w:val="000000"/>
                <w:sz w:val="24"/>
                <w:vertAlign w:val="superscript"/>
              </w:rPr>
              <w:t>2</w:t>
            </w:r>
            <w:r>
              <w:rPr>
                <w:rFonts w:hint="eastAsia"/>
                <w:bCs/>
                <w:color w:val="000000"/>
                <w:sz w:val="24"/>
              </w:rPr>
              <w:t>，临时占地6.77hm</w:t>
            </w:r>
            <w:r>
              <w:rPr>
                <w:rFonts w:hint="eastAsia"/>
                <w:bCs/>
                <w:color w:val="000000"/>
                <w:sz w:val="24"/>
                <w:vertAlign w:val="superscript"/>
              </w:rPr>
              <w:t>2</w:t>
            </w:r>
            <w:r>
              <w:rPr>
                <w:rFonts w:hint="eastAsia"/>
                <w:bCs/>
                <w:color w:val="000000"/>
                <w:sz w:val="24"/>
              </w:rPr>
              <w:t>。主要占地类型为水域及水利设施用地、耕地、草地及林地，</w:t>
            </w:r>
            <w:r>
              <w:rPr>
                <w:rFonts w:hint="eastAsia" w:ascii="宋体" w:hAnsi="宋体" w:cs="宋体"/>
                <w:color w:val="000000"/>
                <w:kern w:val="0"/>
                <w:sz w:val="24"/>
              </w:rPr>
              <w:t>施工结束后对临时占地进行复垦复绿。</w:t>
            </w:r>
          </w:p>
          <w:p>
            <w:pPr>
              <w:pStyle w:val="138"/>
              <w:ind w:firstLine="0" w:firstLineChars="0"/>
              <w:jc w:val="center"/>
              <w:rPr>
                <w:rFonts w:hint="eastAsia"/>
                <w:b/>
                <w:color w:val="000000"/>
                <w:sz w:val="21"/>
                <w:szCs w:val="21"/>
              </w:rPr>
            </w:pPr>
            <w:r>
              <w:rPr>
                <w:rFonts w:hint="eastAsia"/>
                <w:b/>
                <w:color w:val="000000"/>
                <w:sz w:val="21"/>
                <w:szCs w:val="21"/>
              </w:rPr>
              <w:t>表3-8  工程占地特性表</w:t>
            </w:r>
          </w:p>
          <w:tbl>
            <w:tblPr>
              <w:tblStyle w:val="39"/>
              <w:tblW w:w="76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720"/>
              <w:gridCol w:w="680"/>
              <w:gridCol w:w="1148"/>
              <w:gridCol w:w="1094"/>
              <w:gridCol w:w="1445"/>
              <w:gridCol w:w="7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493" w:type="dxa"/>
                  <w:gridSpan w:val="2"/>
                  <w:vMerge w:val="restart"/>
                  <w:tcBorders>
                    <w:tl2br w:val="single" w:color="auto" w:sz="4" w:space="0"/>
                  </w:tcBorders>
                  <w:noWrap w:val="0"/>
                  <w:vAlign w:val="center"/>
                </w:tcPr>
                <w:p>
                  <w:pPr>
                    <w:adjustRightInd w:val="0"/>
                    <w:snapToGrid w:val="0"/>
                    <w:jc w:val="right"/>
                    <w:rPr>
                      <w:rFonts w:ascii="Times New Roman" w:hAnsi="Times New Roman"/>
                      <w:snapToGrid w:val="0"/>
                      <w:szCs w:val="21"/>
                    </w:rPr>
                  </w:pPr>
                  <w:r>
                    <w:rPr>
                      <w:rFonts w:ascii="Times New Roman" w:hAnsi="Times New Roman"/>
                      <w:snapToGrid w:val="0"/>
                      <w:szCs w:val="21"/>
                    </w:rPr>
                    <w:t>占地类型</w:t>
                  </w:r>
                </w:p>
                <w:p>
                  <w:pPr>
                    <w:adjustRightInd w:val="0"/>
                    <w:snapToGrid w:val="0"/>
                    <w:rPr>
                      <w:rFonts w:ascii="Times New Roman" w:hAnsi="Times New Roman"/>
                      <w:snapToGrid w:val="0"/>
                      <w:szCs w:val="21"/>
                    </w:rPr>
                  </w:pPr>
                  <w:r>
                    <w:rPr>
                      <w:rFonts w:ascii="Times New Roman" w:hAnsi="Times New Roman"/>
                      <w:snapToGrid w:val="0"/>
                      <w:szCs w:val="21"/>
                    </w:rPr>
                    <w:t>项目分区</w:t>
                  </w:r>
                </w:p>
              </w:tc>
              <w:tc>
                <w:tcPr>
                  <w:tcW w:w="680"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耕地</w:t>
                  </w:r>
                </w:p>
              </w:tc>
              <w:tc>
                <w:tcPr>
                  <w:tcW w:w="1148"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林地</w:t>
                  </w:r>
                </w:p>
              </w:tc>
              <w:tc>
                <w:tcPr>
                  <w:tcW w:w="1094"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草地</w:t>
                  </w:r>
                </w:p>
              </w:tc>
              <w:tc>
                <w:tcPr>
                  <w:tcW w:w="1445"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水域及水利设施用地</w:t>
                  </w:r>
                </w:p>
              </w:tc>
              <w:tc>
                <w:tcPr>
                  <w:tcW w:w="797" w:type="dxa"/>
                  <w:vMerge w:val="restart"/>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小计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493" w:type="dxa"/>
                  <w:gridSpan w:val="2"/>
                  <w:vMerge w:val="continue"/>
                  <w:tcBorders>
                    <w:tl2br w:val="single" w:color="auto" w:sz="4" w:space="0"/>
                  </w:tcBorders>
                  <w:noWrap w:val="0"/>
                  <w:vAlign w:val="center"/>
                </w:tcPr>
                <w:p>
                  <w:pPr>
                    <w:adjustRightInd w:val="0"/>
                    <w:snapToGrid w:val="0"/>
                    <w:jc w:val="center"/>
                    <w:rPr>
                      <w:rFonts w:ascii="Times New Roman" w:hAnsi="Times New Roman"/>
                      <w:snapToGrid w:val="0"/>
                      <w:szCs w:val="21"/>
                    </w:rPr>
                  </w:pPr>
                </w:p>
              </w:tc>
              <w:tc>
                <w:tcPr>
                  <w:tcW w:w="680"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旱地</w:t>
                  </w:r>
                </w:p>
              </w:tc>
              <w:tc>
                <w:tcPr>
                  <w:tcW w:w="1148"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其他林地</w:t>
                  </w:r>
                </w:p>
              </w:tc>
              <w:tc>
                <w:tcPr>
                  <w:tcW w:w="1094" w:type="dxa"/>
                  <w:noWrap w:val="0"/>
                  <w:vAlign w:val="center"/>
                </w:tcPr>
                <w:p>
                  <w:pPr>
                    <w:adjustRightInd w:val="0"/>
                    <w:snapToGrid w:val="0"/>
                    <w:ind w:left="-120" w:leftChars="-50" w:right="-120" w:rightChars="-50"/>
                    <w:jc w:val="center"/>
                    <w:rPr>
                      <w:rFonts w:ascii="Times New Roman" w:hAnsi="Times New Roman"/>
                      <w:snapToGrid w:val="0"/>
                      <w:spacing w:val="-4"/>
                      <w:szCs w:val="21"/>
                    </w:rPr>
                  </w:pPr>
                  <w:r>
                    <w:rPr>
                      <w:rFonts w:ascii="Times New Roman" w:hAnsi="Times New Roman"/>
                      <w:snapToGrid w:val="0"/>
                      <w:spacing w:val="-4"/>
                      <w:szCs w:val="21"/>
                    </w:rPr>
                    <w:t>其他草地</w:t>
                  </w:r>
                </w:p>
              </w:tc>
              <w:tc>
                <w:tcPr>
                  <w:tcW w:w="1445" w:type="dxa"/>
                  <w:noWrap w:val="0"/>
                  <w:vAlign w:val="center"/>
                </w:tcPr>
                <w:p>
                  <w:pPr>
                    <w:adjustRightInd w:val="0"/>
                    <w:snapToGrid w:val="0"/>
                    <w:ind w:left="-120" w:leftChars="-50" w:right="-120" w:rightChars="-50"/>
                    <w:jc w:val="center"/>
                    <w:rPr>
                      <w:rFonts w:ascii="Times New Roman" w:hAnsi="Times New Roman"/>
                      <w:snapToGrid w:val="0"/>
                      <w:spacing w:val="-4"/>
                      <w:szCs w:val="21"/>
                    </w:rPr>
                  </w:pPr>
                  <w:r>
                    <w:rPr>
                      <w:rFonts w:ascii="Times New Roman" w:hAnsi="Times New Roman"/>
                      <w:snapToGrid w:val="0"/>
                      <w:spacing w:val="-4"/>
                      <w:szCs w:val="21"/>
                    </w:rPr>
                    <w:t>沟渠</w:t>
                  </w:r>
                </w:p>
              </w:tc>
              <w:tc>
                <w:tcPr>
                  <w:tcW w:w="797" w:type="dxa"/>
                  <w:vMerge w:val="continue"/>
                  <w:noWrap w:val="0"/>
                  <w:vAlign w:val="center"/>
                </w:tcPr>
                <w:p>
                  <w:pPr>
                    <w:adjustRightInd w:val="0"/>
                    <w:snapToGrid w:val="0"/>
                    <w:jc w:val="center"/>
                    <w:rPr>
                      <w:rFonts w:ascii="Times New Roman" w:hAnsi="Times New Roman"/>
                      <w:snapToGrid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exact"/>
                <w:jc w:val="center"/>
              </w:trPr>
              <w:tc>
                <w:tcPr>
                  <w:tcW w:w="773"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永久</w:t>
                  </w:r>
                </w:p>
                <w:p>
                  <w:pPr>
                    <w:adjustRightInd w:val="0"/>
                    <w:snapToGrid w:val="0"/>
                    <w:jc w:val="center"/>
                    <w:rPr>
                      <w:rFonts w:ascii="Times New Roman" w:hAnsi="Times New Roman"/>
                      <w:snapToGrid w:val="0"/>
                      <w:szCs w:val="21"/>
                    </w:rPr>
                  </w:pPr>
                  <w:r>
                    <w:rPr>
                      <w:rFonts w:ascii="Times New Roman" w:hAnsi="Times New Roman"/>
                      <w:snapToGrid w:val="0"/>
                      <w:szCs w:val="21"/>
                    </w:rPr>
                    <w:t>占地</w:t>
                  </w:r>
                </w:p>
              </w:tc>
              <w:tc>
                <w:tcPr>
                  <w:tcW w:w="1720" w:type="dxa"/>
                  <w:noWrap w:val="0"/>
                  <w:vAlign w:val="center"/>
                </w:tcPr>
                <w:p>
                  <w:pPr>
                    <w:adjustRightInd w:val="0"/>
                    <w:snapToGrid w:val="0"/>
                    <w:ind w:left="-120" w:leftChars="-50" w:right="-120" w:rightChars="-50"/>
                    <w:jc w:val="center"/>
                    <w:rPr>
                      <w:rFonts w:ascii="Times New Roman" w:hAnsi="Times New Roman"/>
                      <w:snapToGrid w:val="0"/>
                      <w:szCs w:val="21"/>
                    </w:rPr>
                  </w:pPr>
                  <w:r>
                    <w:rPr>
                      <w:rFonts w:ascii="Times New Roman" w:hAnsi="Times New Roman"/>
                      <w:snapToGrid w:val="0"/>
                      <w:szCs w:val="21"/>
                    </w:rPr>
                    <w:t>主体工程占地区</w:t>
                  </w:r>
                </w:p>
              </w:tc>
              <w:tc>
                <w:tcPr>
                  <w:tcW w:w="68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0.33</w:t>
                  </w:r>
                </w:p>
              </w:tc>
              <w:tc>
                <w:tcPr>
                  <w:tcW w:w="1148"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2.87</w:t>
                  </w:r>
                </w:p>
              </w:tc>
              <w:tc>
                <w:tcPr>
                  <w:tcW w:w="1094"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445"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0.44</w:t>
                  </w:r>
                </w:p>
              </w:tc>
              <w:tc>
                <w:tcPr>
                  <w:tcW w:w="797"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773" w:type="dxa"/>
                  <w:vMerge w:val="restart"/>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临时</w:t>
                  </w:r>
                </w:p>
                <w:p>
                  <w:pPr>
                    <w:adjustRightInd w:val="0"/>
                    <w:snapToGrid w:val="0"/>
                    <w:jc w:val="center"/>
                    <w:rPr>
                      <w:rFonts w:ascii="Times New Roman" w:hAnsi="Times New Roman"/>
                      <w:snapToGrid w:val="0"/>
                      <w:szCs w:val="21"/>
                    </w:rPr>
                  </w:pPr>
                  <w:r>
                    <w:rPr>
                      <w:rFonts w:ascii="Times New Roman" w:hAnsi="Times New Roman"/>
                      <w:snapToGrid w:val="0"/>
                      <w:szCs w:val="21"/>
                    </w:rPr>
                    <w:t>占地</w:t>
                  </w:r>
                </w:p>
              </w:tc>
              <w:tc>
                <w:tcPr>
                  <w:tcW w:w="172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施工工区占地区</w:t>
                  </w:r>
                </w:p>
              </w:tc>
              <w:tc>
                <w:tcPr>
                  <w:tcW w:w="68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0.51</w:t>
                  </w:r>
                </w:p>
              </w:tc>
              <w:tc>
                <w:tcPr>
                  <w:tcW w:w="1148"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094"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445"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797"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773" w:type="dxa"/>
                  <w:vMerge w:val="continue"/>
                  <w:noWrap w:val="0"/>
                  <w:vAlign w:val="center"/>
                </w:tcPr>
                <w:p>
                  <w:pPr>
                    <w:adjustRightInd w:val="0"/>
                    <w:snapToGrid w:val="0"/>
                    <w:jc w:val="center"/>
                    <w:rPr>
                      <w:rFonts w:ascii="Times New Roman" w:hAnsi="Times New Roman"/>
                      <w:snapToGrid w:val="0"/>
                      <w:szCs w:val="21"/>
                    </w:rPr>
                  </w:pPr>
                </w:p>
              </w:tc>
              <w:tc>
                <w:tcPr>
                  <w:tcW w:w="172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弃渣场占地区</w:t>
                  </w:r>
                </w:p>
              </w:tc>
              <w:tc>
                <w:tcPr>
                  <w:tcW w:w="68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148"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094"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0.05</w:t>
                  </w:r>
                </w:p>
              </w:tc>
              <w:tc>
                <w:tcPr>
                  <w:tcW w:w="1445"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797"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773" w:type="dxa"/>
                  <w:vMerge w:val="continue"/>
                  <w:noWrap w:val="0"/>
                  <w:vAlign w:val="center"/>
                </w:tcPr>
                <w:p>
                  <w:pPr>
                    <w:adjustRightInd w:val="0"/>
                    <w:snapToGrid w:val="0"/>
                    <w:jc w:val="center"/>
                    <w:rPr>
                      <w:rFonts w:ascii="Times New Roman" w:hAnsi="Times New Roman"/>
                      <w:snapToGrid w:val="0"/>
                      <w:szCs w:val="21"/>
                    </w:rPr>
                  </w:pPr>
                </w:p>
              </w:tc>
              <w:tc>
                <w:tcPr>
                  <w:tcW w:w="172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施工道路区</w:t>
                  </w:r>
                </w:p>
              </w:tc>
              <w:tc>
                <w:tcPr>
                  <w:tcW w:w="68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148"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1.20</w:t>
                  </w:r>
                </w:p>
              </w:tc>
              <w:tc>
                <w:tcPr>
                  <w:tcW w:w="1094"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445" w:type="dxa"/>
                  <w:noWrap w:val="0"/>
                  <w:vAlign w:val="center"/>
                </w:tcPr>
                <w:p>
                  <w:pPr>
                    <w:adjustRightInd w:val="0"/>
                    <w:snapToGrid w:val="0"/>
                    <w:jc w:val="center"/>
                    <w:rPr>
                      <w:rFonts w:ascii="Times New Roman" w:hAnsi="Times New Roman"/>
                      <w:snapToGrid w:val="0"/>
                      <w:szCs w:val="21"/>
                    </w:rPr>
                  </w:pPr>
                </w:p>
              </w:tc>
              <w:tc>
                <w:tcPr>
                  <w:tcW w:w="797"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773" w:type="dxa"/>
                  <w:vMerge w:val="continue"/>
                  <w:noWrap w:val="0"/>
                  <w:vAlign w:val="center"/>
                </w:tcPr>
                <w:p>
                  <w:pPr>
                    <w:adjustRightInd w:val="0"/>
                    <w:snapToGrid w:val="0"/>
                    <w:jc w:val="center"/>
                    <w:rPr>
                      <w:rFonts w:ascii="Times New Roman" w:hAnsi="Times New Roman"/>
                      <w:snapToGrid w:val="0"/>
                      <w:szCs w:val="21"/>
                    </w:rPr>
                  </w:pPr>
                </w:p>
              </w:tc>
              <w:tc>
                <w:tcPr>
                  <w:tcW w:w="172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渠道施工作业带区</w:t>
                  </w:r>
                </w:p>
              </w:tc>
              <w:tc>
                <w:tcPr>
                  <w:tcW w:w="680"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0.45</w:t>
                  </w:r>
                </w:p>
              </w:tc>
              <w:tc>
                <w:tcPr>
                  <w:tcW w:w="1148"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4.56</w:t>
                  </w:r>
                </w:p>
              </w:tc>
              <w:tc>
                <w:tcPr>
                  <w:tcW w:w="1094"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1445"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797" w:type="dxa"/>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exact"/>
                <w:jc w:val="center"/>
              </w:trPr>
              <w:tc>
                <w:tcPr>
                  <w:tcW w:w="2493" w:type="dxa"/>
                  <w:gridSpan w:val="2"/>
                  <w:noWrap w:val="0"/>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合  计</w:t>
                  </w:r>
                </w:p>
              </w:tc>
              <w:tc>
                <w:tcPr>
                  <w:tcW w:w="680" w:type="dxa"/>
                  <w:noWrap w:val="0"/>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1.29</w:t>
                  </w:r>
                </w:p>
              </w:tc>
              <w:tc>
                <w:tcPr>
                  <w:tcW w:w="1148" w:type="dxa"/>
                  <w:noWrap w:val="0"/>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8.63</w:t>
                  </w:r>
                </w:p>
              </w:tc>
              <w:tc>
                <w:tcPr>
                  <w:tcW w:w="1094" w:type="dxa"/>
                  <w:noWrap w:val="0"/>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0.05</w:t>
                  </w:r>
                </w:p>
              </w:tc>
              <w:tc>
                <w:tcPr>
                  <w:tcW w:w="1445" w:type="dxa"/>
                  <w:noWrap w:val="0"/>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0.44</w:t>
                  </w:r>
                </w:p>
              </w:tc>
              <w:tc>
                <w:tcPr>
                  <w:tcW w:w="797" w:type="dxa"/>
                  <w:noWrap w:val="0"/>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10.41</w:t>
                  </w:r>
                </w:p>
              </w:tc>
            </w:tr>
          </w:tbl>
          <w:p>
            <w:pPr>
              <w:autoSpaceDE w:val="0"/>
              <w:autoSpaceDN w:val="0"/>
              <w:adjustRightInd w:val="0"/>
              <w:snapToGrid w:val="0"/>
              <w:spacing w:line="360" w:lineRule="auto"/>
              <w:ind w:firstLine="480" w:firstLineChars="200"/>
              <w:rPr>
                <w:color w:val="000000"/>
                <w:kern w:val="0"/>
                <w:sz w:val="24"/>
              </w:rPr>
            </w:pPr>
            <w:r>
              <w:rPr>
                <w:rFonts w:hint="eastAsia" w:ascii="宋体" w:hAnsi="宋体" w:cs="宋体"/>
                <w:color w:val="000000"/>
                <w:kern w:val="0"/>
                <w:sz w:val="24"/>
              </w:rPr>
              <w:t>②</w:t>
            </w:r>
            <w:r>
              <w:rPr>
                <w:rFonts w:hint="eastAsia" w:ascii="宋体" w:hAnsi="宋体"/>
                <w:color w:val="000000"/>
                <w:sz w:val="24"/>
              </w:rPr>
              <w:t>植被类型分布现状</w:t>
            </w:r>
          </w:p>
          <w:p>
            <w:pPr>
              <w:autoSpaceDE w:val="0"/>
              <w:autoSpaceDN w:val="0"/>
              <w:adjustRightInd w:val="0"/>
              <w:snapToGrid w:val="0"/>
              <w:spacing w:line="360" w:lineRule="auto"/>
              <w:ind w:firstLine="480" w:firstLineChars="200"/>
              <w:rPr>
                <w:rFonts w:hint="eastAsia" w:hAnsi="宋体"/>
                <w:color w:val="000000"/>
                <w:kern w:val="0"/>
                <w:sz w:val="24"/>
              </w:rPr>
            </w:pPr>
            <w:r>
              <w:rPr>
                <w:rFonts w:hint="eastAsia" w:hAnsi="宋体"/>
                <w:color w:val="000000"/>
                <w:kern w:val="0"/>
                <w:sz w:val="24"/>
              </w:rPr>
              <w:t>根据《中国植被》和《四川植被》，本项目评价区内的植被类型主要以壳斗科、杉科、松科、蔷薇科、槭树科、忍冬科、禾本科、桑科、杨柳科、樟科为主。</w:t>
            </w:r>
          </w:p>
          <w:p>
            <w:pPr>
              <w:autoSpaceDE w:val="0"/>
              <w:autoSpaceDN w:val="0"/>
              <w:adjustRightInd w:val="0"/>
              <w:snapToGrid w:val="0"/>
              <w:spacing w:line="360" w:lineRule="auto"/>
              <w:ind w:firstLine="480" w:firstLineChars="200"/>
              <w:rPr>
                <w:rFonts w:hAnsi="宋体"/>
                <w:color w:val="000000"/>
                <w:kern w:val="0"/>
                <w:sz w:val="24"/>
              </w:rPr>
            </w:pPr>
            <w:r>
              <w:rPr>
                <w:rFonts w:hint="eastAsia" w:hAnsi="宋体"/>
                <w:color w:val="000000"/>
                <w:kern w:val="0"/>
                <w:sz w:val="24"/>
              </w:rPr>
              <w:t>由于工程拟建区域人类活动频繁，工程施工段受人类活动干扰，主要分布有少量常见树种（包括巨桉、山茶树、小叶杨等）、农田植被、草丛（包括苔草、甜根子草、凤尾蕨等）。</w:t>
            </w:r>
          </w:p>
          <w:p>
            <w:pPr>
              <w:autoSpaceDE w:val="0"/>
              <w:autoSpaceDN w:val="0"/>
              <w:adjustRightInd w:val="0"/>
              <w:snapToGrid w:val="0"/>
              <w:spacing w:line="360" w:lineRule="auto"/>
              <w:ind w:firstLine="480" w:firstLineChars="200"/>
              <w:rPr>
                <w:color w:val="000000"/>
                <w:kern w:val="0"/>
                <w:sz w:val="24"/>
              </w:rPr>
            </w:pPr>
            <w:r>
              <w:rPr>
                <w:rFonts w:hint="eastAsia" w:hAnsi="宋体"/>
                <w:color w:val="000000"/>
                <w:kern w:val="0"/>
                <w:sz w:val="24"/>
              </w:rPr>
              <w:t>工程区地势属低山丘陵地带，人口压力大，在地势相对平缓的地段都可见开垦出的农田，居民点镶嵌于其中，农田成片分布，常种植水稻、玉米、油菜、瓜豆类、蔬果等</w:t>
            </w:r>
            <w:r>
              <w:rPr>
                <w:rFonts w:hAnsi="宋体"/>
                <w:color w:val="000000"/>
                <w:kern w:val="0"/>
                <w:sz w:val="24"/>
              </w:rPr>
              <w:t>。</w:t>
            </w:r>
          </w:p>
          <w:p>
            <w:pPr>
              <w:autoSpaceDE w:val="0"/>
              <w:autoSpaceDN w:val="0"/>
              <w:adjustRightInd w:val="0"/>
              <w:snapToGrid w:val="0"/>
              <w:spacing w:line="360" w:lineRule="auto"/>
              <w:ind w:firstLine="480" w:firstLineChars="200"/>
              <w:rPr>
                <w:color w:val="000000"/>
                <w:kern w:val="0"/>
                <w:sz w:val="24"/>
              </w:rPr>
            </w:pPr>
            <w:r>
              <w:rPr>
                <w:rFonts w:hint="eastAsia" w:ascii="宋体" w:hAnsi="宋体"/>
                <w:color w:val="000000"/>
                <w:sz w:val="24"/>
              </w:rPr>
              <w:t>③</w:t>
            </w:r>
            <w:r>
              <w:rPr>
                <w:rFonts w:hint="eastAsia" w:hAnsi="宋体"/>
                <w:color w:val="000000"/>
                <w:kern w:val="0"/>
                <w:sz w:val="24"/>
              </w:rPr>
              <w:t>野生动物概况</w:t>
            </w:r>
          </w:p>
          <w:p>
            <w:pPr>
              <w:autoSpaceDE w:val="0"/>
              <w:autoSpaceDN w:val="0"/>
              <w:adjustRightInd w:val="0"/>
              <w:snapToGrid w:val="0"/>
              <w:spacing w:line="360" w:lineRule="auto"/>
              <w:ind w:firstLine="480" w:firstLineChars="200"/>
              <w:rPr>
                <w:rFonts w:hAnsi="宋体"/>
                <w:color w:val="000000"/>
                <w:kern w:val="0"/>
                <w:sz w:val="24"/>
              </w:rPr>
            </w:pPr>
            <w:r>
              <w:rPr>
                <w:rFonts w:hint="eastAsia" w:hAnsi="宋体"/>
                <w:color w:val="000000"/>
                <w:kern w:val="0"/>
                <w:sz w:val="24"/>
              </w:rPr>
              <w:t>根据现场踏勘，评价区域人类活动频繁，因此受人类活动的影响较大，无大型兽类，中、小型动物如田鼠等有一定数量分布。鸟类的种类在本区约</w:t>
            </w:r>
            <w:r>
              <w:rPr>
                <w:rFonts w:hAnsi="宋体"/>
                <w:color w:val="000000"/>
                <w:kern w:val="0"/>
                <w:sz w:val="24"/>
              </w:rPr>
              <w:t>30</w:t>
            </w:r>
            <w:r>
              <w:rPr>
                <w:rFonts w:hint="eastAsia" w:hAnsi="宋体"/>
                <w:color w:val="000000"/>
                <w:kern w:val="0"/>
                <w:sz w:val="24"/>
              </w:rPr>
              <w:t>余种，绝大多数以农、林、蔬菜害虫为食，鸠类数量较多。两栖爬行动物中蟾蜍类、蛙类、蛇类有一定数量。</w:t>
            </w:r>
          </w:p>
          <w:p>
            <w:pPr>
              <w:autoSpaceDE w:val="0"/>
              <w:autoSpaceDN w:val="0"/>
              <w:adjustRightInd w:val="0"/>
              <w:snapToGrid w:val="0"/>
              <w:spacing w:line="360" w:lineRule="auto"/>
              <w:ind w:firstLine="480" w:firstLineChars="200"/>
              <w:rPr>
                <w:rFonts w:hint="eastAsia"/>
                <w:color w:val="000000"/>
                <w:sz w:val="24"/>
              </w:rPr>
            </w:pPr>
            <w:r>
              <w:rPr>
                <w:rFonts w:hint="eastAsia" w:hAnsi="宋体"/>
                <w:color w:val="000000"/>
                <w:kern w:val="0"/>
                <w:sz w:val="24"/>
              </w:rPr>
              <w:t>综上所述，</w:t>
            </w:r>
            <w:r>
              <w:rPr>
                <w:rFonts w:hint="eastAsia" w:hAnsi="宋体"/>
                <w:b/>
                <w:color w:val="000000"/>
                <w:kern w:val="0"/>
                <w:sz w:val="24"/>
              </w:rPr>
              <w:t>评价区内未发现国家及地方重点保护的珍稀植物，未发现有国家及地方保护动物，不涉及国家野生动物栖息地，无自然保护区等生态敏感目标</w:t>
            </w:r>
            <w:r>
              <w:rPr>
                <w:rFonts w:hint="eastAsia" w:ascii="宋体" w:hAnsi="宋体"/>
                <w:b/>
                <w:color w:val="000000"/>
                <w:sz w:val="24"/>
              </w:rPr>
              <w:t>。</w:t>
            </w:r>
            <w:r>
              <w:rPr>
                <w:rFonts w:hint="eastAsia"/>
                <w:color w:val="000000"/>
                <w:sz w:val="24"/>
              </w:rPr>
              <w:t xml:space="preserve"> </w:t>
            </w:r>
          </w:p>
          <w:p>
            <w:pPr>
              <w:adjustRightInd w:val="0"/>
              <w:snapToGrid w:val="0"/>
              <w:spacing w:line="360" w:lineRule="auto"/>
              <w:ind w:firstLine="482" w:firstLineChars="200"/>
              <w:rPr>
                <w:color w:val="000000"/>
                <w:sz w:val="24"/>
              </w:rPr>
            </w:pPr>
            <w:r>
              <w:rPr>
                <w:rFonts w:hint="eastAsia"/>
                <w:b/>
                <w:bCs/>
                <w:color w:val="000000"/>
                <w:sz w:val="24"/>
              </w:rPr>
              <w:t>（5）水生生态</w:t>
            </w:r>
          </w:p>
          <w:p>
            <w:pPr>
              <w:autoSpaceDE w:val="0"/>
              <w:autoSpaceDN w:val="0"/>
              <w:adjustRightInd w:val="0"/>
              <w:spacing w:line="360" w:lineRule="auto"/>
              <w:ind w:firstLine="480" w:firstLineChars="200"/>
              <w:rPr>
                <w:rFonts w:hint="eastAsia"/>
                <w:color w:val="000000"/>
                <w:sz w:val="24"/>
              </w:rPr>
            </w:pPr>
            <w:r>
              <w:rPr>
                <w:rFonts w:hint="eastAsia"/>
                <w:color w:val="000000"/>
                <w:sz w:val="24"/>
              </w:rPr>
              <w:t>本项目涉及的地表水系主要为取水区高中水库以及受水区磨池河，项目所在水系情况：</w:t>
            </w:r>
          </w:p>
          <w:p>
            <w:pPr>
              <w:autoSpaceDE w:val="0"/>
              <w:autoSpaceDN w:val="0"/>
              <w:adjustRightInd w:val="0"/>
              <w:snapToGrid w:val="0"/>
              <w:spacing w:line="360" w:lineRule="auto"/>
              <w:ind w:firstLine="480" w:firstLineChars="200"/>
              <w:rPr>
                <w:rFonts w:hint="eastAsia" w:hAnsi="宋体"/>
                <w:color w:val="000000"/>
                <w:kern w:val="0"/>
                <w:sz w:val="24"/>
              </w:rPr>
            </w:pPr>
            <w:r>
              <w:rPr>
                <w:rFonts w:hint="eastAsia" w:hAnsi="宋体"/>
                <w:color w:val="000000"/>
                <w:kern w:val="0"/>
                <w:sz w:val="24"/>
              </w:rPr>
              <w:t>高中水库：</w:t>
            </w:r>
            <w:r>
              <w:rPr>
                <w:rFonts w:hAnsi="宋体"/>
                <w:color w:val="000000"/>
                <w:kern w:val="0"/>
                <w:sz w:val="24"/>
              </w:rPr>
              <w:t>高中水库位于乐山市岷江以东的浅丘区，库占区跨市中区青平镇</w:t>
            </w:r>
            <w:r>
              <w:rPr>
                <w:rFonts w:hint="eastAsia" w:hAnsi="宋体"/>
                <w:color w:val="000000"/>
                <w:kern w:val="0"/>
                <w:sz w:val="24"/>
              </w:rPr>
              <w:t>、土主镇和白马镇</w:t>
            </w:r>
            <w:r>
              <w:rPr>
                <w:rFonts w:hAnsi="宋体"/>
                <w:color w:val="000000"/>
                <w:kern w:val="0"/>
                <w:sz w:val="24"/>
              </w:rPr>
              <w:t>，库区地理坐标为东经103°53′42″，北纬29°37′31″，距乐山城32</w:t>
            </w:r>
            <w:r>
              <w:rPr>
                <w:rFonts w:hint="eastAsia" w:hAnsi="宋体"/>
                <w:color w:val="000000"/>
                <w:kern w:val="0"/>
                <w:sz w:val="24"/>
              </w:rPr>
              <w:t>km</w:t>
            </w:r>
            <w:r>
              <w:rPr>
                <w:rFonts w:hAnsi="宋体"/>
                <w:color w:val="000000"/>
                <w:kern w:val="0"/>
                <w:sz w:val="24"/>
              </w:rPr>
              <w:t>。该</w:t>
            </w:r>
            <w:r>
              <w:rPr>
                <w:rFonts w:hint="eastAsia" w:hAnsi="宋体"/>
                <w:color w:val="000000"/>
                <w:kern w:val="0"/>
                <w:sz w:val="24"/>
              </w:rPr>
              <w:t>水库</w:t>
            </w:r>
            <w:r>
              <w:rPr>
                <w:rFonts w:hAnsi="宋体"/>
                <w:color w:val="000000"/>
                <w:kern w:val="0"/>
                <w:sz w:val="24"/>
              </w:rPr>
              <w:t>属长江流域岷江水系磨池河支流</w:t>
            </w:r>
            <w:r>
              <w:rPr>
                <w:rFonts w:hint="eastAsia" w:hAnsi="宋体"/>
                <w:color w:val="000000"/>
                <w:kern w:val="0"/>
                <w:sz w:val="24"/>
              </w:rPr>
              <w:t>丘高咀沟</w:t>
            </w:r>
            <w:r>
              <w:rPr>
                <w:rFonts w:hAnsi="宋体"/>
                <w:color w:val="000000"/>
                <w:kern w:val="0"/>
                <w:sz w:val="24"/>
              </w:rPr>
              <w:t>，水库由棉洞冲、双冲、大堰冲三条主冲组成，棉洞冲单独形成一库，大堰冲、双冲又构成一库，将两库的花石岩山坳下挖8.5m（至高程399.500m）、长40m、底宽4m后，使两库联通形成一库。水库集雨面积6.31km²，为多年调节水库，</w:t>
            </w:r>
            <w:r>
              <w:rPr>
                <w:rFonts w:hint="eastAsia" w:hAnsi="宋体"/>
                <w:color w:val="000000"/>
                <w:kern w:val="0"/>
                <w:sz w:val="24"/>
              </w:rPr>
              <w:t>设计灌溉面积3.7万亩，有效灌面3.16万亩。目前，高中水库仅承担灌溉和生态调水任务</w:t>
            </w:r>
            <w:r>
              <w:rPr>
                <w:rFonts w:hAnsi="宋体"/>
                <w:color w:val="000000"/>
                <w:kern w:val="0"/>
                <w:sz w:val="24"/>
              </w:rPr>
              <w:t>。</w:t>
            </w:r>
            <w:r>
              <w:rPr>
                <w:rFonts w:hint="eastAsia" w:hAnsi="宋体"/>
                <w:color w:val="000000"/>
                <w:kern w:val="0"/>
                <w:sz w:val="24"/>
              </w:rPr>
              <w:t>高中水库</w:t>
            </w:r>
            <w:r>
              <w:rPr>
                <w:rFonts w:hAnsi="宋体"/>
                <w:color w:val="000000"/>
                <w:kern w:val="0"/>
                <w:sz w:val="24"/>
              </w:rPr>
              <w:t>工程等级为</w:t>
            </w:r>
            <w:r>
              <w:rPr>
                <w:rFonts w:hint="eastAsia" w:hAnsi="宋体"/>
                <w:color w:val="000000"/>
                <w:kern w:val="0"/>
                <w:sz w:val="24"/>
              </w:rPr>
              <w:t>Ⅲ</w:t>
            </w:r>
            <w:r>
              <w:rPr>
                <w:rFonts w:hAnsi="宋体"/>
                <w:color w:val="000000"/>
                <w:kern w:val="0"/>
                <w:sz w:val="24"/>
              </w:rPr>
              <w:t>等，主要建筑物为3级，次要建筑物属4级，多年平均径流深5</w:t>
            </w:r>
            <w:r>
              <w:rPr>
                <w:rFonts w:hint="eastAsia" w:hAnsi="宋体"/>
                <w:color w:val="000000"/>
                <w:kern w:val="0"/>
                <w:sz w:val="24"/>
              </w:rPr>
              <w:t>00</w:t>
            </w:r>
            <w:r>
              <w:rPr>
                <w:rFonts w:hAnsi="宋体"/>
                <w:color w:val="000000"/>
                <w:kern w:val="0"/>
                <w:sz w:val="24"/>
              </w:rPr>
              <w:t>mm。</w:t>
            </w:r>
            <w:r>
              <w:rPr>
                <w:rFonts w:hint="eastAsia" w:hAnsi="宋体"/>
                <w:color w:val="000000"/>
                <w:kern w:val="0"/>
                <w:sz w:val="24"/>
              </w:rPr>
              <w:t>水库设计洪水位407.96</w:t>
            </w:r>
            <w:r>
              <w:rPr>
                <w:rFonts w:hAnsi="宋体"/>
                <w:color w:val="000000"/>
                <w:kern w:val="0"/>
                <w:sz w:val="24"/>
              </w:rPr>
              <w:t>m</w:t>
            </w:r>
            <w:r>
              <w:rPr>
                <w:rFonts w:hint="eastAsia" w:hAnsi="宋体"/>
                <w:color w:val="000000"/>
                <w:kern w:val="0"/>
                <w:sz w:val="24"/>
              </w:rPr>
              <w:t>，校核洪水位408.31</w:t>
            </w:r>
            <w:r>
              <w:rPr>
                <w:rFonts w:hAnsi="宋体"/>
                <w:color w:val="000000"/>
                <w:kern w:val="0"/>
                <w:sz w:val="24"/>
              </w:rPr>
              <w:t>m</w:t>
            </w:r>
            <w:r>
              <w:rPr>
                <w:rFonts w:hint="eastAsia" w:hAnsi="宋体"/>
                <w:color w:val="000000"/>
                <w:kern w:val="0"/>
                <w:sz w:val="24"/>
              </w:rPr>
              <w:t>，正常水位407.04</w:t>
            </w:r>
            <w:r>
              <w:rPr>
                <w:rFonts w:hAnsi="宋体"/>
                <w:color w:val="000000"/>
                <w:kern w:val="0"/>
                <w:sz w:val="24"/>
              </w:rPr>
              <w:t>m</w:t>
            </w:r>
            <w:r>
              <w:rPr>
                <w:rFonts w:hint="eastAsia" w:hAnsi="宋体"/>
                <w:color w:val="000000"/>
                <w:kern w:val="0"/>
                <w:sz w:val="24"/>
              </w:rPr>
              <w:t>，汛限水位407.04</w:t>
            </w:r>
            <w:r>
              <w:rPr>
                <w:rFonts w:hAnsi="宋体"/>
                <w:color w:val="000000"/>
                <w:kern w:val="0"/>
                <w:sz w:val="24"/>
              </w:rPr>
              <w:t>m</w:t>
            </w:r>
            <w:r>
              <w:rPr>
                <w:rFonts w:hint="eastAsia" w:hAnsi="宋体"/>
                <w:color w:val="000000"/>
                <w:kern w:val="0"/>
                <w:sz w:val="24"/>
              </w:rPr>
              <w:t>，死水位390.60</w:t>
            </w:r>
            <w:r>
              <w:rPr>
                <w:rFonts w:hAnsi="宋体"/>
                <w:color w:val="000000"/>
                <w:kern w:val="0"/>
                <w:sz w:val="24"/>
              </w:rPr>
              <w:t>m</w:t>
            </w:r>
            <w:r>
              <w:rPr>
                <w:rFonts w:hint="eastAsia" w:hAnsi="宋体"/>
                <w:color w:val="000000"/>
                <w:kern w:val="0"/>
                <w:sz w:val="24"/>
              </w:rPr>
              <w:t>；</w:t>
            </w:r>
            <w:r>
              <w:rPr>
                <w:rFonts w:hAnsi="宋体"/>
                <w:color w:val="000000"/>
                <w:kern w:val="0"/>
                <w:sz w:val="24"/>
              </w:rPr>
              <w:t>总库容162</w:t>
            </w:r>
            <w:r>
              <w:rPr>
                <w:rFonts w:hint="eastAsia" w:hAnsi="宋体"/>
                <w:color w:val="000000"/>
                <w:kern w:val="0"/>
                <w:sz w:val="24"/>
              </w:rPr>
              <w:t>4</w:t>
            </w:r>
            <w:r>
              <w:rPr>
                <w:rFonts w:hAnsi="宋体"/>
                <w:color w:val="000000"/>
                <w:kern w:val="0"/>
                <w:sz w:val="24"/>
              </w:rPr>
              <w:t>万m</w:t>
            </w:r>
            <w:r>
              <w:rPr>
                <w:rFonts w:hAnsi="宋体"/>
                <w:color w:val="000000"/>
                <w:kern w:val="0"/>
                <w:sz w:val="24"/>
                <w:vertAlign w:val="superscript"/>
              </w:rPr>
              <w:t>3</w:t>
            </w:r>
            <w:r>
              <w:rPr>
                <w:rFonts w:hAnsi="宋体"/>
                <w:color w:val="000000"/>
                <w:kern w:val="0"/>
                <w:sz w:val="24"/>
              </w:rPr>
              <w:t>，</w:t>
            </w:r>
            <w:r>
              <w:rPr>
                <w:rFonts w:hint="eastAsia" w:hAnsi="宋体"/>
                <w:color w:val="000000"/>
                <w:kern w:val="0"/>
                <w:sz w:val="24"/>
              </w:rPr>
              <w:t>兴利库容1352</w:t>
            </w:r>
            <w:r>
              <w:rPr>
                <w:rFonts w:hAnsi="宋体"/>
                <w:color w:val="000000"/>
                <w:kern w:val="0"/>
                <w:sz w:val="24"/>
              </w:rPr>
              <w:t>万m</w:t>
            </w:r>
            <w:r>
              <w:rPr>
                <w:rFonts w:hAnsi="宋体"/>
                <w:color w:val="000000"/>
                <w:kern w:val="0"/>
                <w:sz w:val="24"/>
                <w:vertAlign w:val="superscript"/>
              </w:rPr>
              <w:t>3</w:t>
            </w:r>
            <w:r>
              <w:rPr>
                <w:rFonts w:hint="eastAsia" w:hAnsi="宋体"/>
                <w:color w:val="000000"/>
                <w:kern w:val="0"/>
                <w:sz w:val="24"/>
              </w:rPr>
              <w:t>，防洪库容178</w:t>
            </w:r>
            <w:r>
              <w:rPr>
                <w:rFonts w:hAnsi="宋体"/>
                <w:color w:val="000000"/>
                <w:kern w:val="0"/>
                <w:sz w:val="24"/>
              </w:rPr>
              <w:t>万m</w:t>
            </w:r>
            <w:r>
              <w:rPr>
                <w:rFonts w:hAnsi="宋体"/>
                <w:color w:val="000000"/>
                <w:kern w:val="0"/>
                <w:sz w:val="24"/>
                <w:vertAlign w:val="superscript"/>
              </w:rPr>
              <w:t>3</w:t>
            </w:r>
            <w:r>
              <w:rPr>
                <w:rFonts w:hint="eastAsia" w:hAnsi="宋体"/>
                <w:color w:val="000000"/>
                <w:kern w:val="0"/>
                <w:sz w:val="24"/>
              </w:rPr>
              <w:t>，调洪库容249</w:t>
            </w:r>
            <w:r>
              <w:rPr>
                <w:rFonts w:hAnsi="宋体"/>
                <w:color w:val="000000"/>
                <w:kern w:val="0"/>
                <w:sz w:val="24"/>
              </w:rPr>
              <w:t>万m</w:t>
            </w:r>
            <w:r>
              <w:rPr>
                <w:rFonts w:hAnsi="宋体"/>
                <w:color w:val="000000"/>
                <w:kern w:val="0"/>
                <w:sz w:val="24"/>
                <w:vertAlign w:val="superscript"/>
              </w:rPr>
              <w:t>3</w:t>
            </w:r>
            <w:r>
              <w:rPr>
                <w:rFonts w:hint="eastAsia" w:hAnsi="宋体"/>
                <w:color w:val="000000"/>
                <w:kern w:val="0"/>
                <w:sz w:val="24"/>
              </w:rPr>
              <w:t>，</w:t>
            </w:r>
            <w:r>
              <w:rPr>
                <w:rFonts w:hAnsi="宋体"/>
                <w:color w:val="000000"/>
                <w:kern w:val="0"/>
                <w:sz w:val="24"/>
              </w:rPr>
              <w:t>死库容23万m</w:t>
            </w:r>
            <w:r>
              <w:rPr>
                <w:rFonts w:hAnsi="宋体"/>
                <w:color w:val="000000"/>
                <w:kern w:val="0"/>
                <w:sz w:val="24"/>
                <w:vertAlign w:val="superscript"/>
              </w:rPr>
              <w:t>3</w:t>
            </w:r>
            <w:r>
              <w:rPr>
                <w:rFonts w:hint="eastAsia" w:hAnsi="宋体"/>
                <w:color w:val="000000"/>
                <w:kern w:val="0"/>
                <w:sz w:val="24"/>
              </w:rPr>
              <w:t>。</w:t>
            </w:r>
            <w:r>
              <w:rPr>
                <w:rFonts w:hAnsi="宋体"/>
                <w:color w:val="000000"/>
                <w:kern w:val="0"/>
                <w:sz w:val="24"/>
              </w:rPr>
              <w:t>水库设计洪水为100年一遇，洪峰流量</w:t>
            </w:r>
            <w:r>
              <w:rPr>
                <w:rFonts w:hint="eastAsia" w:hAnsi="宋体"/>
                <w:color w:val="000000"/>
                <w:kern w:val="0"/>
                <w:sz w:val="24"/>
              </w:rPr>
              <w:t>118.5</w:t>
            </w:r>
            <w:r>
              <w:rPr>
                <w:rFonts w:hAnsi="宋体"/>
                <w:color w:val="000000"/>
                <w:kern w:val="0"/>
                <w:sz w:val="24"/>
              </w:rPr>
              <w:t>m</w:t>
            </w:r>
            <w:r>
              <w:rPr>
                <w:rFonts w:hAnsi="宋体"/>
                <w:color w:val="000000"/>
                <w:kern w:val="0"/>
                <w:sz w:val="24"/>
                <w:vertAlign w:val="superscript"/>
              </w:rPr>
              <w:t>3</w:t>
            </w:r>
            <w:r>
              <w:rPr>
                <w:rFonts w:hAnsi="宋体"/>
                <w:color w:val="000000"/>
                <w:kern w:val="0"/>
                <w:sz w:val="24"/>
              </w:rPr>
              <w:t>/s，洪水总量</w:t>
            </w:r>
            <w:r>
              <w:rPr>
                <w:rFonts w:hint="eastAsia" w:hAnsi="宋体"/>
                <w:color w:val="000000"/>
                <w:kern w:val="0"/>
                <w:sz w:val="24"/>
              </w:rPr>
              <w:t>251</w:t>
            </w:r>
            <w:r>
              <w:rPr>
                <w:rFonts w:hAnsi="宋体"/>
                <w:color w:val="000000"/>
                <w:kern w:val="0"/>
                <w:sz w:val="24"/>
              </w:rPr>
              <w:t>万m</w:t>
            </w:r>
            <w:r>
              <w:rPr>
                <w:rFonts w:hAnsi="宋体"/>
                <w:color w:val="000000"/>
                <w:kern w:val="0"/>
                <w:sz w:val="24"/>
                <w:vertAlign w:val="superscript"/>
              </w:rPr>
              <w:t>3</w:t>
            </w:r>
            <w:r>
              <w:rPr>
                <w:rFonts w:hAnsi="宋体"/>
                <w:color w:val="000000"/>
                <w:kern w:val="0"/>
                <w:sz w:val="24"/>
              </w:rPr>
              <w:t>，相应下泄流量</w:t>
            </w:r>
            <w:r>
              <w:rPr>
                <w:rFonts w:hint="eastAsia" w:hAnsi="宋体"/>
                <w:color w:val="000000"/>
                <w:kern w:val="0"/>
                <w:sz w:val="24"/>
              </w:rPr>
              <w:t>26.7</w:t>
            </w:r>
            <w:r>
              <w:rPr>
                <w:rFonts w:hAnsi="宋体"/>
                <w:color w:val="000000"/>
                <w:kern w:val="0"/>
                <w:sz w:val="24"/>
              </w:rPr>
              <w:t>m</w:t>
            </w:r>
            <w:r>
              <w:rPr>
                <w:rFonts w:hAnsi="宋体"/>
                <w:color w:val="000000"/>
                <w:kern w:val="0"/>
                <w:sz w:val="24"/>
                <w:vertAlign w:val="superscript"/>
              </w:rPr>
              <w:t>3</w:t>
            </w:r>
            <w:r>
              <w:rPr>
                <w:rFonts w:hAnsi="宋体"/>
                <w:color w:val="000000"/>
                <w:kern w:val="0"/>
                <w:sz w:val="24"/>
              </w:rPr>
              <w:t>/s，相应库容</w:t>
            </w:r>
            <w:r>
              <w:rPr>
                <w:rFonts w:hint="eastAsia" w:hAnsi="宋体"/>
                <w:color w:val="000000"/>
                <w:kern w:val="0"/>
                <w:sz w:val="24"/>
              </w:rPr>
              <w:t>1553</w:t>
            </w:r>
            <w:r>
              <w:rPr>
                <w:rFonts w:hAnsi="宋体"/>
                <w:color w:val="000000"/>
                <w:kern w:val="0"/>
                <w:sz w:val="24"/>
              </w:rPr>
              <w:t>万m</w:t>
            </w:r>
            <w:r>
              <w:rPr>
                <w:rFonts w:hAnsi="宋体"/>
                <w:color w:val="000000"/>
                <w:kern w:val="0"/>
                <w:sz w:val="24"/>
                <w:vertAlign w:val="superscript"/>
              </w:rPr>
              <w:t>3</w:t>
            </w:r>
            <w:r>
              <w:rPr>
                <w:rFonts w:hAnsi="宋体"/>
                <w:color w:val="000000"/>
                <w:kern w:val="0"/>
                <w:sz w:val="24"/>
              </w:rPr>
              <w:t>。校核洪水为1000年一遇，洪峰流量</w:t>
            </w:r>
            <w:r>
              <w:rPr>
                <w:rFonts w:hint="eastAsia" w:hAnsi="宋体"/>
                <w:color w:val="000000"/>
                <w:kern w:val="0"/>
                <w:sz w:val="24"/>
              </w:rPr>
              <w:t>163.6</w:t>
            </w:r>
            <w:r>
              <w:rPr>
                <w:rFonts w:hAnsi="宋体"/>
                <w:color w:val="000000"/>
                <w:kern w:val="0"/>
                <w:sz w:val="24"/>
              </w:rPr>
              <w:t>m</w:t>
            </w:r>
            <w:r>
              <w:rPr>
                <w:rFonts w:hAnsi="宋体"/>
                <w:color w:val="000000"/>
                <w:kern w:val="0"/>
                <w:sz w:val="24"/>
                <w:vertAlign w:val="superscript"/>
              </w:rPr>
              <w:t>3</w:t>
            </w:r>
            <w:r>
              <w:rPr>
                <w:rFonts w:hAnsi="宋体"/>
                <w:color w:val="000000"/>
                <w:kern w:val="0"/>
                <w:sz w:val="24"/>
              </w:rPr>
              <w:t>/s，洪水总量</w:t>
            </w:r>
            <w:r>
              <w:rPr>
                <w:rFonts w:hint="eastAsia" w:hAnsi="宋体"/>
                <w:color w:val="000000"/>
                <w:kern w:val="0"/>
                <w:sz w:val="24"/>
              </w:rPr>
              <w:t>355</w:t>
            </w:r>
            <w:r>
              <w:rPr>
                <w:rFonts w:hAnsi="宋体"/>
                <w:color w:val="000000"/>
                <w:kern w:val="0"/>
                <w:sz w:val="24"/>
              </w:rPr>
              <w:t>万m</w:t>
            </w:r>
            <w:r>
              <w:rPr>
                <w:rFonts w:hAnsi="宋体"/>
                <w:color w:val="000000"/>
                <w:kern w:val="0"/>
                <w:sz w:val="24"/>
                <w:vertAlign w:val="superscript"/>
              </w:rPr>
              <w:t>3</w:t>
            </w:r>
            <w:r>
              <w:rPr>
                <w:rFonts w:hAnsi="宋体"/>
                <w:color w:val="000000"/>
                <w:kern w:val="0"/>
                <w:sz w:val="24"/>
              </w:rPr>
              <w:t>，相应下泄流量</w:t>
            </w:r>
            <w:r>
              <w:rPr>
                <w:rFonts w:hint="eastAsia" w:hAnsi="宋体"/>
                <w:color w:val="000000"/>
                <w:kern w:val="0"/>
                <w:sz w:val="24"/>
              </w:rPr>
              <w:t>43.1</w:t>
            </w:r>
            <w:r>
              <w:rPr>
                <w:rFonts w:hAnsi="宋体"/>
                <w:color w:val="000000"/>
                <w:kern w:val="0"/>
                <w:sz w:val="24"/>
              </w:rPr>
              <w:t>m</w:t>
            </w:r>
            <w:r>
              <w:rPr>
                <w:rFonts w:hAnsi="宋体"/>
                <w:color w:val="000000"/>
                <w:kern w:val="0"/>
                <w:sz w:val="24"/>
                <w:vertAlign w:val="superscript"/>
              </w:rPr>
              <w:t>3</w:t>
            </w:r>
            <w:r>
              <w:rPr>
                <w:rFonts w:hAnsi="宋体"/>
                <w:color w:val="000000"/>
                <w:kern w:val="0"/>
                <w:sz w:val="24"/>
              </w:rPr>
              <w:t>/s，相应库容</w:t>
            </w:r>
            <w:r>
              <w:rPr>
                <w:rFonts w:hint="eastAsia" w:hAnsi="宋体"/>
                <w:color w:val="000000"/>
                <w:kern w:val="0"/>
                <w:sz w:val="24"/>
              </w:rPr>
              <w:t>1624</w:t>
            </w:r>
            <w:r>
              <w:rPr>
                <w:rFonts w:hAnsi="宋体"/>
                <w:color w:val="000000"/>
                <w:kern w:val="0"/>
                <w:sz w:val="24"/>
              </w:rPr>
              <w:t>万m</w:t>
            </w:r>
            <w:r>
              <w:rPr>
                <w:rFonts w:hAnsi="宋体"/>
                <w:color w:val="000000"/>
                <w:kern w:val="0"/>
                <w:sz w:val="24"/>
                <w:vertAlign w:val="superscript"/>
              </w:rPr>
              <w:t>3</w:t>
            </w:r>
            <w:r>
              <w:rPr>
                <w:rFonts w:hAnsi="宋体"/>
                <w:color w:val="000000"/>
                <w:kern w:val="0"/>
                <w:sz w:val="24"/>
              </w:rPr>
              <w:t>。正常蓄水位</w:t>
            </w:r>
            <w:r>
              <w:rPr>
                <w:rFonts w:hint="eastAsia" w:hAnsi="宋体"/>
                <w:color w:val="000000"/>
                <w:kern w:val="0"/>
                <w:sz w:val="24"/>
              </w:rPr>
              <w:t>407.04</w:t>
            </w:r>
            <w:r>
              <w:rPr>
                <w:rFonts w:hAnsi="宋体"/>
                <w:color w:val="000000"/>
                <w:kern w:val="0"/>
                <w:sz w:val="24"/>
              </w:rPr>
              <w:t>m，相应库容</w:t>
            </w:r>
            <w:r>
              <w:rPr>
                <w:rFonts w:hint="eastAsia" w:hAnsi="宋体"/>
                <w:color w:val="000000"/>
                <w:kern w:val="0"/>
                <w:sz w:val="24"/>
              </w:rPr>
              <w:t>1375</w:t>
            </w:r>
            <w:r>
              <w:rPr>
                <w:rFonts w:hAnsi="宋体"/>
                <w:color w:val="000000"/>
                <w:kern w:val="0"/>
                <w:sz w:val="24"/>
              </w:rPr>
              <w:t>万m</w:t>
            </w:r>
            <w:r>
              <w:rPr>
                <w:rFonts w:hAnsi="宋体"/>
                <w:color w:val="000000"/>
                <w:kern w:val="0"/>
                <w:sz w:val="24"/>
                <w:vertAlign w:val="superscript"/>
              </w:rPr>
              <w:t>3</w:t>
            </w:r>
            <w:r>
              <w:rPr>
                <w:rFonts w:hint="eastAsia" w:hAnsi="宋体"/>
                <w:color w:val="000000"/>
                <w:kern w:val="0"/>
                <w:sz w:val="24"/>
              </w:rPr>
              <w:t>。</w:t>
            </w:r>
            <w:r>
              <w:rPr>
                <w:rFonts w:hAnsi="宋体"/>
                <w:color w:val="000000"/>
                <w:kern w:val="0"/>
                <w:sz w:val="24"/>
              </w:rPr>
              <w:t>高中水库枢纽工程由两座浆砌条石重力坝</w:t>
            </w:r>
            <w:r>
              <w:rPr>
                <w:rFonts w:hint="eastAsia" w:hAnsi="宋体"/>
                <w:color w:val="000000"/>
                <w:kern w:val="0"/>
                <w:sz w:val="24"/>
              </w:rPr>
              <w:t>（双冲主坝、邱高副坝）</w:t>
            </w:r>
            <w:r>
              <w:rPr>
                <w:rFonts w:hAnsi="宋体"/>
                <w:color w:val="000000"/>
                <w:kern w:val="0"/>
                <w:sz w:val="24"/>
              </w:rPr>
              <w:t>、三座土石坝</w:t>
            </w:r>
            <w:r>
              <w:rPr>
                <w:rFonts w:hint="eastAsia" w:hAnsi="宋体"/>
                <w:color w:val="000000"/>
                <w:kern w:val="0"/>
                <w:sz w:val="24"/>
              </w:rPr>
              <w:t>（花石岩副坝、罗湾副坝、牛腊湾副坝）</w:t>
            </w:r>
            <w:r>
              <w:rPr>
                <w:rFonts w:hAnsi="宋体"/>
                <w:color w:val="000000"/>
                <w:kern w:val="0"/>
                <w:sz w:val="24"/>
              </w:rPr>
              <w:t>、两处放水设施、一处溢洪道和一处引水枢纽建筑物组成。</w:t>
            </w:r>
          </w:p>
          <w:p>
            <w:pPr>
              <w:autoSpaceDE w:val="0"/>
              <w:autoSpaceDN w:val="0"/>
              <w:adjustRightInd w:val="0"/>
              <w:snapToGrid w:val="0"/>
              <w:spacing w:line="360" w:lineRule="auto"/>
              <w:ind w:firstLine="480" w:firstLineChars="200"/>
              <w:rPr>
                <w:rFonts w:hint="eastAsia" w:hAnsi="宋体"/>
                <w:color w:val="000000"/>
                <w:kern w:val="0"/>
                <w:sz w:val="24"/>
              </w:rPr>
            </w:pPr>
            <w:r>
              <w:rPr>
                <w:rFonts w:hint="eastAsia" w:hAnsi="宋体"/>
                <w:color w:val="000000"/>
                <w:kern w:val="0"/>
                <w:sz w:val="24"/>
              </w:rPr>
              <w:t>磨池河：</w:t>
            </w:r>
            <w:r>
              <w:rPr>
                <w:rFonts w:ascii="Times New Roman" w:hAnsi="Times New Roman"/>
                <w:color w:val="000000"/>
                <w:sz w:val="24"/>
              </w:rPr>
              <w:t>磨池河属岷江水系</w:t>
            </w:r>
            <w:r>
              <w:rPr>
                <w:rFonts w:hint="eastAsia" w:ascii="Times New Roman" w:hAnsi="Times New Roman"/>
                <w:color w:val="000000"/>
                <w:sz w:val="24"/>
              </w:rPr>
              <w:t>茫溪河</w:t>
            </w:r>
            <w:r>
              <w:rPr>
                <w:rFonts w:ascii="Times New Roman" w:hAnsi="Times New Roman"/>
                <w:color w:val="000000"/>
                <w:sz w:val="24"/>
              </w:rPr>
              <w:t>右岸一级支流，发源于井研县纯复乡高石梯</w:t>
            </w:r>
            <w:r>
              <w:rPr>
                <w:rFonts w:hint="eastAsia" w:ascii="Times New Roman" w:hAnsi="Times New Roman"/>
                <w:color w:val="000000"/>
                <w:sz w:val="24"/>
              </w:rPr>
              <w:t>，</w:t>
            </w:r>
            <w:r>
              <w:rPr>
                <w:rFonts w:ascii="Times New Roman" w:hAnsi="Times New Roman"/>
                <w:color w:val="000000"/>
                <w:sz w:val="24"/>
              </w:rPr>
              <w:t>源头</w:t>
            </w:r>
            <w:r>
              <w:rPr>
                <w:rFonts w:hint="eastAsia" w:ascii="Times New Roman" w:hAnsi="Times New Roman"/>
                <w:color w:val="000000"/>
                <w:sz w:val="24"/>
              </w:rPr>
              <w:t>主峰</w:t>
            </w:r>
            <w:r>
              <w:rPr>
                <w:rFonts w:ascii="Times New Roman" w:hAnsi="Times New Roman"/>
                <w:color w:val="000000"/>
                <w:sz w:val="24"/>
              </w:rPr>
              <w:t>高程</w:t>
            </w:r>
            <w:r>
              <w:rPr>
                <w:rFonts w:hint="eastAsia" w:ascii="Times New Roman" w:hAnsi="Times New Roman"/>
                <w:color w:val="000000"/>
                <w:sz w:val="24"/>
              </w:rPr>
              <w:t>466</w:t>
            </w:r>
            <w:r>
              <w:rPr>
                <w:rFonts w:ascii="Times New Roman" w:hAnsi="Times New Roman"/>
                <w:color w:val="000000"/>
                <w:sz w:val="24"/>
              </w:rPr>
              <w:t>m</w:t>
            </w:r>
            <w:r>
              <w:rPr>
                <w:rFonts w:hint="eastAsia" w:ascii="Times New Roman" w:hAnsi="Times New Roman"/>
                <w:color w:val="000000"/>
                <w:sz w:val="24"/>
              </w:rPr>
              <w:t>。</w:t>
            </w:r>
            <w:r>
              <w:rPr>
                <w:rFonts w:ascii="Times New Roman" w:hAnsi="Times New Roman"/>
                <w:color w:val="000000"/>
                <w:sz w:val="24"/>
              </w:rPr>
              <w:t>磨池河干流自发源地由北向南流动，</w:t>
            </w:r>
            <w:r>
              <w:rPr>
                <w:rFonts w:hint="eastAsia" w:ascii="Times New Roman" w:hAnsi="Times New Roman"/>
                <w:color w:val="000000"/>
                <w:sz w:val="24"/>
              </w:rPr>
              <w:t>过</w:t>
            </w:r>
            <w:r>
              <w:rPr>
                <w:rFonts w:ascii="Times New Roman" w:hAnsi="Times New Roman"/>
                <w:color w:val="000000"/>
                <w:sz w:val="24"/>
              </w:rPr>
              <w:t>桑树咀</w:t>
            </w:r>
            <w:r>
              <w:rPr>
                <w:rFonts w:hint="eastAsia" w:ascii="Times New Roman" w:hAnsi="Times New Roman"/>
                <w:color w:val="000000"/>
                <w:sz w:val="24"/>
              </w:rPr>
              <w:t>后</w:t>
            </w:r>
            <w:r>
              <w:rPr>
                <w:rFonts w:ascii="Times New Roman" w:hAnsi="Times New Roman"/>
                <w:color w:val="000000"/>
                <w:sz w:val="24"/>
              </w:rPr>
              <w:t>进入三教</w:t>
            </w:r>
            <w:r>
              <w:rPr>
                <w:rFonts w:hint="eastAsia" w:ascii="Times New Roman" w:hAnsi="Times New Roman"/>
                <w:color w:val="000000"/>
                <w:sz w:val="24"/>
              </w:rPr>
              <w:t>乡，而</w:t>
            </w:r>
            <w:r>
              <w:rPr>
                <w:rFonts w:ascii="Times New Roman" w:hAnsi="Times New Roman"/>
                <w:color w:val="000000"/>
                <w:sz w:val="24"/>
              </w:rPr>
              <w:t>后</w:t>
            </w:r>
            <w:r>
              <w:rPr>
                <w:rFonts w:hint="eastAsia" w:ascii="Times New Roman" w:hAnsi="Times New Roman"/>
                <w:color w:val="000000"/>
                <w:sz w:val="24"/>
              </w:rPr>
              <w:t>进入市中区，途经</w:t>
            </w:r>
            <w:r>
              <w:rPr>
                <w:rFonts w:ascii="Times New Roman" w:hAnsi="Times New Roman"/>
                <w:color w:val="000000"/>
                <w:sz w:val="24"/>
              </w:rPr>
              <w:t>白马</w:t>
            </w:r>
            <w:r>
              <w:rPr>
                <w:rFonts w:hint="eastAsia" w:ascii="Times New Roman" w:hAnsi="Times New Roman"/>
                <w:color w:val="000000"/>
                <w:sz w:val="24"/>
              </w:rPr>
              <w:t>后</w:t>
            </w:r>
            <w:r>
              <w:rPr>
                <w:rFonts w:ascii="Times New Roman" w:hAnsi="Times New Roman"/>
                <w:color w:val="000000"/>
                <w:sz w:val="24"/>
              </w:rPr>
              <w:t>在青平镇</w:t>
            </w:r>
            <w:r>
              <w:rPr>
                <w:rFonts w:hint="eastAsia" w:ascii="Times New Roman" w:hAnsi="Times New Roman"/>
                <w:color w:val="000000"/>
                <w:sz w:val="24"/>
              </w:rPr>
              <w:t>武高堰</w:t>
            </w:r>
            <w:r>
              <w:rPr>
                <w:rFonts w:ascii="Times New Roman" w:hAnsi="Times New Roman"/>
                <w:color w:val="000000"/>
                <w:sz w:val="24"/>
              </w:rPr>
              <w:t>一带转向东流，</w:t>
            </w:r>
            <w:r>
              <w:rPr>
                <w:rFonts w:hint="eastAsia" w:ascii="Times New Roman" w:hAnsi="Times New Roman"/>
                <w:color w:val="000000"/>
                <w:sz w:val="24"/>
              </w:rPr>
              <w:t>至花石堰</w:t>
            </w:r>
            <w:r>
              <w:rPr>
                <w:rFonts w:ascii="Times New Roman" w:hAnsi="Times New Roman"/>
                <w:color w:val="000000"/>
                <w:sz w:val="24"/>
              </w:rPr>
              <w:t>复流向南</w:t>
            </w:r>
            <w:r>
              <w:rPr>
                <w:rFonts w:hint="eastAsia" w:ascii="Times New Roman" w:hAnsi="Times New Roman"/>
                <w:color w:val="000000"/>
                <w:sz w:val="24"/>
              </w:rPr>
              <w:t>进入</w:t>
            </w:r>
            <w:r>
              <w:rPr>
                <w:rFonts w:ascii="Times New Roman" w:hAnsi="Times New Roman"/>
                <w:color w:val="000000"/>
                <w:sz w:val="24"/>
              </w:rPr>
              <w:t>普仁乡，</w:t>
            </w:r>
            <w:r>
              <w:rPr>
                <w:rFonts w:hint="eastAsia" w:ascii="Times New Roman" w:hAnsi="Times New Roman"/>
                <w:color w:val="000000"/>
                <w:sz w:val="24"/>
              </w:rPr>
              <w:t>沿</w:t>
            </w:r>
            <w:r>
              <w:rPr>
                <w:rFonts w:ascii="Times New Roman" w:hAnsi="Times New Roman"/>
                <w:color w:val="000000"/>
                <w:sz w:val="24"/>
              </w:rPr>
              <w:t>普仁与九龙边界在钟坝儿处与左源陈桥河汇合</w:t>
            </w:r>
            <w:r>
              <w:rPr>
                <w:rFonts w:hint="eastAsia" w:ascii="Times New Roman" w:hAnsi="Times New Roman"/>
                <w:color w:val="000000"/>
                <w:sz w:val="24"/>
              </w:rPr>
              <w:t>，主流</w:t>
            </w:r>
            <w:r>
              <w:rPr>
                <w:rFonts w:ascii="Times New Roman" w:hAnsi="Times New Roman"/>
                <w:color w:val="000000"/>
                <w:sz w:val="24"/>
              </w:rPr>
              <w:t>继续向南，沿</w:t>
            </w:r>
            <w:r>
              <w:rPr>
                <w:rFonts w:hint="eastAsia" w:ascii="Times New Roman" w:hAnsi="Times New Roman"/>
                <w:color w:val="000000"/>
                <w:sz w:val="24"/>
              </w:rPr>
              <w:t>九龙</w:t>
            </w:r>
            <w:r>
              <w:rPr>
                <w:rFonts w:ascii="Times New Roman" w:hAnsi="Times New Roman"/>
                <w:color w:val="000000"/>
                <w:sz w:val="24"/>
              </w:rPr>
              <w:t>茅桥边界</w:t>
            </w:r>
            <w:r>
              <w:rPr>
                <w:rFonts w:hint="eastAsia" w:ascii="Times New Roman" w:hAnsi="Times New Roman"/>
                <w:color w:val="000000"/>
                <w:sz w:val="24"/>
              </w:rPr>
              <w:t>在周坝儿复入</w:t>
            </w:r>
            <w:r>
              <w:rPr>
                <w:rFonts w:ascii="Times New Roman" w:hAnsi="Times New Roman"/>
                <w:color w:val="000000"/>
                <w:sz w:val="24"/>
              </w:rPr>
              <w:t>井研，</w:t>
            </w:r>
            <w:r>
              <w:rPr>
                <w:rFonts w:hint="eastAsia" w:ascii="Times New Roman" w:hAnsi="Times New Roman"/>
                <w:color w:val="000000"/>
                <w:sz w:val="24"/>
              </w:rPr>
              <w:t>沿</w:t>
            </w:r>
            <w:r>
              <w:rPr>
                <w:rFonts w:ascii="Times New Roman" w:hAnsi="Times New Roman"/>
                <w:color w:val="000000"/>
                <w:sz w:val="24"/>
              </w:rPr>
              <w:t>磨池镇与茅桥镇边界</w:t>
            </w:r>
            <w:r>
              <w:rPr>
                <w:rFonts w:hint="eastAsia" w:ascii="Times New Roman" w:hAnsi="Times New Roman"/>
                <w:color w:val="000000"/>
                <w:sz w:val="24"/>
              </w:rPr>
              <w:t>至</w:t>
            </w:r>
            <w:r>
              <w:rPr>
                <w:rFonts w:ascii="Times New Roman" w:hAnsi="Times New Roman"/>
                <w:color w:val="000000"/>
                <w:sz w:val="24"/>
              </w:rPr>
              <w:t>天宫山完全入境井研，</w:t>
            </w:r>
            <w:r>
              <w:rPr>
                <w:rFonts w:hint="eastAsia" w:ascii="Times New Roman" w:hAnsi="Times New Roman"/>
                <w:color w:val="000000"/>
                <w:sz w:val="24"/>
              </w:rPr>
              <w:t>于王村镇椒子坝进入</w:t>
            </w:r>
            <w:r>
              <w:rPr>
                <w:rFonts w:ascii="Times New Roman" w:hAnsi="Times New Roman"/>
                <w:color w:val="000000"/>
                <w:sz w:val="24"/>
              </w:rPr>
              <w:t>五通桥区，最后于</w:t>
            </w:r>
            <w:r>
              <w:rPr>
                <w:rFonts w:hint="eastAsia" w:ascii="Times New Roman" w:hAnsi="Times New Roman"/>
                <w:color w:val="000000"/>
                <w:sz w:val="24"/>
              </w:rPr>
              <w:t>金山镇</w:t>
            </w:r>
            <w:r>
              <w:rPr>
                <w:rFonts w:ascii="Times New Roman" w:hAnsi="Times New Roman"/>
                <w:color w:val="000000"/>
                <w:sz w:val="24"/>
              </w:rPr>
              <w:t>鲍家坝注入</w:t>
            </w:r>
            <w:r>
              <w:rPr>
                <w:rFonts w:hint="eastAsia" w:ascii="Times New Roman" w:hAnsi="Times New Roman"/>
                <w:color w:val="000000"/>
                <w:sz w:val="24"/>
              </w:rPr>
              <w:t>茫溪河。</w:t>
            </w:r>
            <w:r>
              <w:rPr>
                <w:rFonts w:ascii="Times New Roman" w:hAnsi="Times New Roman"/>
                <w:bCs/>
                <w:color w:val="000000"/>
                <w:sz w:val="24"/>
              </w:rPr>
              <w:t>磨池河流域集水面积267km</w:t>
            </w:r>
            <w:r>
              <w:rPr>
                <w:rFonts w:ascii="Times New Roman" w:hAnsi="Times New Roman"/>
                <w:bCs/>
                <w:color w:val="000000"/>
                <w:sz w:val="24"/>
                <w:vertAlign w:val="superscript"/>
              </w:rPr>
              <w:t>2</w:t>
            </w:r>
            <w:r>
              <w:rPr>
                <w:rFonts w:ascii="Times New Roman" w:hAnsi="Times New Roman"/>
                <w:bCs/>
                <w:color w:val="000000"/>
                <w:sz w:val="24"/>
              </w:rPr>
              <w:t>，河长71.7km，河道平均比降0.8</w:t>
            </w:r>
            <w:r>
              <w:rPr>
                <w:rFonts w:hint="eastAsia" w:ascii="Times New Roman" w:hAnsi="Times New Roman"/>
                <w:bCs/>
                <w:color w:val="000000"/>
                <w:sz w:val="24"/>
              </w:rPr>
              <w:t>2</w:t>
            </w:r>
            <w:r>
              <w:rPr>
                <w:rFonts w:ascii="Times New Roman" w:hAnsi="Times New Roman"/>
                <w:bCs/>
                <w:color w:val="000000"/>
                <w:sz w:val="24"/>
              </w:rPr>
              <w:t>‰</w:t>
            </w:r>
            <w:r>
              <w:rPr>
                <w:rFonts w:hint="eastAsia" w:ascii="Times New Roman" w:hAnsi="Times New Roman"/>
                <w:bCs/>
                <w:color w:val="000000"/>
                <w:sz w:val="24"/>
              </w:rPr>
              <w:t>，</w:t>
            </w:r>
            <w:r>
              <w:rPr>
                <w:rFonts w:hint="eastAsia" w:ascii="Times New Roman" w:hAnsi="Times New Roman"/>
                <w:color w:val="000000"/>
                <w:sz w:val="24"/>
              </w:rPr>
              <w:t>多年平均地表水水资源量为1.38</w:t>
            </w:r>
            <w:r>
              <w:rPr>
                <w:rFonts w:ascii="Times New Roman" w:hAnsi="Times New Roman"/>
                <w:color w:val="000000"/>
                <w:sz w:val="24"/>
              </w:rPr>
              <w:t>亿m</w:t>
            </w:r>
            <w:r>
              <w:rPr>
                <w:rFonts w:ascii="Times New Roman" w:hAnsi="Times New Roman"/>
                <w:color w:val="000000"/>
                <w:sz w:val="24"/>
                <w:vertAlign w:val="superscript"/>
              </w:rPr>
              <w:t>3</w:t>
            </w:r>
            <w:r>
              <w:rPr>
                <w:rFonts w:hint="eastAsia" w:ascii="Times New Roman" w:hAnsi="Times New Roman"/>
                <w:color w:val="000000"/>
                <w:sz w:val="24"/>
              </w:rPr>
              <w:t>。磨池河由东北向西南穿越高中水库灌区，</w:t>
            </w:r>
            <w:r>
              <w:rPr>
                <w:rFonts w:ascii="Times New Roman" w:hAnsi="Times New Roman"/>
                <w:bCs/>
                <w:color w:val="000000"/>
                <w:sz w:val="24"/>
              </w:rPr>
              <w:t>磨池河流域集水面积267km</w:t>
            </w:r>
            <w:r>
              <w:rPr>
                <w:rFonts w:ascii="Times New Roman" w:hAnsi="Times New Roman"/>
                <w:bCs/>
                <w:color w:val="000000"/>
                <w:sz w:val="24"/>
                <w:vertAlign w:val="superscript"/>
              </w:rPr>
              <w:t>2</w:t>
            </w:r>
            <w:r>
              <w:rPr>
                <w:rFonts w:ascii="Times New Roman" w:hAnsi="Times New Roman"/>
                <w:bCs/>
                <w:color w:val="000000"/>
                <w:sz w:val="24"/>
              </w:rPr>
              <w:t>，</w:t>
            </w:r>
            <w:r>
              <w:rPr>
                <w:rFonts w:hint="eastAsia" w:ascii="Times New Roman" w:hAnsi="Times New Roman" w:cs="宋体"/>
                <w:color w:val="000000"/>
                <w:sz w:val="24"/>
              </w:rPr>
              <w:t>根据《四川省乐山市水资源调查评价报告》，磨池河多年平均径流量1.38亿m</w:t>
            </w:r>
            <w:r>
              <w:rPr>
                <w:rFonts w:hint="eastAsia" w:ascii="Times New Roman" w:hAnsi="Times New Roman" w:cs="宋体"/>
                <w:color w:val="000000"/>
                <w:sz w:val="24"/>
                <w:vertAlign w:val="superscript"/>
              </w:rPr>
              <w:t>3</w:t>
            </w:r>
            <w:r>
              <w:rPr>
                <w:rFonts w:hint="eastAsia" w:ascii="Times New Roman" w:hAnsi="Times New Roman" w:cs="宋体"/>
                <w:color w:val="000000"/>
                <w:sz w:val="24"/>
              </w:rPr>
              <w:t>，多年平均径流深513mm，多年平均流量4.34m</w:t>
            </w:r>
            <w:r>
              <w:rPr>
                <w:rFonts w:hint="eastAsia" w:ascii="Times New Roman" w:hAnsi="Times New Roman" w:cs="宋体"/>
                <w:color w:val="000000"/>
                <w:sz w:val="24"/>
                <w:vertAlign w:val="superscript"/>
              </w:rPr>
              <w:t>3</w:t>
            </w:r>
            <w:r>
              <w:rPr>
                <w:rFonts w:hint="eastAsia" w:ascii="Times New Roman" w:hAnsi="Times New Roman" w:cs="宋体"/>
                <w:color w:val="000000"/>
                <w:sz w:val="24"/>
              </w:rPr>
              <w:t>/s。</w:t>
            </w:r>
          </w:p>
          <w:p>
            <w:pPr>
              <w:autoSpaceDE w:val="0"/>
              <w:autoSpaceDN w:val="0"/>
              <w:adjustRightInd w:val="0"/>
              <w:snapToGrid w:val="0"/>
              <w:spacing w:line="360" w:lineRule="auto"/>
              <w:ind w:firstLine="480" w:firstLineChars="200"/>
              <w:rPr>
                <w:rFonts w:hint="eastAsia" w:hAnsi="宋体"/>
                <w:color w:val="000000"/>
                <w:kern w:val="0"/>
                <w:sz w:val="24"/>
              </w:rPr>
            </w:pPr>
            <w:r>
              <w:rPr>
                <w:rFonts w:hint="eastAsia" w:hAnsi="宋体"/>
                <w:color w:val="000000"/>
                <w:kern w:val="0"/>
                <w:sz w:val="24"/>
              </w:rPr>
              <w:t>根据查阅相关资料，磨池河和高中水库所在区域基本相同，水系存在联通，</w:t>
            </w:r>
            <w:r>
              <w:rPr>
                <w:rFonts w:hAnsi="宋体"/>
                <w:color w:val="000000"/>
                <w:kern w:val="0"/>
                <w:sz w:val="24"/>
              </w:rPr>
              <w:t>水体流速很慢，水体交换能力弱</w:t>
            </w:r>
            <w:r>
              <w:rPr>
                <w:rFonts w:hint="eastAsia" w:hAnsi="宋体"/>
                <w:color w:val="000000"/>
                <w:kern w:val="0"/>
                <w:sz w:val="24"/>
              </w:rPr>
              <w:t xml:space="preserve">，磨池河流域及高中水库浮游生物、底栖生物、鱼类资源及鱼类重要生境具体如下： </w:t>
            </w:r>
          </w:p>
          <w:p>
            <w:pPr>
              <w:autoSpaceDE w:val="0"/>
              <w:autoSpaceDN w:val="0"/>
              <w:adjustRightInd w:val="0"/>
              <w:snapToGrid w:val="0"/>
              <w:spacing w:line="360" w:lineRule="auto"/>
              <w:ind w:firstLine="480" w:firstLineChars="200"/>
              <w:rPr>
                <w:rFonts w:hAnsi="宋体"/>
                <w:color w:val="000000"/>
                <w:kern w:val="0"/>
                <w:sz w:val="24"/>
              </w:rPr>
            </w:pPr>
            <w:r>
              <w:rPr>
                <w:rFonts w:hint="eastAsia" w:hAnsi="宋体"/>
                <w:color w:val="000000"/>
                <w:kern w:val="0"/>
                <w:sz w:val="24"/>
              </w:rPr>
              <w:t>①浮游植物</w:t>
            </w:r>
          </w:p>
          <w:p>
            <w:pPr>
              <w:autoSpaceDE w:val="0"/>
              <w:autoSpaceDN w:val="0"/>
              <w:adjustRightInd w:val="0"/>
              <w:snapToGrid w:val="0"/>
              <w:spacing w:line="360" w:lineRule="auto"/>
              <w:ind w:firstLine="480" w:firstLineChars="200"/>
              <w:rPr>
                <w:rFonts w:hAnsi="宋体"/>
                <w:color w:val="000000"/>
                <w:kern w:val="0"/>
                <w:sz w:val="24"/>
              </w:rPr>
            </w:pPr>
            <w:r>
              <w:rPr>
                <w:rFonts w:hint="eastAsia" w:hAnsi="宋体"/>
                <w:color w:val="000000"/>
                <w:kern w:val="0"/>
                <w:sz w:val="24"/>
              </w:rPr>
              <w:t>根据查阅相关资料，高中水库及磨池河</w:t>
            </w:r>
            <w:r>
              <w:rPr>
                <w:rFonts w:hAnsi="宋体"/>
                <w:color w:val="000000"/>
                <w:kern w:val="0"/>
                <w:sz w:val="24"/>
              </w:rPr>
              <w:t>浮游藻类4门5纲7目13科17属24种，其中硅藻门的藻类最多，有6科9属16种，占总种数的66.67%；其次为绿藻门藻类有4科5属5种，占总种数的20.83%；裸藻门有2科2属2种，占总种数的8.33%；蓝藻门种类最少，仅1科1属1种，占总种数的4.17%（表</w:t>
            </w:r>
            <w:r>
              <w:rPr>
                <w:rFonts w:hint="eastAsia" w:hAnsi="宋体"/>
                <w:color w:val="000000"/>
                <w:kern w:val="0"/>
                <w:sz w:val="24"/>
              </w:rPr>
              <w:t>3-9</w:t>
            </w:r>
            <w:r>
              <w:rPr>
                <w:rFonts w:hAnsi="宋体"/>
                <w:color w:val="000000"/>
                <w:kern w:val="0"/>
                <w:sz w:val="24"/>
              </w:rPr>
              <w:t>）。</w:t>
            </w:r>
          </w:p>
          <w:p>
            <w:pPr>
              <w:tabs>
                <w:tab w:val="left" w:pos="0"/>
                <w:tab w:val="left" w:pos="420"/>
              </w:tabs>
              <w:adjustRightInd w:val="0"/>
              <w:snapToGrid w:val="0"/>
              <w:spacing w:before="48" w:beforeLines="20" w:after="48" w:afterLines="20" w:line="240" w:lineRule="auto"/>
              <w:ind w:left="0" w:leftChars="0" w:right="0" w:rightChars="0" w:firstLine="0" w:firstLineChars="0"/>
              <w:jc w:val="center"/>
              <w:outlineLvl w:val="6"/>
              <w:rPr>
                <w:rFonts w:hint="eastAsia"/>
                <w:b/>
                <w:color w:val="000000"/>
                <w:sz w:val="21"/>
                <w:szCs w:val="21"/>
              </w:rPr>
            </w:pPr>
          </w:p>
          <w:p>
            <w:pPr>
              <w:tabs>
                <w:tab w:val="left" w:pos="0"/>
                <w:tab w:val="left" w:pos="420"/>
              </w:tabs>
              <w:adjustRightInd w:val="0"/>
              <w:snapToGrid w:val="0"/>
              <w:spacing w:before="48" w:beforeLines="20" w:after="48" w:afterLines="20" w:line="240" w:lineRule="auto"/>
              <w:ind w:left="0" w:leftChars="0" w:right="0" w:rightChars="0" w:firstLine="0" w:firstLineChars="0"/>
              <w:jc w:val="center"/>
              <w:outlineLvl w:val="6"/>
              <w:rPr>
                <w:b/>
                <w:color w:val="000000"/>
                <w:sz w:val="24"/>
              </w:rPr>
            </w:pPr>
            <w:r>
              <w:rPr>
                <w:rFonts w:hint="eastAsia"/>
                <w:b/>
                <w:color w:val="000000"/>
                <w:sz w:val="21"/>
                <w:szCs w:val="21"/>
              </w:rPr>
              <w:t xml:space="preserve">表3-9 </w:t>
            </w:r>
            <w:r>
              <w:rPr>
                <w:b/>
                <w:color w:val="000000"/>
                <w:sz w:val="21"/>
                <w:szCs w:val="21"/>
              </w:rPr>
              <w:t xml:space="preserve"> </w:t>
            </w:r>
            <w:r>
              <w:rPr>
                <w:rFonts w:hint="eastAsia"/>
                <w:b/>
                <w:color w:val="000000"/>
                <w:sz w:val="21"/>
                <w:szCs w:val="21"/>
              </w:rPr>
              <w:t>工程段高中水库及磨池河流域</w:t>
            </w:r>
            <w:r>
              <w:rPr>
                <w:b/>
                <w:color w:val="000000"/>
                <w:sz w:val="21"/>
                <w:szCs w:val="21"/>
              </w:rPr>
              <w:t>影响水域浮游植物种类组成</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8"/>
              <w:gridCol w:w="1186"/>
              <w:gridCol w:w="1186"/>
              <w:gridCol w:w="1186"/>
              <w:gridCol w:w="2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blHeader/>
                <w:jc w:val="center"/>
              </w:trPr>
              <w:tc>
                <w:tcPr>
                  <w:tcW w:w="1053" w:type="pct"/>
                  <w:noWrap/>
                  <w:vAlign w:val="center"/>
                </w:tcPr>
                <w:p>
                  <w:pPr>
                    <w:snapToGrid w:val="0"/>
                    <w:spacing w:line="0" w:lineRule="atLeast"/>
                    <w:jc w:val="center"/>
                    <w:rPr>
                      <w:color w:val="000000"/>
                      <w:szCs w:val="18"/>
                    </w:rPr>
                  </w:pPr>
                  <w:r>
                    <w:rPr>
                      <w:color w:val="000000"/>
                      <w:szCs w:val="18"/>
                    </w:rPr>
                    <w:t>门类</w:t>
                  </w:r>
                </w:p>
              </w:tc>
              <w:tc>
                <w:tcPr>
                  <w:tcW w:w="791" w:type="pct"/>
                  <w:noWrap/>
                  <w:vAlign w:val="center"/>
                </w:tcPr>
                <w:p>
                  <w:pPr>
                    <w:snapToGrid w:val="0"/>
                    <w:spacing w:line="0" w:lineRule="atLeast"/>
                    <w:jc w:val="center"/>
                    <w:rPr>
                      <w:color w:val="000000"/>
                      <w:szCs w:val="18"/>
                    </w:rPr>
                  </w:pPr>
                  <w:r>
                    <w:rPr>
                      <w:color w:val="000000"/>
                      <w:szCs w:val="18"/>
                    </w:rPr>
                    <w:t>科数</w:t>
                  </w:r>
                </w:p>
              </w:tc>
              <w:tc>
                <w:tcPr>
                  <w:tcW w:w="791" w:type="pct"/>
                  <w:noWrap/>
                  <w:vAlign w:val="center"/>
                </w:tcPr>
                <w:p>
                  <w:pPr>
                    <w:snapToGrid w:val="0"/>
                    <w:spacing w:line="0" w:lineRule="atLeast"/>
                    <w:jc w:val="center"/>
                    <w:rPr>
                      <w:color w:val="000000"/>
                      <w:szCs w:val="18"/>
                    </w:rPr>
                  </w:pPr>
                  <w:r>
                    <w:rPr>
                      <w:color w:val="000000"/>
                      <w:szCs w:val="18"/>
                    </w:rPr>
                    <w:t>属数</w:t>
                  </w:r>
                </w:p>
              </w:tc>
              <w:tc>
                <w:tcPr>
                  <w:tcW w:w="791" w:type="pct"/>
                  <w:noWrap/>
                  <w:vAlign w:val="center"/>
                </w:tcPr>
                <w:p>
                  <w:pPr>
                    <w:snapToGrid w:val="0"/>
                    <w:spacing w:line="0" w:lineRule="atLeast"/>
                    <w:jc w:val="center"/>
                    <w:rPr>
                      <w:color w:val="000000"/>
                      <w:szCs w:val="18"/>
                    </w:rPr>
                  </w:pPr>
                  <w:r>
                    <w:rPr>
                      <w:color w:val="000000"/>
                      <w:szCs w:val="18"/>
                    </w:rPr>
                    <w:t>种数</w:t>
                  </w:r>
                </w:p>
              </w:tc>
              <w:tc>
                <w:tcPr>
                  <w:tcW w:w="1574" w:type="pct"/>
                  <w:noWrap/>
                  <w:vAlign w:val="center"/>
                </w:tcPr>
                <w:p>
                  <w:pPr>
                    <w:snapToGrid w:val="0"/>
                    <w:spacing w:line="0" w:lineRule="atLeast"/>
                    <w:jc w:val="center"/>
                    <w:rPr>
                      <w:color w:val="000000"/>
                      <w:szCs w:val="18"/>
                    </w:rPr>
                  </w:pPr>
                  <w:r>
                    <w:rPr>
                      <w:color w:val="000000"/>
                      <w:szCs w:val="18"/>
                    </w:rPr>
                    <w:t>种数百分比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53" w:type="pct"/>
                  <w:noWrap/>
                  <w:vAlign w:val="center"/>
                </w:tcPr>
                <w:p>
                  <w:pPr>
                    <w:snapToGrid w:val="0"/>
                    <w:spacing w:line="0" w:lineRule="atLeast"/>
                    <w:jc w:val="center"/>
                    <w:rPr>
                      <w:color w:val="000000"/>
                      <w:szCs w:val="18"/>
                    </w:rPr>
                  </w:pPr>
                  <w:r>
                    <w:rPr>
                      <w:color w:val="000000"/>
                      <w:szCs w:val="18"/>
                    </w:rPr>
                    <w:t>蓝藻门</w:t>
                  </w:r>
                </w:p>
              </w:tc>
              <w:tc>
                <w:tcPr>
                  <w:tcW w:w="791" w:type="pct"/>
                  <w:noWrap/>
                  <w:vAlign w:val="center"/>
                </w:tcPr>
                <w:p>
                  <w:pPr>
                    <w:snapToGrid w:val="0"/>
                    <w:spacing w:line="0" w:lineRule="atLeast"/>
                    <w:jc w:val="center"/>
                    <w:rPr>
                      <w:color w:val="000000"/>
                      <w:szCs w:val="18"/>
                    </w:rPr>
                  </w:pPr>
                  <w:r>
                    <w:rPr>
                      <w:color w:val="000000"/>
                      <w:szCs w:val="18"/>
                    </w:rPr>
                    <w:t>1</w:t>
                  </w:r>
                </w:p>
              </w:tc>
              <w:tc>
                <w:tcPr>
                  <w:tcW w:w="791" w:type="pct"/>
                  <w:noWrap/>
                  <w:vAlign w:val="center"/>
                </w:tcPr>
                <w:p>
                  <w:pPr>
                    <w:snapToGrid w:val="0"/>
                    <w:spacing w:line="0" w:lineRule="atLeast"/>
                    <w:jc w:val="center"/>
                    <w:rPr>
                      <w:color w:val="000000"/>
                      <w:szCs w:val="18"/>
                    </w:rPr>
                  </w:pPr>
                  <w:r>
                    <w:rPr>
                      <w:color w:val="000000"/>
                      <w:szCs w:val="18"/>
                    </w:rPr>
                    <w:t>1</w:t>
                  </w:r>
                </w:p>
              </w:tc>
              <w:tc>
                <w:tcPr>
                  <w:tcW w:w="791" w:type="pct"/>
                  <w:noWrap/>
                  <w:vAlign w:val="center"/>
                </w:tcPr>
                <w:p>
                  <w:pPr>
                    <w:snapToGrid w:val="0"/>
                    <w:spacing w:line="0" w:lineRule="atLeast"/>
                    <w:jc w:val="center"/>
                    <w:rPr>
                      <w:color w:val="000000"/>
                      <w:szCs w:val="18"/>
                    </w:rPr>
                  </w:pPr>
                  <w:r>
                    <w:rPr>
                      <w:color w:val="000000"/>
                      <w:szCs w:val="18"/>
                    </w:rPr>
                    <w:t>1</w:t>
                  </w:r>
                </w:p>
              </w:tc>
              <w:tc>
                <w:tcPr>
                  <w:tcW w:w="1574" w:type="pct"/>
                  <w:noWrap/>
                  <w:vAlign w:val="center"/>
                </w:tcPr>
                <w:p>
                  <w:pPr>
                    <w:snapToGrid w:val="0"/>
                    <w:spacing w:line="0" w:lineRule="atLeast"/>
                    <w:jc w:val="center"/>
                    <w:rPr>
                      <w:color w:val="000000"/>
                      <w:szCs w:val="18"/>
                    </w:rPr>
                  </w:pPr>
                  <w:r>
                    <w:rPr>
                      <w:color w:val="000000"/>
                      <w:szCs w:val="18"/>
                    </w:rPr>
                    <w:t>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53" w:type="pct"/>
                  <w:noWrap/>
                  <w:vAlign w:val="center"/>
                </w:tcPr>
                <w:p>
                  <w:pPr>
                    <w:snapToGrid w:val="0"/>
                    <w:spacing w:line="0" w:lineRule="atLeast"/>
                    <w:jc w:val="center"/>
                    <w:rPr>
                      <w:color w:val="000000"/>
                      <w:szCs w:val="18"/>
                    </w:rPr>
                  </w:pPr>
                  <w:r>
                    <w:rPr>
                      <w:color w:val="000000"/>
                      <w:szCs w:val="18"/>
                    </w:rPr>
                    <w:t>硅藻门</w:t>
                  </w:r>
                </w:p>
              </w:tc>
              <w:tc>
                <w:tcPr>
                  <w:tcW w:w="791" w:type="pct"/>
                  <w:noWrap/>
                  <w:vAlign w:val="center"/>
                </w:tcPr>
                <w:p>
                  <w:pPr>
                    <w:snapToGrid w:val="0"/>
                    <w:spacing w:line="0" w:lineRule="atLeast"/>
                    <w:jc w:val="center"/>
                    <w:rPr>
                      <w:color w:val="000000"/>
                      <w:szCs w:val="18"/>
                    </w:rPr>
                  </w:pPr>
                  <w:r>
                    <w:rPr>
                      <w:color w:val="000000"/>
                      <w:szCs w:val="18"/>
                    </w:rPr>
                    <w:t>6</w:t>
                  </w:r>
                </w:p>
              </w:tc>
              <w:tc>
                <w:tcPr>
                  <w:tcW w:w="791" w:type="pct"/>
                  <w:noWrap/>
                  <w:vAlign w:val="center"/>
                </w:tcPr>
                <w:p>
                  <w:pPr>
                    <w:snapToGrid w:val="0"/>
                    <w:spacing w:line="0" w:lineRule="atLeast"/>
                    <w:jc w:val="center"/>
                    <w:rPr>
                      <w:color w:val="000000"/>
                      <w:szCs w:val="18"/>
                    </w:rPr>
                  </w:pPr>
                  <w:r>
                    <w:rPr>
                      <w:color w:val="000000"/>
                      <w:szCs w:val="18"/>
                    </w:rPr>
                    <w:t>9</w:t>
                  </w:r>
                </w:p>
              </w:tc>
              <w:tc>
                <w:tcPr>
                  <w:tcW w:w="791" w:type="pct"/>
                  <w:noWrap/>
                  <w:vAlign w:val="center"/>
                </w:tcPr>
                <w:p>
                  <w:pPr>
                    <w:snapToGrid w:val="0"/>
                    <w:spacing w:line="0" w:lineRule="atLeast"/>
                    <w:jc w:val="center"/>
                    <w:rPr>
                      <w:color w:val="000000"/>
                      <w:szCs w:val="18"/>
                    </w:rPr>
                  </w:pPr>
                  <w:r>
                    <w:rPr>
                      <w:color w:val="000000"/>
                      <w:szCs w:val="18"/>
                    </w:rPr>
                    <w:t>16</w:t>
                  </w:r>
                </w:p>
              </w:tc>
              <w:tc>
                <w:tcPr>
                  <w:tcW w:w="1574" w:type="pct"/>
                  <w:noWrap/>
                  <w:vAlign w:val="center"/>
                </w:tcPr>
                <w:p>
                  <w:pPr>
                    <w:snapToGrid w:val="0"/>
                    <w:spacing w:line="0" w:lineRule="atLeast"/>
                    <w:jc w:val="center"/>
                    <w:rPr>
                      <w:color w:val="000000"/>
                      <w:szCs w:val="18"/>
                    </w:rPr>
                  </w:pPr>
                  <w:r>
                    <w:rPr>
                      <w:color w:val="000000"/>
                      <w:szCs w:val="18"/>
                    </w:rPr>
                    <w:t>66.67%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53" w:type="pct"/>
                  <w:noWrap/>
                  <w:vAlign w:val="center"/>
                </w:tcPr>
                <w:p>
                  <w:pPr>
                    <w:snapToGrid w:val="0"/>
                    <w:spacing w:line="0" w:lineRule="atLeast"/>
                    <w:jc w:val="center"/>
                    <w:rPr>
                      <w:color w:val="000000"/>
                      <w:szCs w:val="18"/>
                    </w:rPr>
                  </w:pPr>
                  <w:r>
                    <w:rPr>
                      <w:color w:val="000000"/>
                      <w:szCs w:val="18"/>
                    </w:rPr>
                    <w:t>裸藻门</w:t>
                  </w:r>
                </w:p>
              </w:tc>
              <w:tc>
                <w:tcPr>
                  <w:tcW w:w="791" w:type="pct"/>
                  <w:noWrap/>
                  <w:vAlign w:val="center"/>
                </w:tcPr>
                <w:p>
                  <w:pPr>
                    <w:snapToGrid w:val="0"/>
                    <w:spacing w:line="0" w:lineRule="atLeast"/>
                    <w:jc w:val="center"/>
                    <w:rPr>
                      <w:color w:val="000000"/>
                      <w:szCs w:val="18"/>
                    </w:rPr>
                  </w:pPr>
                  <w:r>
                    <w:rPr>
                      <w:color w:val="000000"/>
                      <w:szCs w:val="18"/>
                    </w:rPr>
                    <w:t>2</w:t>
                  </w:r>
                </w:p>
              </w:tc>
              <w:tc>
                <w:tcPr>
                  <w:tcW w:w="791" w:type="pct"/>
                  <w:noWrap/>
                  <w:vAlign w:val="center"/>
                </w:tcPr>
                <w:p>
                  <w:pPr>
                    <w:snapToGrid w:val="0"/>
                    <w:spacing w:line="0" w:lineRule="atLeast"/>
                    <w:jc w:val="center"/>
                    <w:rPr>
                      <w:color w:val="000000"/>
                      <w:szCs w:val="18"/>
                    </w:rPr>
                  </w:pPr>
                  <w:r>
                    <w:rPr>
                      <w:color w:val="000000"/>
                      <w:szCs w:val="18"/>
                    </w:rPr>
                    <w:t>2</w:t>
                  </w:r>
                </w:p>
              </w:tc>
              <w:tc>
                <w:tcPr>
                  <w:tcW w:w="791" w:type="pct"/>
                  <w:noWrap/>
                  <w:vAlign w:val="center"/>
                </w:tcPr>
                <w:p>
                  <w:pPr>
                    <w:snapToGrid w:val="0"/>
                    <w:spacing w:line="0" w:lineRule="atLeast"/>
                    <w:jc w:val="center"/>
                    <w:rPr>
                      <w:color w:val="000000"/>
                      <w:szCs w:val="18"/>
                    </w:rPr>
                  </w:pPr>
                  <w:r>
                    <w:rPr>
                      <w:color w:val="000000"/>
                      <w:szCs w:val="18"/>
                    </w:rPr>
                    <w:t>2</w:t>
                  </w:r>
                </w:p>
              </w:tc>
              <w:tc>
                <w:tcPr>
                  <w:tcW w:w="1574" w:type="pct"/>
                  <w:noWrap/>
                  <w:vAlign w:val="center"/>
                </w:tcPr>
                <w:p>
                  <w:pPr>
                    <w:snapToGrid w:val="0"/>
                    <w:spacing w:line="0" w:lineRule="atLeast"/>
                    <w:jc w:val="center"/>
                    <w:rPr>
                      <w:color w:val="000000"/>
                      <w:szCs w:val="18"/>
                    </w:rPr>
                  </w:pPr>
                  <w:r>
                    <w:rPr>
                      <w:color w:val="000000"/>
                      <w:szCs w:val="18"/>
                    </w:rPr>
                    <w:t>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noWrap/>
                  <w:vAlign w:val="center"/>
                </w:tcPr>
                <w:p>
                  <w:pPr>
                    <w:snapToGrid w:val="0"/>
                    <w:spacing w:line="0" w:lineRule="atLeast"/>
                    <w:jc w:val="center"/>
                    <w:rPr>
                      <w:color w:val="000000"/>
                      <w:szCs w:val="18"/>
                    </w:rPr>
                  </w:pPr>
                  <w:r>
                    <w:rPr>
                      <w:color w:val="000000"/>
                      <w:szCs w:val="18"/>
                    </w:rPr>
                    <w:t>绿藻门</w:t>
                  </w:r>
                </w:p>
              </w:tc>
              <w:tc>
                <w:tcPr>
                  <w:tcW w:w="791" w:type="pct"/>
                  <w:noWrap/>
                  <w:vAlign w:val="center"/>
                </w:tcPr>
                <w:p>
                  <w:pPr>
                    <w:snapToGrid w:val="0"/>
                    <w:spacing w:line="0" w:lineRule="atLeast"/>
                    <w:jc w:val="center"/>
                    <w:rPr>
                      <w:color w:val="000000"/>
                      <w:szCs w:val="18"/>
                    </w:rPr>
                  </w:pPr>
                  <w:r>
                    <w:rPr>
                      <w:color w:val="000000"/>
                      <w:szCs w:val="18"/>
                    </w:rPr>
                    <w:t>4</w:t>
                  </w:r>
                </w:p>
              </w:tc>
              <w:tc>
                <w:tcPr>
                  <w:tcW w:w="791" w:type="pct"/>
                  <w:noWrap/>
                  <w:vAlign w:val="center"/>
                </w:tcPr>
                <w:p>
                  <w:pPr>
                    <w:snapToGrid w:val="0"/>
                    <w:spacing w:line="0" w:lineRule="atLeast"/>
                    <w:jc w:val="center"/>
                    <w:rPr>
                      <w:color w:val="000000"/>
                      <w:szCs w:val="18"/>
                    </w:rPr>
                  </w:pPr>
                  <w:r>
                    <w:rPr>
                      <w:color w:val="000000"/>
                      <w:szCs w:val="18"/>
                    </w:rPr>
                    <w:t>5</w:t>
                  </w:r>
                </w:p>
              </w:tc>
              <w:tc>
                <w:tcPr>
                  <w:tcW w:w="791" w:type="pct"/>
                  <w:noWrap/>
                  <w:vAlign w:val="center"/>
                </w:tcPr>
                <w:p>
                  <w:pPr>
                    <w:snapToGrid w:val="0"/>
                    <w:spacing w:line="0" w:lineRule="atLeast"/>
                    <w:jc w:val="center"/>
                    <w:rPr>
                      <w:color w:val="000000"/>
                      <w:szCs w:val="18"/>
                    </w:rPr>
                  </w:pPr>
                  <w:r>
                    <w:rPr>
                      <w:color w:val="000000"/>
                      <w:szCs w:val="18"/>
                    </w:rPr>
                    <w:t>5</w:t>
                  </w:r>
                </w:p>
              </w:tc>
              <w:tc>
                <w:tcPr>
                  <w:tcW w:w="1574" w:type="pct"/>
                  <w:noWrap/>
                  <w:vAlign w:val="center"/>
                </w:tcPr>
                <w:p>
                  <w:pPr>
                    <w:snapToGrid w:val="0"/>
                    <w:spacing w:line="0" w:lineRule="atLeast"/>
                    <w:jc w:val="center"/>
                    <w:rPr>
                      <w:color w:val="000000"/>
                      <w:szCs w:val="18"/>
                    </w:rPr>
                  </w:pPr>
                  <w:r>
                    <w:rPr>
                      <w:color w:val="000000"/>
                      <w:szCs w:val="18"/>
                    </w:rPr>
                    <w:t>20.83%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53" w:type="pct"/>
                  <w:noWrap/>
                  <w:vAlign w:val="center"/>
                </w:tcPr>
                <w:p>
                  <w:pPr>
                    <w:snapToGrid w:val="0"/>
                    <w:spacing w:line="0" w:lineRule="atLeast"/>
                    <w:jc w:val="center"/>
                    <w:rPr>
                      <w:color w:val="000000"/>
                      <w:szCs w:val="18"/>
                    </w:rPr>
                  </w:pPr>
                  <w:r>
                    <w:rPr>
                      <w:color w:val="000000"/>
                      <w:szCs w:val="18"/>
                    </w:rPr>
                    <w:t>总计</w:t>
                  </w:r>
                </w:p>
              </w:tc>
              <w:tc>
                <w:tcPr>
                  <w:tcW w:w="791" w:type="pct"/>
                  <w:noWrap/>
                  <w:vAlign w:val="center"/>
                </w:tcPr>
                <w:p>
                  <w:pPr>
                    <w:snapToGrid w:val="0"/>
                    <w:spacing w:line="0" w:lineRule="atLeast"/>
                    <w:jc w:val="center"/>
                    <w:rPr>
                      <w:color w:val="000000"/>
                      <w:szCs w:val="18"/>
                    </w:rPr>
                  </w:pPr>
                  <w:r>
                    <w:rPr>
                      <w:color w:val="000000"/>
                      <w:szCs w:val="18"/>
                    </w:rPr>
                    <w:t>13</w:t>
                  </w:r>
                </w:p>
              </w:tc>
              <w:tc>
                <w:tcPr>
                  <w:tcW w:w="791" w:type="pct"/>
                  <w:noWrap/>
                  <w:vAlign w:val="center"/>
                </w:tcPr>
                <w:p>
                  <w:pPr>
                    <w:snapToGrid w:val="0"/>
                    <w:spacing w:line="0" w:lineRule="atLeast"/>
                    <w:jc w:val="center"/>
                    <w:rPr>
                      <w:color w:val="000000"/>
                      <w:szCs w:val="18"/>
                    </w:rPr>
                  </w:pPr>
                  <w:r>
                    <w:rPr>
                      <w:color w:val="000000"/>
                      <w:szCs w:val="18"/>
                    </w:rPr>
                    <w:t>17</w:t>
                  </w:r>
                </w:p>
              </w:tc>
              <w:tc>
                <w:tcPr>
                  <w:tcW w:w="791" w:type="pct"/>
                  <w:noWrap/>
                  <w:vAlign w:val="center"/>
                </w:tcPr>
                <w:p>
                  <w:pPr>
                    <w:snapToGrid w:val="0"/>
                    <w:spacing w:line="0" w:lineRule="atLeast"/>
                    <w:jc w:val="center"/>
                    <w:rPr>
                      <w:color w:val="000000"/>
                      <w:szCs w:val="18"/>
                    </w:rPr>
                  </w:pPr>
                  <w:r>
                    <w:rPr>
                      <w:color w:val="000000"/>
                      <w:szCs w:val="18"/>
                    </w:rPr>
                    <w:t>24</w:t>
                  </w:r>
                </w:p>
              </w:tc>
              <w:tc>
                <w:tcPr>
                  <w:tcW w:w="1574" w:type="pct"/>
                  <w:noWrap/>
                  <w:vAlign w:val="center"/>
                </w:tcPr>
                <w:p>
                  <w:pPr>
                    <w:snapToGrid w:val="0"/>
                    <w:spacing w:line="0" w:lineRule="atLeast"/>
                    <w:jc w:val="center"/>
                    <w:rPr>
                      <w:color w:val="000000"/>
                      <w:szCs w:val="18"/>
                    </w:rPr>
                  </w:pPr>
                  <w:r>
                    <w:rPr>
                      <w:color w:val="000000"/>
                      <w:szCs w:val="18"/>
                    </w:rPr>
                    <w:t>100.00%</w:t>
                  </w:r>
                </w:p>
              </w:tc>
            </w:tr>
          </w:tbl>
          <w:p>
            <w:pPr>
              <w:autoSpaceDE w:val="0"/>
              <w:autoSpaceDN w:val="0"/>
              <w:adjustRightInd w:val="0"/>
              <w:spacing w:line="360" w:lineRule="auto"/>
              <w:ind w:firstLine="480" w:firstLineChars="200"/>
              <w:rPr>
                <w:rFonts w:hint="eastAsia"/>
                <w:color w:val="000000"/>
                <w:sz w:val="24"/>
              </w:rPr>
            </w:pPr>
            <w:r>
              <w:rPr>
                <w:color w:val="000000"/>
                <w:sz w:val="24"/>
              </w:rPr>
              <w:t>调查河段水体流速很慢，水体交换能力弱，水质较差。</w:t>
            </w:r>
            <w:r>
              <w:rPr>
                <w:rFonts w:hint="eastAsia"/>
                <w:color w:val="000000"/>
                <w:sz w:val="24"/>
              </w:rPr>
              <w:t>磨池河、高中水库</w:t>
            </w:r>
            <w:r>
              <w:rPr>
                <w:color w:val="000000"/>
                <w:sz w:val="24"/>
              </w:rPr>
              <w:t>两岸多种植经济果树，农田化学施用量较高。浮游藻类以流水的绿藻门密度和生物量为最大，包括衣藻、实球藻、双棘栅藻、二形栅藻和四足十字藻等。各采集点的优势种均是绿藻门，其次为硅藻、蓝藻和甲藻。</w:t>
            </w:r>
          </w:p>
          <w:p>
            <w:pPr>
              <w:autoSpaceDE w:val="0"/>
              <w:autoSpaceDN w:val="0"/>
              <w:adjustRightInd w:val="0"/>
              <w:spacing w:line="360" w:lineRule="auto"/>
              <w:ind w:firstLine="480" w:firstLineChars="200"/>
              <w:rPr>
                <w:color w:val="000000"/>
                <w:sz w:val="24"/>
              </w:rPr>
            </w:pPr>
            <w:r>
              <w:rPr>
                <w:rFonts w:hint="eastAsia"/>
                <w:color w:val="000000"/>
                <w:sz w:val="24"/>
              </w:rPr>
              <w:t>②浮游动物</w:t>
            </w:r>
          </w:p>
          <w:p>
            <w:pPr>
              <w:autoSpaceDE w:val="0"/>
              <w:autoSpaceDN w:val="0"/>
              <w:adjustRightInd w:val="0"/>
              <w:spacing w:line="360" w:lineRule="auto"/>
              <w:ind w:firstLine="480" w:firstLineChars="200"/>
              <w:rPr>
                <w:rFonts w:hint="eastAsia"/>
                <w:color w:val="000000"/>
                <w:sz w:val="24"/>
              </w:rPr>
            </w:pPr>
            <w:r>
              <w:rPr>
                <w:color w:val="000000"/>
                <w:sz w:val="24"/>
              </w:rPr>
              <w:t>浮游动物以水生细菌和浮游藻类为食，是属于水生生态系统中的消费者和第二营养级，亦称次级生产力，由于浮游动物摄取大量藻类，所以使水体产生自净作用，它也是所有幼鱼和某些成鱼的饵料基础。</w:t>
            </w:r>
          </w:p>
          <w:p>
            <w:pPr>
              <w:autoSpaceDE w:val="0"/>
              <w:autoSpaceDN w:val="0"/>
              <w:adjustRightInd w:val="0"/>
              <w:spacing w:line="360" w:lineRule="auto"/>
              <w:ind w:firstLine="480" w:firstLineChars="200"/>
              <w:rPr>
                <w:rFonts w:hint="eastAsia"/>
                <w:color w:val="000000"/>
                <w:sz w:val="24"/>
              </w:rPr>
            </w:pPr>
            <w:r>
              <w:rPr>
                <w:rFonts w:hint="eastAsia" w:hAnsi="宋体"/>
                <w:color w:val="000000"/>
                <w:kern w:val="0"/>
                <w:sz w:val="24"/>
              </w:rPr>
              <w:t>根据查阅相关资料，高中水库及磨池河</w:t>
            </w:r>
            <w:r>
              <w:rPr>
                <w:rFonts w:hint="eastAsia"/>
                <w:color w:val="000000"/>
                <w:sz w:val="24"/>
              </w:rPr>
              <w:t>浮游动物2门2纲4目4科6属8种。其中节肢动物门3科5属7种，占总种数的87.50%；轮虫动物门1科1属1种，占总物种数的12.50%</w:t>
            </w:r>
          </w:p>
          <w:p>
            <w:pPr>
              <w:tabs>
                <w:tab w:val="left" w:pos="0"/>
                <w:tab w:val="left" w:pos="420"/>
              </w:tabs>
              <w:adjustRightInd w:val="0"/>
              <w:snapToGrid w:val="0"/>
              <w:spacing w:before="48" w:beforeLines="20" w:after="48" w:afterLines="20" w:line="240" w:lineRule="auto"/>
              <w:ind w:left="0" w:leftChars="0" w:right="0" w:rightChars="0" w:firstLine="0" w:firstLineChars="0"/>
              <w:jc w:val="center"/>
              <w:outlineLvl w:val="6"/>
              <w:rPr>
                <w:b/>
                <w:color w:val="000000"/>
                <w:sz w:val="21"/>
                <w:szCs w:val="21"/>
              </w:rPr>
            </w:pPr>
            <w:r>
              <w:rPr>
                <w:rFonts w:hint="eastAsia"/>
                <w:b/>
                <w:color w:val="000000"/>
                <w:sz w:val="21"/>
                <w:szCs w:val="21"/>
              </w:rPr>
              <w:t>表3-10</w:t>
            </w:r>
            <w:r>
              <w:rPr>
                <w:b/>
                <w:color w:val="000000"/>
                <w:sz w:val="21"/>
                <w:szCs w:val="21"/>
              </w:rPr>
              <w:t xml:space="preserve"> </w:t>
            </w:r>
            <w:r>
              <w:rPr>
                <w:rFonts w:hint="eastAsia"/>
                <w:b/>
                <w:color w:val="000000"/>
                <w:sz w:val="21"/>
                <w:szCs w:val="21"/>
              </w:rPr>
              <w:t>工程段高中水库及磨池河流域</w:t>
            </w:r>
            <w:r>
              <w:rPr>
                <w:b/>
                <w:color w:val="000000"/>
                <w:sz w:val="21"/>
                <w:szCs w:val="21"/>
              </w:rPr>
              <w:t>影响水域浮游动物种类组成</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1073"/>
              <w:gridCol w:w="1073"/>
              <w:gridCol w:w="1073"/>
              <w:gridCol w:w="2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426" w:type="pct"/>
                  <w:noWrap/>
                  <w:vAlign w:val="center"/>
                </w:tcPr>
                <w:p>
                  <w:pPr>
                    <w:pStyle w:val="126"/>
                    <w:rPr>
                      <w:color w:val="000000"/>
                    </w:rPr>
                  </w:pPr>
                  <w:r>
                    <w:rPr>
                      <w:rFonts w:ascii="Times New Roman" w:hAnsi="Times New Roman"/>
                      <w:color w:val="000000"/>
                    </w:rPr>
                    <w:t>门类</w:t>
                  </w:r>
                </w:p>
              </w:tc>
              <w:tc>
                <w:tcPr>
                  <w:tcW w:w="716" w:type="pct"/>
                  <w:noWrap/>
                  <w:vAlign w:val="center"/>
                </w:tcPr>
                <w:p>
                  <w:pPr>
                    <w:pStyle w:val="126"/>
                    <w:rPr>
                      <w:color w:val="000000"/>
                    </w:rPr>
                  </w:pPr>
                  <w:r>
                    <w:rPr>
                      <w:rFonts w:ascii="Times New Roman" w:hAnsi="Times New Roman"/>
                      <w:color w:val="000000"/>
                    </w:rPr>
                    <w:t>科数</w:t>
                  </w:r>
                </w:p>
              </w:tc>
              <w:tc>
                <w:tcPr>
                  <w:tcW w:w="716" w:type="pct"/>
                  <w:noWrap/>
                  <w:vAlign w:val="center"/>
                </w:tcPr>
                <w:p>
                  <w:pPr>
                    <w:pStyle w:val="126"/>
                    <w:rPr>
                      <w:color w:val="000000"/>
                    </w:rPr>
                  </w:pPr>
                  <w:r>
                    <w:rPr>
                      <w:rFonts w:ascii="Times New Roman" w:hAnsi="Times New Roman"/>
                      <w:color w:val="000000"/>
                    </w:rPr>
                    <w:t>属数</w:t>
                  </w:r>
                </w:p>
              </w:tc>
              <w:tc>
                <w:tcPr>
                  <w:tcW w:w="716" w:type="pct"/>
                  <w:noWrap/>
                  <w:vAlign w:val="center"/>
                </w:tcPr>
                <w:p>
                  <w:pPr>
                    <w:pStyle w:val="126"/>
                    <w:rPr>
                      <w:color w:val="000000"/>
                    </w:rPr>
                  </w:pPr>
                  <w:r>
                    <w:rPr>
                      <w:rFonts w:ascii="Times New Roman" w:hAnsi="Times New Roman"/>
                      <w:color w:val="000000"/>
                    </w:rPr>
                    <w:t>种数</w:t>
                  </w:r>
                </w:p>
              </w:tc>
              <w:tc>
                <w:tcPr>
                  <w:tcW w:w="1426" w:type="pct"/>
                  <w:noWrap/>
                  <w:vAlign w:val="center"/>
                </w:tcPr>
                <w:p>
                  <w:pPr>
                    <w:pStyle w:val="126"/>
                    <w:rPr>
                      <w:color w:val="000000"/>
                    </w:rPr>
                  </w:pPr>
                  <w:r>
                    <w:rPr>
                      <w:rFonts w:ascii="Times New Roman" w:hAnsi="Times New Roman"/>
                      <w:color w:val="000000"/>
                    </w:rPr>
                    <w:t>种数百分比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426" w:type="pct"/>
                  <w:noWrap/>
                  <w:vAlign w:val="center"/>
                </w:tcPr>
                <w:p>
                  <w:pPr>
                    <w:pStyle w:val="126"/>
                    <w:rPr>
                      <w:color w:val="000000"/>
                    </w:rPr>
                  </w:pPr>
                  <w:r>
                    <w:rPr>
                      <w:rFonts w:ascii="Times New Roman" w:hAnsi="Times New Roman"/>
                      <w:color w:val="000000"/>
                    </w:rPr>
                    <w:t>轮虫动物门</w:t>
                  </w:r>
                </w:p>
              </w:tc>
              <w:tc>
                <w:tcPr>
                  <w:tcW w:w="716" w:type="pct"/>
                  <w:noWrap/>
                  <w:vAlign w:val="center"/>
                </w:tcPr>
                <w:p>
                  <w:pPr>
                    <w:pStyle w:val="126"/>
                    <w:rPr>
                      <w:color w:val="000000"/>
                    </w:rPr>
                  </w:pPr>
                  <w:r>
                    <w:rPr>
                      <w:rFonts w:ascii="Times New Roman" w:hAnsi="Times New Roman"/>
                      <w:color w:val="000000"/>
                    </w:rPr>
                    <w:t>1</w:t>
                  </w:r>
                </w:p>
              </w:tc>
              <w:tc>
                <w:tcPr>
                  <w:tcW w:w="716" w:type="pct"/>
                  <w:noWrap/>
                  <w:vAlign w:val="center"/>
                </w:tcPr>
                <w:p>
                  <w:pPr>
                    <w:pStyle w:val="126"/>
                    <w:rPr>
                      <w:color w:val="000000"/>
                    </w:rPr>
                  </w:pPr>
                  <w:r>
                    <w:rPr>
                      <w:rFonts w:ascii="Times New Roman" w:hAnsi="Times New Roman"/>
                      <w:color w:val="000000"/>
                    </w:rPr>
                    <w:t>1</w:t>
                  </w:r>
                </w:p>
              </w:tc>
              <w:tc>
                <w:tcPr>
                  <w:tcW w:w="716" w:type="pct"/>
                  <w:noWrap/>
                  <w:vAlign w:val="center"/>
                </w:tcPr>
                <w:p>
                  <w:pPr>
                    <w:pStyle w:val="126"/>
                    <w:rPr>
                      <w:color w:val="000000"/>
                    </w:rPr>
                  </w:pPr>
                  <w:r>
                    <w:rPr>
                      <w:rFonts w:ascii="Times New Roman" w:hAnsi="Times New Roman"/>
                      <w:color w:val="000000"/>
                    </w:rPr>
                    <w:t>1</w:t>
                  </w:r>
                </w:p>
              </w:tc>
              <w:tc>
                <w:tcPr>
                  <w:tcW w:w="1426" w:type="pct"/>
                  <w:noWrap/>
                  <w:vAlign w:val="center"/>
                </w:tcPr>
                <w:p>
                  <w:pPr>
                    <w:pStyle w:val="126"/>
                    <w:rPr>
                      <w:color w:val="000000"/>
                    </w:rPr>
                  </w:pPr>
                  <w:r>
                    <w:rPr>
                      <w:rFonts w:ascii="Times New Roman" w:hAnsi="Times New Roman"/>
                      <w:color w:val="000000"/>
                    </w:rPr>
                    <w:t>87.50%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426" w:type="pct"/>
                  <w:noWrap/>
                  <w:vAlign w:val="center"/>
                </w:tcPr>
                <w:p>
                  <w:pPr>
                    <w:pStyle w:val="126"/>
                    <w:rPr>
                      <w:color w:val="000000"/>
                    </w:rPr>
                  </w:pPr>
                  <w:r>
                    <w:rPr>
                      <w:rFonts w:ascii="Times New Roman" w:hAnsi="Times New Roman"/>
                      <w:color w:val="000000"/>
                    </w:rPr>
                    <w:t>节肢动物门</w:t>
                  </w:r>
                </w:p>
              </w:tc>
              <w:tc>
                <w:tcPr>
                  <w:tcW w:w="716" w:type="pct"/>
                  <w:noWrap/>
                  <w:vAlign w:val="center"/>
                </w:tcPr>
                <w:p>
                  <w:pPr>
                    <w:pStyle w:val="126"/>
                    <w:rPr>
                      <w:color w:val="000000"/>
                    </w:rPr>
                  </w:pPr>
                  <w:r>
                    <w:rPr>
                      <w:rFonts w:ascii="Times New Roman" w:hAnsi="Times New Roman"/>
                      <w:color w:val="000000"/>
                    </w:rPr>
                    <w:t>3</w:t>
                  </w:r>
                </w:p>
              </w:tc>
              <w:tc>
                <w:tcPr>
                  <w:tcW w:w="716" w:type="pct"/>
                  <w:noWrap/>
                  <w:vAlign w:val="center"/>
                </w:tcPr>
                <w:p>
                  <w:pPr>
                    <w:pStyle w:val="126"/>
                    <w:rPr>
                      <w:color w:val="000000"/>
                    </w:rPr>
                  </w:pPr>
                  <w:r>
                    <w:rPr>
                      <w:rFonts w:ascii="Times New Roman" w:hAnsi="Times New Roman"/>
                      <w:color w:val="000000"/>
                    </w:rPr>
                    <w:t>5</w:t>
                  </w:r>
                </w:p>
              </w:tc>
              <w:tc>
                <w:tcPr>
                  <w:tcW w:w="716" w:type="pct"/>
                  <w:noWrap/>
                  <w:vAlign w:val="center"/>
                </w:tcPr>
                <w:p>
                  <w:pPr>
                    <w:pStyle w:val="126"/>
                    <w:rPr>
                      <w:color w:val="000000"/>
                    </w:rPr>
                  </w:pPr>
                  <w:r>
                    <w:rPr>
                      <w:rFonts w:ascii="Times New Roman" w:hAnsi="Times New Roman"/>
                      <w:color w:val="000000"/>
                    </w:rPr>
                    <w:t>7</w:t>
                  </w:r>
                </w:p>
              </w:tc>
              <w:tc>
                <w:tcPr>
                  <w:tcW w:w="1426" w:type="pct"/>
                  <w:noWrap/>
                  <w:vAlign w:val="center"/>
                </w:tcPr>
                <w:p>
                  <w:pPr>
                    <w:pStyle w:val="126"/>
                    <w:rPr>
                      <w:color w:val="000000"/>
                    </w:rPr>
                  </w:pPr>
                  <w:r>
                    <w:rPr>
                      <w:rFonts w:ascii="Times New Roman" w:hAnsi="Times New Roman"/>
                      <w:color w:val="000000"/>
                    </w:rPr>
                    <w:t>12.50%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426" w:type="pct"/>
                  <w:noWrap/>
                  <w:vAlign w:val="center"/>
                </w:tcPr>
                <w:p>
                  <w:pPr>
                    <w:pStyle w:val="126"/>
                    <w:rPr>
                      <w:color w:val="000000"/>
                    </w:rPr>
                  </w:pPr>
                  <w:r>
                    <w:rPr>
                      <w:rFonts w:ascii="Times New Roman" w:hAnsi="Times New Roman"/>
                      <w:color w:val="000000"/>
                    </w:rPr>
                    <w:t>总计</w:t>
                  </w:r>
                </w:p>
              </w:tc>
              <w:tc>
                <w:tcPr>
                  <w:tcW w:w="716" w:type="pct"/>
                  <w:noWrap/>
                  <w:vAlign w:val="center"/>
                </w:tcPr>
                <w:p>
                  <w:pPr>
                    <w:pStyle w:val="126"/>
                    <w:rPr>
                      <w:color w:val="000000"/>
                    </w:rPr>
                  </w:pPr>
                  <w:r>
                    <w:rPr>
                      <w:rFonts w:ascii="Times New Roman" w:hAnsi="Times New Roman"/>
                      <w:color w:val="000000"/>
                    </w:rPr>
                    <w:t>4</w:t>
                  </w:r>
                </w:p>
              </w:tc>
              <w:tc>
                <w:tcPr>
                  <w:tcW w:w="716" w:type="pct"/>
                  <w:noWrap/>
                  <w:vAlign w:val="center"/>
                </w:tcPr>
                <w:p>
                  <w:pPr>
                    <w:pStyle w:val="126"/>
                    <w:rPr>
                      <w:color w:val="000000"/>
                    </w:rPr>
                  </w:pPr>
                  <w:r>
                    <w:rPr>
                      <w:rFonts w:ascii="Times New Roman" w:hAnsi="Times New Roman"/>
                      <w:color w:val="000000"/>
                    </w:rPr>
                    <w:t>6</w:t>
                  </w:r>
                </w:p>
              </w:tc>
              <w:tc>
                <w:tcPr>
                  <w:tcW w:w="716" w:type="pct"/>
                  <w:noWrap/>
                  <w:vAlign w:val="center"/>
                </w:tcPr>
                <w:p>
                  <w:pPr>
                    <w:pStyle w:val="126"/>
                    <w:rPr>
                      <w:color w:val="000000"/>
                    </w:rPr>
                  </w:pPr>
                  <w:r>
                    <w:rPr>
                      <w:rFonts w:ascii="Times New Roman" w:hAnsi="Times New Roman"/>
                      <w:color w:val="000000"/>
                    </w:rPr>
                    <w:t>8</w:t>
                  </w:r>
                </w:p>
              </w:tc>
              <w:tc>
                <w:tcPr>
                  <w:tcW w:w="1426" w:type="pct"/>
                  <w:noWrap/>
                  <w:vAlign w:val="center"/>
                </w:tcPr>
                <w:p>
                  <w:pPr>
                    <w:pStyle w:val="126"/>
                    <w:rPr>
                      <w:color w:val="000000"/>
                    </w:rPr>
                  </w:pPr>
                  <w:r>
                    <w:rPr>
                      <w:rFonts w:ascii="Times New Roman" w:hAnsi="Times New Roman"/>
                      <w:color w:val="000000"/>
                    </w:rPr>
                    <w:t>100.00%</w:t>
                  </w:r>
                </w:p>
              </w:tc>
            </w:tr>
          </w:tbl>
          <w:p>
            <w:pPr>
              <w:autoSpaceDE w:val="0"/>
              <w:autoSpaceDN w:val="0"/>
              <w:adjustRightInd w:val="0"/>
              <w:spacing w:line="360" w:lineRule="auto"/>
              <w:ind w:firstLine="480" w:firstLineChars="200"/>
              <w:rPr>
                <w:color w:val="000000"/>
                <w:sz w:val="24"/>
              </w:rPr>
            </w:pPr>
            <w:r>
              <w:rPr>
                <w:color w:val="000000"/>
                <w:sz w:val="24"/>
              </w:rPr>
              <w:t>调查河段水体流速很慢，水体交换能力弱，水质较差。河道两岸多种植经济果树，农田化学施用量较高，水体污染较明显，水体有机质丰富。底栖动物以枝角类和桡足类种类为主，如剑水蚤、长肢秀体溞、长额象鼻溞和颈沟基合溞等。</w:t>
            </w:r>
          </w:p>
          <w:p>
            <w:pPr>
              <w:autoSpaceDE w:val="0"/>
              <w:autoSpaceDN w:val="0"/>
              <w:adjustRightInd w:val="0"/>
              <w:spacing w:line="360" w:lineRule="auto"/>
              <w:ind w:firstLine="480" w:firstLineChars="200"/>
              <w:rPr>
                <w:color w:val="000000"/>
                <w:sz w:val="24"/>
              </w:rPr>
            </w:pPr>
            <w:r>
              <w:rPr>
                <w:rFonts w:hint="eastAsia"/>
                <w:color w:val="000000"/>
                <w:sz w:val="24"/>
              </w:rPr>
              <w:t>③底栖动物</w:t>
            </w:r>
          </w:p>
          <w:p>
            <w:pPr>
              <w:autoSpaceDE w:val="0"/>
              <w:autoSpaceDN w:val="0"/>
              <w:adjustRightInd w:val="0"/>
              <w:spacing w:line="360" w:lineRule="auto"/>
              <w:ind w:firstLine="480" w:firstLineChars="200"/>
              <w:rPr>
                <w:rFonts w:hint="eastAsia"/>
                <w:color w:val="3333FF"/>
                <w:sz w:val="24"/>
              </w:rPr>
            </w:pPr>
            <w:r>
              <w:rPr>
                <w:rFonts w:hint="eastAsia"/>
                <w:color w:val="000000"/>
                <w:sz w:val="24"/>
              </w:rPr>
              <w:t>根据查阅相关资料，高中水库及磨池河</w:t>
            </w:r>
            <w:r>
              <w:rPr>
                <w:color w:val="000000"/>
                <w:sz w:val="24"/>
              </w:rPr>
              <w:t>底栖动物3门6纲8目10科12属12种，其中软体动物门8种，甲壳类2种，节肢动物门2种</w:t>
            </w:r>
            <w:r>
              <w:rPr>
                <w:color w:val="3333FF"/>
                <w:sz w:val="24"/>
              </w:rPr>
              <w:t>。</w:t>
            </w:r>
          </w:p>
          <w:p>
            <w:pPr>
              <w:pStyle w:val="223"/>
              <w:bidi w:val="0"/>
            </w:pPr>
            <w:r>
              <w:t>调查河段水体流速很慢，水体交换能力弱，水质较差。河道两岸多种植经济果树，农田化学施用量较高，水体污染较明显。河道底质对泥质、很少有卵砾石滩分布，河道内溶氧较低。底栖动物以耐污能力较强的螺类、蚌类和蟹类为主。</w:t>
            </w:r>
          </w:p>
          <w:p>
            <w:pPr>
              <w:pStyle w:val="223"/>
              <w:bidi w:val="0"/>
            </w:pPr>
            <w:r>
              <w:rPr>
                <w:rFonts w:hint="eastAsia"/>
              </w:rPr>
              <w:t>④</w:t>
            </w:r>
            <w:r>
              <w:t>水生维管束植物</w:t>
            </w:r>
          </w:p>
          <w:p>
            <w:pPr>
              <w:pStyle w:val="223"/>
              <w:bidi w:val="0"/>
              <w:rPr>
                <w:rFonts w:hint="eastAsia"/>
              </w:rPr>
            </w:pPr>
            <w:r>
              <w:rPr>
                <w:rFonts w:hint="eastAsia"/>
              </w:rPr>
              <w:t>根据查阅相关资料，高中水库及磨池河共涉及水生维管束植物22种，隶属于2门3纲15科18属，其中沉水植物有6种，挺水植物有14种，漂浮植物有3种。常见种为异型莎草（Cyperus difformis）、小茨藻（Najas minor）、黑藻（Hydrilla verticillata）、苦草（Potamogeton crispus）、水芹（Oenanthe javanica）、水蓼（Polygonum hydropiper）、酸模叶蓼（Polygonum lapathifolium）、狐尾藻（Myriophyllum verticillatum）、浮萍（Lemna minor）、凤眼莲（Eichhornia）、喜旱莲子草（Alternanthera philoxeroides）、满江红（Azolla pinnata subsp. asiatica）等。其中高中水库和磨池河河道底质多泥沙，水流平缓，沿河两岸水生维管束植物生长茂盛。</w:t>
            </w:r>
          </w:p>
          <w:p>
            <w:pPr>
              <w:pStyle w:val="223"/>
              <w:bidi w:val="0"/>
            </w:pPr>
            <w:r>
              <w:rPr>
                <w:rFonts w:hint="eastAsia"/>
              </w:rPr>
              <w:t>⑤鱼类资源及重要生境</w:t>
            </w:r>
          </w:p>
          <w:p>
            <w:pPr>
              <w:pStyle w:val="223"/>
              <w:bidi w:val="0"/>
              <w:rPr>
                <w:rFonts w:hint="eastAsia"/>
              </w:rPr>
            </w:pPr>
            <w:r>
              <w:rPr>
                <w:rFonts w:hint="eastAsia"/>
              </w:rPr>
              <w:t>1）鱼类组成</w:t>
            </w:r>
          </w:p>
          <w:p>
            <w:pPr>
              <w:pStyle w:val="223"/>
              <w:bidi w:val="0"/>
            </w:pPr>
            <w:r>
              <w:rPr>
                <w:rFonts w:hint="eastAsia"/>
              </w:rPr>
              <w:t>根据查阅相关资料，高中水库及磨池河</w:t>
            </w:r>
            <w:r>
              <w:t>的鱼类</w:t>
            </w:r>
            <w:r>
              <w:rPr>
                <w:rFonts w:hint="eastAsia"/>
              </w:rPr>
              <w:t>张氏䱗、中华鳑鲏、麦穗鱼、子陵吻鰕虎鱼、鲫、蛇鮈、翘嘴红鲌、棒花鱼、镜鲤、黑尾近红鲌、尖头红鲌、大鳞副泥鳅、䱗和黄颡鱼类等</w:t>
            </w:r>
            <w:r>
              <w:t>39</w:t>
            </w:r>
            <w:r>
              <w:rPr>
                <w:rFonts w:hint="eastAsia"/>
              </w:rPr>
              <w:t>种鱼类，隶属于</w:t>
            </w:r>
            <w:r>
              <w:t>5</w:t>
            </w:r>
            <w:r>
              <w:rPr>
                <w:rFonts w:hint="eastAsia"/>
              </w:rPr>
              <w:t>目</w:t>
            </w:r>
            <w:r>
              <w:t>13</w:t>
            </w:r>
            <w:r>
              <w:rPr>
                <w:rFonts w:hint="eastAsia"/>
              </w:rPr>
              <w:t>科</w:t>
            </w:r>
            <w:r>
              <w:t>31</w:t>
            </w:r>
            <w:r>
              <w:rPr>
                <w:rFonts w:hint="eastAsia"/>
              </w:rPr>
              <w:t>属。主要以小型鱼类为主，其中大鳞副泥鳅、镜鲤、食蚊鳉、沙塘鳢和罗非鱼属于外来入侵种。鱼类属、种百分比见下表3-11</w:t>
            </w:r>
          </w:p>
          <w:p>
            <w:pPr>
              <w:pStyle w:val="223"/>
              <w:bidi w:val="0"/>
              <w:spacing w:line="240" w:lineRule="auto"/>
              <w:ind w:left="0" w:leftChars="0" w:right="0" w:rightChars="0" w:firstLine="0" w:firstLineChars="0"/>
              <w:jc w:val="center"/>
              <w:rPr>
                <w:rFonts w:hint="eastAsia"/>
                <w:b/>
                <w:bCs/>
                <w:sz w:val="21"/>
                <w:szCs w:val="21"/>
              </w:rPr>
            </w:pPr>
            <w:r>
              <w:rPr>
                <w:rFonts w:hint="eastAsia"/>
                <w:b/>
                <w:bCs/>
                <w:sz w:val="21"/>
                <w:szCs w:val="21"/>
              </w:rPr>
              <w:t>表3-11   工程取水及受水区所在流域河段鱼类属、种百分比</w:t>
            </w:r>
          </w:p>
          <w:tbl>
            <w:tblPr>
              <w:tblStyle w:val="39"/>
              <w:tblW w:w="4997" w:type="pct"/>
              <w:jc w:val="center"/>
              <w:tblLayout w:type="fixed"/>
              <w:tblCellMar>
                <w:top w:w="0" w:type="dxa"/>
                <w:left w:w="108" w:type="dxa"/>
                <w:bottom w:w="0" w:type="dxa"/>
                <w:right w:w="108" w:type="dxa"/>
              </w:tblCellMar>
            </w:tblPr>
            <w:tblGrid>
              <w:gridCol w:w="1556"/>
              <w:gridCol w:w="1556"/>
              <w:gridCol w:w="750"/>
              <w:gridCol w:w="1445"/>
              <w:gridCol w:w="750"/>
              <w:gridCol w:w="1445"/>
            </w:tblGrid>
            <w:tr>
              <w:tblPrEx>
                <w:tblCellMar>
                  <w:top w:w="0" w:type="dxa"/>
                  <w:left w:w="108" w:type="dxa"/>
                  <w:bottom w:w="0" w:type="dxa"/>
                  <w:right w:w="108" w:type="dxa"/>
                </w:tblCellMar>
              </w:tblPrEx>
              <w:trPr>
                <w:tblHeader/>
                <w:jc w:val="center"/>
              </w:trPr>
              <w:tc>
                <w:tcPr>
                  <w:tcW w:w="1036" w:type="pct"/>
                  <w:tcBorders>
                    <w:top w:val="single" w:color="auto" w:sz="4" w:space="0"/>
                    <w:left w:val="single" w:color="auto" w:sz="4" w:space="0"/>
                    <w:bottom w:val="single" w:color="auto" w:sz="4" w:space="0"/>
                    <w:right w:val="single" w:color="auto" w:sz="4" w:space="0"/>
                  </w:tcBorders>
                  <w:noWrap/>
                  <w:vAlign w:val="center"/>
                </w:tcPr>
                <w:p>
                  <w:pPr>
                    <w:pStyle w:val="271"/>
                    <w:bidi w:val="0"/>
                    <w:rPr>
                      <w:b/>
                      <w:bCs/>
                    </w:rPr>
                  </w:pPr>
                  <w:r>
                    <w:rPr>
                      <w:b/>
                      <w:bCs/>
                    </w:rPr>
                    <w:t>目</w:t>
                  </w:r>
                </w:p>
              </w:tc>
              <w:tc>
                <w:tcPr>
                  <w:tcW w:w="1036"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科</w:t>
                  </w:r>
                </w:p>
              </w:tc>
              <w:tc>
                <w:tcPr>
                  <w:tcW w:w="500"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属</w:t>
                  </w:r>
                </w:p>
              </w:tc>
              <w:tc>
                <w:tcPr>
                  <w:tcW w:w="962"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属%</w:t>
                  </w:r>
                </w:p>
              </w:tc>
              <w:tc>
                <w:tcPr>
                  <w:tcW w:w="500"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种</w:t>
                  </w:r>
                </w:p>
              </w:tc>
              <w:tc>
                <w:tcPr>
                  <w:tcW w:w="962"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种%</w:t>
                  </w:r>
                </w:p>
              </w:tc>
            </w:tr>
            <w:tr>
              <w:tblPrEx>
                <w:tblCellMar>
                  <w:top w:w="0" w:type="dxa"/>
                  <w:left w:w="108" w:type="dxa"/>
                  <w:bottom w:w="0" w:type="dxa"/>
                  <w:right w:w="108" w:type="dxa"/>
                </w:tblCellMar>
              </w:tblPrEx>
              <w:trPr>
                <w:jc w:val="center"/>
              </w:trPr>
              <w:tc>
                <w:tcPr>
                  <w:tcW w:w="1036" w:type="pct"/>
                  <w:vMerge w:val="restart"/>
                  <w:tcBorders>
                    <w:top w:val="single" w:color="auto" w:sz="4" w:space="0"/>
                    <w:left w:val="single" w:color="auto" w:sz="4" w:space="0"/>
                    <w:bottom w:val="single" w:color="auto" w:sz="4" w:space="0"/>
                    <w:right w:val="single" w:color="auto" w:sz="4" w:space="0"/>
                  </w:tcBorders>
                  <w:noWrap/>
                  <w:vAlign w:val="center"/>
                </w:tcPr>
                <w:p>
                  <w:pPr>
                    <w:pStyle w:val="271"/>
                    <w:bidi w:val="0"/>
                  </w:pPr>
                  <w:r>
                    <w:t>鲤形目</w:t>
                  </w:r>
                </w:p>
              </w:tc>
              <w:tc>
                <w:tcPr>
                  <w:tcW w:w="1036" w:type="pct"/>
                  <w:tcBorders>
                    <w:top w:val="single" w:color="auto" w:sz="4" w:space="0"/>
                    <w:left w:val="nil"/>
                    <w:bottom w:val="single" w:color="auto" w:sz="4" w:space="0"/>
                    <w:right w:val="single" w:color="auto" w:sz="4" w:space="0"/>
                  </w:tcBorders>
                  <w:noWrap/>
                  <w:vAlign w:val="center"/>
                </w:tcPr>
                <w:p>
                  <w:pPr>
                    <w:pStyle w:val="271"/>
                    <w:bidi w:val="0"/>
                  </w:pPr>
                  <w:r>
                    <w:t>鳅科</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6.45%</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5.13%</w:t>
                  </w:r>
                </w:p>
              </w:tc>
            </w:tr>
            <w:tr>
              <w:tblPrEx>
                <w:tblCellMar>
                  <w:top w:w="0" w:type="dxa"/>
                  <w:left w:w="108" w:type="dxa"/>
                  <w:bottom w:w="0" w:type="dxa"/>
                  <w:right w:w="108" w:type="dxa"/>
                </w:tblCellMar>
              </w:tblPrEx>
              <w:trPr>
                <w:jc w:val="center"/>
              </w:trPr>
              <w:tc>
                <w:tcPr>
                  <w:tcW w:w="1036" w:type="pct"/>
                  <w:vMerge w:val="continue"/>
                  <w:tcBorders>
                    <w:top w:val="single" w:color="auto" w:sz="4" w:space="0"/>
                    <w:left w:val="single" w:color="auto" w:sz="4" w:space="0"/>
                    <w:bottom w:val="nil"/>
                    <w:right w:val="single" w:color="auto" w:sz="4" w:space="0"/>
                  </w:tcBorders>
                  <w:noWrap w:val="0"/>
                  <w:vAlign w:val="center"/>
                </w:tcPr>
                <w:p>
                  <w:pPr>
                    <w:pStyle w:val="271"/>
                    <w:bidi w:val="0"/>
                  </w:pPr>
                </w:p>
              </w:tc>
              <w:tc>
                <w:tcPr>
                  <w:tcW w:w="1036" w:type="pct"/>
                  <w:tcBorders>
                    <w:top w:val="single" w:color="auto" w:sz="4" w:space="0"/>
                    <w:left w:val="nil"/>
                    <w:bottom w:val="single" w:color="auto" w:sz="4" w:space="0"/>
                    <w:right w:val="single" w:color="auto" w:sz="4" w:space="0"/>
                  </w:tcBorders>
                  <w:noWrap/>
                  <w:vAlign w:val="center"/>
                </w:tcPr>
                <w:p>
                  <w:pPr>
                    <w:pStyle w:val="271"/>
                    <w:bidi w:val="0"/>
                  </w:pPr>
                  <w:r>
                    <w:t>鲤科</w:t>
                  </w:r>
                </w:p>
              </w:tc>
              <w:tc>
                <w:tcPr>
                  <w:tcW w:w="500" w:type="pct"/>
                  <w:tcBorders>
                    <w:top w:val="nil"/>
                    <w:left w:val="nil"/>
                    <w:bottom w:val="single" w:color="auto" w:sz="4" w:space="0"/>
                    <w:right w:val="single" w:color="auto" w:sz="4" w:space="0"/>
                  </w:tcBorders>
                  <w:noWrap/>
                  <w:vAlign w:val="center"/>
                </w:tcPr>
                <w:p>
                  <w:pPr>
                    <w:pStyle w:val="271"/>
                    <w:bidi w:val="0"/>
                  </w:pPr>
                  <w:r>
                    <w:t>18</w:t>
                  </w:r>
                </w:p>
              </w:tc>
              <w:tc>
                <w:tcPr>
                  <w:tcW w:w="962" w:type="pct"/>
                  <w:tcBorders>
                    <w:top w:val="nil"/>
                    <w:left w:val="nil"/>
                    <w:bottom w:val="single" w:color="auto" w:sz="4" w:space="0"/>
                    <w:right w:val="single" w:color="auto" w:sz="4" w:space="0"/>
                  </w:tcBorders>
                  <w:noWrap/>
                  <w:vAlign w:val="center"/>
                </w:tcPr>
                <w:p>
                  <w:pPr>
                    <w:pStyle w:val="271"/>
                    <w:bidi w:val="0"/>
                  </w:pPr>
                  <w:r>
                    <w:t>58.06%</w:t>
                  </w:r>
                </w:p>
              </w:tc>
              <w:tc>
                <w:tcPr>
                  <w:tcW w:w="500" w:type="pct"/>
                  <w:tcBorders>
                    <w:top w:val="nil"/>
                    <w:left w:val="nil"/>
                    <w:bottom w:val="single" w:color="auto" w:sz="4" w:space="0"/>
                    <w:right w:val="single" w:color="auto" w:sz="4" w:space="0"/>
                  </w:tcBorders>
                  <w:noWrap/>
                  <w:vAlign w:val="center"/>
                </w:tcPr>
                <w:p>
                  <w:pPr>
                    <w:pStyle w:val="271"/>
                    <w:bidi w:val="0"/>
                  </w:pPr>
                  <w:r>
                    <w:t>23</w:t>
                  </w:r>
                </w:p>
              </w:tc>
              <w:tc>
                <w:tcPr>
                  <w:tcW w:w="962" w:type="pct"/>
                  <w:tcBorders>
                    <w:top w:val="nil"/>
                    <w:left w:val="nil"/>
                    <w:bottom w:val="single" w:color="auto" w:sz="4" w:space="0"/>
                    <w:right w:val="single" w:color="auto" w:sz="4" w:space="0"/>
                  </w:tcBorders>
                  <w:noWrap/>
                  <w:vAlign w:val="center"/>
                </w:tcPr>
                <w:p>
                  <w:pPr>
                    <w:pStyle w:val="271"/>
                    <w:bidi w:val="0"/>
                  </w:pPr>
                  <w:r>
                    <w:t>58.97%</w:t>
                  </w:r>
                </w:p>
              </w:tc>
            </w:tr>
            <w:tr>
              <w:trPr>
                <w:jc w:val="center"/>
              </w:trPr>
              <w:tc>
                <w:tcPr>
                  <w:tcW w:w="1036" w:type="pct"/>
                  <w:vMerge w:val="restart"/>
                  <w:tcBorders>
                    <w:top w:val="single" w:color="auto" w:sz="4" w:space="0"/>
                    <w:left w:val="single" w:color="auto" w:sz="4" w:space="0"/>
                    <w:bottom w:val="nil"/>
                    <w:right w:val="single" w:color="auto" w:sz="4" w:space="0"/>
                  </w:tcBorders>
                  <w:noWrap/>
                  <w:vAlign w:val="center"/>
                </w:tcPr>
                <w:p>
                  <w:pPr>
                    <w:pStyle w:val="271"/>
                    <w:bidi w:val="0"/>
                  </w:pPr>
                  <w:r>
                    <w:t>鲇形目</w:t>
                  </w:r>
                </w:p>
              </w:tc>
              <w:tc>
                <w:tcPr>
                  <w:tcW w:w="1036" w:type="pct"/>
                  <w:tcBorders>
                    <w:top w:val="nil"/>
                    <w:left w:val="nil"/>
                    <w:bottom w:val="single" w:color="auto" w:sz="4" w:space="0"/>
                    <w:right w:val="single" w:color="auto" w:sz="4" w:space="0"/>
                  </w:tcBorders>
                  <w:noWrap/>
                  <w:vAlign w:val="center"/>
                </w:tcPr>
                <w:p>
                  <w:pPr>
                    <w:pStyle w:val="271"/>
                    <w:bidi w:val="0"/>
                  </w:pPr>
                  <w:r>
                    <w:t>鲇科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5.13%</w:t>
                  </w:r>
                </w:p>
              </w:tc>
            </w:tr>
            <w:tr>
              <w:tblPrEx>
                <w:tblCellMar>
                  <w:top w:w="0" w:type="dxa"/>
                  <w:left w:w="108" w:type="dxa"/>
                  <w:bottom w:w="0" w:type="dxa"/>
                  <w:right w:w="108" w:type="dxa"/>
                </w:tblCellMar>
              </w:tblPrEx>
              <w:trPr>
                <w:jc w:val="center"/>
              </w:trPr>
              <w:tc>
                <w:tcPr>
                  <w:tcW w:w="1036" w:type="pct"/>
                  <w:vMerge w:val="continue"/>
                  <w:tcBorders>
                    <w:top w:val="single" w:color="auto" w:sz="4" w:space="0"/>
                    <w:left w:val="single" w:color="auto" w:sz="4" w:space="0"/>
                    <w:bottom w:val="nil"/>
                    <w:right w:val="single" w:color="auto" w:sz="4" w:space="0"/>
                  </w:tcBorders>
                  <w:noWrap w:val="0"/>
                  <w:vAlign w:val="center"/>
                </w:tcPr>
                <w:p>
                  <w:pPr>
                    <w:pStyle w:val="271"/>
                    <w:bidi w:val="0"/>
                  </w:pPr>
                </w:p>
              </w:tc>
              <w:tc>
                <w:tcPr>
                  <w:tcW w:w="1036" w:type="pct"/>
                  <w:tcBorders>
                    <w:top w:val="nil"/>
                    <w:left w:val="nil"/>
                    <w:bottom w:val="single" w:color="auto" w:sz="4" w:space="0"/>
                    <w:right w:val="single" w:color="auto" w:sz="4" w:space="0"/>
                  </w:tcBorders>
                  <w:noWrap/>
                  <w:vAlign w:val="center"/>
                </w:tcPr>
                <w:p>
                  <w:pPr>
                    <w:pStyle w:val="271"/>
                    <w:bidi w:val="0"/>
                  </w:pPr>
                  <w:r>
                    <w:t>鲿科</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6.45%</w:t>
                  </w:r>
                </w:p>
              </w:tc>
              <w:tc>
                <w:tcPr>
                  <w:tcW w:w="500" w:type="pct"/>
                  <w:tcBorders>
                    <w:top w:val="nil"/>
                    <w:left w:val="nil"/>
                    <w:bottom w:val="single" w:color="auto" w:sz="4" w:space="0"/>
                    <w:right w:val="single" w:color="auto" w:sz="4" w:space="0"/>
                  </w:tcBorders>
                  <w:noWrap/>
                  <w:vAlign w:val="center"/>
                </w:tcPr>
                <w:p>
                  <w:pPr>
                    <w:pStyle w:val="271"/>
                    <w:bidi w:val="0"/>
                  </w:pPr>
                  <w:r>
                    <w:t>4</w:t>
                  </w:r>
                </w:p>
              </w:tc>
              <w:tc>
                <w:tcPr>
                  <w:tcW w:w="962" w:type="pct"/>
                  <w:tcBorders>
                    <w:top w:val="nil"/>
                    <w:left w:val="nil"/>
                    <w:bottom w:val="single" w:color="auto" w:sz="4" w:space="0"/>
                    <w:right w:val="single" w:color="auto" w:sz="4" w:space="0"/>
                  </w:tcBorders>
                  <w:noWrap/>
                  <w:vAlign w:val="center"/>
                </w:tcPr>
                <w:p>
                  <w:pPr>
                    <w:pStyle w:val="271"/>
                    <w:bidi w:val="0"/>
                  </w:pPr>
                  <w:r>
                    <w:t>10.26%</w:t>
                  </w:r>
                </w:p>
              </w:tc>
            </w:tr>
            <w:tr>
              <w:tblPrEx>
                <w:tblCellMar>
                  <w:top w:w="0" w:type="dxa"/>
                  <w:left w:w="108" w:type="dxa"/>
                  <w:bottom w:w="0" w:type="dxa"/>
                  <w:right w:w="108" w:type="dxa"/>
                </w:tblCellMar>
              </w:tblPrEx>
              <w:trPr>
                <w:jc w:val="center"/>
              </w:trPr>
              <w:tc>
                <w:tcPr>
                  <w:tcW w:w="1036" w:type="pct"/>
                  <w:tcBorders>
                    <w:top w:val="single" w:color="auto" w:sz="4" w:space="0"/>
                    <w:left w:val="single" w:color="auto" w:sz="4" w:space="0"/>
                    <w:bottom w:val="single" w:color="auto" w:sz="4" w:space="0"/>
                    <w:right w:val="single" w:color="auto" w:sz="4" w:space="0"/>
                  </w:tcBorders>
                  <w:noWrap/>
                  <w:vAlign w:val="center"/>
                </w:tcPr>
                <w:p>
                  <w:pPr>
                    <w:pStyle w:val="271"/>
                    <w:bidi w:val="0"/>
                  </w:pPr>
                  <w:r>
                    <w:t>鳉形目</w:t>
                  </w:r>
                </w:p>
              </w:tc>
              <w:tc>
                <w:tcPr>
                  <w:tcW w:w="1036" w:type="pct"/>
                  <w:tcBorders>
                    <w:top w:val="nil"/>
                    <w:left w:val="nil"/>
                    <w:bottom w:val="single" w:color="auto" w:sz="4" w:space="0"/>
                    <w:right w:val="single" w:color="auto" w:sz="4" w:space="0"/>
                  </w:tcBorders>
                  <w:noWrap/>
                  <w:vAlign w:val="center"/>
                </w:tcPr>
                <w:p>
                  <w:pPr>
                    <w:pStyle w:val="271"/>
                    <w:bidi w:val="0"/>
                  </w:pPr>
                  <w:r>
                    <w:t>青鳉科</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6.45%</w:t>
                  </w:r>
                </w:p>
              </w:tc>
              <w:tc>
                <w:tcPr>
                  <w:tcW w:w="500" w:type="pct"/>
                  <w:tcBorders>
                    <w:top w:val="nil"/>
                    <w:left w:val="nil"/>
                    <w:bottom w:val="single" w:color="auto" w:sz="4" w:space="0"/>
                    <w:right w:val="single" w:color="auto" w:sz="4" w:space="0"/>
                  </w:tcBorders>
                  <w:noWrap/>
                  <w:vAlign w:val="center"/>
                </w:tcPr>
                <w:p>
                  <w:pPr>
                    <w:pStyle w:val="271"/>
                    <w:bidi w:val="0"/>
                  </w:pPr>
                  <w:r>
                    <w:t>2</w:t>
                  </w:r>
                </w:p>
              </w:tc>
              <w:tc>
                <w:tcPr>
                  <w:tcW w:w="962" w:type="pct"/>
                  <w:tcBorders>
                    <w:top w:val="nil"/>
                    <w:left w:val="nil"/>
                    <w:bottom w:val="single" w:color="auto" w:sz="4" w:space="0"/>
                    <w:right w:val="single" w:color="auto" w:sz="4" w:space="0"/>
                  </w:tcBorders>
                  <w:noWrap/>
                  <w:vAlign w:val="center"/>
                </w:tcPr>
                <w:p>
                  <w:pPr>
                    <w:pStyle w:val="271"/>
                    <w:bidi w:val="0"/>
                  </w:pPr>
                  <w:r>
                    <w:t>5.13%</w:t>
                  </w:r>
                </w:p>
              </w:tc>
            </w:tr>
            <w:tr>
              <w:tblPrEx>
                <w:tblCellMar>
                  <w:top w:w="0" w:type="dxa"/>
                  <w:left w:w="108" w:type="dxa"/>
                  <w:bottom w:w="0" w:type="dxa"/>
                  <w:right w:w="108" w:type="dxa"/>
                </w:tblCellMar>
              </w:tblPrEx>
              <w:trPr>
                <w:jc w:val="center"/>
              </w:trPr>
              <w:tc>
                <w:tcPr>
                  <w:tcW w:w="1036" w:type="pct"/>
                  <w:vMerge w:val="restart"/>
                  <w:tcBorders>
                    <w:top w:val="nil"/>
                    <w:left w:val="single" w:color="auto" w:sz="4" w:space="0"/>
                    <w:bottom w:val="single" w:color="000000" w:sz="4" w:space="0"/>
                    <w:right w:val="single" w:color="auto" w:sz="4" w:space="0"/>
                  </w:tcBorders>
                  <w:noWrap/>
                  <w:vAlign w:val="center"/>
                </w:tcPr>
                <w:p>
                  <w:pPr>
                    <w:pStyle w:val="271"/>
                    <w:bidi w:val="0"/>
                  </w:pPr>
                  <w:r>
                    <w:t>鲈形目</w:t>
                  </w:r>
                </w:p>
              </w:tc>
              <w:tc>
                <w:tcPr>
                  <w:tcW w:w="1036" w:type="pct"/>
                  <w:tcBorders>
                    <w:top w:val="nil"/>
                    <w:left w:val="nil"/>
                    <w:bottom w:val="single" w:color="auto" w:sz="4" w:space="0"/>
                    <w:right w:val="single" w:color="auto" w:sz="4" w:space="0"/>
                  </w:tcBorders>
                  <w:noWrap/>
                  <w:vAlign w:val="center"/>
                </w:tcPr>
                <w:p>
                  <w:pPr>
                    <w:pStyle w:val="271"/>
                    <w:bidi w:val="0"/>
                  </w:pPr>
                  <w:r>
                    <w:t>塘鳢科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rPr>
                <w:jc w:val="center"/>
              </w:trPr>
              <w:tc>
                <w:tcPr>
                  <w:tcW w:w="1036"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1036" w:type="pct"/>
                  <w:tcBorders>
                    <w:top w:val="nil"/>
                    <w:left w:val="nil"/>
                    <w:bottom w:val="single" w:color="auto" w:sz="4" w:space="0"/>
                    <w:right w:val="single" w:color="auto" w:sz="4" w:space="0"/>
                  </w:tcBorders>
                  <w:noWrap/>
                  <w:vAlign w:val="center"/>
                </w:tcPr>
                <w:p>
                  <w:pPr>
                    <w:pStyle w:val="271"/>
                    <w:bidi w:val="0"/>
                  </w:pPr>
                  <w:r>
                    <w:t>沙塘鳢科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blPrEx>
                <w:tblCellMar>
                  <w:top w:w="0" w:type="dxa"/>
                  <w:left w:w="108" w:type="dxa"/>
                  <w:bottom w:w="0" w:type="dxa"/>
                  <w:right w:w="108" w:type="dxa"/>
                </w:tblCellMar>
              </w:tblPrEx>
              <w:trPr>
                <w:jc w:val="center"/>
              </w:trPr>
              <w:tc>
                <w:tcPr>
                  <w:tcW w:w="1036"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1036" w:type="pct"/>
                  <w:tcBorders>
                    <w:top w:val="nil"/>
                    <w:left w:val="nil"/>
                    <w:bottom w:val="single" w:color="auto" w:sz="4" w:space="0"/>
                    <w:right w:val="single" w:color="auto" w:sz="4" w:space="0"/>
                  </w:tcBorders>
                  <w:noWrap/>
                  <w:vAlign w:val="center"/>
                </w:tcPr>
                <w:p>
                  <w:pPr>
                    <w:pStyle w:val="271"/>
                    <w:bidi w:val="0"/>
                  </w:pPr>
                  <w:r>
                    <w:t>鳢科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blPrEx>
                <w:tblCellMar>
                  <w:top w:w="0" w:type="dxa"/>
                  <w:left w:w="108" w:type="dxa"/>
                  <w:bottom w:w="0" w:type="dxa"/>
                  <w:right w:w="108" w:type="dxa"/>
                </w:tblCellMar>
              </w:tblPrEx>
              <w:trPr>
                <w:jc w:val="center"/>
              </w:trPr>
              <w:tc>
                <w:tcPr>
                  <w:tcW w:w="1036"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1036" w:type="pct"/>
                  <w:tcBorders>
                    <w:top w:val="nil"/>
                    <w:left w:val="nil"/>
                    <w:bottom w:val="single" w:color="auto" w:sz="4" w:space="0"/>
                    <w:right w:val="single" w:color="auto" w:sz="4" w:space="0"/>
                  </w:tcBorders>
                  <w:noWrap/>
                  <w:vAlign w:val="center"/>
                </w:tcPr>
                <w:p>
                  <w:pPr>
                    <w:pStyle w:val="271"/>
                    <w:bidi w:val="0"/>
                  </w:pPr>
                  <w:r>
                    <w:t>丽鱼科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blPrEx>
                <w:tblCellMar>
                  <w:top w:w="0" w:type="dxa"/>
                  <w:left w:w="108" w:type="dxa"/>
                  <w:bottom w:w="0" w:type="dxa"/>
                  <w:right w:w="108" w:type="dxa"/>
                </w:tblCellMar>
              </w:tblPrEx>
              <w:trPr>
                <w:jc w:val="center"/>
              </w:trPr>
              <w:tc>
                <w:tcPr>
                  <w:tcW w:w="1036"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1036" w:type="pct"/>
                  <w:tcBorders>
                    <w:top w:val="nil"/>
                    <w:left w:val="nil"/>
                    <w:bottom w:val="single" w:color="auto" w:sz="4" w:space="0"/>
                    <w:right w:val="single" w:color="auto" w:sz="4" w:space="0"/>
                  </w:tcBorders>
                  <w:noWrap/>
                  <w:vAlign w:val="center"/>
                </w:tcPr>
                <w:p>
                  <w:pPr>
                    <w:pStyle w:val="271"/>
                    <w:bidi w:val="0"/>
                  </w:pPr>
                  <w:r>
                    <w:t>鰕虎鱼科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rPr>
                <w:jc w:val="center"/>
              </w:trPr>
              <w:tc>
                <w:tcPr>
                  <w:tcW w:w="1036" w:type="pct"/>
                  <w:tcBorders>
                    <w:top w:val="nil"/>
                    <w:left w:val="single" w:color="auto" w:sz="4" w:space="0"/>
                    <w:bottom w:val="single" w:color="auto" w:sz="4" w:space="0"/>
                    <w:right w:val="single" w:color="auto" w:sz="4" w:space="0"/>
                  </w:tcBorders>
                  <w:noWrap/>
                  <w:vAlign w:val="center"/>
                </w:tcPr>
                <w:p>
                  <w:pPr>
                    <w:pStyle w:val="271"/>
                    <w:bidi w:val="0"/>
                  </w:pPr>
                  <w:r>
                    <w:t>合鳃鱼目</w:t>
                  </w:r>
                </w:p>
              </w:tc>
              <w:tc>
                <w:tcPr>
                  <w:tcW w:w="1036" w:type="pct"/>
                  <w:tcBorders>
                    <w:top w:val="nil"/>
                    <w:left w:val="nil"/>
                    <w:bottom w:val="single" w:color="auto" w:sz="4" w:space="0"/>
                    <w:right w:val="single" w:color="auto" w:sz="4" w:space="0"/>
                  </w:tcBorders>
                  <w:noWrap/>
                  <w:vAlign w:val="center"/>
                </w:tcPr>
                <w:p>
                  <w:pPr>
                    <w:pStyle w:val="271"/>
                    <w:bidi w:val="0"/>
                  </w:pPr>
                  <w:r>
                    <w:t>合鳃鱼科</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3.23%</w:t>
                  </w:r>
                </w:p>
              </w:tc>
              <w:tc>
                <w:tcPr>
                  <w:tcW w:w="500" w:type="pct"/>
                  <w:tcBorders>
                    <w:top w:val="nil"/>
                    <w:left w:val="nil"/>
                    <w:bottom w:val="single" w:color="auto" w:sz="4" w:space="0"/>
                    <w:right w:val="single" w:color="auto" w:sz="4" w:space="0"/>
                  </w:tcBorders>
                  <w:noWrap/>
                  <w:vAlign w:val="center"/>
                </w:tcPr>
                <w:p>
                  <w:pPr>
                    <w:pStyle w:val="271"/>
                    <w:bidi w:val="0"/>
                  </w:pPr>
                  <w:r>
                    <w:t>1</w:t>
                  </w:r>
                </w:p>
              </w:tc>
              <w:tc>
                <w:tcPr>
                  <w:tcW w:w="962" w:type="pct"/>
                  <w:tcBorders>
                    <w:top w:val="nil"/>
                    <w:left w:val="nil"/>
                    <w:bottom w:val="single" w:color="auto" w:sz="4" w:space="0"/>
                    <w:right w:val="single" w:color="auto" w:sz="4" w:space="0"/>
                  </w:tcBorders>
                  <w:noWrap/>
                  <w:vAlign w:val="center"/>
                </w:tcPr>
                <w:p>
                  <w:pPr>
                    <w:pStyle w:val="271"/>
                    <w:bidi w:val="0"/>
                  </w:pPr>
                  <w:r>
                    <w:t>2.56%</w:t>
                  </w:r>
                </w:p>
              </w:tc>
            </w:tr>
            <w:tr>
              <w:tblPrEx>
                <w:tblCellMar>
                  <w:top w:w="0" w:type="dxa"/>
                  <w:left w:w="108" w:type="dxa"/>
                  <w:bottom w:w="0" w:type="dxa"/>
                  <w:right w:w="108" w:type="dxa"/>
                </w:tblCellMar>
              </w:tblPrEx>
              <w:trPr>
                <w:jc w:val="center"/>
              </w:trPr>
              <w:tc>
                <w:tcPr>
                  <w:tcW w:w="1036" w:type="pct"/>
                  <w:tcBorders>
                    <w:top w:val="nil"/>
                    <w:left w:val="single" w:color="auto" w:sz="4" w:space="0"/>
                    <w:bottom w:val="single" w:color="auto" w:sz="4" w:space="0"/>
                    <w:right w:val="single" w:color="auto" w:sz="4" w:space="0"/>
                  </w:tcBorders>
                  <w:noWrap/>
                  <w:vAlign w:val="center"/>
                </w:tcPr>
                <w:p>
                  <w:pPr>
                    <w:pStyle w:val="271"/>
                    <w:bidi w:val="0"/>
                  </w:pPr>
                  <w:r>
                    <w:t>合计</w:t>
                  </w:r>
                </w:p>
              </w:tc>
              <w:tc>
                <w:tcPr>
                  <w:tcW w:w="1036" w:type="pct"/>
                  <w:tcBorders>
                    <w:top w:val="nil"/>
                    <w:left w:val="nil"/>
                    <w:bottom w:val="single" w:color="auto" w:sz="4" w:space="0"/>
                    <w:right w:val="single" w:color="auto" w:sz="4" w:space="0"/>
                  </w:tcBorders>
                  <w:noWrap/>
                  <w:vAlign w:val="center"/>
                </w:tcPr>
                <w:p>
                  <w:pPr>
                    <w:pStyle w:val="271"/>
                    <w:bidi w:val="0"/>
                  </w:pPr>
                  <w:r>
                    <w:t>13</w:t>
                  </w:r>
                </w:p>
              </w:tc>
              <w:tc>
                <w:tcPr>
                  <w:tcW w:w="500" w:type="pct"/>
                  <w:tcBorders>
                    <w:top w:val="nil"/>
                    <w:left w:val="nil"/>
                    <w:bottom w:val="single" w:color="auto" w:sz="4" w:space="0"/>
                    <w:right w:val="single" w:color="auto" w:sz="4" w:space="0"/>
                  </w:tcBorders>
                  <w:noWrap/>
                  <w:vAlign w:val="center"/>
                </w:tcPr>
                <w:p>
                  <w:pPr>
                    <w:pStyle w:val="271"/>
                    <w:bidi w:val="0"/>
                  </w:pPr>
                  <w:r>
                    <w:t>31</w:t>
                  </w:r>
                </w:p>
              </w:tc>
              <w:tc>
                <w:tcPr>
                  <w:tcW w:w="962" w:type="pct"/>
                  <w:tcBorders>
                    <w:top w:val="nil"/>
                    <w:left w:val="nil"/>
                    <w:bottom w:val="single" w:color="auto" w:sz="4" w:space="0"/>
                    <w:right w:val="single" w:color="auto" w:sz="4" w:space="0"/>
                  </w:tcBorders>
                  <w:noWrap/>
                  <w:vAlign w:val="center"/>
                </w:tcPr>
                <w:p>
                  <w:pPr>
                    <w:pStyle w:val="271"/>
                    <w:bidi w:val="0"/>
                  </w:pPr>
                  <w:r>
                    <w:t>100.00%</w:t>
                  </w:r>
                </w:p>
              </w:tc>
              <w:tc>
                <w:tcPr>
                  <w:tcW w:w="500" w:type="pct"/>
                  <w:tcBorders>
                    <w:top w:val="nil"/>
                    <w:left w:val="nil"/>
                    <w:bottom w:val="single" w:color="auto" w:sz="4" w:space="0"/>
                    <w:right w:val="single" w:color="auto" w:sz="4" w:space="0"/>
                  </w:tcBorders>
                  <w:noWrap/>
                  <w:vAlign w:val="center"/>
                </w:tcPr>
                <w:p>
                  <w:pPr>
                    <w:pStyle w:val="271"/>
                    <w:bidi w:val="0"/>
                  </w:pPr>
                  <w:r>
                    <w:t>39</w:t>
                  </w:r>
                </w:p>
              </w:tc>
              <w:tc>
                <w:tcPr>
                  <w:tcW w:w="962" w:type="pct"/>
                  <w:tcBorders>
                    <w:top w:val="nil"/>
                    <w:left w:val="nil"/>
                    <w:bottom w:val="single" w:color="auto" w:sz="4" w:space="0"/>
                    <w:right w:val="single" w:color="auto" w:sz="4" w:space="0"/>
                  </w:tcBorders>
                  <w:noWrap/>
                  <w:vAlign w:val="center"/>
                </w:tcPr>
                <w:p>
                  <w:pPr>
                    <w:pStyle w:val="271"/>
                    <w:bidi w:val="0"/>
                  </w:pPr>
                  <w:r>
                    <w:t>100.00%</w:t>
                  </w:r>
                </w:p>
              </w:tc>
            </w:tr>
          </w:tbl>
          <w:p>
            <w:pPr>
              <w:autoSpaceDE w:val="0"/>
              <w:autoSpaceDN w:val="0"/>
              <w:adjustRightInd w:val="0"/>
              <w:spacing w:line="360" w:lineRule="auto"/>
              <w:ind w:firstLine="480" w:firstLineChars="200"/>
              <w:rPr>
                <w:color w:val="000000"/>
                <w:sz w:val="24"/>
              </w:rPr>
            </w:pPr>
            <w:r>
              <w:rPr>
                <w:color w:val="000000"/>
                <w:sz w:val="24"/>
              </w:rPr>
              <w:t>种类较少，组成单一。主要有泥鳅、中华鳑鲏、张氏䱗、麦穗鱼、鲫、黄䱂、子陵吻鰕虎鱼和黄鳝等8种鱼类，隶属于3目5科8属8种。调查河段</w:t>
            </w:r>
            <w:r>
              <w:rPr>
                <w:rFonts w:hint="eastAsia"/>
                <w:color w:val="000000"/>
                <w:sz w:val="24"/>
              </w:rPr>
              <w:t>由于受</w:t>
            </w:r>
            <w:r>
              <w:rPr>
                <w:color w:val="000000"/>
                <w:sz w:val="24"/>
              </w:rPr>
              <w:t>环境条件的限制，多分布为常见的小杂鱼类，经济价值和保护价值不大。鱼类属、种百分比见下表。</w:t>
            </w:r>
          </w:p>
          <w:p>
            <w:pPr>
              <w:tabs>
                <w:tab w:val="left" w:pos="0"/>
                <w:tab w:val="left" w:pos="420"/>
              </w:tabs>
              <w:adjustRightInd w:val="0"/>
              <w:snapToGrid w:val="0"/>
              <w:spacing w:before="48" w:beforeLines="20" w:after="48" w:afterLines="20" w:line="240" w:lineRule="auto"/>
              <w:ind w:left="0" w:leftChars="0" w:right="0" w:rightChars="0" w:firstLine="0" w:firstLineChars="0"/>
              <w:jc w:val="center"/>
              <w:outlineLvl w:val="6"/>
              <w:rPr>
                <w:b/>
                <w:color w:val="000000"/>
                <w:sz w:val="21"/>
                <w:szCs w:val="21"/>
              </w:rPr>
            </w:pPr>
            <w:r>
              <w:rPr>
                <w:rFonts w:hint="eastAsia"/>
                <w:b/>
                <w:color w:val="000000"/>
                <w:sz w:val="21"/>
                <w:szCs w:val="21"/>
              </w:rPr>
              <w:t>表3-1</w:t>
            </w:r>
            <w:r>
              <w:rPr>
                <w:rFonts w:hint="eastAsia"/>
                <w:b/>
                <w:color w:val="000000"/>
                <w:sz w:val="21"/>
                <w:szCs w:val="21"/>
                <w:lang w:val="en-US" w:eastAsia="zh-CN"/>
              </w:rPr>
              <w:t>2</w:t>
            </w:r>
            <w:r>
              <w:rPr>
                <w:rFonts w:hint="eastAsia"/>
                <w:b/>
                <w:color w:val="000000"/>
                <w:sz w:val="21"/>
                <w:szCs w:val="21"/>
              </w:rPr>
              <w:t xml:space="preserve">  </w:t>
            </w:r>
            <w:r>
              <w:rPr>
                <w:b/>
                <w:color w:val="000000"/>
                <w:sz w:val="21"/>
                <w:szCs w:val="21"/>
              </w:rPr>
              <w:t>工程输水区所在泥溪河河段鱼类属、种百分比</w:t>
            </w:r>
          </w:p>
          <w:tbl>
            <w:tblPr>
              <w:tblStyle w:val="39"/>
              <w:tblW w:w="4998" w:type="pct"/>
              <w:jc w:val="center"/>
              <w:tblLayout w:type="fixed"/>
              <w:tblCellMar>
                <w:top w:w="0" w:type="dxa"/>
                <w:left w:w="108" w:type="dxa"/>
                <w:bottom w:w="0" w:type="dxa"/>
                <w:right w:w="108" w:type="dxa"/>
              </w:tblCellMar>
            </w:tblPr>
            <w:tblGrid>
              <w:gridCol w:w="1302"/>
              <w:gridCol w:w="1380"/>
              <w:gridCol w:w="1049"/>
              <w:gridCol w:w="1147"/>
              <w:gridCol w:w="1049"/>
              <w:gridCol w:w="1576"/>
            </w:tblGrid>
            <w:tr>
              <w:tblPrEx>
                <w:tblCellMar>
                  <w:top w:w="0" w:type="dxa"/>
                  <w:left w:w="108" w:type="dxa"/>
                  <w:bottom w:w="0" w:type="dxa"/>
                  <w:right w:w="108" w:type="dxa"/>
                </w:tblCellMar>
              </w:tblPrEx>
              <w:trPr>
                <w:jc w:val="center"/>
              </w:trPr>
              <w:tc>
                <w:tcPr>
                  <w:tcW w:w="867" w:type="pct"/>
                  <w:tcBorders>
                    <w:top w:val="single" w:color="auto" w:sz="4" w:space="0"/>
                    <w:left w:val="single" w:color="auto" w:sz="4" w:space="0"/>
                    <w:bottom w:val="single" w:color="auto" w:sz="4" w:space="0"/>
                    <w:right w:val="single" w:color="auto" w:sz="4" w:space="0"/>
                  </w:tcBorders>
                  <w:noWrap/>
                  <w:vAlign w:val="center"/>
                </w:tcPr>
                <w:p>
                  <w:pPr>
                    <w:pStyle w:val="271"/>
                    <w:bidi w:val="0"/>
                    <w:rPr>
                      <w:b/>
                      <w:bCs/>
                    </w:rPr>
                  </w:pPr>
                  <w:r>
                    <w:rPr>
                      <w:b/>
                      <w:bCs/>
                    </w:rPr>
                    <w:t>目</w:t>
                  </w:r>
                </w:p>
              </w:tc>
              <w:tc>
                <w:tcPr>
                  <w:tcW w:w="919"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科</w:t>
                  </w:r>
                </w:p>
              </w:tc>
              <w:tc>
                <w:tcPr>
                  <w:tcW w:w="699"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属</w:t>
                  </w:r>
                </w:p>
              </w:tc>
              <w:tc>
                <w:tcPr>
                  <w:tcW w:w="764"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属%</w:t>
                  </w:r>
                </w:p>
              </w:tc>
              <w:tc>
                <w:tcPr>
                  <w:tcW w:w="699"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种</w:t>
                  </w:r>
                </w:p>
              </w:tc>
              <w:tc>
                <w:tcPr>
                  <w:tcW w:w="1049" w:type="pct"/>
                  <w:tcBorders>
                    <w:top w:val="single" w:color="auto" w:sz="4" w:space="0"/>
                    <w:left w:val="nil"/>
                    <w:bottom w:val="single" w:color="auto" w:sz="4" w:space="0"/>
                    <w:right w:val="single" w:color="auto" w:sz="4" w:space="0"/>
                  </w:tcBorders>
                  <w:noWrap/>
                  <w:vAlign w:val="center"/>
                </w:tcPr>
                <w:p>
                  <w:pPr>
                    <w:pStyle w:val="271"/>
                    <w:bidi w:val="0"/>
                    <w:rPr>
                      <w:b/>
                      <w:bCs/>
                    </w:rPr>
                  </w:pPr>
                  <w:r>
                    <w:rPr>
                      <w:b/>
                      <w:bCs/>
                    </w:rPr>
                    <w:t>种%</w:t>
                  </w:r>
                </w:p>
              </w:tc>
            </w:tr>
            <w:tr>
              <w:tblPrEx>
                <w:tblCellMar>
                  <w:top w:w="0" w:type="dxa"/>
                  <w:left w:w="108" w:type="dxa"/>
                  <w:bottom w:w="0" w:type="dxa"/>
                  <w:right w:w="108" w:type="dxa"/>
                </w:tblCellMar>
              </w:tblPrEx>
              <w:trPr>
                <w:jc w:val="center"/>
              </w:trPr>
              <w:tc>
                <w:tcPr>
                  <w:tcW w:w="867" w:type="pct"/>
                  <w:vMerge w:val="restart"/>
                  <w:tcBorders>
                    <w:top w:val="nil"/>
                    <w:left w:val="single" w:color="auto" w:sz="4" w:space="0"/>
                    <w:bottom w:val="single" w:color="000000" w:sz="4" w:space="0"/>
                    <w:right w:val="single" w:color="auto" w:sz="4" w:space="0"/>
                  </w:tcBorders>
                  <w:noWrap/>
                  <w:vAlign w:val="center"/>
                </w:tcPr>
                <w:p>
                  <w:pPr>
                    <w:pStyle w:val="271"/>
                    <w:bidi w:val="0"/>
                  </w:pPr>
                  <w:r>
                    <w:t>鲤形目</w:t>
                  </w:r>
                </w:p>
              </w:tc>
              <w:tc>
                <w:tcPr>
                  <w:tcW w:w="919" w:type="pct"/>
                  <w:tcBorders>
                    <w:top w:val="nil"/>
                    <w:left w:val="nil"/>
                    <w:bottom w:val="single" w:color="auto" w:sz="4" w:space="0"/>
                    <w:right w:val="single" w:color="auto" w:sz="4" w:space="0"/>
                  </w:tcBorders>
                  <w:noWrap/>
                  <w:vAlign w:val="center"/>
                </w:tcPr>
                <w:p>
                  <w:pPr>
                    <w:pStyle w:val="271"/>
                    <w:bidi w:val="0"/>
                  </w:pPr>
                  <w:r>
                    <w:t>鳅科</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764" w:type="pct"/>
                  <w:tcBorders>
                    <w:top w:val="nil"/>
                    <w:left w:val="nil"/>
                    <w:bottom w:val="single" w:color="auto" w:sz="4" w:space="0"/>
                    <w:right w:val="single" w:color="auto" w:sz="4" w:space="0"/>
                  </w:tcBorders>
                  <w:noWrap/>
                  <w:vAlign w:val="center"/>
                </w:tcPr>
                <w:p>
                  <w:pPr>
                    <w:pStyle w:val="271"/>
                    <w:bidi w:val="0"/>
                  </w:pPr>
                  <w:r>
                    <w:t>12.50%</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1049" w:type="pct"/>
                  <w:tcBorders>
                    <w:top w:val="nil"/>
                    <w:left w:val="nil"/>
                    <w:bottom w:val="single" w:color="auto" w:sz="4" w:space="0"/>
                    <w:right w:val="single" w:color="auto" w:sz="4" w:space="0"/>
                  </w:tcBorders>
                  <w:noWrap/>
                  <w:vAlign w:val="center"/>
                </w:tcPr>
                <w:p>
                  <w:pPr>
                    <w:pStyle w:val="271"/>
                    <w:bidi w:val="0"/>
                  </w:pPr>
                  <w:r>
                    <w:t>12.50%</w:t>
                  </w:r>
                </w:p>
              </w:tc>
            </w:tr>
            <w:tr>
              <w:tblPrEx>
                <w:tblCellMar>
                  <w:top w:w="0" w:type="dxa"/>
                  <w:left w:w="108" w:type="dxa"/>
                  <w:bottom w:w="0" w:type="dxa"/>
                  <w:right w:w="108" w:type="dxa"/>
                </w:tblCellMar>
              </w:tblPrEx>
              <w:trPr>
                <w:jc w:val="center"/>
              </w:trPr>
              <w:tc>
                <w:tcPr>
                  <w:tcW w:w="867"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919" w:type="pct"/>
                  <w:tcBorders>
                    <w:top w:val="nil"/>
                    <w:left w:val="nil"/>
                    <w:bottom w:val="single" w:color="auto" w:sz="4" w:space="0"/>
                    <w:right w:val="single" w:color="auto" w:sz="4" w:space="0"/>
                  </w:tcBorders>
                  <w:noWrap/>
                  <w:vAlign w:val="center"/>
                </w:tcPr>
                <w:p>
                  <w:pPr>
                    <w:pStyle w:val="271"/>
                    <w:bidi w:val="0"/>
                  </w:pPr>
                  <w:r>
                    <w:t>鲤科</w:t>
                  </w:r>
                </w:p>
              </w:tc>
              <w:tc>
                <w:tcPr>
                  <w:tcW w:w="699" w:type="pct"/>
                  <w:tcBorders>
                    <w:top w:val="nil"/>
                    <w:left w:val="nil"/>
                    <w:bottom w:val="single" w:color="auto" w:sz="4" w:space="0"/>
                    <w:right w:val="single" w:color="auto" w:sz="4" w:space="0"/>
                  </w:tcBorders>
                  <w:noWrap/>
                  <w:vAlign w:val="center"/>
                </w:tcPr>
                <w:p>
                  <w:pPr>
                    <w:pStyle w:val="271"/>
                    <w:bidi w:val="0"/>
                  </w:pPr>
                  <w:r>
                    <w:t>4</w:t>
                  </w:r>
                </w:p>
              </w:tc>
              <w:tc>
                <w:tcPr>
                  <w:tcW w:w="764" w:type="pct"/>
                  <w:tcBorders>
                    <w:top w:val="nil"/>
                    <w:left w:val="nil"/>
                    <w:bottom w:val="single" w:color="auto" w:sz="4" w:space="0"/>
                    <w:right w:val="single" w:color="auto" w:sz="4" w:space="0"/>
                  </w:tcBorders>
                  <w:noWrap/>
                  <w:vAlign w:val="center"/>
                </w:tcPr>
                <w:p>
                  <w:pPr>
                    <w:pStyle w:val="271"/>
                    <w:bidi w:val="0"/>
                  </w:pPr>
                  <w:r>
                    <w:t>50.00%</w:t>
                  </w:r>
                </w:p>
              </w:tc>
              <w:tc>
                <w:tcPr>
                  <w:tcW w:w="699" w:type="pct"/>
                  <w:tcBorders>
                    <w:top w:val="nil"/>
                    <w:left w:val="nil"/>
                    <w:bottom w:val="single" w:color="auto" w:sz="4" w:space="0"/>
                    <w:right w:val="single" w:color="auto" w:sz="4" w:space="0"/>
                  </w:tcBorders>
                  <w:noWrap/>
                  <w:vAlign w:val="center"/>
                </w:tcPr>
                <w:p>
                  <w:pPr>
                    <w:pStyle w:val="271"/>
                    <w:bidi w:val="0"/>
                  </w:pPr>
                  <w:r>
                    <w:t>4</w:t>
                  </w:r>
                </w:p>
              </w:tc>
              <w:tc>
                <w:tcPr>
                  <w:tcW w:w="1049" w:type="pct"/>
                  <w:tcBorders>
                    <w:top w:val="nil"/>
                    <w:left w:val="nil"/>
                    <w:bottom w:val="single" w:color="auto" w:sz="4" w:space="0"/>
                    <w:right w:val="single" w:color="auto" w:sz="4" w:space="0"/>
                  </w:tcBorders>
                  <w:noWrap/>
                  <w:vAlign w:val="center"/>
                </w:tcPr>
                <w:p>
                  <w:pPr>
                    <w:pStyle w:val="271"/>
                    <w:bidi w:val="0"/>
                  </w:pPr>
                  <w:r>
                    <w:t>50.00%</w:t>
                  </w:r>
                </w:p>
              </w:tc>
            </w:tr>
            <w:tr>
              <w:tblPrEx>
                <w:tblCellMar>
                  <w:top w:w="0" w:type="dxa"/>
                  <w:left w:w="108" w:type="dxa"/>
                  <w:bottom w:w="0" w:type="dxa"/>
                  <w:right w:w="108" w:type="dxa"/>
                </w:tblCellMar>
              </w:tblPrEx>
              <w:trPr>
                <w:jc w:val="center"/>
              </w:trPr>
              <w:tc>
                <w:tcPr>
                  <w:tcW w:w="867" w:type="pct"/>
                  <w:vMerge w:val="restart"/>
                  <w:tcBorders>
                    <w:top w:val="nil"/>
                    <w:left w:val="single" w:color="auto" w:sz="4" w:space="0"/>
                    <w:bottom w:val="single" w:color="000000" w:sz="4" w:space="0"/>
                    <w:right w:val="single" w:color="auto" w:sz="4" w:space="0"/>
                  </w:tcBorders>
                  <w:noWrap/>
                  <w:vAlign w:val="center"/>
                </w:tcPr>
                <w:p>
                  <w:pPr>
                    <w:pStyle w:val="271"/>
                    <w:bidi w:val="0"/>
                  </w:pPr>
                  <w:r>
                    <w:t>鲈形目</w:t>
                  </w:r>
                </w:p>
              </w:tc>
              <w:tc>
                <w:tcPr>
                  <w:tcW w:w="919" w:type="pct"/>
                  <w:tcBorders>
                    <w:top w:val="nil"/>
                    <w:left w:val="nil"/>
                    <w:bottom w:val="single" w:color="auto" w:sz="4" w:space="0"/>
                    <w:right w:val="single" w:color="auto" w:sz="4" w:space="0"/>
                  </w:tcBorders>
                  <w:noWrap/>
                  <w:vAlign w:val="center"/>
                </w:tcPr>
                <w:p>
                  <w:pPr>
                    <w:pStyle w:val="271"/>
                    <w:bidi w:val="0"/>
                  </w:pPr>
                  <w:r>
                    <w:t>塘鳢科</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764" w:type="pct"/>
                  <w:tcBorders>
                    <w:top w:val="nil"/>
                    <w:left w:val="nil"/>
                    <w:bottom w:val="single" w:color="auto" w:sz="4" w:space="0"/>
                    <w:right w:val="single" w:color="auto" w:sz="4" w:space="0"/>
                  </w:tcBorders>
                  <w:noWrap/>
                  <w:vAlign w:val="center"/>
                </w:tcPr>
                <w:p>
                  <w:pPr>
                    <w:pStyle w:val="271"/>
                    <w:bidi w:val="0"/>
                  </w:pPr>
                  <w:r>
                    <w:t>12.50%</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1049" w:type="pct"/>
                  <w:tcBorders>
                    <w:top w:val="nil"/>
                    <w:left w:val="nil"/>
                    <w:bottom w:val="single" w:color="auto" w:sz="4" w:space="0"/>
                    <w:right w:val="single" w:color="auto" w:sz="4" w:space="0"/>
                  </w:tcBorders>
                  <w:noWrap/>
                  <w:vAlign w:val="center"/>
                </w:tcPr>
                <w:p>
                  <w:pPr>
                    <w:pStyle w:val="271"/>
                    <w:bidi w:val="0"/>
                  </w:pPr>
                  <w:r>
                    <w:t>12.50%</w:t>
                  </w:r>
                </w:p>
              </w:tc>
            </w:tr>
            <w:tr>
              <w:tblPrEx>
                <w:tblCellMar>
                  <w:top w:w="0" w:type="dxa"/>
                  <w:left w:w="108" w:type="dxa"/>
                  <w:bottom w:w="0" w:type="dxa"/>
                  <w:right w:w="108" w:type="dxa"/>
                </w:tblCellMar>
              </w:tblPrEx>
              <w:trPr>
                <w:jc w:val="center"/>
              </w:trPr>
              <w:tc>
                <w:tcPr>
                  <w:tcW w:w="867" w:type="pct"/>
                  <w:vMerge w:val="continue"/>
                  <w:tcBorders>
                    <w:top w:val="nil"/>
                    <w:left w:val="single" w:color="auto" w:sz="4" w:space="0"/>
                    <w:bottom w:val="single" w:color="000000" w:sz="4" w:space="0"/>
                    <w:right w:val="single" w:color="auto" w:sz="4" w:space="0"/>
                  </w:tcBorders>
                  <w:noWrap w:val="0"/>
                  <w:vAlign w:val="center"/>
                </w:tcPr>
                <w:p>
                  <w:pPr>
                    <w:pStyle w:val="271"/>
                    <w:bidi w:val="0"/>
                  </w:pPr>
                </w:p>
              </w:tc>
              <w:tc>
                <w:tcPr>
                  <w:tcW w:w="919" w:type="pct"/>
                  <w:tcBorders>
                    <w:top w:val="nil"/>
                    <w:left w:val="nil"/>
                    <w:bottom w:val="single" w:color="auto" w:sz="4" w:space="0"/>
                    <w:right w:val="single" w:color="auto" w:sz="4" w:space="0"/>
                  </w:tcBorders>
                  <w:noWrap/>
                  <w:vAlign w:val="center"/>
                </w:tcPr>
                <w:p>
                  <w:pPr>
                    <w:pStyle w:val="271"/>
                    <w:bidi w:val="0"/>
                  </w:pPr>
                  <w:r>
                    <w:t>鰕虎鱼科</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764" w:type="pct"/>
                  <w:tcBorders>
                    <w:top w:val="nil"/>
                    <w:left w:val="nil"/>
                    <w:bottom w:val="single" w:color="auto" w:sz="4" w:space="0"/>
                    <w:right w:val="single" w:color="auto" w:sz="4" w:space="0"/>
                  </w:tcBorders>
                  <w:noWrap/>
                  <w:vAlign w:val="center"/>
                </w:tcPr>
                <w:p>
                  <w:pPr>
                    <w:pStyle w:val="271"/>
                    <w:bidi w:val="0"/>
                  </w:pPr>
                  <w:r>
                    <w:t>12.50%</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1049" w:type="pct"/>
                  <w:tcBorders>
                    <w:top w:val="nil"/>
                    <w:left w:val="nil"/>
                    <w:bottom w:val="single" w:color="auto" w:sz="4" w:space="0"/>
                    <w:right w:val="single" w:color="auto" w:sz="4" w:space="0"/>
                  </w:tcBorders>
                  <w:noWrap/>
                  <w:vAlign w:val="center"/>
                </w:tcPr>
                <w:p>
                  <w:pPr>
                    <w:pStyle w:val="271"/>
                    <w:bidi w:val="0"/>
                  </w:pPr>
                  <w:r>
                    <w:t>12.50%</w:t>
                  </w:r>
                </w:p>
              </w:tc>
            </w:tr>
            <w:tr>
              <w:tblPrEx>
                <w:tblCellMar>
                  <w:top w:w="0" w:type="dxa"/>
                  <w:left w:w="108" w:type="dxa"/>
                  <w:bottom w:w="0" w:type="dxa"/>
                  <w:right w:w="108" w:type="dxa"/>
                </w:tblCellMar>
              </w:tblPrEx>
              <w:trPr>
                <w:jc w:val="center"/>
              </w:trPr>
              <w:tc>
                <w:tcPr>
                  <w:tcW w:w="867" w:type="pct"/>
                  <w:tcBorders>
                    <w:top w:val="nil"/>
                    <w:left w:val="single" w:color="auto" w:sz="4" w:space="0"/>
                    <w:bottom w:val="single" w:color="auto" w:sz="4" w:space="0"/>
                    <w:right w:val="single" w:color="auto" w:sz="4" w:space="0"/>
                  </w:tcBorders>
                  <w:noWrap/>
                  <w:vAlign w:val="center"/>
                </w:tcPr>
                <w:p>
                  <w:pPr>
                    <w:pStyle w:val="271"/>
                    <w:bidi w:val="0"/>
                  </w:pPr>
                  <w:r>
                    <w:t>合鳃鱼目</w:t>
                  </w:r>
                </w:p>
              </w:tc>
              <w:tc>
                <w:tcPr>
                  <w:tcW w:w="919" w:type="pct"/>
                  <w:tcBorders>
                    <w:top w:val="nil"/>
                    <w:left w:val="nil"/>
                    <w:bottom w:val="single" w:color="auto" w:sz="4" w:space="0"/>
                    <w:right w:val="single" w:color="auto" w:sz="4" w:space="0"/>
                  </w:tcBorders>
                  <w:noWrap/>
                  <w:vAlign w:val="center"/>
                </w:tcPr>
                <w:p>
                  <w:pPr>
                    <w:pStyle w:val="271"/>
                    <w:bidi w:val="0"/>
                  </w:pPr>
                  <w:r>
                    <w:t>合鳃鱼科</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764" w:type="pct"/>
                  <w:tcBorders>
                    <w:top w:val="nil"/>
                    <w:left w:val="nil"/>
                    <w:bottom w:val="single" w:color="auto" w:sz="4" w:space="0"/>
                    <w:right w:val="single" w:color="auto" w:sz="4" w:space="0"/>
                  </w:tcBorders>
                  <w:noWrap/>
                  <w:vAlign w:val="center"/>
                </w:tcPr>
                <w:p>
                  <w:pPr>
                    <w:pStyle w:val="271"/>
                    <w:bidi w:val="0"/>
                  </w:pPr>
                  <w:r>
                    <w:t>12.50%</w:t>
                  </w:r>
                </w:p>
              </w:tc>
              <w:tc>
                <w:tcPr>
                  <w:tcW w:w="699" w:type="pct"/>
                  <w:tcBorders>
                    <w:top w:val="nil"/>
                    <w:left w:val="nil"/>
                    <w:bottom w:val="single" w:color="auto" w:sz="4" w:space="0"/>
                    <w:right w:val="single" w:color="auto" w:sz="4" w:space="0"/>
                  </w:tcBorders>
                  <w:noWrap/>
                  <w:vAlign w:val="center"/>
                </w:tcPr>
                <w:p>
                  <w:pPr>
                    <w:pStyle w:val="271"/>
                    <w:bidi w:val="0"/>
                  </w:pPr>
                  <w:r>
                    <w:t>1</w:t>
                  </w:r>
                </w:p>
              </w:tc>
              <w:tc>
                <w:tcPr>
                  <w:tcW w:w="1049" w:type="pct"/>
                  <w:tcBorders>
                    <w:top w:val="nil"/>
                    <w:left w:val="nil"/>
                    <w:bottom w:val="single" w:color="auto" w:sz="4" w:space="0"/>
                    <w:right w:val="single" w:color="auto" w:sz="4" w:space="0"/>
                  </w:tcBorders>
                  <w:noWrap/>
                  <w:vAlign w:val="center"/>
                </w:tcPr>
                <w:p>
                  <w:pPr>
                    <w:pStyle w:val="271"/>
                    <w:bidi w:val="0"/>
                  </w:pPr>
                  <w:r>
                    <w:t>12.50%</w:t>
                  </w:r>
                </w:p>
              </w:tc>
            </w:tr>
            <w:tr>
              <w:tblPrEx>
                <w:tblCellMar>
                  <w:top w:w="0" w:type="dxa"/>
                  <w:left w:w="108" w:type="dxa"/>
                  <w:bottom w:w="0" w:type="dxa"/>
                  <w:right w:w="108" w:type="dxa"/>
                </w:tblCellMar>
              </w:tblPrEx>
              <w:trPr>
                <w:jc w:val="center"/>
              </w:trPr>
              <w:tc>
                <w:tcPr>
                  <w:tcW w:w="867" w:type="pct"/>
                  <w:tcBorders>
                    <w:top w:val="nil"/>
                    <w:left w:val="single" w:color="auto" w:sz="4" w:space="0"/>
                    <w:bottom w:val="single" w:color="auto" w:sz="4" w:space="0"/>
                    <w:right w:val="single" w:color="auto" w:sz="4" w:space="0"/>
                  </w:tcBorders>
                  <w:noWrap/>
                  <w:vAlign w:val="center"/>
                </w:tcPr>
                <w:p>
                  <w:pPr>
                    <w:pStyle w:val="271"/>
                    <w:bidi w:val="0"/>
                  </w:pPr>
                  <w:r>
                    <w:t>合计</w:t>
                  </w:r>
                </w:p>
              </w:tc>
              <w:tc>
                <w:tcPr>
                  <w:tcW w:w="919" w:type="pct"/>
                  <w:tcBorders>
                    <w:top w:val="nil"/>
                    <w:left w:val="nil"/>
                    <w:bottom w:val="single" w:color="auto" w:sz="4" w:space="0"/>
                    <w:right w:val="single" w:color="auto" w:sz="4" w:space="0"/>
                  </w:tcBorders>
                  <w:noWrap/>
                  <w:vAlign w:val="center"/>
                </w:tcPr>
                <w:p>
                  <w:pPr>
                    <w:pStyle w:val="271"/>
                    <w:bidi w:val="0"/>
                  </w:pPr>
                </w:p>
              </w:tc>
              <w:tc>
                <w:tcPr>
                  <w:tcW w:w="699" w:type="pct"/>
                  <w:tcBorders>
                    <w:top w:val="nil"/>
                    <w:left w:val="nil"/>
                    <w:bottom w:val="single" w:color="auto" w:sz="4" w:space="0"/>
                    <w:right w:val="single" w:color="auto" w:sz="4" w:space="0"/>
                  </w:tcBorders>
                  <w:noWrap/>
                  <w:vAlign w:val="center"/>
                </w:tcPr>
                <w:p>
                  <w:pPr>
                    <w:pStyle w:val="271"/>
                    <w:bidi w:val="0"/>
                  </w:pPr>
                  <w:r>
                    <w:t>8</w:t>
                  </w:r>
                </w:p>
              </w:tc>
              <w:tc>
                <w:tcPr>
                  <w:tcW w:w="764" w:type="pct"/>
                  <w:tcBorders>
                    <w:top w:val="nil"/>
                    <w:left w:val="nil"/>
                    <w:bottom w:val="single" w:color="auto" w:sz="4" w:space="0"/>
                    <w:right w:val="single" w:color="auto" w:sz="4" w:space="0"/>
                  </w:tcBorders>
                  <w:noWrap/>
                  <w:vAlign w:val="center"/>
                </w:tcPr>
                <w:p>
                  <w:pPr>
                    <w:pStyle w:val="271"/>
                    <w:bidi w:val="0"/>
                  </w:pPr>
                  <w:r>
                    <w:t>100.00%</w:t>
                  </w:r>
                </w:p>
              </w:tc>
              <w:tc>
                <w:tcPr>
                  <w:tcW w:w="699" w:type="pct"/>
                  <w:tcBorders>
                    <w:top w:val="nil"/>
                    <w:left w:val="nil"/>
                    <w:bottom w:val="single" w:color="auto" w:sz="4" w:space="0"/>
                    <w:right w:val="single" w:color="auto" w:sz="4" w:space="0"/>
                  </w:tcBorders>
                  <w:noWrap/>
                  <w:vAlign w:val="center"/>
                </w:tcPr>
                <w:p>
                  <w:pPr>
                    <w:pStyle w:val="271"/>
                    <w:bidi w:val="0"/>
                  </w:pPr>
                  <w:r>
                    <w:t>8</w:t>
                  </w:r>
                </w:p>
              </w:tc>
              <w:tc>
                <w:tcPr>
                  <w:tcW w:w="1049" w:type="pct"/>
                  <w:tcBorders>
                    <w:top w:val="nil"/>
                    <w:left w:val="nil"/>
                    <w:bottom w:val="single" w:color="auto" w:sz="4" w:space="0"/>
                    <w:right w:val="single" w:color="auto" w:sz="4" w:space="0"/>
                  </w:tcBorders>
                  <w:noWrap/>
                  <w:vAlign w:val="center"/>
                </w:tcPr>
                <w:p>
                  <w:pPr>
                    <w:pStyle w:val="271"/>
                    <w:bidi w:val="0"/>
                  </w:pPr>
                  <w:r>
                    <w:t>100.00%</w:t>
                  </w:r>
                </w:p>
              </w:tc>
            </w:tr>
          </w:tbl>
          <w:p>
            <w:pPr>
              <w:autoSpaceDE w:val="0"/>
              <w:autoSpaceDN w:val="0"/>
              <w:adjustRightInd w:val="0"/>
              <w:spacing w:line="360" w:lineRule="auto"/>
              <w:ind w:firstLine="480" w:firstLineChars="200"/>
              <w:rPr>
                <w:rFonts w:hint="eastAsia"/>
                <w:color w:val="000000"/>
                <w:sz w:val="24"/>
              </w:rPr>
            </w:pPr>
            <w:r>
              <w:rPr>
                <w:rFonts w:hint="eastAsia"/>
                <w:color w:val="000000"/>
                <w:sz w:val="24"/>
              </w:rPr>
              <w:t>2）珍稀保护鱼类</w:t>
            </w:r>
          </w:p>
          <w:p>
            <w:pPr>
              <w:autoSpaceDE w:val="0"/>
              <w:autoSpaceDN w:val="0"/>
              <w:adjustRightInd w:val="0"/>
              <w:spacing w:line="360" w:lineRule="auto"/>
              <w:ind w:firstLine="480" w:firstLineChars="200"/>
              <w:rPr>
                <w:rFonts w:hint="eastAsia"/>
                <w:color w:val="000000"/>
                <w:sz w:val="24"/>
              </w:rPr>
            </w:pPr>
            <w:r>
              <w:rPr>
                <w:rFonts w:hint="eastAsia"/>
                <w:color w:val="000000"/>
                <w:sz w:val="24"/>
              </w:rPr>
              <w:t>根据查阅相关资料及现场调查，</w:t>
            </w:r>
            <w:r>
              <w:rPr>
                <w:rFonts w:hint="eastAsia"/>
                <w:b/>
                <w:color w:val="000000"/>
                <w:sz w:val="24"/>
              </w:rPr>
              <w:t>高中水库及磨池河不涉及珍稀保护水生生物及重要水生生物。</w:t>
            </w:r>
          </w:p>
          <w:p>
            <w:pPr>
              <w:autoSpaceDE w:val="0"/>
              <w:autoSpaceDN w:val="0"/>
              <w:adjustRightInd w:val="0"/>
              <w:spacing w:line="360" w:lineRule="auto"/>
              <w:ind w:firstLine="480" w:firstLineChars="200"/>
              <w:rPr>
                <w:color w:val="000000"/>
                <w:sz w:val="24"/>
              </w:rPr>
            </w:pPr>
            <w:r>
              <w:rPr>
                <w:rFonts w:hint="eastAsia"/>
                <w:color w:val="000000"/>
                <w:sz w:val="24"/>
              </w:rPr>
              <w:t>3）</w:t>
            </w:r>
            <w:r>
              <w:rPr>
                <w:color w:val="000000"/>
                <w:sz w:val="24"/>
              </w:rPr>
              <w:t>鱼类</w:t>
            </w:r>
            <w:r>
              <w:rPr>
                <w:rFonts w:hint="eastAsia"/>
                <w:color w:val="000000"/>
                <w:sz w:val="24"/>
              </w:rPr>
              <w:t>“</w:t>
            </w:r>
            <w:r>
              <w:rPr>
                <w:color w:val="000000"/>
                <w:sz w:val="24"/>
              </w:rPr>
              <w:t>三场</w:t>
            </w:r>
            <w:r>
              <w:rPr>
                <w:rFonts w:hint="eastAsia"/>
                <w:color w:val="000000"/>
                <w:sz w:val="24"/>
              </w:rPr>
              <w:t>”</w:t>
            </w:r>
            <w:r>
              <w:rPr>
                <w:color w:val="000000"/>
                <w:sz w:val="24"/>
              </w:rPr>
              <w:t>特点及分布</w:t>
            </w:r>
          </w:p>
          <w:p>
            <w:pPr>
              <w:autoSpaceDE w:val="0"/>
              <w:autoSpaceDN w:val="0"/>
              <w:adjustRightInd w:val="0"/>
              <w:spacing w:line="360" w:lineRule="auto"/>
              <w:ind w:firstLine="480" w:firstLineChars="200"/>
              <w:rPr>
                <w:rFonts w:ascii="宋体" w:hAnsi="宋体" w:cs="宋体"/>
                <w:color w:val="000000"/>
                <w:kern w:val="0"/>
                <w:szCs w:val="21"/>
              </w:rPr>
            </w:pPr>
            <w:r>
              <w:rPr>
                <w:rFonts w:hint="eastAsia"/>
                <w:color w:val="000000"/>
                <w:sz w:val="24"/>
              </w:rPr>
              <w:t>根据查阅资料及现场调查，</w:t>
            </w:r>
            <w:r>
              <w:rPr>
                <w:color w:val="000000"/>
                <w:sz w:val="24"/>
              </w:rPr>
              <w:t>本次调查期间未在</w:t>
            </w:r>
            <w:r>
              <w:rPr>
                <w:rFonts w:hint="eastAsia"/>
                <w:color w:val="000000"/>
                <w:sz w:val="24"/>
              </w:rPr>
              <w:t>高中水库</w:t>
            </w:r>
            <w:r>
              <w:rPr>
                <w:color w:val="000000"/>
                <w:sz w:val="24"/>
              </w:rPr>
              <w:t>调查区内发现鱼类典型的产卵场和索饵场，有1小型越冬场</w:t>
            </w:r>
            <w:r>
              <w:rPr>
                <w:rFonts w:hint="eastAsia"/>
                <w:color w:val="000000"/>
                <w:sz w:val="24"/>
              </w:rPr>
              <w:t>高中</w:t>
            </w:r>
            <w:r>
              <w:rPr>
                <w:color w:val="000000"/>
                <w:sz w:val="24"/>
              </w:rPr>
              <w:t>水库，为草鱼、鲤等鱼类提供了一定的越冬场所。本次调查期间未在</w:t>
            </w:r>
            <w:r>
              <w:rPr>
                <w:rFonts w:hint="eastAsia"/>
                <w:color w:val="000000"/>
                <w:sz w:val="24"/>
              </w:rPr>
              <w:t>磨池河</w:t>
            </w:r>
            <w:r>
              <w:rPr>
                <w:color w:val="000000"/>
                <w:sz w:val="24"/>
              </w:rPr>
              <w:t>调查区内发现鱼类典型的产卵场、索饵场和越冬场分布。</w:t>
            </w:r>
            <w:r>
              <w:rPr>
                <w:rFonts w:hint="eastAsia"/>
                <w:b/>
                <w:color w:val="000000"/>
                <w:sz w:val="24"/>
              </w:rPr>
              <w:t>不涉及重要水生生物的自然产卵场、索饵场、越冬场和洄游通道。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468" w:type="pct"/>
            <w:noWrap w:val="0"/>
            <w:vAlign w:val="center"/>
          </w:tcPr>
          <w:p>
            <w:pPr>
              <w:adjustRightInd w:val="0"/>
              <w:snapToGrid w:val="0"/>
              <w:jc w:val="center"/>
              <w:rPr>
                <w:rFonts w:ascii="宋体" w:hAnsi="宋体" w:cs="宋体"/>
                <w:color w:val="000000"/>
                <w:kern w:val="0"/>
                <w:szCs w:val="21"/>
              </w:rPr>
            </w:pPr>
            <w:r>
              <w:rPr>
                <w:rFonts w:hint="eastAsia" w:ascii="宋体" w:hAnsi="宋体"/>
                <w:bCs/>
                <w:color w:val="000000"/>
                <w:sz w:val="24"/>
              </w:rPr>
              <w:t>与项目有关的原有环境污染和生态破坏问题</w:t>
            </w:r>
          </w:p>
        </w:tc>
        <w:tc>
          <w:tcPr>
            <w:tcW w:w="4531" w:type="pct"/>
            <w:noWrap w:val="0"/>
            <w:vAlign w:val="center"/>
          </w:tcPr>
          <w:p>
            <w:pPr>
              <w:pStyle w:val="138"/>
              <w:ind w:firstLine="0" w:firstLineChars="0"/>
              <w:rPr>
                <w:rFonts w:hint="eastAsia"/>
                <w:b/>
                <w:color w:val="000000"/>
                <w:sz w:val="28"/>
                <w:szCs w:val="28"/>
              </w:rPr>
            </w:pPr>
            <w:r>
              <w:rPr>
                <w:rFonts w:hint="eastAsia"/>
                <w:b/>
                <w:color w:val="000000"/>
                <w:sz w:val="28"/>
                <w:szCs w:val="28"/>
              </w:rPr>
              <w:t>1、右干渠14+802-16+605明渠整治段</w:t>
            </w:r>
            <w:r>
              <w:rPr>
                <w:b/>
                <w:color w:val="000000"/>
                <w:sz w:val="28"/>
                <w:szCs w:val="28"/>
              </w:rPr>
              <w:t>现状</w:t>
            </w:r>
          </w:p>
          <w:p>
            <w:pPr>
              <w:pStyle w:val="223"/>
              <w:bidi w:val="0"/>
              <w:rPr>
                <w:rFonts w:hint="eastAsia"/>
                <w:color w:val="000000"/>
              </w:rPr>
            </w:pPr>
            <w:r>
              <w:rPr>
                <w:rFonts w:hint="eastAsia"/>
                <w:color w:val="000000"/>
              </w:rPr>
              <w:t>右干渠渠首设计流量2.5m</w:t>
            </w:r>
            <w:r>
              <w:rPr>
                <w:rFonts w:hint="eastAsia"/>
                <w:color w:val="000000"/>
                <w:vertAlign w:val="superscript"/>
              </w:rPr>
              <w:t>3</w:t>
            </w:r>
            <w:r>
              <w:rPr>
                <w:rFonts w:hint="eastAsia"/>
                <w:color w:val="000000"/>
              </w:rPr>
              <w:t>/s，本次整治段14+802-16+605段设计流量0.7~0.4m</w:t>
            </w:r>
            <w:r>
              <w:rPr>
                <w:rFonts w:hint="eastAsia"/>
                <w:color w:val="000000"/>
                <w:vertAlign w:val="superscript"/>
              </w:rPr>
              <w:t>3</w:t>
            </w:r>
            <w:r>
              <w:rPr>
                <w:rFonts w:hint="eastAsia"/>
                <w:color w:val="000000"/>
              </w:rPr>
              <w:t>/s，现状为未衬砌土渠，老化严重，带病运行多年。沿渠人民的生产生活垃圾入渠较多，加之土渠易发生垮塌，春灌和汛期高水位时阻水严重，渠道负荷加重，输水安全性降低。全渠渗漏严重，多处易发生管涌，水利用系数低，多年来修修补补仍不能解决根本问题，灌区用水矛盾日益突出。</w:t>
            </w:r>
          </w:p>
          <w:p>
            <w:pPr>
              <w:pStyle w:val="138"/>
              <w:ind w:firstLine="0" w:firstLineChars="0"/>
              <w:jc w:val="center"/>
              <w:rPr>
                <w:color w:val="000000"/>
              </w:rPr>
            </w:pPr>
            <w:r>
              <w:rPr>
                <w:rFonts w:hint="eastAsia"/>
                <w:color w:val="000000"/>
              </w:rPr>
              <w:drawing>
                <wp:inline distT="0" distB="0" distL="114300" distR="114300">
                  <wp:extent cx="2339975" cy="2520950"/>
                  <wp:effectExtent l="0" t="0" r="3175" b="12700"/>
                  <wp:docPr id="340" name="图片 39" descr="新建文件夹IMG2022110713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9" descr="新建文件夹IMG20221107135640"/>
                          <pic:cNvPicPr>
                            <a:picLocks noChangeAspect="1"/>
                          </pic:cNvPicPr>
                        </pic:nvPicPr>
                        <pic:blipFill>
                          <a:blip r:embed="rId54"/>
                          <a:srcRect t="31219" b="20193"/>
                          <a:stretch>
                            <a:fillRect/>
                          </a:stretch>
                        </pic:blipFill>
                        <pic:spPr>
                          <a:xfrm>
                            <a:off x="0" y="0"/>
                            <a:ext cx="2339975" cy="2520950"/>
                          </a:xfrm>
                          <a:prstGeom prst="rect">
                            <a:avLst/>
                          </a:prstGeom>
                          <a:noFill/>
                          <a:ln>
                            <a:noFill/>
                          </a:ln>
                        </pic:spPr>
                      </pic:pic>
                    </a:graphicData>
                  </a:graphic>
                </wp:inline>
              </w:drawing>
            </w:r>
            <w:r>
              <w:rPr>
                <w:rFonts w:hint="eastAsia"/>
                <w:color w:val="000000"/>
              </w:rPr>
              <w:t xml:space="preserve"> </w:t>
            </w:r>
            <w:r>
              <w:rPr>
                <w:color w:val="000000"/>
              </w:rPr>
              <w:drawing>
                <wp:inline distT="0" distB="0" distL="114300" distR="114300">
                  <wp:extent cx="2339975" cy="2522855"/>
                  <wp:effectExtent l="0" t="0" r="3175" b="10795"/>
                  <wp:docPr id="339" name="图片 40" descr="新建文件夹IMG2022110715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0" descr="新建文件夹IMG20221107153103"/>
                          <pic:cNvPicPr>
                            <a:picLocks noChangeAspect="1"/>
                          </pic:cNvPicPr>
                        </pic:nvPicPr>
                        <pic:blipFill>
                          <a:blip r:embed="rId55"/>
                          <a:srcRect t="27742" b="23747"/>
                          <a:stretch>
                            <a:fillRect/>
                          </a:stretch>
                        </pic:blipFill>
                        <pic:spPr>
                          <a:xfrm>
                            <a:off x="0" y="0"/>
                            <a:ext cx="2339975" cy="2522855"/>
                          </a:xfrm>
                          <a:prstGeom prst="rect">
                            <a:avLst/>
                          </a:prstGeom>
                          <a:noFill/>
                          <a:ln>
                            <a:noFill/>
                          </a:ln>
                        </pic:spPr>
                      </pic:pic>
                    </a:graphicData>
                  </a:graphic>
                </wp:inline>
              </w:drawing>
            </w:r>
          </w:p>
          <w:p>
            <w:pPr>
              <w:pStyle w:val="138"/>
              <w:ind w:firstLine="0" w:firstLineChars="0"/>
              <w:jc w:val="center"/>
              <w:rPr>
                <w:b/>
                <w:bCs/>
                <w:color w:val="000000"/>
                <w:sz w:val="21"/>
                <w:szCs w:val="21"/>
              </w:rPr>
            </w:pPr>
            <w:r>
              <w:rPr>
                <w:rFonts w:hint="eastAsia"/>
                <w:b/>
                <w:bCs/>
                <w:color w:val="000000"/>
                <w:sz w:val="21"/>
                <w:szCs w:val="21"/>
              </w:rPr>
              <w:t>图3-1  右干渠14+802-16+605明渠整治段现状</w:t>
            </w:r>
          </w:p>
          <w:p>
            <w:pPr>
              <w:pStyle w:val="138"/>
              <w:ind w:firstLine="0" w:firstLineChars="0"/>
              <w:rPr>
                <w:rFonts w:hint="eastAsia"/>
                <w:b/>
                <w:bCs/>
                <w:color w:val="000000"/>
                <w:sz w:val="28"/>
                <w:szCs w:val="28"/>
              </w:rPr>
            </w:pPr>
            <w:r>
              <w:rPr>
                <w:rFonts w:hint="eastAsia"/>
                <w:b/>
                <w:bCs/>
                <w:color w:val="000000"/>
                <w:sz w:val="28"/>
                <w:szCs w:val="28"/>
              </w:rPr>
              <w:t>2、渠系建筑物现状</w:t>
            </w:r>
          </w:p>
          <w:p>
            <w:pPr>
              <w:widowControl/>
              <w:spacing w:line="360" w:lineRule="auto"/>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泄洪闸、节制闸、分水闸均为条石结构，因运行多年，闸门锈蚀，启闭不灵，漏水严重，启闭高度不够，不能发挥应有的功能。</w:t>
            </w:r>
          </w:p>
          <w:p>
            <w:pPr>
              <w:pStyle w:val="2"/>
              <w:outlineLvl w:val="1"/>
              <w:rPr>
                <w:rFonts w:hint="eastAsia"/>
              </w:rPr>
            </w:pPr>
            <w:r>
              <w:rPr>
                <w:rFonts w:hint="eastAsia" w:ascii="宋体" w:hAnsi="宋体" w:cs="宋体"/>
                <w:color w:val="000000"/>
                <w:kern w:val="0"/>
                <w:lang w:bidi="ar"/>
              </w:rPr>
              <w:drawing>
                <wp:inline distT="0" distB="0" distL="114300" distR="114300">
                  <wp:extent cx="4679950" cy="2105025"/>
                  <wp:effectExtent l="0" t="0" r="6350" b="9525"/>
                  <wp:docPr id="338" name="图片 41" descr="新建文件夹IMG2022110715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1" descr="新建文件夹IMG20221107150928"/>
                          <pic:cNvPicPr>
                            <a:picLocks noChangeAspect="1"/>
                          </pic:cNvPicPr>
                        </pic:nvPicPr>
                        <pic:blipFill>
                          <a:blip r:embed="rId56"/>
                          <a:stretch>
                            <a:fillRect/>
                          </a:stretch>
                        </pic:blipFill>
                        <pic:spPr>
                          <a:xfrm>
                            <a:off x="0" y="0"/>
                            <a:ext cx="4679950" cy="2105025"/>
                          </a:xfrm>
                          <a:prstGeom prst="rect">
                            <a:avLst/>
                          </a:prstGeom>
                          <a:noFill/>
                          <a:ln>
                            <a:noFill/>
                          </a:ln>
                        </pic:spPr>
                      </pic:pic>
                    </a:graphicData>
                  </a:graphic>
                </wp:inline>
              </w:drawing>
            </w:r>
          </w:p>
          <w:p>
            <w:pPr>
              <w:widowControl/>
              <w:spacing w:line="360" w:lineRule="auto"/>
              <w:jc w:val="center"/>
              <w:rPr>
                <w:rFonts w:hint="eastAsia" w:ascii="宋体" w:hAnsi="宋体" w:cs="宋体"/>
                <w:color w:val="000000"/>
                <w:kern w:val="0"/>
                <w:sz w:val="24"/>
                <w:lang w:bidi="ar"/>
              </w:rPr>
            </w:pPr>
            <w:r>
              <w:rPr>
                <w:rFonts w:hint="eastAsia"/>
                <w:b/>
                <w:bCs/>
                <w:color w:val="000000"/>
                <w:szCs w:val="21"/>
              </w:rPr>
              <w:t>图3-2  渠系建筑物现状</w:t>
            </w:r>
          </w:p>
          <w:p>
            <w:pPr>
              <w:widowControl/>
              <w:spacing w:line="360" w:lineRule="auto"/>
              <w:ind w:firstLine="480" w:firstLineChars="200"/>
              <w:jc w:val="left"/>
              <w:rPr>
                <w:rFonts w:hint="eastAsia"/>
                <w:b/>
                <w:color w:val="000000"/>
                <w:szCs w:val="21"/>
              </w:rPr>
            </w:pPr>
            <w:r>
              <w:rPr>
                <w:rFonts w:hint="eastAsia" w:ascii="宋体" w:hAnsi="宋体" w:cs="宋体"/>
                <w:color w:val="000000"/>
                <w:kern w:val="0"/>
                <w:sz w:val="24"/>
                <w:lang w:bidi="ar"/>
              </w:rPr>
              <w:t>本项目青白渠属于新建渠道管线工程，经过优化后的渠道管线不占用基本农田，本项目不涉及水源工程，不改变原有干渠的取水工程，本项目根据现场踏勘，新建渠道管线和右干渠渠道整治所在区域主要由河流生态系统、乡村生态系统组成，无原有环境污染和生态破坏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39" w:hRule="atLeast"/>
          <w:jc w:val="center"/>
        </w:trPr>
        <w:tc>
          <w:tcPr>
            <w:tcW w:w="468" w:type="pct"/>
            <w:noWrap w:val="0"/>
            <w:vAlign w:val="center"/>
          </w:tcPr>
          <w:p>
            <w:pPr>
              <w:adjustRightInd w:val="0"/>
              <w:snapToGrid w:val="0"/>
              <w:jc w:val="center"/>
              <w:rPr>
                <w:rFonts w:ascii="宋体" w:hAnsi="宋体" w:cs="宋体"/>
                <w:color w:val="000000"/>
                <w:kern w:val="0"/>
                <w:szCs w:val="21"/>
              </w:rPr>
            </w:pPr>
            <w:r>
              <w:rPr>
                <w:rFonts w:hint="eastAsia" w:ascii="宋体" w:hAnsi="宋体" w:cs="宋体"/>
                <w:color w:val="000000"/>
                <w:kern w:val="0"/>
                <w:sz w:val="24"/>
              </w:rPr>
              <w:t>生态环境保护目标</w:t>
            </w:r>
          </w:p>
        </w:tc>
        <w:tc>
          <w:tcPr>
            <w:tcW w:w="4531" w:type="pct"/>
            <w:noWrap w:val="0"/>
            <w:vAlign w:val="center"/>
          </w:tcPr>
          <w:p>
            <w:pPr>
              <w:widowControl/>
              <w:spacing w:line="360" w:lineRule="auto"/>
              <w:ind w:firstLine="480" w:firstLineChars="200"/>
              <w:jc w:val="left"/>
              <w:rPr>
                <w:rFonts w:hint="eastAsia"/>
                <w:b/>
                <w:color w:val="000000"/>
              </w:rPr>
            </w:pPr>
            <w:r>
              <w:rPr>
                <w:rFonts w:hint="eastAsia" w:ascii="宋体" w:hAnsi="宋体" w:cs="宋体"/>
                <w:color w:val="000000"/>
                <w:kern w:val="0"/>
                <w:sz w:val="24"/>
                <w:lang w:bidi="ar"/>
              </w:rPr>
              <w:t>根据本项目所在地的实地踏勘，在周边内没有名胜古迹等重要环境敏感点。项目的主要环境保护目标，是保护好项目所在地附近周围评价区域环境质量。</w:t>
            </w:r>
          </w:p>
          <w:p>
            <w:pPr>
              <w:pStyle w:val="138"/>
              <w:ind w:firstLine="482"/>
              <w:rPr>
                <w:rFonts w:hint="eastAsia"/>
                <w:b/>
                <w:color w:val="000000"/>
              </w:rPr>
            </w:pPr>
            <w:r>
              <w:rPr>
                <w:rFonts w:hint="eastAsia"/>
                <w:b/>
                <w:color w:val="000000"/>
              </w:rPr>
              <w:t>1、大气环境保护目标</w:t>
            </w:r>
          </w:p>
          <w:p>
            <w:pPr>
              <w:pStyle w:val="138"/>
              <w:rPr>
                <w:rFonts w:hint="eastAsia"/>
                <w:bCs/>
                <w:color w:val="000000"/>
              </w:rPr>
            </w:pPr>
            <w:r>
              <w:rPr>
                <w:rFonts w:hint="eastAsia"/>
                <w:bCs/>
                <w:color w:val="000000"/>
              </w:rPr>
              <w:t>保护建设项目周围大气环境质量符合环境功能区的要求；环境空气质量符合《环境空气质量标准》（GB3095-2012）二级标准。</w:t>
            </w:r>
          </w:p>
          <w:p>
            <w:pPr>
              <w:pStyle w:val="138"/>
              <w:ind w:firstLine="482"/>
              <w:rPr>
                <w:rFonts w:hint="eastAsia"/>
                <w:b/>
                <w:color w:val="000000"/>
              </w:rPr>
            </w:pPr>
            <w:r>
              <w:rPr>
                <w:rFonts w:hint="eastAsia"/>
                <w:b/>
                <w:color w:val="000000"/>
              </w:rPr>
              <w:t>2、水环境保护目标</w:t>
            </w:r>
          </w:p>
          <w:p>
            <w:pPr>
              <w:pStyle w:val="138"/>
              <w:rPr>
                <w:rFonts w:hint="eastAsia"/>
                <w:bCs/>
                <w:color w:val="000000"/>
              </w:rPr>
            </w:pPr>
            <w:r>
              <w:rPr>
                <w:rFonts w:hint="eastAsia"/>
                <w:bCs/>
                <w:color w:val="000000"/>
              </w:rPr>
              <w:t>保护项目所在地周围水体环境质量不因项目的运营使周边水体的水质产生明显影响。本项目位于新建青白渠来水于市中区高中水库，退水于磨池河，高中水库水质指标达到《地表水环境质量标准》（GB3838-2002）中Ⅲ类标准，磨池河水质指标达到《地表水环境质量标准》（GB3838-2002）中Ⅳ类标准。</w:t>
            </w:r>
          </w:p>
          <w:p>
            <w:pPr>
              <w:pStyle w:val="138"/>
              <w:ind w:firstLine="482"/>
              <w:rPr>
                <w:rFonts w:hint="eastAsia"/>
                <w:b/>
                <w:color w:val="000000"/>
              </w:rPr>
            </w:pPr>
            <w:r>
              <w:rPr>
                <w:rFonts w:hint="eastAsia"/>
                <w:b/>
                <w:color w:val="000000"/>
              </w:rPr>
              <w:t>3、声环境保护目标</w:t>
            </w:r>
          </w:p>
          <w:p>
            <w:pPr>
              <w:pStyle w:val="138"/>
              <w:rPr>
                <w:bCs/>
                <w:color w:val="000000"/>
              </w:rPr>
            </w:pPr>
            <w:r>
              <w:rPr>
                <w:bCs/>
                <w:color w:val="000000"/>
              </w:rPr>
              <w:t>保护项目附近区域的声环境符合功能区的要求，保护本项目四周环境不受本项目营运引起的噪声影响，声环境符合《声环境质量标准》（GB3096-2008）2类标准。</w:t>
            </w:r>
          </w:p>
          <w:p>
            <w:pPr>
              <w:pStyle w:val="138"/>
              <w:ind w:firstLine="482"/>
              <w:rPr>
                <w:b/>
                <w:color w:val="000000"/>
              </w:rPr>
            </w:pPr>
            <w:r>
              <w:rPr>
                <w:rFonts w:hint="eastAsia"/>
                <w:b/>
                <w:color w:val="000000"/>
              </w:rPr>
              <w:t>4、永久基本农田保护目标</w:t>
            </w:r>
          </w:p>
          <w:p>
            <w:pPr>
              <w:pStyle w:val="138"/>
              <w:rPr>
                <w:bCs/>
                <w:color w:val="000000"/>
              </w:rPr>
            </w:pPr>
            <w:r>
              <w:rPr>
                <w:rFonts w:hint="eastAsia"/>
                <w:bCs/>
                <w:color w:val="000000"/>
              </w:rPr>
              <w:t>本项目工程区域不占用永久基本农田，占地性质以耕地、林地为主，施工结束后可以恢复原有的生态功能和种植功能，预防水土流失和植被被践踏。</w:t>
            </w:r>
          </w:p>
          <w:p>
            <w:pPr>
              <w:pStyle w:val="138"/>
              <w:ind w:firstLine="482"/>
              <w:rPr>
                <w:b/>
                <w:color w:val="000000"/>
              </w:rPr>
            </w:pPr>
            <w:r>
              <w:rPr>
                <w:rFonts w:hint="eastAsia"/>
                <w:b/>
                <w:color w:val="000000"/>
              </w:rPr>
              <w:t>5、主要环境敏感点</w:t>
            </w:r>
          </w:p>
          <w:p>
            <w:pPr>
              <w:pStyle w:val="138"/>
              <w:rPr>
                <w:rFonts w:hint="eastAsia"/>
                <w:bCs/>
                <w:color w:val="000000"/>
                <w:lang w:bidi="ar"/>
              </w:rPr>
            </w:pPr>
            <w:r>
              <w:rPr>
                <w:rFonts w:hint="eastAsia"/>
                <w:bCs/>
                <w:color w:val="000000"/>
                <w:lang w:bidi="ar"/>
              </w:rPr>
              <w:t>本项目施工工区地点未具体确定，为防止施工工区对周围环境发生影响，本次评价要求施工工区（临时拌和点）设置不涉及生态保护红线、不涉及自然保护区、不涉及风景名胜区、不涉及基本农田等环境敏感区域，要尽量选在居民点等环境敏感点下风向100m以外，并配套洒水降尘设施；所有出场运输车辆必须全覆盖，确保上路无“抛、洒、滴、漏”现象，定期洒水和清扫地面，合理安排施工时间，夜间和午休时间禁止施工，施工完成后应进行迹地恢复，立即植树绿化。</w:t>
            </w:r>
          </w:p>
          <w:p>
            <w:pPr>
              <w:pStyle w:val="138"/>
              <w:rPr>
                <w:bCs/>
                <w:color w:val="000000"/>
              </w:rPr>
            </w:pPr>
            <w:r>
              <w:rPr>
                <w:bCs/>
                <w:color w:val="000000"/>
              </w:rPr>
              <w:t>项目</w:t>
            </w:r>
            <w:r>
              <w:rPr>
                <w:rFonts w:hint="eastAsia"/>
                <w:bCs/>
                <w:color w:val="000000"/>
              </w:rPr>
              <w:t>管线</w:t>
            </w:r>
            <w:r>
              <w:rPr>
                <w:bCs/>
                <w:color w:val="000000"/>
              </w:rPr>
              <w:t>周边环境保护目标详见下表</w:t>
            </w:r>
            <w:r>
              <w:rPr>
                <w:rFonts w:hint="eastAsia"/>
                <w:bCs/>
                <w:color w:val="000000"/>
              </w:rPr>
              <w:t>3-</w:t>
            </w:r>
            <w:r>
              <w:rPr>
                <w:rFonts w:hint="eastAsia"/>
                <w:bCs/>
                <w:color w:val="000000"/>
                <w:lang w:val="en-US" w:eastAsia="zh-CN"/>
              </w:rPr>
              <w:t>13</w:t>
            </w:r>
            <w:r>
              <w:rPr>
                <w:rFonts w:hint="eastAsia"/>
                <w:bCs/>
                <w:color w:val="000000"/>
              </w:rPr>
              <w:t>。</w:t>
            </w:r>
          </w:p>
          <w:p>
            <w:pPr>
              <w:pStyle w:val="138"/>
              <w:spacing w:line="240" w:lineRule="auto"/>
              <w:ind w:firstLine="422"/>
              <w:jc w:val="center"/>
              <w:rPr>
                <w:b/>
                <w:color w:val="000000"/>
                <w:sz w:val="21"/>
                <w:szCs w:val="21"/>
              </w:rPr>
            </w:pPr>
          </w:p>
          <w:p>
            <w:pPr>
              <w:pStyle w:val="138"/>
              <w:spacing w:line="240" w:lineRule="auto"/>
              <w:ind w:firstLine="422"/>
              <w:jc w:val="center"/>
              <w:rPr>
                <w:b/>
                <w:color w:val="000000"/>
                <w:sz w:val="21"/>
                <w:szCs w:val="21"/>
              </w:rPr>
            </w:pPr>
            <w:r>
              <w:rPr>
                <w:b/>
                <w:color w:val="000000"/>
                <w:sz w:val="21"/>
                <w:szCs w:val="21"/>
              </w:rPr>
              <w:t>表</w:t>
            </w:r>
            <w:r>
              <w:rPr>
                <w:rFonts w:hint="eastAsia"/>
                <w:b/>
                <w:color w:val="000000"/>
                <w:sz w:val="21"/>
                <w:szCs w:val="21"/>
              </w:rPr>
              <w:t>3-</w:t>
            </w:r>
            <w:r>
              <w:rPr>
                <w:rFonts w:hint="eastAsia"/>
                <w:b/>
                <w:color w:val="000000"/>
                <w:sz w:val="21"/>
                <w:szCs w:val="21"/>
                <w:lang w:val="en-US" w:eastAsia="zh-CN"/>
              </w:rPr>
              <w:t>13</w:t>
            </w:r>
            <w:r>
              <w:rPr>
                <w:rFonts w:hint="eastAsia"/>
                <w:b/>
                <w:color w:val="000000"/>
                <w:sz w:val="21"/>
                <w:szCs w:val="21"/>
              </w:rPr>
              <w:t xml:space="preserve">  本项目环境保护目标</w:t>
            </w:r>
          </w:p>
          <w:tbl>
            <w:tblPr>
              <w:tblStyle w:val="39"/>
              <w:tblW w:w="75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693"/>
              <w:gridCol w:w="1050"/>
              <w:gridCol w:w="1294"/>
              <w:gridCol w:w="1106"/>
              <w:gridCol w:w="1107"/>
              <w:gridCol w:w="1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688" w:type="dxa"/>
                  <w:noWrap w:val="0"/>
                  <w:vAlign w:val="center"/>
                </w:tcPr>
                <w:p>
                  <w:pPr>
                    <w:pStyle w:val="138"/>
                    <w:spacing w:line="240" w:lineRule="auto"/>
                    <w:ind w:firstLine="0" w:firstLineChars="0"/>
                    <w:jc w:val="center"/>
                    <w:rPr>
                      <w:rFonts w:ascii="Times New Roman" w:hAnsi="Times New Roman"/>
                      <w:b/>
                      <w:color w:val="000000"/>
                      <w:sz w:val="21"/>
                      <w:szCs w:val="21"/>
                    </w:rPr>
                  </w:pPr>
                  <w:r>
                    <w:rPr>
                      <w:rFonts w:hint="eastAsia" w:ascii="Times New Roman" w:hAnsi="Times New Roman"/>
                      <w:b/>
                      <w:color w:val="000000"/>
                      <w:sz w:val="21"/>
                      <w:szCs w:val="21"/>
                    </w:rPr>
                    <w:t>名称</w:t>
                  </w:r>
                </w:p>
              </w:tc>
              <w:tc>
                <w:tcPr>
                  <w:tcW w:w="1743" w:type="dxa"/>
                  <w:gridSpan w:val="2"/>
                  <w:noWrap w:val="0"/>
                  <w:vAlign w:val="center"/>
                </w:tcPr>
                <w:p>
                  <w:pPr>
                    <w:pStyle w:val="138"/>
                    <w:spacing w:line="240" w:lineRule="auto"/>
                    <w:ind w:firstLine="0" w:firstLineChars="0"/>
                    <w:jc w:val="center"/>
                    <w:rPr>
                      <w:rFonts w:ascii="Times New Roman" w:hAnsi="Times New Roman"/>
                      <w:b/>
                      <w:color w:val="000000"/>
                      <w:sz w:val="21"/>
                      <w:szCs w:val="21"/>
                    </w:rPr>
                  </w:pPr>
                  <w:r>
                    <w:rPr>
                      <w:rFonts w:ascii="Times New Roman" w:hAnsi="Times New Roman"/>
                      <w:b/>
                      <w:color w:val="000000"/>
                      <w:sz w:val="21"/>
                      <w:szCs w:val="21"/>
                    </w:rPr>
                    <w:t>保护目标</w:t>
                  </w:r>
                </w:p>
              </w:tc>
              <w:tc>
                <w:tcPr>
                  <w:tcW w:w="1294" w:type="dxa"/>
                  <w:noWrap w:val="0"/>
                  <w:vAlign w:val="center"/>
                </w:tcPr>
                <w:p>
                  <w:pPr>
                    <w:pStyle w:val="138"/>
                    <w:spacing w:line="240" w:lineRule="auto"/>
                    <w:ind w:firstLine="0" w:firstLineChars="0"/>
                    <w:jc w:val="center"/>
                    <w:rPr>
                      <w:rFonts w:ascii="Times New Roman" w:hAnsi="Times New Roman"/>
                      <w:b/>
                      <w:color w:val="000000"/>
                      <w:sz w:val="21"/>
                      <w:szCs w:val="21"/>
                    </w:rPr>
                  </w:pPr>
                  <w:r>
                    <w:rPr>
                      <w:rFonts w:ascii="Times New Roman" w:hAnsi="Times New Roman"/>
                      <w:b/>
                      <w:color w:val="000000"/>
                      <w:sz w:val="21"/>
                      <w:szCs w:val="21"/>
                    </w:rPr>
                    <w:t>规模</w:t>
                  </w:r>
                </w:p>
              </w:tc>
              <w:tc>
                <w:tcPr>
                  <w:tcW w:w="1106" w:type="dxa"/>
                  <w:noWrap w:val="0"/>
                  <w:vAlign w:val="center"/>
                </w:tcPr>
                <w:p>
                  <w:pPr>
                    <w:pStyle w:val="138"/>
                    <w:spacing w:line="240" w:lineRule="auto"/>
                    <w:ind w:firstLine="0" w:firstLineChars="0"/>
                    <w:jc w:val="center"/>
                    <w:rPr>
                      <w:rFonts w:ascii="Times New Roman" w:hAnsi="Times New Roman"/>
                      <w:b/>
                      <w:color w:val="000000"/>
                      <w:sz w:val="21"/>
                      <w:szCs w:val="21"/>
                    </w:rPr>
                  </w:pPr>
                  <w:r>
                    <w:rPr>
                      <w:rFonts w:ascii="Times New Roman" w:hAnsi="Times New Roman"/>
                      <w:b/>
                      <w:color w:val="000000"/>
                      <w:sz w:val="21"/>
                      <w:szCs w:val="21"/>
                    </w:rPr>
                    <w:t>方位</w:t>
                  </w:r>
                </w:p>
              </w:tc>
              <w:tc>
                <w:tcPr>
                  <w:tcW w:w="1107" w:type="dxa"/>
                  <w:noWrap w:val="0"/>
                  <w:vAlign w:val="center"/>
                </w:tcPr>
                <w:p>
                  <w:pPr>
                    <w:pStyle w:val="138"/>
                    <w:spacing w:line="240" w:lineRule="auto"/>
                    <w:ind w:firstLine="0" w:firstLineChars="0"/>
                    <w:jc w:val="center"/>
                    <w:rPr>
                      <w:rFonts w:ascii="Times New Roman" w:hAnsi="Times New Roman"/>
                      <w:b/>
                      <w:color w:val="000000"/>
                      <w:sz w:val="21"/>
                      <w:szCs w:val="21"/>
                    </w:rPr>
                  </w:pPr>
                  <w:r>
                    <w:rPr>
                      <w:rFonts w:hint="eastAsia" w:ascii="Times New Roman" w:hAnsi="Times New Roman"/>
                      <w:b/>
                      <w:color w:val="000000"/>
                      <w:sz w:val="21"/>
                      <w:szCs w:val="21"/>
                    </w:rPr>
                    <w:t>与管线最近距离</w:t>
                  </w:r>
                  <w:r>
                    <w:rPr>
                      <w:rFonts w:ascii="Times New Roman" w:hAnsi="Times New Roman"/>
                      <w:b/>
                      <w:color w:val="000000"/>
                      <w:sz w:val="21"/>
                      <w:szCs w:val="21"/>
                    </w:rPr>
                    <w:t>/m</w:t>
                  </w:r>
                </w:p>
              </w:tc>
              <w:tc>
                <w:tcPr>
                  <w:tcW w:w="1598" w:type="dxa"/>
                  <w:noWrap w:val="0"/>
                  <w:vAlign w:val="center"/>
                </w:tcPr>
                <w:p>
                  <w:pPr>
                    <w:pStyle w:val="138"/>
                    <w:spacing w:line="240" w:lineRule="auto"/>
                    <w:ind w:firstLine="0" w:firstLineChars="0"/>
                    <w:jc w:val="center"/>
                    <w:rPr>
                      <w:rFonts w:ascii="Times New Roman" w:hAnsi="Times New Roman"/>
                      <w:b/>
                      <w:color w:val="000000"/>
                      <w:sz w:val="21"/>
                      <w:szCs w:val="21"/>
                    </w:rPr>
                  </w:pPr>
                  <w:r>
                    <w:rPr>
                      <w:rFonts w:ascii="Times New Roman" w:hAnsi="Times New Roman"/>
                      <w:b/>
                      <w:color w:val="000000"/>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8" w:type="dxa"/>
                  <w:vMerge w:val="restart"/>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大气环境、声环境</w:t>
                  </w:r>
                </w:p>
              </w:tc>
              <w:tc>
                <w:tcPr>
                  <w:tcW w:w="693" w:type="dxa"/>
                  <w:vMerge w:val="restart"/>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新建青白渠</w:t>
                  </w: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散住居民</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约6~8人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3m</w:t>
                  </w:r>
                </w:p>
              </w:tc>
              <w:tc>
                <w:tcPr>
                  <w:tcW w:w="1598" w:type="dxa"/>
                  <w:vMerge w:val="restart"/>
                  <w:noWrap w:val="0"/>
                  <w:vAlign w:val="center"/>
                </w:tcPr>
                <w:p>
                  <w:pPr>
                    <w:pStyle w:val="138"/>
                    <w:spacing w:line="240" w:lineRule="auto"/>
                    <w:ind w:firstLine="0" w:firstLineChars="0"/>
                    <w:jc w:val="center"/>
                    <w:rPr>
                      <w:rFonts w:ascii="Times New Roman" w:hAnsi="Times New Roman"/>
                      <w:bCs/>
                      <w:color w:val="000000"/>
                      <w:sz w:val="21"/>
                      <w:szCs w:val="21"/>
                    </w:rPr>
                  </w:pPr>
                  <w:r>
                    <w:rPr>
                      <w:rFonts w:ascii="Times New Roman" w:hAnsi="Times New Roman"/>
                      <w:bCs/>
                      <w:color w:val="000000"/>
                      <w:sz w:val="21"/>
                      <w:szCs w:val="21"/>
                    </w:rPr>
                    <w:t>《环境空气质量标准》（GB3095-2012）二级标准；《声环境质量标准》（GB3096-2008）2类标准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五雷山</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约50~60人</w:t>
                  </w:r>
                </w:p>
              </w:tc>
              <w:tc>
                <w:tcPr>
                  <w:tcW w:w="1106"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2m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高崖山</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约20~30人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1m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万胡村</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约10~15人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5m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高岩村</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约40~50人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2m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楼子村</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约60~70人</w:t>
                  </w:r>
                </w:p>
              </w:tc>
              <w:tc>
                <w:tcPr>
                  <w:tcW w:w="1106"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管线两侧</w:t>
                  </w:r>
                </w:p>
              </w:tc>
              <w:tc>
                <w:tcPr>
                  <w:tcW w:w="1107"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1m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渠道终点</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约10~15人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管线附近</w:t>
                  </w:r>
                </w:p>
              </w:tc>
              <w:tc>
                <w:tcPr>
                  <w:tcW w:w="1107" w:type="dxa"/>
                  <w:noWrap w:val="0"/>
                  <w:vAlign w:val="center"/>
                </w:tcPr>
                <w:p>
                  <w:pPr>
                    <w:jc w:val="center"/>
                    <w:rPr>
                      <w:rFonts w:ascii="Times New Roman" w:hAnsi="Times New Roman"/>
                      <w:bCs/>
                      <w:color w:val="000000"/>
                      <w:szCs w:val="21"/>
                    </w:rPr>
                  </w:pPr>
                  <w:r>
                    <w:rPr>
                      <w:rFonts w:hint="eastAsia" w:ascii="Times New Roman" w:hAnsi="Times New Roman"/>
                      <w:bCs/>
                      <w:color w:val="000000"/>
                      <w:szCs w:val="21"/>
                    </w:rPr>
                    <w:t>70m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restart"/>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右干渠明渠14+802-16+605整治段</w:t>
                  </w: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起点</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约6~10人</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渠道周围</w:t>
                  </w:r>
                </w:p>
              </w:tc>
              <w:tc>
                <w:tcPr>
                  <w:tcW w:w="1107" w:type="dxa"/>
                  <w:noWrap w:val="0"/>
                  <w:vAlign w:val="center"/>
                </w:tcPr>
                <w:p>
                  <w:pPr>
                    <w:jc w:val="center"/>
                    <w:rPr>
                      <w:rFonts w:ascii="Times New Roman" w:hAnsi="Times New Roman"/>
                      <w:bCs/>
                      <w:color w:val="000000"/>
                      <w:szCs w:val="21"/>
                    </w:rPr>
                  </w:pPr>
                  <w:r>
                    <w:rPr>
                      <w:rFonts w:hint="eastAsia" w:ascii="Times New Roman" w:hAnsi="Times New Roman"/>
                      <w:bCs/>
                      <w:color w:val="000000"/>
                      <w:szCs w:val="21"/>
                    </w:rPr>
                    <w:t>10m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散住居民</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约30~40人</w:t>
                  </w:r>
                </w:p>
              </w:tc>
              <w:tc>
                <w:tcPr>
                  <w:tcW w:w="1106"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渠道周围</w:t>
                  </w:r>
                </w:p>
              </w:tc>
              <w:tc>
                <w:tcPr>
                  <w:tcW w:w="1107" w:type="dxa"/>
                  <w:noWrap w:val="0"/>
                  <w:vAlign w:val="center"/>
                </w:tcPr>
                <w:p>
                  <w:pPr>
                    <w:jc w:val="center"/>
                    <w:rPr>
                      <w:rFonts w:ascii="Times New Roman" w:hAnsi="Times New Roman"/>
                      <w:bCs/>
                      <w:color w:val="000000"/>
                      <w:szCs w:val="21"/>
                    </w:rPr>
                  </w:pPr>
                  <w:r>
                    <w:rPr>
                      <w:rFonts w:hint="eastAsia" w:ascii="Times New Roman" w:hAnsi="Times New Roman"/>
                      <w:bCs/>
                      <w:color w:val="000000"/>
                      <w:szCs w:val="21"/>
                    </w:rPr>
                    <w:t>2m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693"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终点</w:t>
                  </w:r>
                </w:p>
              </w:tc>
              <w:tc>
                <w:tcPr>
                  <w:tcW w:w="1294"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约15~20人</w:t>
                  </w:r>
                </w:p>
              </w:tc>
              <w:tc>
                <w:tcPr>
                  <w:tcW w:w="1106"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渠道周围</w:t>
                  </w:r>
                </w:p>
              </w:tc>
              <w:tc>
                <w:tcPr>
                  <w:tcW w:w="1107" w:type="dxa"/>
                  <w:noWrap w:val="0"/>
                  <w:vAlign w:val="center"/>
                </w:tcPr>
                <w:p>
                  <w:pPr>
                    <w:jc w:val="center"/>
                    <w:rPr>
                      <w:rFonts w:ascii="Times New Roman" w:hAnsi="Times New Roman"/>
                      <w:bCs/>
                      <w:color w:val="000000"/>
                      <w:szCs w:val="21"/>
                    </w:rPr>
                  </w:pPr>
                  <w:r>
                    <w:rPr>
                      <w:rFonts w:hint="eastAsia" w:ascii="Times New Roman" w:hAnsi="Times New Roman"/>
                      <w:bCs/>
                      <w:color w:val="000000"/>
                      <w:szCs w:val="21"/>
                    </w:rPr>
                    <w:t>8m</w:t>
                  </w:r>
                </w:p>
              </w:tc>
              <w:tc>
                <w:tcPr>
                  <w:tcW w:w="1598" w:type="dxa"/>
                  <w:vMerge w:val="continue"/>
                  <w:noWrap w:val="0"/>
                  <w:vAlign w:val="center"/>
                </w:tcPr>
                <w:p>
                  <w:pPr>
                    <w:pStyle w:val="138"/>
                    <w:spacing w:line="240" w:lineRule="auto"/>
                    <w:ind w:firstLine="0" w:firstLineChars="0"/>
                    <w:jc w:val="center"/>
                    <w:rPr>
                      <w:rFonts w:ascii="Times New Roman" w:hAnsi="Times New Roman"/>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8" w:type="dxa"/>
                  <w:vMerge w:val="restart"/>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水环境</w:t>
                  </w:r>
                </w:p>
              </w:tc>
              <w:tc>
                <w:tcPr>
                  <w:tcW w:w="693"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磨池河</w:t>
                  </w: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w:t>
                  </w:r>
                </w:p>
              </w:tc>
              <w:tc>
                <w:tcPr>
                  <w:tcW w:w="1294"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w:t>
                  </w: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w:t>
                  </w:r>
                </w:p>
              </w:tc>
              <w:tc>
                <w:tcPr>
                  <w:tcW w:w="1107"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小河</w:t>
                  </w:r>
                </w:p>
              </w:tc>
              <w:tc>
                <w:tcPr>
                  <w:tcW w:w="1598" w:type="dxa"/>
                  <w:noWrap w:val="0"/>
                  <w:vAlign w:val="center"/>
                </w:tcPr>
                <w:p>
                  <w:pPr>
                    <w:pStyle w:val="138"/>
                    <w:spacing w:line="240" w:lineRule="auto"/>
                    <w:ind w:firstLine="0" w:firstLineChars="0"/>
                    <w:jc w:val="center"/>
                    <w:rPr>
                      <w:bCs/>
                      <w:color w:val="000000"/>
                      <w:szCs w:val="21"/>
                    </w:rPr>
                  </w:pPr>
                  <w:r>
                    <w:rPr>
                      <w:rFonts w:hint="eastAsia"/>
                      <w:bCs/>
                      <w:color w:val="000000"/>
                      <w:sz w:val="21"/>
                      <w:szCs w:val="21"/>
                    </w:rPr>
                    <w:t>《</w:t>
                  </w:r>
                  <w:r>
                    <w:rPr>
                      <w:bCs/>
                      <w:color w:val="000000"/>
                      <w:sz w:val="21"/>
                      <w:szCs w:val="21"/>
                    </w:rPr>
                    <w:t>地表水环境质量标准》（GB3838-2002）</w:t>
                  </w:r>
                  <w:r>
                    <w:rPr>
                      <w:rFonts w:hint="eastAsia"/>
                      <w:bCs/>
                      <w:color w:val="000000"/>
                      <w:sz w:val="21"/>
                      <w:szCs w:val="21"/>
                    </w:rPr>
                    <w:t>Ⅳ</w:t>
                  </w:r>
                  <w:r>
                    <w:rPr>
                      <w:bCs/>
                      <w:color w:val="000000"/>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8" w:type="dxa"/>
                  <w:vMerge w:val="continue"/>
                  <w:noWrap w:val="0"/>
                  <w:vAlign w:val="center"/>
                </w:tcPr>
                <w:p>
                  <w:pPr>
                    <w:pStyle w:val="138"/>
                    <w:spacing w:line="240" w:lineRule="auto"/>
                    <w:ind w:firstLine="0" w:firstLineChars="0"/>
                    <w:jc w:val="center"/>
                    <w:rPr>
                      <w:rFonts w:hint="eastAsia" w:ascii="Times New Roman" w:hAnsi="Times New Roman"/>
                      <w:bCs/>
                      <w:color w:val="000000"/>
                      <w:sz w:val="21"/>
                      <w:szCs w:val="21"/>
                    </w:rPr>
                  </w:pPr>
                </w:p>
              </w:tc>
              <w:tc>
                <w:tcPr>
                  <w:tcW w:w="693"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高中水库</w:t>
                  </w:r>
                </w:p>
              </w:tc>
              <w:tc>
                <w:tcPr>
                  <w:tcW w:w="1050"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p>
              </w:tc>
              <w:tc>
                <w:tcPr>
                  <w:tcW w:w="1294"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p>
              </w:tc>
              <w:tc>
                <w:tcPr>
                  <w:tcW w:w="1106"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p>
              </w:tc>
              <w:tc>
                <w:tcPr>
                  <w:tcW w:w="1107" w:type="dxa"/>
                  <w:noWrap w:val="0"/>
                  <w:vAlign w:val="center"/>
                </w:tcPr>
                <w:p>
                  <w:pPr>
                    <w:pStyle w:val="138"/>
                    <w:spacing w:line="240" w:lineRule="auto"/>
                    <w:ind w:firstLine="0" w:firstLineChars="0"/>
                    <w:jc w:val="center"/>
                    <w:rPr>
                      <w:rFonts w:hint="eastAsia" w:ascii="Times New Roman" w:hAnsi="Times New Roman"/>
                      <w:bCs/>
                      <w:color w:val="000000"/>
                      <w:sz w:val="21"/>
                      <w:szCs w:val="21"/>
                    </w:rPr>
                  </w:pPr>
                  <w:r>
                    <w:rPr>
                      <w:rFonts w:hint="eastAsia" w:ascii="Times New Roman" w:hAnsi="Times New Roman"/>
                      <w:bCs/>
                      <w:color w:val="000000"/>
                      <w:sz w:val="21"/>
                      <w:szCs w:val="21"/>
                    </w:rPr>
                    <w:t>水库</w:t>
                  </w:r>
                </w:p>
              </w:tc>
              <w:tc>
                <w:tcPr>
                  <w:tcW w:w="1598" w:type="dxa"/>
                  <w:noWrap w:val="0"/>
                  <w:vAlign w:val="center"/>
                </w:tcPr>
                <w:p>
                  <w:pPr>
                    <w:pStyle w:val="138"/>
                    <w:spacing w:line="240" w:lineRule="auto"/>
                    <w:ind w:firstLine="0" w:firstLineChars="0"/>
                    <w:jc w:val="center"/>
                    <w:rPr>
                      <w:rFonts w:hint="eastAsia"/>
                      <w:bCs/>
                      <w:color w:val="000000"/>
                      <w:sz w:val="21"/>
                      <w:szCs w:val="21"/>
                    </w:rPr>
                  </w:pPr>
                  <w:r>
                    <w:rPr>
                      <w:rFonts w:hint="eastAsia"/>
                      <w:bCs/>
                      <w:color w:val="000000"/>
                      <w:sz w:val="21"/>
                      <w:szCs w:val="21"/>
                    </w:rPr>
                    <w:t>《</w:t>
                  </w:r>
                  <w:r>
                    <w:rPr>
                      <w:bCs/>
                      <w:color w:val="000000"/>
                      <w:sz w:val="21"/>
                      <w:szCs w:val="21"/>
                    </w:rPr>
                    <w:t>地表水环境质量标准》（GB3838-2002）Ⅲ</w:t>
                  </w:r>
                  <w:r>
                    <w:rPr>
                      <w:bCs/>
                      <w:color w:val="000000"/>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8" w:type="dxa"/>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生态环境</w:t>
                  </w:r>
                </w:p>
              </w:tc>
              <w:tc>
                <w:tcPr>
                  <w:tcW w:w="6848" w:type="dxa"/>
                  <w:gridSpan w:val="6"/>
                  <w:noWrap w:val="0"/>
                  <w:vAlign w:val="center"/>
                </w:tcPr>
                <w:p>
                  <w:pPr>
                    <w:pStyle w:val="138"/>
                    <w:spacing w:line="240" w:lineRule="auto"/>
                    <w:ind w:firstLine="0" w:firstLineChars="0"/>
                    <w:jc w:val="center"/>
                    <w:rPr>
                      <w:rFonts w:ascii="Times New Roman" w:hAnsi="Times New Roman"/>
                      <w:bCs/>
                      <w:color w:val="000000"/>
                      <w:sz w:val="21"/>
                      <w:szCs w:val="21"/>
                    </w:rPr>
                  </w:pPr>
                  <w:r>
                    <w:rPr>
                      <w:rFonts w:hint="eastAsia" w:ascii="Times New Roman" w:hAnsi="Times New Roman"/>
                      <w:bCs/>
                      <w:color w:val="000000"/>
                      <w:sz w:val="21"/>
                      <w:szCs w:val="21"/>
                    </w:rPr>
                    <w:t>青白渠管线敷设、渠道整治</w:t>
                  </w:r>
                  <w:r>
                    <w:rPr>
                      <w:rFonts w:ascii="Times New Roman" w:hAnsi="Times New Roman"/>
                      <w:bCs/>
                      <w:color w:val="000000"/>
                      <w:sz w:val="21"/>
                      <w:szCs w:val="21"/>
                    </w:rPr>
                    <w:t>影响区域内的地表植被、农业生态，施工结束后进行生态恢复，保护区域自然、农业生态。</w:t>
                  </w:r>
                </w:p>
              </w:tc>
            </w:tr>
          </w:tbl>
          <w:p>
            <w:pPr>
              <w:pStyle w:val="138"/>
              <w:ind w:firstLine="0" w:firstLineChars="0"/>
              <w:rPr>
                <w:color w:val="00000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1" w:hRule="atLeast"/>
          <w:jc w:val="center"/>
        </w:trPr>
        <w:tc>
          <w:tcPr>
            <w:tcW w:w="468" w:type="pct"/>
            <w:noWrap w:val="0"/>
            <w:vAlign w:val="center"/>
          </w:tcPr>
          <w:p>
            <w:pPr>
              <w:adjustRightInd w:val="0"/>
              <w:snapToGrid w:val="0"/>
              <w:jc w:val="center"/>
              <w:rPr>
                <w:rFonts w:hint="eastAsia" w:ascii="宋体" w:hAnsi="宋体" w:cs="宋体"/>
                <w:color w:val="000000"/>
                <w:kern w:val="0"/>
                <w:sz w:val="24"/>
              </w:rPr>
            </w:pPr>
            <w:r>
              <w:rPr>
                <w:rFonts w:hint="eastAsia" w:ascii="宋体" w:hAnsi="宋体" w:cs="宋体"/>
                <w:color w:val="000000"/>
                <w:kern w:val="0"/>
                <w:sz w:val="24"/>
              </w:rPr>
              <w:t>评价</w:t>
            </w:r>
          </w:p>
          <w:p>
            <w:pPr>
              <w:adjustRightInd w:val="0"/>
              <w:snapToGrid w:val="0"/>
              <w:jc w:val="center"/>
              <w:rPr>
                <w:rFonts w:ascii="宋体" w:hAnsi="宋体" w:cs="宋体"/>
                <w:color w:val="000000"/>
                <w:kern w:val="0"/>
                <w:szCs w:val="21"/>
              </w:rPr>
            </w:pPr>
            <w:r>
              <w:rPr>
                <w:rFonts w:hint="eastAsia" w:ascii="宋体" w:hAnsi="宋体" w:cs="宋体"/>
                <w:color w:val="000000"/>
                <w:kern w:val="0"/>
                <w:sz w:val="24"/>
              </w:rPr>
              <w:t>标准</w:t>
            </w:r>
          </w:p>
        </w:tc>
        <w:tc>
          <w:tcPr>
            <w:tcW w:w="4531" w:type="pct"/>
            <w:noWrap w:val="0"/>
            <w:vAlign w:val="center"/>
          </w:tcPr>
          <w:p>
            <w:pPr>
              <w:spacing w:line="360" w:lineRule="auto"/>
              <w:rPr>
                <w:b/>
                <w:bCs/>
                <w:color w:val="000000"/>
                <w:sz w:val="24"/>
              </w:rPr>
            </w:pPr>
            <w:r>
              <w:rPr>
                <w:rFonts w:hint="eastAsia"/>
                <w:b/>
                <w:bCs/>
                <w:color w:val="000000"/>
                <w:sz w:val="24"/>
              </w:rPr>
              <w:t>一、环境质量标准</w:t>
            </w:r>
          </w:p>
          <w:p>
            <w:pPr>
              <w:spacing w:line="360" w:lineRule="auto"/>
              <w:ind w:firstLine="482" w:firstLineChars="200"/>
              <w:rPr>
                <w:rFonts w:hint="eastAsia"/>
                <w:b/>
                <w:bCs/>
                <w:color w:val="000000"/>
                <w:sz w:val="24"/>
              </w:rPr>
            </w:pPr>
            <w:r>
              <w:rPr>
                <w:rFonts w:hint="eastAsia"/>
                <w:b/>
                <w:bCs/>
                <w:color w:val="000000"/>
                <w:sz w:val="24"/>
              </w:rPr>
              <w:t>1、</w:t>
            </w:r>
            <w:r>
              <w:rPr>
                <w:b/>
                <w:bCs/>
                <w:color w:val="000000"/>
                <w:sz w:val="24"/>
              </w:rPr>
              <w:t>环境空气质量</w:t>
            </w:r>
            <w:r>
              <w:rPr>
                <w:rFonts w:hint="eastAsia"/>
                <w:b/>
                <w:bCs/>
                <w:color w:val="000000"/>
                <w:sz w:val="24"/>
              </w:rPr>
              <w:t>标准</w:t>
            </w:r>
          </w:p>
          <w:p>
            <w:pPr>
              <w:pStyle w:val="138"/>
              <w:rPr>
                <w:color w:val="000000"/>
              </w:rPr>
            </w:pPr>
            <w:r>
              <w:rPr>
                <w:rFonts w:hint="eastAsia"/>
                <w:color w:val="000000"/>
              </w:rPr>
              <w:t>大气环境基本污染物执行国家《环境空气质量标准》（GB3095-2012）中二级标准限值要求，标准限值如下：</w:t>
            </w:r>
          </w:p>
          <w:p>
            <w:pPr>
              <w:pStyle w:val="138"/>
              <w:spacing w:line="240" w:lineRule="auto"/>
              <w:ind w:firstLine="422"/>
              <w:jc w:val="center"/>
              <w:rPr>
                <w:rFonts w:hint="eastAsia"/>
                <w:b/>
                <w:color w:val="000000"/>
                <w:sz w:val="21"/>
                <w:szCs w:val="21"/>
              </w:rPr>
            </w:pPr>
            <w:r>
              <w:rPr>
                <w:rFonts w:hint="eastAsia"/>
                <w:b/>
                <w:color w:val="000000"/>
                <w:sz w:val="21"/>
                <w:szCs w:val="21"/>
              </w:rPr>
              <w:t>表3-1</w:t>
            </w:r>
            <w:r>
              <w:rPr>
                <w:rFonts w:hint="eastAsia"/>
                <w:b/>
                <w:color w:val="000000"/>
                <w:sz w:val="21"/>
                <w:szCs w:val="21"/>
                <w:lang w:val="en-US" w:eastAsia="zh-CN"/>
              </w:rPr>
              <w:t>4</w:t>
            </w:r>
            <w:r>
              <w:rPr>
                <w:rFonts w:hint="eastAsia"/>
                <w:b/>
                <w:color w:val="000000"/>
                <w:sz w:val="21"/>
                <w:szCs w:val="21"/>
              </w:rPr>
              <w:t xml:space="preserve">  大气环境质量标准限值     单位：µg/Nm</w:t>
            </w:r>
            <w:r>
              <w:rPr>
                <w:rFonts w:hint="eastAsia"/>
                <w:b/>
                <w:color w:val="000000"/>
                <w:sz w:val="21"/>
                <w:szCs w:val="21"/>
                <w:vertAlign w:val="superscript"/>
              </w:rPr>
              <w:t>3</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6"/>
              <w:gridCol w:w="804"/>
              <w:gridCol w:w="804"/>
              <w:gridCol w:w="808"/>
              <w:gridCol w:w="805"/>
              <w:gridCol w:w="808"/>
              <w:gridCol w:w="777"/>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1279" w:type="pct"/>
                  <w:noWrap w:val="0"/>
                  <w:vAlign w:val="center"/>
                </w:tcPr>
                <w:p>
                  <w:pPr>
                    <w:jc w:val="center"/>
                    <w:rPr>
                      <w:b/>
                      <w:color w:val="000000"/>
                      <w:szCs w:val="21"/>
                    </w:rPr>
                  </w:pPr>
                  <w:r>
                    <w:rPr>
                      <w:b/>
                      <w:color w:val="000000"/>
                      <w:szCs w:val="21"/>
                      <w:lang w:bidi="zh-CN"/>
                    </w:rPr>
                    <w:t>项目</w:t>
                  </w:r>
                </w:p>
              </w:tc>
              <w:tc>
                <w:tcPr>
                  <w:tcW w:w="536" w:type="pct"/>
                  <w:noWrap w:val="0"/>
                  <w:vAlign w:val="center"/>
                </w:tcPr>
                <w:p>
                  <w:pPr>
                    <w:jc w:val="center"/>
                    <w:rPr>
                      <w:b/>
                      <w:color w:val="000000"/>
                      <w:szCs w:val="21"/>
                    </w:rPr>
                  </w:pPr>
                  <w:r>
                    <w:rPr>
                      <w:b/>
                      <w:color w:val="000000"/>
                      <w:szCs w:val="21"/>
                    </w:rPr>
                    <w:t>SO</w:t>
                  </w:r>
                  <w:r>
                    <w:rPr>
                      <w:b/>
                      <w:color w:val="000000"/>
                      <w:szCs w:val="21"/>
                      <w:vertAlign w:val="subscript"/>
                    </w:rPr>
                    <w:t>2</w:t>
                  </w:r>
                </w:p>
              </w:tc>
              <w:tc>
                <w:tcPr>
                  <w:tcW w:w="536" w:type="pct"/>
                  <w:noWrap w:val="0"/>
                  <w:vAlign w:val="center"/>
                </w:tcPr>
                <w:p>
                  <w:pPr>
                    <w:jc w:val="center"/>
                    <w:rPr>
                      <w:b/>
                      <w:color w:val="000000"/>
                      <w:szCs w:val="21"/>
                    </w:rPr>
                  </w:pPr>
                  <w:r>
                    <w:rPr>
                      <w:b/>
                      <w:color w:val="000000"/>
                      <w:szCs w:val="21"/>
                    </w:rPr>
                    <w:t>NO</w:t>
                  </w:r>
                  <w:r>
                    <w:rPr>
                      <w:b/>
                      <w:color w:val="000000"/>
                      <w:szCs w:val="21"/>
                      <w:vertAlign w:val="subscript"/>
                    </w:rPr>
                    <w:t>2</w:t>
                  </w:r>
                </w:p>
              </w:tc>
              <w:tc>
                <w:tcPr>
                  <w:tcW w:w="539" w:type="pct"/>
                  <w:noWrap w:val="0"/>
                  <w:vAlign w:val="center"/>
                </w:tcPr>
                <w:p>
                  <w:pPr>
                    <w:jc w:val="center"/>
                    <w:rPr>
                      <w:b/>
                      <w:color w:val="000000"/>
                      <w:szCs w:val="21"/>
                    </w:rPr>
                  </w:pPr>
                  <w:r>
                    <w:rPr>
                      <w:rFonts w:hint="eastAsia"/>
                      <w:b/>
                      <w:color w:val="000000"/>
                      <w:szCs w:val="21"/>
                    </w:rPr>
                    <w:t>C</w:t>
                  </w:r>
                  <w:r>
                    <w:rPr>
                      <w:b/>
                      <w:color w:val="000000"/>
                      <w:szCs w:val="21"/>
                    </w:rPr>
                    <w:t>O</w:t>
                  </w:r>
                </w:p>
              </w:tc>
              <w:tc>
                <w:tcPr>
                  <w:tcW w:w="537" w:type="pct"/>
                  <w:noWrap w:val="0"/>
                  <w:vAlign w:val="center"/>
                </w:tcPr>
                <w:p>
                  <w:pPr>
                    <w:jc w:val="center"/>
                    <w:rPr>
                      <w:b/>
                      <w:color w:val="000000"/>
                      <w:szCs w:val="21"/>
                      <w:vertAlign w:val="subscript"/>
                    </w:rPr>
                  </w:pPr>
                  <w:r>
                    <w:rPr>
                      <w:rFonts w:hint="eastAsia"/>
                      <w:b/>
                      <w:color w:val="000000"/>
                      <w:szCs w:val="21"/>
                    </w:rPr>
                    <w:t>O</w:t>
                  </w:r>
                  <w:r>
                    <w:rPr>
                      <w:b/>
                      <w:color w:val="000000"/>
                      <w:szCs w:val="21"/>
                      <w:vertAlign w:val="subscript"/>
                    </w:rPr>
                    <w:t>3</w:t>
                  </w:r>
                </w:p>
              </w:tc>
              <w:tc>
                <w:tcPr>
                  <w:tcW w:w="539" w:type="pct"/>
                  <w:noWrap w:val="0"/>
                  <w:vAlign w:val="center"/>
                </w:tcPr>
                <w:p>
                  <w:pPr>
                    <w:jc w:val="center"/>
                    <w:rPr>
                      <w:b/>
                      <w:color w:val="000000"/>
                      <w:szCs w:val="21"/>
                      <w:vertAlign w:val="subscript"/>
                    </w:rPr>
                  </w:pPr>
                  <w:r>
                    <w:rPr>
                      <w:rFonts w:hint="eastAsia"/>
                      <w:b/>
                      <w:color w:val="000000"/>
                      <w:szCs w:val="21"/>
                    </w:rPr>
                    <w:t>PM</w:t>
                  </w:r>
                  <w:r>
                    <w:rPr>
                      <w:b/>
                      <w:color w:val="000000"/>
                      <w:szCs w:val="21"/>
                      <w:vertAlign w:val="subscript"/>
                    </w:rPr>
                    <w:t>10</w:t>
                  </w:r>
                </w:p>
              </w:tc>
              <w:tc>
                <w:tcPr>
                  <w:tcW w:w="518" w:type="pct"/>
                  <w:noWrap w:val="0"/>
                  <w:vAlign w:val="center"/>
                </w:tcPr>
                <w:p>
                  <w:pPr>
                    <w:jc w:val="center"/>
                    <w:rPr>
                      <w:b/>
                      <w:color w:val="000000"/>
                      <w:szCs w:val="21"/>
                    </w:rPr>
                  </w:pPr>
                  <w:r>
                    <w:rPr>
                      <w:rFonts w:hint="eastAsia"/>
                      <w:b/>
                      <w:color w:val="000000"/>
                      <w:szCs w:val="21"/>
                    </w:rPr>
                    <w:t>PM</w:t>
                  </w:r>
                  <w:r>
                    <w:rPr>
                      <w:rFonts w:hint="eastAsia"/>
                      <w:b/>
                      <w:color w:val="000000"/>
                      <w:szCs w:val="21"/>
                      <w:vertAlign w:val="subscript"/>
                    </w:rPr>
                    <w:t>2.5</w:t>
                  </w:r>
                </w:p>
              </w:tc>
              <w:tc>
                <w:tcPr>
                  <w:tcW w:w="517" w:type="pct"/>
                  <w:noWrap w:val="0"/>
                  <w:vAlign w:val="top"/>
                </w:tcPr>
                <w:p>
                  <w:pPr>
                    <w:jc w:val="center"/>
                    <w:rPr>
                      <w:rFonts w:hint="eastAsia"/>
                      <w:b/>
                      <w:color w:val="000000"/>
                      <w:szCs w:val="21"/>
                    </w:rPr>
                  </w:pPr>
                  <w:r>
                    <w:rPr>
                      <w:rFonts w:hint="eastAsia"/>
                      <w:b/>
                      <w:color w:val="000000"/>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79" w:type="pct"/>
                  <w:noWrap w:val="0"/>
                  <w:vAlign w:val="center"/>
                </w:tcPr>
                <w:p>
                  <w:pPr>
                    <w:jc w:val="center"/>
                    <w:rPr>
                      <w:color w:val="000000"/>
                      <w:szCs w:val="21"/>
                      <w:lang w:bidi="zh-CN"/>
                    </w:rPr>
                  </w:pPr>
                  <w:r>
                    <w:rPr>
                      <w:color w:val="000000"/>
                      <w:szCs w:val="21"/>
                    </w:rPr>
                    <w:t>1</w:t>
                  </w:r>
                  <w:r>
                    <w:rPr>
                      <w:color w:val="000000"/>
                      <w:szCs w:val="21"/>
                      <w:lang w:bidi="zh-CN"/>
                    </w:rPr>
                    <w:t>小时均值</w:t>
                  </w:r>
                </w:p>
              </w:tc>
              <w:tc>
                <w:tcPr>
                  <w:tcW w:w="536" w:type="pct"/>
                  <w:noWrap w:val="0"/>
                  <w:vAlign w:val="center"/>
                </w:tcPr>
                <w:p>
                  <w:pPr>
                    <w:jc w:val="center"/>
                    <w:rPr>
                      <w:color w:val="000000"/>
                      <w:szCs w:val="21"/>
                    </w:rPr>
                  </w:pPr>
                  <w:r>
                    <w:rPr>
                      <w:color w:val="000000"/>
                      <w:szCs w:val="21"/>
                    </w:rPr>
                    <w:t>500</w:t>
                  </w:r>
                </w:p>
              </w:tc>
              <w:tc>
                <w:tcPr>
                  <w:tcW w:w="536" w:type="pct"/>
                  <w:noWrap w:val="0"/>
                  <w:vAlign w:val="center"/>
                </w:tcPr>
                <w:p>
                  <w:pPr>
                    <w:jc w:val="center"/>
                    <w:rPr>
                      <w:color w:val="000000"/>
                      <w:szCs w:val="21"/>
                    </w:rPr>
                  </w:pPr>
                  <w:r>
                    <w:rPr>
                      <w:color w:val="000000"/>
                      <w:szCs w:val="21"/>
                    </w:rPr>
                    <w:t>200</w:t>
                  </w:r>
                </w:p>
              </w:tc>
              <w:tc>
                <w:tcPr>
                  <w:tcW w:w="539" w:type="pct"/>
                  <w:noWrap w:val="0"/>
                  <w:vAlign w:val="center"/>
                </w:tcPr>
                <w:p>
                  <w:pPr>
                    <w:jc w:val="center"/>
                    <w:rPr>
                      <w:color w:val="000000"/>
                      <w:szCs w:val="21"/>
                    </w:rPr>
                  </w:pPr>
                  <w:r>
                    <w:rPr>
                      <w:rFonts w:hint="eastAsia"/>
                      <w:color w:val="000000"/>
                      <w:szCs w:val="21"/>
                    </w:rPr>
                    <w:t>10</w:t>
                  </w:r>
                </w:p>
              </w:tc>
              <w:tc>
                <w:tcPr>
                  <w:tcW w:w="537" w:type="pct"/>
                  <w:noWrap w:val="0"/>
                  <w:vAlign w:val="center"/>
                </w:tcPr>
                <w:p>
                  <w:pPr>
                    <w:jc w:val="center"/>
                    <w:rPr>
                      <w:color w:val="000000"/>
                      <w:szCs w:val="21"/>
                    </w:rPr>
                  </w:pPr>
                  <w:r>
                    <w:rPr>
                      <w:rFonts w:hint="eastAsia"/>
                      <w:color w:val="000000"/>
                      <w:szCs w:val="21"/>
                    </w:rPr>
                    <w:t>200</w:t>
                  </w:r>
                </w:p>
              </w:tc>
              <w:tc>
                <w:tcPr>
                  <w:tcW w:w="539" w:type="pct"/>
                  <w:noWrap w:val="0"/>
                  <w:vAlign w:val="center"/>
                </w:tcPr>
                <w:p>
                  <w:pPr>
                    <w:jc w:val="center"/>
                    <w:rPr>
                      <w:color w:val="000000"/>
                      <w:szCs w:val="21"/>
                    </w:rPr>
                  </w:pPr>
                  <w:r>
                    <w:rPr>
                      <w:rFonts w:hint="eastAsia"/>
                      <w:color w:val="000000"/>
                      <w:szCs w:val="21"/>
                    </w:rPr>
                    <w:t>/</w:t>
                  </w:r>
                </w:p>
              </w:tc>
              <w:tc>
                <w:tcPr>
                  <w:tcW w:w="518" w:type="pct"/>
                  <w:noWrap w:val="0"/>
                  <w:vAlign w:val="center"/>
                </w:tcPr>
                <w:p>
                  <w:pPr>
                    <w:jc w:val="center"/>
                    <w:rPr>
                      <w:color w:val="000000"/>
                      <w:szCs w:val="21"/>
                    </w:rPr>
                  </w:pPr>
                  <w:r>
                    <w:rPr>
                      <w:rFonts w:hint="eastAsia"/>
                      <w:color w:val="000000"/>
                      <w:szCs w:val="21"/>
                    </w:rPr>
                    <w:t>/</w:t>
                  </w:r>
                </w:p>
              </w:tc>
              <w:tc>
                <w:tcPr>
                  <w:tcW w:w="517" w:type="pct"/>
                  <w:noWrap w:val="0"/>
                  <w:vAlign w:val="top"/>
                </w:tcPr>
                <w:p>
                  <w:pPr>
                    <w:jc w:val="center"/>
                    <w:rPr>
                      <w:rFonts w:hint="eastAsia"/>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79" w:type="pct"/>
                  <w:noWrap w:val="0"/>
                  <w:vAlign w:val="center"/>
                </w:tcPr>
                <w:p>
                  <w:pPr>
                    <w:jc w:val="center"/>
                    <w:rPr>
                      <w:color w:val="000000"/>
                      <w:szCs w:val="21"/>
                    </w:rPr>
                  </w:pPr>
                  <w:r>
                    <w:rPr>
                      <w:rFonts w:hint="eastAsia"/>
                      <w:color w:val="000000"/>
                      <w:szCs w:val="21"/>
                    </w:rPr>
                    <w:t>日最大8</w:t>
                  </w:r>
                  <w:r>
                    <w:rPr>
                      <w:color w:val="000000"/>
                      <w:szCs w:val="21"/>
                    </w:rPr>
                    <w:t>h</w:t>
                  </w:r>
                  <w:r>
                    <w:rPr>
                      <w:rFonts w:hint="eastAsia"/>
                      <w:color w:val="000000"/>
                      <w:szCs w:val="21"/>
                    </w:rPr>
                    <w:t>均值</w:t>
                  </w:r>
                </w:p>
              </w:tc>
              <w:tc>
                <w:tcPr>
                  <w:tcW w:w="536" w:type="pct"/>
                  <w:noWrap w:val="0"/>
                  <w:vAlign w:val="center"/>
                </w:tcPr>
                <w:p>
                  <w:pPr>
                    <w:jc w:val="center"/>
                    <w:rPr>
                      <w:color w:val="000000"/>
                      <w:szCs w:val="21"/>
                    </w:rPr>
                  </w:pPr>
                  <w:r>
                    <w:rPr>
                      <w:rFonts w:hint="eastAsia"/>
                      <w:color w:val="000000"/>
                      <w:szCs w:val="21"/>
                    </w:rPr>
                    <w:t>/</w:t>
                  </w:r>
                </w:p>
              </w:tc>
              <w:tc>
                <w:tcPr>
                  <w:tcW w:w="536" w:type="pct"/>
                  <w:noWrap w:val="0"/>
                  <w:vAlign w:val="center"/>
                </w:tcPr>
                <w:p>
                  <w:pPr>
                    <w:jc w:val="center"/>
                    <w:rPr>
                      <w:color w:val="000000"/>
                      <w:szCs w:val="21"/>
                    </w:rPr>
                  </w:pPr>
                  <w:r>
                    <w:rPr>
                      <w:rFonts w:hint="eastAsia"/>
                      <w:color w:val="000000"/>
                      <w:szCs w:val="21"/>
                    </w:rPr>
                    <w:t>/</w:t>
                  </w:r>
                </w:p>
              </w:tc>
              <w:tc>
                <w:tcPr>
                  <w:tcW w:w="539" w:type="pct"/>
                  <w:noWrap w:val="0"/>
                  <w:vAlign w:val="center"/>
                </w:tcPr>
                <w:p>
                  <w:pPr>
                    <w:jc w:val="center"/>
                    <w:rPr>
                      <w:color w:val="000000"/>
                      <w:szCs w:val="21"/>
                    </w:rPr>
                  </w:pPr>
                  <w:r>
                    <w:rPr>
                      <w:rFonts w:hint="eastAsia"/>
                      <w:color w:val="000000"/>
                      <w:szCs w:val="21"/>
                    </w:rPr>
                    <w:t>/</w:t>
                  </w:r>
                </w:p>
              </w:tc>
              <w:tc>
                <w:tcPr>
                  <w:tcW w:w="537" w:type="pct"/>
                  <w:noWrap w:val="0"/>
                  <w:vAlign w:val="center"/>
                </w:tcPr>
                <w:p>
                  <w:pPr>
                    <w:jc w:val="center"/>
                    <w:rPr>
                      <w:color w:val="000000"/>
                      <w:szCs w:val="21"/>
                    </w:rPr>
                  </w:pPr>
                  <w:r>
                    <w:rPr>
                      <w:rFonts w:hint="eastAsia"/>
                      <w:color w:val="000000"/>
                      <w:szCs w:val="21"/>
                    </w:rPr>
                    <w:t>1</w:t>
                  </w:r>
                  <w:r>
                    <w:rPr>
                      <w:color w:val="000000"/>
                      <w:szCs w:val="21"/>
                    </w:rPr>
                    <w:t>60</w:t>
                  </w:r>
                </w:p>
              </w:tc>
              <w:tc>
                <w:tcPr>
                  <w:tcW w:w="539" w:type="pct"/>
                  <w:noWrap w:val="0"/>
                  <w:vAlign w:val="center"/>
                </w:tcPr>
                <w:p>
                  <w:pPr>
                    <w:jc w:val="center"/>
                    <w:rPr>
                      <w:color w:val="000000"/>
                      <w:szCs w:val="21"/>
                    </w:rPr>
                  </w:pPr>
                  <w:r>
                    <w:rPr>
                      <w:rFonts w:hint="eastAsia"/>
                      <w:color w:val="000000"/>
                      <w:szCs w:val="21"/>
                    </w:rPr>
                    <w:t>/</w:t>
                  </w:r>
                </w:p>
              </w:tc>
              <w:tc>
                <w:tcPr>
                  <w:tcW w:w="518" w:type="pct"/>
                  <w:noWrap w:val="0"/>
                  <w:vAlign w:val="center"/>
                </w:tcPr>
                <w:p>
                  <w:pPr>
                    <w:jc w:val="center"/>
                    <w:rPr>
                      <w:color w:val="000000"/>
                      <w:szCs w:val="21"/>
                    </w:rPr>
                  </w:pPr>
                  <w:r>
                    <w:rPr>
                      <w:rFonts w:hint="eastAsia"/>
                      <w:color w:val="000000"/>
                      <w:szCs w:val="21"/>
                    </w:rPr>
                    <w:t>/</w:t>
                  </w:r>
                </w:p>
              </w:tc>
              <w:tc>
                <w:tcPr>
                  <w:tcW w:w="517" w:type="pct"/>
                  <w:noWrap w:val="0"/>
                  <w:vAlign w:val="top"/>
                </w:tcPr>
                <w:p>
                  <w:pPr>
                    <w:jc w:val="center"/>
                    <w:rPr>
                      <w:rFonts w:hint="eastAsia"/>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79" w:type="pct"/>
                  <w:noWrap w:val="0"/>
                  <w:vAlign w:val="center"/>
                </w:tcPr>
                <w:p>
                  <w:pPr>
                    <w:jc w:val="center"/>
                    <w:rPr>
                      <w:color w:val="000000"/>
                      <w:szCs w:val="21"/>
                    </w:rPr>
                  </w:pPr>
                  <w:r>
                    <w:rPr>
                      <w:color w:val="000000"/>
                      <w:szCs w:val="21"/>
                    </w:rPr>
                    <w:t>24小时</w:t>
                  </w:r>
                  <w:r>
                    <w:rPr>
                      <w:color w:val="000000"/>
                      <w:szCs w:val="21"/>
                      <w:lang w:bidi="zh-CN"/>
                    </w:rPr>
                    <w:t>均值</w:t>
                  </w:r>
                </w:p>
              </w:tc>
              <w:tc>
                <w:tcPr>
                  <w:tcW w:w="536" w:type="pct"/>
                  <w:noWrap w:val="0"/>
                  <w:vAlign w:val="center"/>
                </w:tcPr>
                <w:p>
                  <w:pPr>
                    <w:jc w:val="center"/>
                    <w:rPr>
                      <w:color w:val="000000"/>
                      <w:szCs w:val="21"/>
                    </w:rPr>
                  </w:pPr>
                  <w:r>
                    <w:rPr>
                      <w:color w:val="000000"/>
                      <w:szCs w:val="21"/>
                    </w:rPr>
                    <w:t>150</w:t>
                  </w:r>
                </w:p>
              </w:tc>
              <w:tc>
                <w:tcPr>
                  <w:tcW w:w="536" w:type="pct"/>
                  <w:noWrap w:val="0"/>
                  <w:vAlign w:val="center"/>
                </w:tcPr>
                <w:p>
                  <w:pPr>
                    <w:jc w:val="center"/>
                    <w:rPr>
                      <w:color w:val="000000"/>
                      <w:szCs w:val="21"/>
                    </w:rPr>
                  </w:pPr>
                  <w:r>
                    <w:rPr>
                      <w:color w:val="000000"/>
                      <w:szCs w:val="21"/>
                    </w:rPr>
                    <w:t>80</w:t>
                  </w:r>
                </w:p>
              </w:tc>
              <w:tc>
                <w:tcPr>
                  <w:tcW w:w="539" w:type="pct"/>
                  <w:noWrap w:val="0"/>
                  <w:vAlign w:val="center"/>
                </w:tcPr>
                <w:p>
                  <w:pPr>
                    <w:jc w:val="center"/>
                    <w:rPr>
                      <w:color w:val="000000"/>
                      <w:szCs w:val="21"/>
                    </w:rPr>
                  </w:pPr>
                  <w:r>
                    <w:rPr>
                      <w:rFonts w:hint="eastAsia"/>
                      <w:color w:val="000000"/>
                      <w:szCs w:val="21"/>
                    </w:rPr>
                    <w:t>4</w:t>
                  </w:r>
                </w:p>
              </w:tc>
              <w:tc>
                <w:tcPr>
                  <w:tcW w:w="537" w:type="pct"/>
                  <w:noWrap w:val="0"/>
                  <w:vAlign w:val="center"/>
                </w:tcPr>
                <w:p>
                  <w:pPr>
                    <w:jc w:val="center"/>
                    <w:rPr>
                      <w:color w:val="000000"/>
                      <w:szCs w:val="21"/>
                    </w:rPr>
                  </w:pPr>
                  <w:r>
                    <w:rPr>
                      <w:rFonts w:hint="eastAsia"/>
                      <w:color w:val="000000"/>
                      <w:szCs w:val="21"/>
                    </w:rPr>
                    <w:t>/</w:t>
                  </w:r>
                </w:p>
              </w:tc>
              <w:tc>
                <w:tcPr>
                  <w:tcW w:w="539" w:type="pct"/>
                  <w:noWrap w:val="0"/>
                  <w:vAlign w:val="center"/>
                </w:tcPr>
                <w:p>
                  <w:pPr>
                    <w:jc w:val="center"/>
                    <w:rPr>
                      <w:color w:val="000000"/>
                      <w:szCs w:val="21"/>
                    </w:rPr>
                  </w:pPr>
                  <w:r>
                    <w:rPr>
                      <w:rFonts w:hint="eastAsia"/>
                      <w:color w:val="000000"/>
                      <w:szCs w:val="21"/>
                    </w:rPr>
                    <w:t>150</w:t>
                  </w:r>
                </w:p>
              </w:tc>
              <w:tc>
                <w:tcPr>
                  <w:tcW w:w="518" w:type="pct"/>
                  <w:noWrap w:val="0"/>
                  <w:vAlign w:val="center"/>
                </w:tcPr>
                <w:p>
                  <w:pPr>
                    <w:jc w:val="center"/>
                    <w:rPr>
                      <w:color w:val="000000"/>
                      <w:szCs w:val="21"/>
                    </w:rPr>
                  </w:pPr>
                  <w:r>
                    <w:rPr>
                      <w:rFonts w:hint="eastAsia"/>
                      <w:color w:val="000000"/>
                      <w:szCs w:val="21"/>
                    </w:rPr>
                    <w:t>75</w:t>
                  </w:r>
                </w:p>
              </w:tc>
              <w:tc>
                <w:tcPr>
                  <w:tcW w:w="517" w:type="pct"/>
                  <w:noWrap w:val="0"/>
                  <w:vAlign w:val="top"/>
                </w:tcPr>
                <w:p>
                  <w:pPr>
                    <w:jc w:val="center"/>
                    <w:rPr>
                      <w:rFonts w:hint="eastAsia"/>
                      <w:color w:val="000000"/>
                      <w:szCs w:val="21"/>
                    </w:rPr>
                  </w:pPr>
                  <w:r>
                    <w:rPr>
                      <w:rFonts w:hint="eastAsia"/>
                      <w:color w:val="000000"/>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79" w:type="pct"/>
                  <w:noWrap w:val="0"/>
                  <w:vAlign w:val="center"/>
                </w:tcPr>
                <w:p>
                  <w:pPr>
                    <w:jc w:val="center"/>
                    <w:rPr>
                      <w:color w:val="000000"/>
                      <w:szCs w:val="21"/>
                    </w:rPr>
                  </w:pPr>
                  <w:r>
                    <w:rPr>
                      <w:rFonts w:hint="eastAsia"/>
                      <w:color w:val="000000"/>
                      <w:szCs w:val="21"/>
                    </w:rPr>
                    <w:t>年均值</w:t>
                  </w:r>
                </w:p>
              </w:tc>
              <w:tc>
                <w:tcPr>
                  <w:tcW w:w="536" w:type="pct"/>
                  <w:noWrap w:val="0"/>
                  <w:vAlign w:val="center"/>
                </w:tcPr>
                <w:p>
                  <w:pPr>
                    <w:jc w:val="center"/>
                    <w:rPr>
                      <w:color w:val="000000"/>
                      <w:szCs w:val="21"/>
                    </w:rPr>
                  </w:pPr>
                  <w:r>
                    <w:rPr>
                      <w:rFonts w:hint="eastAsia"/>
                      <w:color w:val="000000"/>
                      <w:szCs w:val="21"/>
                    </w:rPr>
                    <w:t>6</w:t>
                  </w:r>
                  <w:r>
                    <w:rPr>
                      <w:color w:val="000000"/>
                      <w:szCs w:val="21"/>
                    </w:rPr>
                    <w:t>0</w:t>
                  </w:r>
                </w:p>
              </w:tc>
              <w:tc>
                <w:tcPr>
                  <w:tcW w:w="536" w:type="pct"/>
                  <w:noWrap w:val="0"/>
                  <w:vAlign w:val="center"/>
                </w:tcPr>
                <w:p>
                  <w:pPr>
                    <w:jc w:val="center"/>
                    <w:rPr>
                      <w:color w:val="000000"/>
                      <w:szCs w:val="21"/>
                    </w:rPr>
                  </w:pPr>
                  <w:r>
                    <w:rPr>
                      <w:rFonts w:hint="eastAsia"/>
                      <w:color w:val="000000"/>
                      <w:szCs w:val="21"/>
                    </w:rPr>
                    <w:t>4</w:t>
                  </w:r>
                  <w:r>
                    <w:rPr>
                      <w:color w:val="000000"/>
                      <w:szCs w:val="21"/>
                    </w:rPr>
                    <w:t>0</w:t>
                  </w:r>
                </w:p>
              </w:tc>
              <w:tc>
                <w:tcPr>
                  <w:tcW w:w="539" w:type="pct"/>
                  <w:noWrap w:val="0"/>
                  <w:vAlign w:val="center"/>
                </w:tcPr>
                <w:p>
                  <w:pPr>
                    <w:jc w:val="center"/>
                    <w:rPr>
                      <w:color w:val="000000"/>
                      <w:szCs w:val="21"/>
                    </w:rPr>
                  </w:pPr>
                  <w:r>
                    <w:rPr>
                      <w:rFonts w:hint="eastAsia"/>
                      <w:color w:val="000000"/>
                      <w:szCs w:val="21"/>
                    </w:rPr>
                    <w:t>/</w:t>
                  </w:r>
                </w:p>
              </w:tc>
              <w:tc>
                <w:tcPr>
                  <w:tcW w:w="537" w:type="pct"/>
                  <w:noWrap w:val="0"/>
                  <w:vAlign w:val="center"/>
                </w:tcPr>
                <w:p>
                  <w:pPr>
                    <w:jc w:val="center"/>
                    <w:rPr>
                      <w:color w:val="000000"/>
                      <w:szCs w:val="21"/>
                    </w:rPr>
                  </w:pPr>
                  <w:r>
                    <w:rPr>
                      <w:rFonts w:hint="eastAsia"/>
                      <w:color w:val="000000"/>
                      <w:szCs w:val="21"/>
                    </w:rPr>
                    <w:t>/</w:t>
                  </w:r>
                </w:p>
              </w:tc>
              <w:tc>
                <w:tcPr>
                  <w:tcW w:w="539" w:type="pct"/>
                  <w:noWrap w:val="0"/>
                  <w:vAlign w:val="center"/>
                </w:tcPr>
                <w:p>
                  <w:pPr>
                    <w:jc w:val="center"/>
                    <w:rPr>
                      <w:color w:val="000000"/>
                      <w:szCs w:val="21"/>
                    </w:rPr>
                  </w:pPr>
                  <w:r>
                    <w:rPr>
                      <w:rFonts w:hint="eastAsia"/>
                      <w:color w:val="000000"/>
                      <w:szCs w:val="21"/>
                    </w:rPr>
                    <w:t>7</w:t>
                  </w:r>
                  <w:r>
                    <w:rPr>
                      <w:color w:val="000000"/>
                      <w:szCs w:val="21"/>
                    </w:rPr>
                    <w:t>0</w:t>
                  </w:r>
                </w:p>
              </w:tc>
              <w:tc>
                <w:tcPr>
                  <w:tcW w:w="518" w:type="pct"/>
                  <w:noWrap w:val="0"/>
                  <w:vAlign w:val="center"/>
                </w:tcPr>
                <w:p>
                  <w:pPr>
                    <w:jc w:val="center"/>
                    <w:rPr>
                      <w:color w:val="000000"/>
                      <w:szCs w:val="21"/>
                    </w:rPr>
                  </w:pPr>
                  <w:r>
                    <w:rPr>
                      <w:rFonts w:hint="eastAsia"/>
                      <w:color w:val="000000"/>
                      <w:szCs w:val="21"/>
                    </w:rPr>
                    <w:t>3</w:t>
                  </w:r>
                  <w:r>
                    <w:rPr>
                      <w:color w:val="000000"/>
                      <w:szCs w:val="21"/>
                    </w:rPr>
                    <w:t>5</w:t>
                  </w:r>
                </w:p>
              </w:tc>
              <w:tc>
                <w:tcPr>
                  <w:tcW w:w="517" w:type="pct"/>
                  <w:noWrap w:val="0"/>
                  <w:vAlign w:val="top"/>
                </w:tcPr>
                <w:p>
                  <w:pPr>
                    <w:jc w:val="center"/>
                    <w:rPr>
                      <w:rFonts w:hint="eastAsia"/>
                      <w:color w:val="000000"/>
                      <w:szCs w:val="21"/>
                    </w:rPr>
                  </w:pPr>
                  <w:r>
                    <w:rPr>
                      <w:rFonts w:hint="eastAsia"/>
                      <w:color w:val="000000"/>
                      <w:szCs w:val="21"/>
                    </w:rPr>
                    <w:t>200</w:t>
                  </w:r>
                </w:p>
              </w:tc>
            </w:tr>
          </w:tbl>
          <w:p>
            <w:pPr>
              <w:pStyle w:val="28"/>
              <w:spacing w:line="360" w:lineRule="auto"/>
              <w:ind w:left="0" w:firstLine="482" w:firstLineChars="200"/>
              <w:rPr>
                <w:rFonts w:hint="eastAsia"/>
                <w:b/>
                <w:bCs/>
                <w:color w:val="000000"/>
                <w:sz w:val="24"/>
                <w:szCs w:val="24"/>
              </w:rPr>
            </w:pPr>
            <w:r>
              <w:rPr>
                <w:rFonts w:hint="eastAsia"/>
                <w:b/>
                <w:bCs/>
                <w:color w:val="000000"/>
                <w:sz w:val="24"/>
                <w:szCs w:val="24"/>
              </w:rPr>
              <w:t>2、</w:t>
            </w:r>
            <w:r>
              <w:rPr>
                <w:b/>
                <w:bCs/>
                <w:color w:val="000000"/>
                <w:sz w:val="24"/>
                <w:szCs w:val="24"/>
              </w:rPr>
              <w:t>地表水环境质量</w:t>
            </w:r>
            <w:r>
              <w:rPr>
                <w:rFonts w:hint="eastAsia"/>
                <w:b/>
                <w:bCs/>
                <w:color w:val="000000"/>
                <w:sz w:val="24"/>
                <w:szCs w:val="24"/>
              </w:rPr>
              <w:t>标准</w:t>
            </w:r>
          </w:p>
          <w:p>
            <w:pPr>
              <w:pStyle w:val="28"/>
              <w:spacing w:line="360" w:lineRule="auto"/>
              <w:ind w:left="0" w:firstLine="480" w:firstLineChars="200"/>
              <w:rPr>
                <w:color w:val="000000"/>
                <w:sz w:val="24"/>
                <w:szCs w:val="24"/>
              </w:rPr>
            </w:pPr>
            <w:r>
              <w:rPr>
                <w:rFonts w:hint="eastAsia"/>
                <w:color w:val="000000"/>
                <w:sz w:val="24"/>
                <w:szCs w:val="24"/>
              </w:rPr>
              <w:t>高中水库</w:t>
            </w:r>
            <w:r>
              <w:rPr>
                <w:color w:val="000000"/>
                <w:sz w:val="24"/>
                <w:szCs w:val="24"/>
              </w:rPr>
              <w:t>执行国家《地表水环境质量标准》（GB3838-2002）</w:t>
            </w:r>
            <w:r>
              <w:rPr>
                <w:rFonts w:hint="eastAsia" w:ascii="宋体" w:hAnsi="宋体" w:cs="宋体"/>
                <w:color w:val="000000"/>
                <w:sz w:val="24"/>
                <w:szCs w:val="24"/>
              </w:rPr>
              <w:t>Ⅲ</w:t>
            </w:r>
            <w:r>
              <w:rPr>
                <w:color w:val="000000"/>
                <w:sz w:val="24"/>
                <w:szCs w:val="24"/>
              </w:rPr>
              <w:t>类标准</w:t>
            </w:r>
            <w:r>
              <w:rPr>
                <w:rFonts w:hint="eastAsia"/>
                <w:color w:val="000000"/>
                <w:sz w:val="24"/>
                <w:szCs w:val="24"/>
              </w:rPr>
              <w:t>，磨池河执行《地表水环境质量标准》（GB3838-2002）Ⅳ类，</w:t>
            </w:r>
            <w:r>
              <w:rPr>
                <w:color w:val="000000"/>
                <w:sz w:val="24"/>
                <w:szCs w:val="24"/>
              </w:rPr>
              <w:t>标准限值见</w:t>
            </w:r>
            <w:r>
              <w:rPr>
                <w:rFonts w:hint="eastAsia"/>
                <w:color w:val="000000"/>
                <w:sz w:val="24"/>
                <w:szCs w:val="24"/>
              </w:rPr>
              <w:t>下</w:t>
            </w:r>
            <w:r>
              <w:rPr>
                <w:color w:val="000000"/>
                <w:sz w:val="24"/>
                <w:szCs w:val="24"/>
              </w:rPr>
              <w:t>表</w:t>
            </w:r>
            <w:r>
              <w:rPr>
                <w:rFonts w:hint="eastAsia"/>
                <w:color w:val="000000"/>
                <w:sz w:val="24"/>
                <w:szCs w:val="24"/>
              </w:rPr>
              <w:t>：</w:t>
            </w:r>
          </w:p>
          <w:p>
            <w:pPr>
              <w:pStyle w:val="138"/>
              <w:spacing w:line="240" w:lineRule="auto"/>
              <w:ind w:firstLine="422"/>
              <w:jc w:val="center"/>
              <w:rPr>
                <w:rFonts w:ascii="Times New Roman" w:hAnsi="Times New Roman"/>
                <w:b/>
                <w:color w:val="000000"/>
                <w:sz w:val="21"/>
                <w:szCs w:val="21"/>
              </w:rPr>
            </w:pPr>
            <w:r>
              <w:rPr>
                <w:rFonts w:ascii="Times New Roman" w:hAnsi="Times New Roman"/>
                <w:b/>
                <w:color w:val="000000"/>
                <w:sz w:val="21"/>
                <w:szCs w:val="21"/>
              </w:rPr>
              <w:t>表3-</w:t>
            </w:r>
            <w:r>
              <w:rPr>
                <w:rFonts w:hint="eastAsia" w:ascii="Times New Roman" w:hAnsi="Times New Roman"/>
                <w:b/>
                <w:color w:val="000000"/>
                <w:sz w:val="21"/>
                <w:szCs w:val="21"/>
              </w:rPr>
              <w:t>1</w:t>
            </w:r>
            <w:r>
              <w:rPr>
                <w:rFonts w:hint="eastAsia" w:ascii="Times New Roman" w:hAnsi="Times New Roman"/>
                <w:b/>
                <w:color w:val="000000"/>
                <w:sz w:val="21"/>
                <w:szCs w:val="21"/>
                <w:lang w:val="en-US" w:eastAsia="zh-CN"/>
              </w:rPr>
              <w:t>5</w:t>
            </w:r>
            <w:r>
              <w:rPr>
                <w:rFonts w:ascii="Times New Roman" w:hAnsi="Times New Roman"/>
                <w:b/>
                <w:color w:val="000000"/>
                <w:sz w:val="21"/>
                <w:szCs w:val="21"/>
              </w:rPr>
              <w:t xml:space="preserve">  地表水环境质量标准    单位：mg/L</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952"/>
              <w:gridCol w:w="1219"/>
              <w:gridCol w:w="1093"/>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83" w:type="dxa"/>
                  <w:vMerge w:val="restart"/>
                  <w:noWrap w:val="0"/>
                  <w:vAlign w:val="center"/>
                </w:tcPr>
                <w:p>
                  <w:pPr>
                    <w:pStyle w:val="28"/>
                    <w:ind w:left="482" w:hanging="482"/>
                    <w:jc w:val="center"/>
                    <w:rPr>
                      <w:rFonts w:ascii="Times New Roman" w:hAnsi="Times New Roman"/>
                      <w:b/>
                      <w:bCs/>
                      <w:color w:val="000000"/>
                      <w:sz w:val="24"/>
                      <w:szCs w:val="24"/>
                    </w:rPr>
                  </w:pPr>
                  <w:r>
                    <w:rPr>
                      <w:rFonts w:ascii="Times New Roman" w:hAnsi="Times New Roman"/>
                      <w:b/>
                      <w:bCs/>
                      <w:color w:val="000000"/>
                      <w:sz w:val="24"/>
                      <w:szCs w:val="24"/>
                    </w:rPr>
                    <w:t>序号</w:t>
                  </w:r>
                </w:p>
              </w:tc>
              <w:tc>
                <w:tcPr>
                  <w:tcW w:w="1952" w:type="dxa"/>
                  <w:vMerge w:val="restart"/>
                  <w:noWrap w:val="0"/>
                  <w:vAlign w:val="center"/>
                </w:tcPr>
                <w:p>
                  <w:pPr>
                    <w:pStyle w:val="28"/>
                    <w:ind w:left="482" w:hanging="482"/>
                    <w:jc w:val="center"/>
                    <w:rPr>
                      <w:rFonts w:ascii="Times New Roman" w:hAnsi="Times New Roman"/>
                      <w:b/>
                      <w:bCs/>
                      <w:color w:val="000000"/>
                      <w:sz w:val="24"/>
                      <w:szCs w:val="24"/>
                    </w:rPr>
                  </w:pPr>
                  <w:r>
                    <w:rPr>
                      <w:rFonts w:ascii="Times New Roman" w:hAnsi="Times New Roman"/>
                      <w:b/>
                      <w:bCs/>
                      <w:color w:val="000000"/>
                      <w:sz w:val="24"/>
                      <w:szCs w:val="24"/>
                    </w:rPr>
                    <w:t>项目</w:t>
                  </w:r>
                </w:p>
              </w:tc>
              <w:tc>
                <w:tcPr>
                  <w:tcW w:w="2312" w:type="dxa"/>
                  <w:gridSpan w:val="2"/>
                  <w:noWrap w:val="0"/>
                  <w:vAlign w:val="center"/>
                </w:tcPr>
                <w:p>
                  <w:pPr>
                    <w:pStyle w:val="28"/>
                    <w:ind w:left="482" w:hanging="482"/>
                    <w:jc w:val="center"/>
                    <w:rPr>
                      <w:rFonts w:ascii="Times New Roman" w:hAnsi="Times New Roman"/>
                      <w:b/>
                      <w:bCs/>
                      <w:color w:val="000000"/>
                      <w:sz w:val="24"/>
                      <w:szCs w:val="24"/>
                    </w:rPr>
                  </w:pPr>
                  <w:r>
                    <w:rPr>
                      <w:rFonts w:ascii="Times New Roman" w:hAnsi="Times New Roman"/>
                      <w:b/>
                      <w:bCs/>
                      <w:color w:val="000000"/>
                      <w:sz w:val="24"/>
                      <w:szCs w:val="24"/>
                    </w:rPr>
                    <w:t>标准</w:t>
                  </w:r>
                </w:p>
              </w:tc>
              <w:tc>
                <w:tcPr>
                  <w:tcW w:w="1850" w:type="dxa"/>
                  <w:vMerge w:val="restart"/>
                  <w:noWrap w:val="0"/>
                  <w:vAlign w:val="center"/>
                </w:tcPr>
                <w:p>
                  <w:pPr>
                    <w:pStyle w:val="28"/>
                    <w:ind w:left="482" w:hanging="482"/>
                    <w:jc w:val="center"/>
                    <w:rPr>
                      <w:rFonts w:ascii="Times New Roman" w:hAnsi="Times New Roman"/>
                      <w:b/>
                      <w:bCs/>
                      <w:color w:val="000000"/>
                      <w:sz w:val="24"/>
                      <w:szCs w:val="24"/>
                    </w:rPr>
                  </w:pPr>
                  <w:r>
                    <w:rPr>
                      <w:rFonts w:ascii="Times New Roman" w:hAnsi="Times New Roman"/>
                      <w:b/>
                      <w:bCs/>
                      <w:color w:val="000000"/>
                      <w:sz w:val="24"/>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83" w:type="dxa"/>
                  <w:vMerge w:val="continue"/>
                  <w:noWrap w:val="0"/>
                  <w:vAlign w:val="center"/>
                </w:tcPr>
                <w:p>
                  <w:pPr>
                    <w:pStyle w:val="28"/>
                    <w:ind w:left="420" w:hanging="420"/>
                    <w:jc w:val="center"/>
                  </w:pPr>
                </w:p>
              </w:tc>
              <w:tc>
                <w:tcPr>
                  <w:tcW w:w="1952" w:type="dxa"/>
                  <w:vMerge w:val="continue"/>
                  <w:noWrap w:val="0"/>
                  <w:vAlign w:val="center"/>
                </w:tcPr>
                <w:p>
                  <w:pPr>
                    <w:pStyle w:val="28"/>
                    <w:ind w:left="420" w:hanging="420"/>
                    <w:jc w:val="center"/>
                  </w:pPr>
                </w:p>
              </w:tc>
              <w:tc>
                <w:tcPr>
                  <w:tcW w:w="1219" w:type="dxa"/>
                  <w:noWrap w:val="0"/>
                  <w:vAlign w:val="center"/>
                </w:tcPr>
                <w:p>
                  <w:pPr>
                    <w:pStyle w:val="28"/>
                    <w:ind w:left="480" w:hanging="480"/>
                    <w:jc w:val="center"/>
                    <w:rPr>
                      <w:rFonts w:ascii="Times New Roman" w:hAnsi="Times New Roman"/>
                      <w:b/>
                      <w:bCs/>
                      <w:color w:val="000000"/>
                      <w:sz w:val="24"/>
                      <w:szCs w:val="24"/>
                    </w:rPr>
                  </w:pPr>
                  <w:r>
                    <w:rPr>
                      <w:rFonts w:hint="eastAsia" w:ascii="宋体" w:hAnsi="宋体" w:cs="宋体"/>
                      <w:color w:val="000000"/>
                      <w:sz w:val="24"/>
                      <w:szCs w:val="24"/>
                    </w:rPr>
                    <w:t>Ⅲ</w:t>
                  </w:r>
                </w:p>
              </w:tc>
              <w:tc>
                <w:tcPr>
                  <w:tcW w:w="1093" w:type="dxa"/>
                  <w:noWrap w:val="0"/>
                  <w:vAlign w:val="center"/>
                </w:tcPr>
                <w:p>
                  <w:pPr>
                    <w:pStyle w:val="28"/>
                    <w:ind w:left="480" w:hanging="480"/>
                    <w:jc w:val="center"/>
                    <w:rPr>
                      <w:rFonts w:ascii="Times New Roman" w:hAnsi="Times New Roman"/>
                      <w:b/>
                      <w:bCs/>
                      <w:color w:val="000000"/>
                      <w:sz w:val="24"/>
                      <w:szCs w:val="24"/>
                    </w:rPr>
                  </w:pPr>
                  <w:r>
                    <w:rPr>
                      <w:rFonts w:hint="eastAsia"/>
                      <w:color w:val="000000"/>
                      <w:sz w:val="24"/>
                      <w:szCs w:val="24"/>
                    </w:rPr>
                    <w:t>Ⅳ</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83" w:type="dxa"/>
                  <w:noWrap w:val="0"/>
                  <w:vAlign w:val="center"/>
                </w:tcPr>
                <w:p>
                  <w:pPr>
                    <w:pStyle w:val="28"/>
                    <w:ind w:left="480" w:hanging="480"/>
                    <w:jc w:val="center"/>
                    <w:rPr>
                      <w:rFonts w:ascii="Times New Roman" w:hAnsi="Times New Roman"/>
                      <w:color w:val="000000"/>
                      <w:sz w:val="24"/>
                      <w:szCs w:val="24"/>
                    </w:rPr>
                  </w:pPr>
                  <w:r>
                    <w:rPr>
                      <w:rFonts w:ascii="Times New Roman" w:hAnsi="Times New Roman"/>
                      <w:color w:val="000000"/>
                      <w:sz w:val="24"/>
                      <w:szCs w:val="24"/>
                    </w:rPr>
                    <w:t>1</w:t>
                  </w:r>
                </w:p>
              </w:tc>
              <w:tc>
                <w:tcPr>
                  <w:tcW w:w="1952"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pH值</w:t>
                  </w:r>
                </w:p>
              </w:tc>
              <w:tc>
                <w:tcPr>
                  <w:tcW w:w="2312" w:type="dxa"/>
                  <w:gridSpan w:val="2"/>
                  <w:noWrap w:val="0"/>
                  <w:vAlign w:val="center"/>
                </w:tcPr>
                <w:p>
                  <w:pPr>
                    <w:pStyle w:val="73"/>
                    <w:rPr>
                      <w:rFonts w:ascii="Times New Roman" w:hAnsi="Times New Roman" w:eastAsia="宋体"/>
                      <w:color w:val="000000"/>
                      <w:sz w:val="21"/>
                      <w:szCs w:val="21"/>
                    </w:rPr>
                  </w:pPr>
                  <w:r>
                    <w:rPr>
                      <w:rFonts w:ascii="Times New Roman" w:hAnsi="Times New Roman" w:eastAsia="宋体"/>
                      <w:color w:val="000000"/>
                      <w:sz w:val="21"/>
                      <w:szCs w:val="21"/>
                    </w:rPr>
                    <w:t>6~9</w:t>
                  </w:r>
                </w:p>
              </w:tc>
              <w:tc>
                <w:tcPr>
                  <w:tcW w:w="1850" w:type="dxa"/>
                  <w:vMerge w:val="restart"/>
                  <w:noWrap w:val="0"/>
                  <w:vAlign w:val="center"/>
                </w:tcPr>
                <w:p>
                  <w:pPr>
                    <w:pStyle w:val="28"/>
                    <w:ind w:left="420" w:hanging="420"/>
                    <w:jc w:val="center"/>
                    <w:rPr>
                      <w:rFonts w:ascii="Times New Roman" w:hAnsi="Times New Roman"/>
                      <w:b/>
                      <w:bCs/>
                      <w:color w:val="000000"/>
                      <w:sz w:val="24"/>
                      <w:szCs w:val="24"/>
                    </w:rPr>
                  </w:pPr>
                  <w:r>
                    <w:rPr>
                      <w:rFonts w:ascii="Times New Roman" w:hAnsi="Times New Roman"/>
                      <w:color w:val="000000"/>
                      <w:szCs w:val="21"/>
                    </w:rPr>
                    <w:t>mg/L(pH无量纲)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83" w:type="dxa"/>
                  <w:noWrap w:val="0"/>
                  <w:vAlign w:val="center"/>
                </w:tcPr>
                <w:p>
                  <w:pPr>
                    <w:pStyle w:val="28"/>
                    <w:ind w:left="480" w:hanging="480"/>
                    <w:jc w:val="center"/>
                    <w:rPr>
                      <w:rFonts w:ascii="Times New Roman" w:hAnsi="Times New Roman"/>
                      <w:color w:val="000000"/>
                      <w:sz w:val="24"/>
                      <w:szCs w:val="24"/>
                    </w:rPr>
                  </w:pPr>
                  <w:r>
                    <w:rPr>
                      <w:rFonts w:ascii="Times New Roman" w:hAnsi="Times New Roman"/>
                      <w:color w:val="000000"/>
                      <w:sz w:val="24"/>
                      <w:szCs w:val="24"/>
                    </w:rPr>
                    <w:t>2</w:t>
                  </w:r>
                </w:p>
              </w:tc>
              <w:tc>
                <w:tcPr>
                  <w:tcW w:w="1952" w:type="dxa"/>
                  <w:noWrap w:val="0"/>
                  <w:vAlign w:val="center"/>
                </w:tcPr>
                <w:p>
                  <w:pPr>
                    <w:pStyle w:val="73"/>
                    <w:rPr>
                      <w:rFonts w:ascii="Times New Roman" w:hAnsi="Times New Roman" w:eastAsia="宋体"/>
                      <w:b/>
                      <w:bCs/>
                      <w:color w:val="000000"/>
                      <w:szCs w:val="24"/>
                      <w:vertAlign w:val="subscript"/>
                    </w:rPr>
                  </w:pPr>
                  <w:r>
                    <w:rPr>
                      <w:rFonts w:ascii="Times New Roman" w:hAnsi="Times New Roman" w:eastAsia="宋体"/>
                      <w:color w:val="000000"/>
                      <w:sz w:val="21"/>
                      <w:szCs w:val="21"/>
                    </w:rPr>
                    <w:t>COD</w:t>
                  </w:r>
                </w:p>
              </w:tc>
              <w:tc>
                <w:tcPr>
                  <w:tcW w:w="1219"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≤20</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30</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83" w:type="dxa"/>
                  <w:noWrap w:val="0"/>
                  <w:vAlign w:val="center"/>
                </w:tcPr>
                <w:p>
                  <w:pPr>
                    <w:pStyle w:val="28"/>
                    <w:ind w:left="480" w:hanging="480"/>
                    <w:jc w:val="center"/>
                    <w:rPr>
                      <w:rFonts w:ascii="Times New Roman" w:hAnsi="Times New Roman"/>
                      <w:color w:val="000000"/>
                      <w:sz w:val="24"/>
                      <w:szCs w:val="24"/>
                    </w:rPr>
                  </w:pPr>
                  <w:r>
                    <w:rPr>
                      <w:rFonts w:ascii="Times New Roman" w:hAnsi="Times New Roman"/>
                      <w:color w:val="000000"/>
                      <w:sz w:val="24"/>
                      <w:szCs w:val="24"/>
                    </w:rPr>
                    <w:t>3</w:t>
                  </w:r>
                </w:p>
              </w:tc>
              <w:tc>
                <w:tcPr>
                  <w:tcW w:w="1952"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氨氮</w:t>
                  </w:r>
                </w:p>
              </w:tc>
              <w:tc>
                <w:tcPr>
                  <w:tcW w:w="1219"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≤1.0</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1.5</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83" w:type="dxa"/>
                  <w:noWrap w:val="0"/>
                  <w:vAlign w:val="center"/>
                </w:tcPr>
                <w:p>
                  <w:pPr>
                    <w:pStyle w:val="28"/>
                    <w:ind w:left="480" w:hanging="480"/>
                    <w:jc w:val="center"/>
                    <w:rPr>
                      <w:rFonts w:ascii="Times New Roman" w:hAnsi="Times New Roman"/>
                      <w:color w:val="000000"/>
                      <w:sz w:val="24"/>
                      <w:szCs w:val="24"/>
                    </w:rPr>
                  </w:pPr>
                  <w:r>
                    <w:rPr>
                      <w:rFonts w:ascii="Times New Roman" w:hAnsi="Times New Roman"/>
                      <w:color w:val="000000"/>
                      <w:sz w:val="24"/>
                      <w:szCs w:val="24"/>
                    </w:rPr>
                    <w:t>4</w:t>
                  </w:r>
                </w:p>
              </w:tc>
              <w:tc>
                <w:tcPr>
                  <w:tcW w:w="1952"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BOD</w:t>
                  </w:r>
                  <w:r>
                    <w:rPr>
                      <w:rFonts w:ascii="Times New Roman" w:hAnsi="Times New Roman" w:eastAsia="宋体"/>
                      <w:color w:val="000000"/>
                      <w:sz w:val="21"/>
                      <w:szCs w:val="21"/>
                      <w:vertAlign w:val="subscript"/>
                    </w:rPr>
                    <w:t>5</w:t>
                  </w:r>
                </w:p>
              </w:tc>
              <w:tc>
                <w:tcPr>
                  <w:tcW w:w="1219"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≤4</w:t>
                  </w:r>
                </w:p>
              </w:tc>
              <w:tc>
                <w:tcPr>
                  <w:tcW w:w="1093" w:type="dxa"/>
                  <w:noWrap w:val="0"/>
                  <w:vAlign w:val="center"/>
                </w:tcPr>
                <w:p>
                  <w:pPr>
                    <w:jc w:val="center"/>
                    <w:rPr>
                      <w:rFonts w:hint="eastAsia"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6</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83" w:type="dxa"/>
                  <w:noWrap w:val="0"/>
                  <w:vAlign w:val="center"/>
                </w:tcPr>
                <w:p>
                  <w:pPr>
                    <w:pStyle w:val="28"/>
                    <w:ind w:left="480" w:hanging="480"/>
                    <w:jc w:val="center"/>
                    <w:rPr>
                      <w:rFonts w:ascii="Times New Roman" w:hAnsi="Times New Roman"/>
                      <w:color w:val="000000"/>
                      <w:sz w:val="24"/>
                      <w:szCs w:val="24"/>
                    </w:rPr>
                  </w:pPr>
                  <w:r>
                    <w:rPr>
                      <w:rFonts w:ascii="Times New Roman" w:hAnsi="Times New Roman"/>
                      <w:color w:val="000000"/>
                      <w:sz w:val="24"/>
                      <w:szCs w:val="24"/>
                    </w:rPr>
                    <w:t>5</w:t>
                  </w:r>
                </w:p>
              </w:tc>
              <w:tc>
                <w:tcPr>
                  <w:tcW w:w="1952"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溶解氧</w:t>
                  </w:r>
                </w:p>
              </w:tc>
              <w:tc>
                <w:tcPr>
                  <w:tcW w:w="1219" w:type="dxa"/>
                  <w:noWrap w:val="0"/>
                  <w:vAlign w:val="center"/>
                </w:tcPr>
                <w:p>
                  <w:pPr>
                    <w:pStyle w:val="73"/>
                    <w:rPr>
                      <w:rFonts w:ascii="Times New Roman" w:hAnsi="Times New Roman"/>
                      <w:b/>
                      <w:bCs/>
                      <w:color w:val="000000"/>
                      <w:szCs w:val="24"/>
                    </w:rPr>
                  </w:pPr>
                  <w:r>
                    <w:rPr>
                      <w:rFonts w:ascii="Times New Roman" w:hAnsi="Times New Roman" w:eastAsia="宋体"/>
                      <w:color w:val="000000"/>
                      <w:sz w:val="21"/>
                      <w:szCs w:val="21"/>
                    </w:rPr>
                    <w:t>≥5</w:t>
                  </w:r>
                </w:p>
              </w:tc>
              <w:tc>
                <w:tcPr>
                  <w:tcW w:w="1093" w:type="dxa"/>
                  <w:noWrap w:val="0"/>
                  <w:vAlign w:val="center"/>
                </w:tcPr>
                <w:p>
                  <w:pPr>
                    <w:jc w:val="center"/>
                    <w:rPr>
                      <w:rFonts w:hint="eastAsia"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3</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83"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6</w:t>
                  </w:r>
                </w:p>
              </w:tc>
              <w:tc>
                <w:tcPr>
                  <w:tcW w:w="1952" w:type="dxa"/>
                  <w:noWrap w:val="0"/>
                  <w:vAlign w:val="center"/>
                </w:tcPr>
                <w:p>
                  <w:pPr>
                    <w:pStyle w:val="73"/>
                    <w:rPr>
                      <w:rFonts w:ascii="Times New Roman" w:hAnsi="Times New Roman" w:eastAsia="宋体"/>
                      <w:color w:val="000000"/>
                      <w:sz w:val="21"/>
                      <w:szCs w:val="21"/>
                    </w:rPr>
                  </w:pPr>
                  <w:r>
                    <w:rPr>
                      <w:rFonts w:ascii="Times New Roman" w:hAnsi="Times New Roman" w:eastAsia="宋体"/>
                      <w:color w:val="000000"/>
                      <w:sz w:val="21"/>
                      <w:szCs w:val="21"/>
                    </w:rPr>
                    <w:t>总磷</w:t>
                  </w:r>
                </w:p>
              </w:tc>
              <w:tc>
                <w:tcPr>
                  <w:tcW w:w="1219" w:type="dxa"/>
                  <w:noWrap w:val="0"/>
                  <w:vAlign w:val="center"/>
                </w:tcPr>
                <w:p>
                  <w:pPr>
                    <w:pStyle w:val="73"/>
                    <w:rPr>
                      <w:rFonts w:ascii="Times New Roman" w:hAnsi="Times New Roman" w:eastAsia="宋体"/>
                      <w:b/>
                      <w:bCs/>
                      <w:color w:val="000000"/>
                      <w:szCs w:val="24"/>
                    </w:rPr>
                  </w:pPr>
                  <w:r>
                    <w:rPr>
                      <w:rFonts w:ascii="Times New Roman" w:hAnsi="Times New Roman" w:eastAsia="宋体"/>
                      <w:color w:val="000000"/>
                      <w:sz w:val="21"/>
                      <w:szCs w:val="21"/>
                    </w:rPr>
                    <w:t>≤</w:t>
                  </w:r>
                  <w:r>
                    <w:rPr>
                      <w:rFonts w:hint="eastAsia" w:ascii="Times New Roman" w:hAnsi="Times New Roman" w:eastAsia="宋体"/>
                      <w:color w:val="000000"/>
                      <w:sz w:val="21"/>
                      <w:szCs w:val="21"/>
                    </w:rPr>
                    <w:t>0.05</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0.3</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283"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7</w:t>
                  </w:r>
                </w:p>
              </w:tc>
              <w:tc>
                <w:tcPr>
                  <w:tcW w:w="1952"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总氮</w:t>
                  </w:r>
                </w:p>
              </w:tc>
              <w:tc>
                <w:tcPr>
                  <w:tcW w:w="1219" w:type="dxa"/>
                  <w:noWrap w:val="0"/>
                  <w:vAlign w:val="center"/>
                </w:tcPr>
                <w:p>
                  <w:pPr>
                    <w:pStyle w:val="28"/>
                    <w:ind w:left="420" w:hanging="420"/>
                    <w:jc w:val="center"/>
                    <w:rPr>
                      <w:rFonts w:ascii="Times New Roman" w:hAnsi="Times New Roman"/>
                      <w:b/>
                      <w:bCs/>
                      <w:color w:val="000000"/>
                      <w:sz w:val="24"/>
                      <w:szCs w:val="24"/>
                    </w:rPr>
                  </w:pPr>
                  <w:r>
                    <w:rPr>
                      <w:rFonts w:ascii="Times New Roman" w:hAnsi="Times New Roman"/>
                      <w:color w:val="000000"/>
                      <w:szCs w:val="21"/>
                    </w:rPr>
                    <w:t>≤</w:t>
                  </w:r>
                  <w:r>
                    <w:rPr>
                      <w:rFonts w:hint="eastAsia" w:ascii="Times New Roman" w:hAnsi="Times New Roman"/>
                      <w:color w:val="000000"/>
                      <w:szCs w:val="21"/>
                    </w:rPr>
                    <w:t>1.0</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1.5</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283"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8</w:t>
                  </w:r>
                </w:p>
              </w:tc>
              <w:tc>
                <w:tcPr>
                  <w:tcW w:w="1952"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阴离子表面活性剂</w:t>
                  </w:r>
                </w:p>
              </w:tc>
              <w:tc>
                <w:tcPr>
                  <w:tcW w:w="1219" w:type="dxa"/>
                  <w:noWrap w:val="0"/>
                  <w:vAlign w:val="center"/>
                </w:tcPr>
                <w:p>
                  <w:pPr>
                    <w:pStyle w:val="28"/>
                    <w:ind w:left="420" w:hanging="420"/>
                    <w:jc w:val="center"/>
                    <w:rPr>
                      <w:rFonts w:ascii="Times New Roman" w:hAnsi="Times New Roman"/>
                      <w:b/>
                      <w:bCs/>
                      <w:color w:val="000000"/>
                      <w:sz w:val="24"/>
                      <w:szCs w:val="24"/>
                    </w:rPr>
                  </w:pPr>
                  <w:r>
                    <w:rPr>
                      <w:rFonts w:ascii="Times New Roman" w:hAnsi="Times New Roman"/>
                      <w:color w:val="000000"/>
                      <w:szCs w:val="21"/>
                    </w:rPr>
                    <w:t>≤</w:t>
                  </w:r>
                  <w:r>
                    <w:rPr>
                      <w:rFonts w:hint="eastAsia" w:ascii="Times New Roman" w:hAnsi="Times New Roman"/>
                      <w:color w:val="000000"/>
                      <w:szCs w:val="21"/>
                    </w:rPr>
                    <w:t>0.2</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0.3</w:t>
                  </w:r>
                </w:p>
              </w:tc>
              <w:tc>
                <w:tcPr>
                  <w:tcW w:w="1850" w:type="dxa"/>
                  <w:vMerge w:val="continue"/>
                  <w:noWrap w:val="0"/>
                  <w:vAlign w:val="center"/>
                </w:tcPr>
                <w:p>
                  <w:pPr>
                    <w:pStyle w:val="28"/>
                    <w:ind w:left="482" w:hanging="482"/>
                    <w:jc w:val="center"/>
                    <w:rPr>
                      <w:rFonts w:ascii="Times New Roman" w:hAnsi="Times New Roman"/>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283" w:type="dxa"/>
                  <w:noWrap w:val="0"/>
                  <w:vAlign w:val="center"/>
                </w:tcPr>
                <w:p>
                  <w:pPr>
                    <w:pStyle w:val="28"/>
                    <w:ind w:left="420" w:hanging="420"/>
                    <w:jc w:val="center"/>
                    <w:rPr>
                      <w:rFonts w:ascii="Times New Roman" w:hAnsi="Times New Roman"/>
                      <w:color w:val="000000"/>
                      <w:szCs w:val="21"/>
                    </w:rPr>
                  </w:pPr>
                  <w:r>
                    <w:rPr>
                      <w:rFonts w:ascii="Times New Roman" w:hAnsi="Times New Roman"/>
                      <w:color w:val="000000"/>
                      <w:szCs w:val="21"/>
                    </w:rPr>
                    <w:t>9</w:t>
                  </w:r>
                </w:p>
              </w:tc>
              <w:tc>
                <w:tcPr>
                  <w:tcW w:w="1952" w:type="dxa"/>
                  <w:noWrap w:val="0"/>
                  <w:vAlign w:val="center"/>
                </w:tcPr>
                <w:p>
                  <w:pPr>
                    <w:pStyle w:val="28"/>
                    <w:ind w:left="420" w:hanging="420"/>
                    <w:jc w:val="center"/>
                    <w:rPr>
                      <w:rFonts w:hint="eastAsia" w:ascii="宋体" w:hAnsi="宋体" w:cs="宋体"/>
                      <w:color w:val="000000"/>
                      <w:szCs w:val="21"/>
                    </w:rPr>
                  </w:pPr>
                  <w:r>
                    <w:rPr>
                      <w:rFonts w:hint="eastAsia" w:ascii="宋体" w:hAnsi="宋体" w:cs="宋体"/>
                      <w:color w:val="000000"/>
                      <w:szCs w:val="21"/>
                    </w:rPr>
                    <w:t>粪大肠杆菌</w:t>
                  </w:r>
                </w:p>
              </w:tc>
              <w:tc>
                <w:tcPr>
                  <w:tcW w:w="1219" w:type="dxa"/>
                  <w:noWrap w:val="0"/>
                  <w:vAlign w:val="center"/>
                </w:tcPr>
                <w:p>
                  <w:pPr>
                    <w:pStyle w:val="28"/>
                    <w:ind w:left="420" w:hanging="420"/>
                    <w:jc w:val="center"/>
                    <w:rPr>
                      <w:b/>
                      <w:bCs/>
                      <w:color w:val="000000"/>
                      <w:sz w:val="24"/>
                      <w:szCs w:val="24"/>
                    </w:rPr>
                  </w:pPr>
                  <w:r>
                    <w:rPr>
                      <w:rFonts w:ascii="Times New Roman" w:hAnsi="Times New Roman"/>
                      <w:color w:val="000000"/>
                      <w:szCs w:val="21"/>
                    </w:rPr>
                    <w:t>≤</w:t>
                  </w:r>
                  <w:r>
                    <w:rPr>
                      <w:rFonts w:hint="eastAsia" w:ascii="Times New Roman" w:hAnsi="Times New Roman"/>
                      <w:color w:val="000000"/>
                      <w:szCs w:val="21"/>
                    </w:rPr>
                    <w:t>10000</w:t>
                  </w:r>
                </w:p>
              </w:tc>
              <w:tc>
                <w:tcPr>
                  <w:tcW w:w="1093" w:type="dxa"/>
                  <w:noWrap w:val="0"/>
                  <w:vAlign w:val="center"/>
                </w:tcPr>
                <w:p>
                  <w:pPr>
                    <w:jc w:val="center"/>
                    <w:rPr>
                      <w:rFonts w:ascii="Times New Roman" w:hAnsi="Times New Roman"/>
                      <w:color w:val="000000"/>
                      <w:szCs w:val="21"/>
                    </w:rPr>
                  </w:pPr>
                  <w:r>
                    <w:rPr>
                      <w:rFonts w:ascii="Times New Roman" w:hAnsi="Times New Roman"/>
                      <w:color w:val="000000"/>
                      <w:szCs w:val="21"/>
                    </w:rPr>
                    <w:t>≤</w:t>
                  </w:r>
                  <w:r>
                    <w:rPr>
                      <w:rFonts w:hint="eastAsia" w:ascii="Times New Roman" w:hAnsi="Times New Roman"/>
                      <w:color w:val="000000"/>
                      <w:szCs w:val="21"/>
                    </w:rPr>
                    <w:t>20000</w:t>
                  </w:r>
                </w:p>
              </w:tc>
              <w:tc>
                <w:tcPr>
                  <w:tcW w:w="1850" w:type="dxa"/>
                  <w:vMerge w:val="continue"/>
                  <w:noWrap w:val="0"/>
                  <w:vAlign w:val="center"/>
                </w:tcPr>
                <w:p>
                  <w:pPr>
                    <w:pStyle w:val="28"/>
                    <w:ind w:left="482" w:hanging="482"/>
                    <w:jc w:val="center"/>
                    <w:rPr>
                      <w:rFonts w:hint="eastAsia"/>
                      <w:b/>
                      <w:bCs/>
                      <w:color w:val="000000"/>
                      <w:sz w:val="24"/>
                      <w:szCs w:val="24"/>
                    </w:rPr>
                  </w:pPr>
                </w:p>
              </w:tc>
            </w:tr>
          </w:tbl>
          <w:p>
            <w:pPr>
              <w:pStyle w:val="28"/>
              <w:spacing w:line="360" w:lineRule="auto"/>
              <w:ind w:left="0" w:firstLine="482" w:firstLineChars="200"/>
              <w:rPr>
                <w:b/>
                <w:bCs/>
                <w:color w:val="000000"/>
                <w:sz w:val="24"/>
                <w:szCs w:val="24"/>
              </w:rPr>
            </w:pPr>
            <w:r>
              <w:rPr>
                <w:rFonts w:hint="eastAsia"/>
                <w:b/>
                <w:bCs/>
                <w:color w:val="000000"/>
                <w:sz w:val="24"/>
                <w:szCs w:val="24"/>
              </w:rPr>
              <w:t>（3）</w:t>
            </w:r>
            <w:r>
              <w:rPr>
                <w:b/>
                <w:bCs/>
                <w:color w:val="000000"/>
                <w:sz w:val="24"/>
                <w:szCs w:val="24"/>
              </w:rPr>
              <w:t>声环境质量</w:t>
            </w:r>
          </w:p>
          <w:p>
            <w:pPr>
              <w:pStyle w:val="28"/>
              <w:spacing w:line="360" w:lineRule="auto"/>
              <w:ind w:left="0" w:firstLine="480" w:firstLineChars="200"/>
              <w:rPr>
                <w:b/>
                <w:bCs/>
                <w:color w:val="000000"/>
                <w:sz w:val="24"/>
                <w:szCs w:val="24"/>
              </w:rPr>
            </w:pPr>
            <w:r>
              <w:rPr>
                <w:color w:val="000000"/>
                <w:sz w:val="24"/>
                <w:szCs w:val="24"/>
              </w:rPr>
              <w:t>执行国家《声环境质量标准》（GB3096-2008）中</w:t>
            </w:r>
            <w:r>
              <w:rPr>
                <w:rFonts w:hint="eastAsia"/>
                <w:color w:val="000000"/>
                <w:sz w:val="24"/>
                <w:szCs w:val="24"/>
              </w:rPr>
              <w:t>2</w:t>
            </w:r>
            <w:r>
              <w:rPr>
                <w:color w:val="000000"/>
                <w:sz w:val="24"/>
                <w:szCs w:val="24"/>
              </w:rPr>
              <w:t>类标准</w:t>
            </w:r>
            <w:r>
              <w:rPr>
                <w:bCs/>
                <w:color w:val="000000"/>
                <w:sz w:val="24"/>
                <w:szCs w:val="24"/>
              </w:rPr>
              <w:t>。标准限值见</w:t>
            </w:r>
            <w:r>
              <w:rPr>
                <w:rFonts w:hint="eastAsia"/>
                <w:bCs/>
                <w:color w:val="000000"/>
                <w:sz w:val="24"/>
                <w:szCs w:val="24"/>
              </w:rPr>
              <w:t>下</w:t>
            </w:r>
            <w:r>
              <w:rPr>
                <w:bCs/>
                <w:color w:val="000000"/>
                <w:sz w:val="24"/>
                <w:szCs w:val="24"/>
              </w:rPr>
              <w:t>表</w:t>
            </w:r>
            <w:r>
              <w:rPr>
                <w:rFonts w:hint="eastAsia"/>
                <w:bCs/>
                <w:color w:val="000000"/>
                <w:sz w:val="24"/>
                <w:szCs w:val="24"/>
              </w:rPr>
              <w:t>：</w:t>
            </w:r>
          </w:p>
          <w:p>
            <w:pPr>
              <w:pStyle w:val="138"/>
              <w:spacing w:line="240" w:lineRule="auto"/>
              <w:ind w:firstLine="422"/>
              <w:jc w:val="center"/>
              <w:rPr>
                <w:rFonts w:hint="eastAsia"/>
                <w:b/>
                <w:color w:val="000000"/>
                <w:sz w:val="21"/>
                <w:szCs w:val="21"/>
              </w:rPr>
            </w:pPr>
            <w:r>
              <w:rPr>
                <w:rFonts w:hint="eastAsia"/>
                <w:b/>
                <w:color w:val="000000"/>
                <w:sz w:val="21"/>
                <w:szCs w:val="21"/>
              </w:rPr>
              <w:t>表3-1</w:t>
            </w:r>
            <w:r>
              <w:rPr>
                <w:rFonts w:hint="eastAsia"/>
                <w:b/>
                <w:color w:val="000000"/>
                <w:sz w:val="21"/>
                <w:szCs w:val="21"/>
                <w:lang w:val="en-US" w:eastAsia="zh-CN"/>
              </w:rPr>
              <w:t>6</w:t>
            </w:r>
            <w:r>
              <w:rPr>
                <w:rFonts w:hint="eastAsia"/>
                <w:b/>
                <w:color w:val="000000"/>
                <w:sz w:val="21"/>
                <w:szCs w:val="21"/>
              </w:rPr>
              <w:t xml:space="preserve">  环境噪声标准值表     单位：dB(A)</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13"/>
              <w:gridCol w:w="2340"/>
              <w:gridCol w:w="2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10" w:type="pct"/>
                  <w:noWrap w:val="0"/>
                  <w:vAlign w:val="center"/>
                </w:tcPr>
                <w:p>
                  <w:pPr>
                    <w:jc w:val="center"/>
                    <w:rPr>
                      <w:b/>
                      <w:color w:val="000000"/>
                      <w:szCs w:val="21"/>
                    </w:rPr>
                  </w:pPr>
                  <w:r>
                    <w:rPr>
                      <w:b/>
                      <w:color w:val="000000"/>
                      <w:szCs w:val="21"/>
                    </w:rPr>
                    <w:t>项目</w:t>
                  </w:r>
                </w:p>
              </w:tc>
              <w:tc>
                <w:tcPr>
                  <w:tcW w:w="1561" w:type="pct"/>
                  <w:noWrap w:val="0"/>
                  <w:vAlign w:val="center"/>
                </w:tcPr>
                <w:p>
                  <w:pPr>
                    <w:jc w:val="center"/>
                    <w:rPr>
                      <w:b/>
                      <w:color w:val="000000"/>
                      <w:szCs w:val="21"/>
                    </w:rPr>
                  </w:pPr>
                  <w:r>
                    <w:rPr>
                      <w:b/>
                      <w:color w:val="000000"/>
                      <w:szCs w:val="21"/>
                    </w:rPr>
                    <w:t>昼间</w:t>
                  </w:r>
                </w:p>
              </w:tc>
              <w:tc>
                <w:tcPr>
                  <w:tcW w:w="1427" w:type="pct"/>
                  <w:noWrap w:val="0"/>
                  <w:vAlign w:val="center"/>
                </w:tcPr>
                <w:p>
                  <w:pPr>
                    <w:jc w:val="center"/>
                    <w:rPr>
                      <w:b/>
                      <w:color w:val="000000"/>
                      <w:szCs w:val="21"/>
                    </w:rPr>
                  </w:pPr>
                  <w:r>
                    <w:rPr>
                      <w:b/>
                      <w:color w:val="00000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2010" w:type="pct"/>
                  <w:noWrap w:val="0"/>
                  <w:vAlign w:val="center"/>
                </w:tcPr>
                <w:p>
                  <w:pPr>
                    <w:pStyle w:val="272"/>
                    <w:adjustRightInd/>
                    <w:snapToGrid/>
                    <w:textAlignment w:val="auto"/>
                    <w:rPr>
                      <w:color w:val="000000"/>
                      <w:sz w:val="21"/>
                      <w:szCs w:val="21"/>
                    </w:rPr>
                  </w:pPr>
                  <w:r>
                    <w:rPr>
                      <w:color w:val="000000"/>
                      <w:sz w:val="21"/>
                      <w:szCs w:val="21"/>
                    </w:rPr>
                    <w:t>标准值</w:t>
                  </w:r>
                  <w:r>
                    <w:rPr>
                      <w:rFonts w:hint="eastAsia"/>
                      <w:color w:val="000000"/>
                      <w:sz w:val="21"/>
                      <w:szCs w:val="21"/>
                    </w:rPr>
                    <w:t>（2类）</w:t>
                  </w:r>
                </w:p>
              </w:tc>
              <w:tc>
                <w:tcPr>
                  <w:tcW w:w="1561" w:type="pct"/>
                  <w:noWrap w:val="0"/>
                  <w:vAlign w:val="center"/>
                </w:tcPr>
                <w:p>
                  <w:pPr>
                    <w:jc w:val="center"/>
                    <w:rPr>
                      <w:color w:val="000000"/>
                      <w:szCs w:val="21"/>
                    </w:rPr>
                  </w:pPr>
                  <w:r>
                    <w:rPr>
                      <w:rFonts w:hint="eastAsia"/>
                      <w:color w:val="000000"/>
                      <w:szCs w:val="21"/>
                    </w:rPr>
                    <w:t>60</w:t>
                  </w:r>
                </w:p>
              </w:tc>
              <w:tc>
                <w:tcPr>
                  <w:tcW w:w="1427" w:type="pct"/>
                  <w:noWrap w:val="0"/>
                  <w:vAlign w:val="center"/>
                </w:tcPr>
                <w:p>
                  <w:pPr>
                    <w:jc w:val="center"/>
                    <w:rPr>
                      <w:color w:val="000000"/>
                      <w:szCs w:val="21"/>
                    </w:rPr>
                  </w:pPr>
                  <w:r>
                    <w:rPr>
                      <w:rFonts w:hint="eastAsia"/>
                      <w:color w:val="000000"/>
                      <w:szCs w:val="21"/>
                    </w:rPr>
                    <w:t>50</w:t>
                  </w:r>
                </w:p>
              </w:tc>
            </w:tr>
          </w:tbl>
          <w:p>
            <w:pPr>
              <w:spacing w:line="360" w:lineRule="auto"/>
              <w:rPr>
                <w:rFonts w:hint="eastAsia"/>
                <w:color w:val="000000"/>
                <w:sz w:val="24"/>
              </w:rPr>
            </w:pPr>
            <w:r>
              <w:rPr>
                <w:rFonts w:hint="eastAsia"/>
                <w:b/>
                <w:bCs/>
                <w:color w:val="000000"/>
                <w:sz w:val="24"/>
              </w:rPr>
              <w:t>二、污染物排放标准</w:t>
            </w:r>
          </w:p>
          <w:p>
            <w:pPr>
              <w:numPr>
                <w:ilvl w:val="0"/>
                <w:numId w:val="11"/>
              </w:numPr>
              <w:spacing w:line="360" w:lineRule="auto"/>
              <w:ind w:firstLine="482" w:firstLineChars="200"/>
              <w:rPr>
                <w:rFonts w:hint="eastAsia"/>
                <w:b/>
                <w:bCs/>
                <w:color w:val="000000"/>
                <w:sz w:val="24"/>
              </w:rPr>
            </w:pPr>
            <w:r>
              <w:rPr>
                <w:rFonts w:hint="eastAsia"/>
                <w:b/>
                <w:bCs/>
                <w:color w:val="000000"/>
                <w:sz w:val="24"/>
              </w:rPr>
              <w:t>噪声</w:t>
            </w:r>
          </w:p>
          <w:p>
            <w:pPr>
              <w:spacing w:line="360" w:lineRule="auto"/>
              <w:ind w:firstLine="480" w:firstLineChars="200"/>
            </w:pPr>
            <w:r>
              <w:rPr>
                <w:rFonts w:hint="eastAsia"/>
                <w:color w:val="000000"/>
                <w:sz w:val="24"/>
              </w:rPr>
              <w:t>项目运营期无噪声，</w:t>
            </w:r>
            <w:r>
              <w:rPr>
                <w:color w:val="000000"/>
                <w:sz w:val="24"/>
              </w:rPr>
              <w:t>施工期执行《建筑施工场界环境噪声排放标准》（GB12523-2011）：昼间，&lt;70dB(A)，夜间&lt;55dB(A)。</w:t>
            </w:r>
          </w:p>
          <w:p>
            <w:pPr>
              <w:spacing w:line="360" w:lineRule="auto"/>
              <w:ind w:firstLine="482" w:firstLineChars="200"/>
              <w:rPr>
                <w:rFonts w:hint="eastAsia"/>
                <w:b/>
                <w:bCs/>
                <w:color w:val="000000"/>
                <w:sz w:val="24"/>
              </w:rPr>
            </w:pPr>
            <w:r>
              <w:rPr>
                <w:rFonts w:hint="eastAsia"/>
                <w:b/>
                <w:bCs/>
                <w:color w:val="000000"/>
                <w:sz w:val="24"/>
              </w:rPr>
              <w:t>2、废水</w:t>
            </w:r>
          </w:p>
          <w:p>
            <w:pPr>
              <w:spacing w:line="360" w:lineRule="auto"/>
              <w:ind w:firstLine="480" w:firstLineChars="200"/>
              <w:rPr>
                <w:color w:val="000000"/>
                <w:sz w:val="24"/>
              </w:rPr>
            </w:pPr>
            <w:r>
              <w:rPr>
                <w:rFonts w:hint="eastAsia"/>
                <w:color w:val="000000"/>
                <w:sz w:val="24"/>
              </w:rPr>
              <w:t>项目施工期废水主要为砼砂浆拌和系统和砼养护冲洗废水、施工人员生活污水。</w:t>
            </w:r>
          </w:p>
          <w:p>
            <w:pPr>
              <w:spacing w:line="360" w:lineRule="auto"/>
              <w:ind w:firstLine="480" w:firstLineChars="200"/>
              <w:rPr>
                <w:rFonts w:hint="eastAsia"/>
                <w:color w:val="000000"/>
                <w:sz w:val="24"/>
              </w:rPr>
            </w:pPr>
            <w:r>
              <w:rPr>
                <w:rFonts w:hint="eastAsia" w:ascii="宋体" w:hAnsi="宋体" w:cs="宋体"/>
                <w:color w:val="000000"/>
                <w:sz w:val="24"/>
              </w:rPr>
              <w:t>①</w:t>
            </w:r>
            <w:r>
              <w:rPr>
                <w:rFonts w:hint="eastAsia"/>
                <w:color w:val="000000"/>
                <w:sz w:val="24"/>
              </w:rPr>
              <w:t>砼砂浆拌和系统和砼养护冲洗废水：利用主体工程开挖的排水沟、集水沟汇集产生废水，经沉淀后，清水用于砼砂浆拌和机用水，工程完成后对澄清池进行填埋；</w:t>
            </w:r>
          </w:p>
          <w:p>
            <w:pPr>
              <w:spacing w:line="360" w:lineRule="auto"/>
              <w:ind w:firstLine="480" w:firstLineChars="200"/>
              <w:rPr>
                <w:rFonts w:hint="eastAsia" w:eastAsia="宋体"/>
                <w:color w:val="000000"/>
                <w:sz w:val="24"/>
                <w:lang w:eastAsia="zh-CN"/>
              </w:rPr>
            </w:pPr>
            <w:r>
              <w:rPr>
                <w:rFonts w:hint="eastAsia" w:ascii="宋体" w:hAnsi="宋体" w:cs="宋体"/>
                <w:color w:val="000000"/>
                <w:sz w:val="24"/>
              </w:rPr>
              <w:t>②</w:t>
            </w:r>
            <w:r>
              <w:rPr>
                <w:rFonts w:hint="eastAsia"/>
                <w:color w:val="000000"/>
                <w:sz w:val="24"/>
              </w:rPr>
              <w:t>施工人员生活污水：依托周边既有生活污水处理设施处理</w:t>
            </w:r>
            <w:r>
              <w:rPr>
                <w:rFonts w:hint="eastAsia"/>
                <w:color w:val="000000"/>
                <w:sz w:val="24"/>
                <w:lang w:eastAsia="zh-CN"/>
              </w:rPr>
              <w:t>，不外排。</w:t>
            </w:r>
          </w:p>
          <w:p>
            <w:pPr>
              <w:pStyle w:val="2"/>
              <w:spacing w:line="360" w:lineRule="auto"/>
              <w:ind w:firstLine="480" w:firstLineChars="200"/>
              <w:jc w:val="both"/>
              <w:outlineLvl w:val="1"/>
              <w:rPr>
                <w:rFonts w:hint="eastAsia"/>
                <w:b w:val="0"/>
                <w:bCs w:val="0"/>
              </w:rPr>
            </w:pPr>
            <w:r>
              <w:rPr>
                <w:rFonts w:hint="eastAsia"/>
                <w:b w:val="0"/>
                <w:bCs w:val="0"/>
                <w:color w:val="000000"/>
              </w:rPr>
              <w:t>项目运营期不新增固定工作人员，不新增生活污水。</w:t>
            </w:r>
          </w:p>
          <w:p>
            <w:pPr>
              <w:spacing w:line="360" w:lineRule="auto"/>
              <w:ind w:firstLine="482" w:firstLineChars="200"/>
              <w:rPr>
                <w:color w:val="000000"/>
                <w:sz w:val="24"/>
              </w:rPr>
            </w:pPr>
            <w:r>
              <w:rPr>
                <w:rFonts w:hint="eastAsia"/>
                <w:b/>
                <w:bCs/>
                <w:color w:val="000000"/>
                <w:sz w:val="24"/>
              </w:rPr>
              <w:t>3、废气</w:t>
            </w:r>
          </w:p>
          <w:p>
            <w:pPr>
              <w:spacing w:line="360" w:lineRule="auto"/>
              <w:ind w:firstLine="480" w:firstLineChars="200"/>
              <w:rPr>
                <w:rFonts w:hint="eastAsia"/>
                <w:color w:val="000000"/>
                <w:sz w:val="24"/>
              </w:rPr>
            </w:pPr>
            <w:r>
              <w:rPr>
                <w:rFonts w:hint="eastAsia"/>
                <w:color w:val="000000"/>
                <w:sz w:val="24"/>
              </w:rPr>
              <w:t>工程运营期无废气污染物，施工期路面铺设沥青时有少量沥青烟挥发</w:t>
            </w:r>
            <w:r>
              <w:rPr>
                <w:rFonts w:hint="eastAsia"/>
                <w:color w:val="000000"/>
                <w:sz w:val="24"/>
                <w:lang w:eastAsia="zh-CN"/>
              </w:rPr>
              <w:t>，施工期大气</w:t>
            </w:r>
            <w:r>
              <w:rPr>
                <w:rFonts w:hint="eastAsia"/>
                <w:color w:val="000000"/>
                <w:sz w:val="24"/>
              </w:rPr>
              <w:t>污染物主要为</w:t>
            </w:r>
            <w:r>
              <w:rPr>
                <w:color w:val="000000"/>
                <w:sz w:val="24"/>
              </w:rPr>
              <w:t>TSP</w:t>
            </w:r>
            <w:r>
              <w:rPr>
                <w:rFonts w:hint="eastAsia"/>
                <w:color w:val="000000"/>
                <w:sz w:val="24"/>
              </w:rPr>
              <w:t>，TSP执行《四川省施工场地扬尘排放标准》（DB51/2682-2020）表1中施工场地排放限值，具体见表3-1</w:t>
            </w:r>
            <w:r>
              <w:rPr>
                <w:rFonts w:hint="eastAsia"/>
                <w:color w:val="000000"/>
                <w:sz w:val="24"/>
                <w:lang w:val="en-US" w:eastAsia="zh-CN"/>
              </w:rPr>
              <w:t>7</w:t>
            </w:r>
            <w:r>
              <w:rPr>
                <w:rFonts w:hint="eastAsia"/>
                <w:color w:val="000000"/>
                <w:sz w:val="24"/>
              </w:rPr>
              <w:t>。</w:t>
            </w:r>
          </w:p>
          <w:p>
            <w:pPr>
              <w:wordWrap w:val="0"/>
              <w:adjustRightInd w:val="0"/>
              <w:snapToGrid w:val="0"/>
              <w:spacing w:line="240" w:lineRule="auto"/>
              <w:ind w:left="0" w:leftChars="0" w:right="0" w:rightChars="0" w:firstLine="0" w:firstLineChars="0"/>
              <w:jc w:val="center"/>
              <w:rPr>
                <w:rFonts w:hint="eastAsia"/>
                <w:b/>
                <w:color w:val="000000"/>
                <w:szCs w:val="21"/>
              </w:rPr>
            </w:pPr>
            <w:r>
              <w:rPr>
                <w:rFonts w:hint="eastAsia"/>
                <w:b/>
                <w:color w:val="000000"/>
                <w:szCs w:val="21"/>
              </w:rPr>
              <w:t>表3-1</w:t>
            </w:r>
            <w:r>
              <w:rPr>
                <w:rFonts w:hint="eastAsia"/>
                <w:b/>
                <w:color w:val="000000"/>
                <w:szCs w:val="21"/>
                <w:lang w:val="en-US" w:eastAsia="zh-CN"/>
              </w:rPr>
              <w:t>7</w:t>
            </w:r>
            <w:r>
              <w:rPr>
                <w:b/>
                <w:color w:val="000000"/>
                <w:szCs w:val="21"/>
              </w:rPr>
              <w:t xml:space="preserve">  </w:t>
            </w:r>
            <w:r>
              <w:rPr>
                <w:rFonts w:hint="eastAsia"/>
                <w:b/>
                <w:color w:val="000000"/>
                <w:szCs w:val="21"/>
              </w:rPr>
              <w:t>大气污染物排放标准限值</w:t>
            </w:r>
          </w:p>
          <w:tbl>
            <w:tblPr>
              <w:tblStyle w:val="39"/>
              <w:tblW w:w="755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21"/>
              <w:gridCol w:w="4425"/>
              <w:gridCol w:w="1847"/>
              <w:gridCol w:w="5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3" w:hRule="exact"/>
                <w:jc w:val="center"/>
              </w:trPr>
              <w:tc>
                <w:tcPr>
                  <w:tcW w:w="721" w:type="dxa"/>
                  <w:noWrap w:val="0"/>
                  <w:vAlign w:val="center"/>
                </w:tcPr>
                <w:p>
                  <w:pPr>
                    <w:pStyle w:val="156"/>
                    <w:kinsoku w:val="0"/>
                    <w:overflowPunct w:val="0"/>
                    <w:rPr>
                      <w:rFonts w:hint="eastAsia" w:ascii="宋体" w:hAnsi="宋体" w:eastAsia="宋体" w:cs="宋体"/>
                      <w:color w:val="000000"/>
                      <w:sz w:val="21"/>
                      <w:szCs w:val="21"/>
                    </w:rPr>
                  </w:pPr>
                  <w:r>
                    <w:rPr>
                      <w:rFonts w:hint="eastAsia" w:ascii="宋体" w:hAnsi="宋体" w:eastAsia="宋体" w:cs="宋体"/>
                      <w:b/>
                      <w:bCs/>
                      <w:color w:val="000000"/>
                      <w:sz w:val="21"/>
                      <w:szCs w:val="21"/>
                    </w:rPr>
                    <w:t>污染物</w:t>
                  </w:r>
                </w:p>
              </w:tc>
              <w:tc>
                <w:tcPr>
                  <w:tcW w:w="4425" w:type="dxa"/>
                  <w:noWrap w:val="0"/>
                  <w:vAlign w:val="center"/>
                </w:tcPr>
                <w:p>
                  <w:pPr>
                    <w:pStyle w:val="156"/>
                    <w:kinsoku w:val="0"/>
                    <w:overflowPunct w:val="0"/>
                    <w:rPr>
                      <w:rFonts w:hint="eastAsia" w:ascii="宋体" w:hAnsi="宋体" w:eastAsia="宋体" w:cs="宋体"/>
                      <w:color w:val="000000"/>
                      <w:sz w:val="21"/>
                      <w:szCs w:val="21"/>
                    </w:rPr>
                  </w:pPr>
                  <w:r>
                    <w:rPr>
                      <w:rFonts w:hint="eastAsia" w:ascii="宋体" w:hAnsi="宋体" w:eastAsia="宋体" w:cs="宋体"/>
                      <w:b/>
                      <w:bCs/>
                      <w:color w:val="000000"/>
                      <w:sz w:val="21"/>
                      <w:szCs w:val="21"/>
                    </w:rPr>
                    <w:t>区域</w:t>
                  </w:r>
                </w:p>
              </w:tc>
              <w:tc>
                <w:tcPr>
                  <w:tcW w:w="1847" w:type="dxa"/>
                  <w:noWrap w:val="0"/>
                  <w:vAlign w:val="center"/>
                </w:tcPr>
                <w:p>
                  <w:pPr>
                    <w:pStyle w:val="156"/>
                    <w:kinsoku w:val="0"/>
                    <w:overflowPunct w:val="0"/>
                    <w:rPr>
                      <w:rFonts w:hint="eastAsia" w:ascii="宋体" w:hAnsi="宋体" w:eastAsia="宋体" w:cs="宋体"/>
                      <w:color w:val="000000"/>
                      <w:sz w:val="21"/>
                      <w:szCs w:val="21"/>
                    </w:rPr>
                  </w:pPr>
                  <w:r>
                    <w:rPr>
                      <w:rFonts w:hint="eastAsia" w:ascii="宋体" w:hAnsi="宋体" w:eastAsia="宋体" w:cs="宋体"/>
                      <w:b/>
                      <w:bCs/>
                      <w:color w:val="000000"/>
                      <w:sz w:val="21"/>
                      <w:szCs w:val="21"/>
                    </w:rPr>
                    <w:t>施工阶段</w:t>
                  </w:r>
                </w:p>
              </w:tc>
              <w:tc>
                <w:tcPr>
                  <w:tcW w:w="565" w:type="dxa"/>
                  <w:noWrap w:val="0"/>
                  <w:vAlign w:val="center"/>
                </w:tcPr>
                <w:p>
                  <w:pPr>
                    <w:pStyle w:val="156"/>
                    <w:kinsoku w:val="0"/>
                    <w:overflowPunct w:val="0"/>
                    <w:rPr>
                      <w:rFonts w:hint="eastAsia" w:ascii="宋体" w:hAnsi="宋体" w:eastAsia="宋体" w:cs="宋体"/>
                      <w:color w:val="000000"/>
                      <w:sz w:val="21"/>
                      <w:szCs w:val="21"/>
                    </w:rPr>
                  </w:pPr>
                  <w:r>
                    <w:rPr>
                      <w:rFonts w:hint="eastAsia" w:ascii="宋体" w:hAnsi="宋体" w:eastAsia="宋体" w:cs="宋体"/>
                      <w:b/>
                      <w:bCs/>
                      <w:color w:val="000000"/>
                      <w:sz w:val="21"/>
                      <w:szCs w:val="21"/>
                    </w:rPr>
                    <w:t>监测点排放限值</w:t>
                  </w:r>
                </w:p>
                <w:p>
                  <w:pPr>
                    <w:pStyle w:val="156"/>
                    <w:kinsoku w:val="0"/>
                    <w:overflowPunct w:val="0"/>
                    <w:rPr>
                      <w:rFonts w:hint="eastAsia" w:ascii="宋体" w:hAnsi="宋体" w:eastAsia="宋体" w:cs="宋体"/>
                      <w:color w:val="000000"/>
                      <w:sz w:val="21"/>
                      <w:szCs w:val="21"/>
                    </w:rPr>
                  </w:pPr>
                  <w:r>
                    <w:rPr>
                      <w:rFonts w:hint="eastAsia" w:ascii="宋体" w:hAnsi="宋体" w:eastAsia="宋体" w:cs="宋体"/>
                      <w:b/>
                      <w:bCs/>
                      <w:color w:val="000000"/>
                      <w:sz w:val="21"/>
                      <w:szCs w:val="21"/>
                    </w:rPr>
                    <w:t>（mg/m</w:t>
                  </w:r>
                  <w:r>
                    <w:rPr>
                      <w:rFonts w:hint="eastAsia" w:ascii="宋体" w:hAnsi="宋体" w:eastAsia="宋体" w:cs="宋体"/>
                      <w:b/>
                      <w:bCs/>
                      <w:color w:val="000000"/>
                      <w:sz w:val="21"/>
                      <w:szCs w:val="21"/>
                      <w:vertAlign w:val="superscript"/>
                    </w:rPr>
                    <w:t>3</w:t>
                  </w:r>
                  <w:r>
                    <w:rPr>
                      <w:rFonts w:hint="eastAsia" w:ascii="宋体" w:hAnsi="宋体" w:eastAsia="宋体" w:cs="宋体"/>
                      <w:b/>
                      <w:bCs/>
                      <w:color w:val="00000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4" w:hRule="exact"/>
                <w:jc w:val="center"/>
              </w:trPr>
              <w:tc>
                <w:tcPr>
                  <w:tcW w:w="721" w:type="dxa"/>
                  <w:vMerge w:val="restart"/>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总悬浮颗粒物（TSP）</w:t>
                  </w:r>
                </w:p>
              </w:tc>
              <w:tc>
                <w:tcPr>
                  <w:tcW w:w="4425" w:type="dxa"/>
                  <w:vMerge w:val="restart"/>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成都市、自贡市、泸州市、德阳市、乐山市、广元市、遂宁市、内江市、南充市、宜宾市、广安市、达州市、巴中市、雅安市、眉山市、资阳市</w:t>
                  </w:r>
                </w:p>
              </w:tc>
              <w:tc>
                <w:tcPr>
                  <w:tcW w:w="1847" w:type="dxa"/>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拆除工程/土方开挖/土方回填阶段</w:t>
                  </w:r>
                </w:p>
              </w:tc>
              <w:tc>
                <w:tcPr>
                  <w:tcW w:w="565" w:type="dxa"/>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exact"/>
                <w:jc w:val="center"/>
              </w:trPr>
              <w:tc>
                <w:tcPr>
                  <w:tcW w:w="721" w:type="dxa"/>
                  <w:vMerge w:val="continue"/>
                  <w:noWrap w:val="0"/>
                  <w:vAlign w:val="center"/>
                </w:tcPr>
                <w:p>
                  <w:pPr>
                    <w:pStyle w:val="156"/>
                    <w:kinsoku w:val="0"/>
                    <w:overflowPunct w:val="0"/>
                    <w:rPr>
                      <w:rFonts w:hint="eastAsia" w:ascii="Times New Roman" w:hAnsi="Times New Roman" w:eastAsia="宋体"/>
                      <w:color w:val="000000"/>
                      <w:kern w:val="2"/>
                      <w:sz w:val="21"/>
                      <w:szCs w:val="21"/>
                      <w:lang w:val="en-US" w:bidi="ar-SA"/>
                    </w:rPr>
                  </w:pPr>
                </w:p>
              </w:tc>
              <w:tc>
                <w:tcPr>
                  <w:tcW w:w="4425" w:type="dxa"/>
                  <w:vMerge w:val="continue"/>
                  <w:noWrap w:val="0"/>
                  <w:vAlign w:val="center"/>
                </w:tcPr>
                <w:p>
                  <w:pPr>
                    <w:pStyle w:val="156"/>
                    <w:kinsoku w:val="0"/>
                    <w:overflowPunct w:val="0"/>
                    <w:rPr>
                      <w:rFonts w:hint="eastAsia" w:ascii="Times New Roman" w:hAnsi="Times New Roman" w:eastAsia="宋体"/>
                      <w:color w:val="000000"/>
                      <w:kern w:val="2"/>
                      <w:sz w:val="21"/>
                      <w:szCs w:val="21"/>
                      <w:lang w:val="en-US" w:bidi="ar-SA"/>
                    </w:rPr>
                  </w:pPr>
                </w:p>
              </w:tc>
              <w:tc>
                <w:tcPr>
                  <w:tcW w:w="1847" w:type="dxa"/>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其他工程阶段</w:t>
                  </w:r>
                </w:p>
              </w:tc>
              <w:tc>
                <w:tcPr>
                  <w:tcW w:w="565" w:type="dxa"/>
                  <w:noWrap w:val="0"/>
                  <w:vAlign w:val="center"/>
                </w:tcPr>
                <w:p>
                  <w:pPr>
                    <w:pStyle w:val="156"/>
                    <w:kinsoku w:val="0"/>
                    <w:overflowPunct w:val="0"/>
                    <w:rPr>
                      <w:rFonts w:hint="eastAsia" w:ascii="Times New Roman" w:hAnsi="Times New Roman" w:eastAsia="宋体"/>
                      <w:color w:val="000000"/>
                      <w:kern w:val="2"/>
                      <w:sz w:val="21"/>
                      <w:szCs w:val="21"/>
                      <w:lang w:val="en-US" w:bidi="ar-SA"/>
                    </w:rPr>
                  </w:pPr>
                  <w:r>
                    <w:rPr>
                      <w:rFonts w:hint="eastAsia" w:ascii="Times New Roman" w:hAnsi="Times New Roman" w:eastAsia="宋体"/>
                      <w:color w:val="000000"/>
                      <w:kern w:val="2"/>
                      <w:sz w:val="21"/>
                      <w:szCs w:val="21"/>
                      <w:lang w:val="en-US" w:bidi="ar-SA"/>
                    </w:rPr>
                    <w:t>0.25</w:t>
                  </w:r>
                </w:p>
              </w:tc>
            </w:tr>
          </w:tbl>
          <w:p>
            <w:pPr>
              <w:pStyle w:val="138"/>
              <w:ind w:firstLine="482"/>
              <w:rPr>
                <w:b/>
                <w:color w:val="000000"/>
              </w:rPr>
            </w:pPr>
            <w:r>
              <w:rPr>
                <w:rFonts w:hint="eastAsia"/>
                <w:b/>
                <w:color w:val="000000"/>
              </w:rPr>
              <w:t>4、固体废弃物</w:t>
            </w:r>
          </w:p>
          <w:p>
            <w:pPr>
              <w:pStyle w:val="138"/>
              <w:rPr>
                <w:rFonts w:hint="eastAsia"/>
              </w:rPr>
            </w:pPr>
            <w:r>
              <w:rPr>
                <w:rFonts w:hint="eastAsia"/>
              </w:rPr>
              <w:t>本项目施工期固体废弃物主要是施工人员生活垃圾、施工过程中产生的建筑垃圾，运营期固体废弃物主要是管理房工作人员生活垃圾，本项目运营期不新增固定工作人员，不新增生活垃圾。</w:t>
            </w:r>
          </w:p>
          <w:p>
            <w:pPr>
              <w:pStyle w:val="138"/>
              <w:rPr>
                <w:szCs w:val="21"/>
              </w:rPr>
            </w:pPr>
            <w:r>
              <w:t>一般固废：执行《一般工业固体废物贮存、处置场污染控制标准》（GB18599-2011）和中华人民共和国环境保护部公告2013年（第36号）关于发布《一般工业固体废物贮存、处置场污染控制标准》（GB18599-2001）污染物控制标准修改单的公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468" w:type="pct"/>
            <w:noWrap w:val="0"/>
            <w:vAlign w:val="center"/>
          </w:tcPr>
          <w:p>
            <w:pPr>
              <w:adjustRightInd w:val="0"/>
              <w:snapToGrid w:val="0"/>
              <w:jc w:val="center"/>
              <w:rPr>
                <w:rFonts w:hint="eastAsia" w:ascii="宋体" w:hAnsi="宋体" w:cs="宋体"/>
                <w:color w:val="000000"/>
                <w:kern w:val="0"/>
                <w:szCs w:val="21"/>
              </w:rPr>
            </w:pPr>
            <w:r>
              <w:rPr>
                <w:rFonts w:hint="eastAsia" w:ascii="宋体" w:hAnsi="宋体" w:cs="宋体"/>
                <w:color w:val="000000"/>
                <w:kern w:val="0"/>
                <w:sz w:val="24"/>
              </w:rPr>
              <w:t>总量控制指标</w:t>
            </w:r>
          </w:p>
        </w:tc>
        <w:tc>
          <w:tcPr>
            <w:tcW w:w="4531" w:type="pct"/>
            <w:noWrap w:val="0"/>
            <w:vAlign w:val="center"/>
          </w:tcPr>
          <w:p>
            <w:pPr>
              <w:adjustRightInd w:val="0"/>
              <w:snapToGrid w:val="0"/>
              <w:ind w:firstLine="480" w:firstLineChars="200"/>
              <w:jc w:val="left"/>
              <w:rPr>
                <w:rFonts w:ascii="宋体" w:hAnsi="宋体" w:cs="宋体"/>
                <w:color w:val="000000"/>
                <w:kern w:val="0"/>
                <w:szCs w:val="21"/>
              </w:rPr>
            </w:pPr>
            <w:r>
              <w:rPr>
                <w:rFonts w:hint="eastAsia"/>
                <w:color w:val="000000"/>
                <w:sz w:val="24"/>
              </w:rPr>
              <w:t>本项目实施后，运营期无废气、废水污染物产生，无需申请总量指标。</w:t>
            </w:r>
          </w:p>
        </w:tc>
      </w:tr>
    </w:tbl>
    <w:p>
      <w:pPr>
        <w:pStyle w:val="34"/>
        <w:adjustRightInd w:val="0"/>
        <w:snapToGrid w:val="0"/>
        <w:spacing w:before="0" w:beforeAutospacing="0" w:after="0" w:afterAutospacing="0" w:line="14" w:lineRule="auto"/>
        <w:jc w:val="center"/>
        <w:rPr>
          <w:rFonts w:ascii="黑体" w:hAnsi="黑体" w:eastAsia="黑体"/>
          <w:snapToGrid w:val="0"/>
          <w:color w:val="000000"/>
          <w:kern w:val="2"/>
          <w:sz w:val="36"/>
          <w:szCs w:val="36"/>
        </w:rPr>
      </w:pPr>
    </w:p>
    <w:p>
      <w:pPr>
        <w:pStyle w:val="34"/>
        <w:jc w:val="center"/>
        <w:outlineLvl w:val="0"/>
        <w:rPr>
          <w:rFonts w:ascii="黑体" w:hAnsi="黑体" w:eastAsia="黑体"/>
          <w:snapToGrid w:val="0"/>
          <w:color w:val="000000"/>
          <w:sz w:val="30"/>
          <w:szCs w:val="30"/>
        </w:rPr>
      </w:pPr>
      <w:r>
        <w:rPr>
          <w:rFonts w:ascii="黑体" w:hAnsi="黑体" w:eastAsia="黑体"/>
          <w:snapToGrid w:val="0"/>
          <w:color w:val="000000"/>
          <w:kern w:val="2"/>
          <w:sz w:val="36"/>
          <w:szCs w:val="36"/>
        </w:rPr>
        <w:br w:type="page"/>
      </w:r>
      <w:r>
        <w:rPr>
          <w:rFonts w:hint="eastAsia" w:ascii="黑体" w:hAnsi="黑体" w:eastAsia="黑体"/>
          <w:snapToGrid w:val="0"/>
          <w:color w:val="000000"/>
          <w:sz w:val="30"/>
          <w:szCs w:val="30"/>
        </w:rPr>
        <w:t>四、生态环境影响分析</w:t>
      </w:r>
    </w:p>
    <w:tbl>
      <w:tblPr>
        <w:tblStyle w:val="39"/>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79" w:type="dxa"/>
            <w:noWrap w:val="0"/>
            <w:tcMar>
              <w:left w:w="28" w:type="dxa"/>
              <w:right w:w="28" w:type="dxa"/>
            </w:tcMar>
            <w:vAlign w:val="center"/>
          </w:tcPr>
          <w:p>
            <w:pPr>
              <w:pStyle w:val="34"/>
              <w:adjustRightInd w:val="0"/>
              <w:snapToGrid w:val="0"/>
              <w:spacing w:before="0" w:beforeAutospacing="0" w:after="0" w:afterAutospacing="0"/>
              <w:jc w:val="center"/>
              <w:rPr>
                <w:rFonts w:cs="宋体"/>
                <w:bCs/>
                <w:color w:val="000000"/>
                <w:kern w:val="2"/>
                <w:szCs w:val="24"/>
              </w:rPr>
            </w:pPr>
            <w:bookmarkStart w:id="23" w:name="_Hlk49796138"/>
            <w:r>
              <w:rPr>
                <w:rFonts w:hint="eastAsia" w:cs="宋体"/>
                <w:bCs/>
                <w:color w:val="000000"/>
                <w:spacing w:val="10"/>
                <w:kern w:val="2"/>
                <w:szCs w:val="24"/>
              </w:rPr>
              <w:t>施工期生态环境影响分析</w:t>
            </w:r>
            <w:bookmarkEnd w:id="23"/>
          </w:p>
        </w:tc>
        <w:tc>
          <w:tcPr>
            <w:tcW w:w="8363" w:type="dxa"/>
            <w:noWrap w:val="0"/>
            <w:vAlign w:val="top"/>
          </w:tcPr>
          <w:p>
            <w:pPr>
              <w:widowControl/>
              <w:spacing w:line="360" w:lineRule="auto"/>
              <w:jc w:val="left"/>
              <w:rPr>
                <w:b/>
                <w:color w:val="000000"/>
                <w:sz w:val="28"/>
                <w:szCs w:val="28"/>
              </w:rPr>
            </w:pPr>
            <w:r>
              <w:rPr>
                <w:b/>
                <w:color w:val="000000"/>
                <w:kern w:val="0"/>
                <w:sz w:val="28"/>
                <w:szCs w:val="28"/>
                <w:lang w:bidi="ar"/>
              </w:rPr>
              <w:t>1</w:t>
            </w:r>
            <w:r>
              <w:rPr>
                <w:rFonts w:hAnsi="宋体"/>
                <w:b/>
                <w:color w:val="000000"/>
                <w:kern w:val="0"/>
                <w:sz w:val="28"/>
                <w:szCs w:val="28"/>
                <w:lang w:bidi="ar"/>
              </w:rPr>
              <w:t>、</w:t>
            </w:r>
            <w:r>
              <w:rPr>
                <w:rFonts w:hint="eastAsia" w:hAnsi="宋体"/>
                <w:b/>
                <w:color w:val="000000"/>
                <w:kern w:val="0"/>
                <w:sz w:val="28"/>
                <w:szCs w:val="28"/>
                <w:lang w:bidi="ar"/>
              </w:rPr>
              <w:t>水</w:t>
            </w:r>
            <w:r>
              <w:rPr>
                <w:rFonts w:hAnsi="宋体"/>
                <w:b/>
                <w:color w:val="000000"/>
                <w:kern w:val="0"/>
                <w:sz w:val="28"/>
                <w:szCs w:val="28"/>
                <w:lang w:bidi="ar"/>
              </w:rPr>
              <w:t>环境影响分析</w:t>
            </w:r>
          </w:p>
          <w:p>
            <w:pPr>
              <w:pStyle w:val="223"/>
              <w:bidi w:val="0"/>
              <w:rPr>
                <w:color w:val="000000"/>
              </w:rPr>
            </w:pPr>
            <w:r>
              <w:rPr>
                <w:rFonts w:hint="eastAsia" w:ascii="Times New Roman" w:hAnsi="Times New Roman"/>
                <w:color w:val="000000"/>
              </w:rPr>
              <w:t>根据设计，</w:t>
            </w:r>
            <w:r>
              <w:rPr>
                <w:rFonts w:ascii="Times New Roman" w:hAnsi="Times New Roman"/>
                <w:color w:val="000000"/>
              </w:rPr>
              <w:t>本次青白渠放水</w:t>
            </w:r>
            <w:r>
              <w:rPr>
                <w:rFonts w:hint="eastAsia" w:ascii="Times New Roman" w:hAnsi="Times New Roman"/>
                <w:color w:val="000000"/>
              </w:rPr>
              <w:t>设施</w:t>
            </w:r>
            <w:r>
              <w:rPr>
                <w:rFonts w:ascii="Times New Roman" w:hAnsi="Times New Roman"/>
                <w:color w:val="000000"/>
              </w:rPr>
              <w:t>的施工，高中水库可提前进行春灌放水，在4月初，即将水库库水位降至高程397.00m，在4月~5月可结合春灌放水，继续将水位在5月底降至396.5m，同时保持4月至6月，关闭高中水库棉花堰进水闸，青白渠放水</w:t>
            </w:r>
            <w:r>
              <w:rPr>
                <w:rFonts w:hint="eastAsia" w:ascii="Times New Roman" w:hAnsi="Times New Roman"/>
                <w:color w:val="000000"/>
              </w:rPr>
              <w:t>设施</w:t>
            </w:r>
            <w:r>
              <w:rPr>
                <w:rFonts w:ascii="Times New Roman" w:hAnsi="Times New Roman"/>
                <w:color w:val="000000"/>
              </w:rPr>
              <w:t>可在无水状态下施工，而不设导流建筑物，在6月底，青白渠放水</w:t>
            </w:r>
            <w:r>
              <w:rPr>
                <w:rFonts w:hint="eastAsia" w:ascii="Times New Roman" w:hAnsi="Times New Roman"/>
                <w:color w:val="000000"/>
              </w:rPr>
              <w:t>设施</w:t>
            </w:r>
            <w:r>
              <w:rPr>
                <w:rFonts w:ascii="Times New Roman" w:hAnsi="Times New Roman"/>
                <w:color w:val="000000"/>
              </w:rPr>
              <w:t>施工完成，并具备下闸挡水条件</w:t>
            </w:r>
            <w:r>
              <w:rPr>
                <w:rFonts w:hint="eastAsia" w:ascii="Times New Roman" w:hAnsi="Times New Roman"/>
                <w:color w:val="000000"/>
              </w:rPr>
              <w:t>；而</w:t>
            </w:r>
            <w:r>
              <w:rPr>
                <w:rFonts w:hint="eastAsia"/>
                <w:color w:val="000000"/>
              </w:rPr>
              <w:t>本项目右干渠及渠系建筑物建设时，全部断水施工，因此，本项目不涉及涉水施工，不会对地表水产生明显影响。</w:t>
            </w:r>
          </w:p>
          <w:p>
            <w:pPr>
              <w:pStyle w:val="138"/>
              <w:ind w:firstLine="482"/>
              <w:rPr>
                <w:rFonts w:hint="eastAsia"/>
                <w:b/>
                <w:bCs/>
                <w:color w:val="000000"/>
              </w:rPr>
            </w:pPr>
            <w:r>
              <w:rPr>
                <w:rFonts w:hint="eastAsia"/>
                <w:b/>
                <w:bCs/>
                <w:color w:val="000000"/>
              </w:rPr>
              <w:t>（1）砼砂浆拌和系统和砼养护冲洗废水</w:t>
            </w:r>
          </w:p>
          <w:p>
            <w:pPr>
              <w:pStyle w:val="223"/>
              <w:bidi w:val="0"/>
              <w:rPr>
                <w:rFonts w:ascii="Times New Roman" w:hAnsi="Times New Roman"/>
                <w:color w:val="000000"/>
              </w:rPr>
            </w:pPr>
            <w:r>
              <w:rPr>
                <w:rFonts w:hint="eastAsia"/>
                <w:color w:val="000000"/>
              </w:rPr>
              <w:t>本工程施工总体布置在施工区设置了</w:t>
            </w:r>
            <w:r>
              <w:rPr>
                <w:rFonts w:hint="eastAsia"/>
                <w:color w:val="000000"/>
                <w:lang w:val="en-US" w:eastAsia="zh-CN"/>
              </w:rPr>
              <w:t>13</w:t>
            </w:r>
            <w:r>
              <w:rPr>
                <w:rFonts w:hint="eastAsia"/>
                <w:color w:val="000000"/>
              </w:rPr>
              <w:t>处砼砂浆拌和点和制浆站，砼拌和机冲洗废水为1.0m</w:t>
            </w:r>
            <w:r>
              <w:rPr>
                <w:rFonts w:hint="eastAsia"/>
                <w:color w:val="000000"/>
                <w:vertAlign w:val="superscript"/>
              </w:rPr>
              <w:t>3</w:t>
            </w:r>
            <w:r>
              <w:rPr>
                <w:rFonts w:hint="eastAsia"/>
                <w:color w:val="000000"/>
              </w:rPr>
              <w:t>/次，砂浆拌和机冲洗废水为0.6m</w:t>
            </w:r>
            <w:r>
              <w:rPr>
                <w:rFonts w:hint="eastAsia"/>
                <w:color w:val="000000"/>
                <w:vertAlign w:val="superscript"/>
              </w:rPr>
              <w:t>3</w:t>
            </w:r>
            <w:r>
              <w:rPr>
                <w:rFonts w:hint="eastAsia"/>
                <w:color w:val="000000"/>
              </w:rPr>
              <w:t>/次，冲洗废水中悬浮物含量较高，如直接排放会影响水质。混凝土施工过程中会产生一定量的碱性污水，混疑土养护水的pH值为9~11。根据国内相关工程生产污水量统计，每吨混凝土施工污水排放量一般在1~3m</w:t>
            </w:r>
            <w:r>
              <w:rPr>
                <w:rFonts w:hint="eastAsia"/>
                <w:color w:val="000000"/>
                <w:vertAlign w:val="superscript"/>
              </w:rPr>
              <w:t>3</w:t>
            </w:r>
            <w:r>
              <w:rPr>
                <w:rFonts w:hint="eastAsia"/>
                <w:color w:val="000000"/>
              </w:rPr>
              <w:t>。</w:t>
            </w:r>
            <w:r>
              <w:rPr>
                <w:rFonts w:hAnsi="宋体"/>
              </w:rPr>
              <w:t>施工区生产废水处理采用坑储澄清处理，根据需要，应修</w:t>
            </w:r>
            <w:r>
              <w:rPr>
                <w:rFonts w:hAnsi="宋体"/>
                <w:color w:val="000000"/>
                <w:highlight w:val="none"/>
              </w:rPr>
              <w:t>建澄清池。</w:t>
            </w:r>
            <w:r>
              <w:rPr>
                <w:rFonts w:hAnsi="宋体"/>
              </w:rPr>
              <w:t>利用主体工程开挖的排水沟、集水沟汇集生产废水，采取自然坑储澄清处理生产废水，经沉淀后，清水用于砼砂浆拌和机用水，工程完工后对澄清池进行填埋。</w:t>
            </w:r>
          </w:p>
          <w:p>
            <w:pPr>
              <w:pStyle w:val="223"/>
              <w:bidi w:val="0"/>
              <w:rPr>
                <w:rFonts w:hint="eastAsia"/>
              </w:rPr>
            </w:pPr>
            <w:r>
              <w:t>因此</w:t>
            </w:r>
            <w:r>
              <w:rPr>
                <w:rFonts w:hint="eastAsia"/>
              </w:rPr>
              <w:t>，</w:t>
            </w:r>
            <w:r>
              <w:t>施工期砼砂浆拌和系统和砼养护冲洗废水不会对河道水体环境产生影响。</w:t>
            </w:r>
          </w:p>
          <w:p>
            <w:pPr>
              <w:pStyle w:val="138"/>
              <w:ind w:firstLine="482"/>
              <w:rPr>
                <w:rFonts w:hint="eastAsia"/>
                <w:b/>
                <w:bCs/>
                <w:color w:val="000000"/>
              </w:rPr>
            </w:pPr>
            <w:r>
              <w:rPr>
                <w:rFonts w:hint="eastAsia"/>
                <w:b/>
                <w:bCs/>
                <w:color w:val="000000"/>
              </w:rPr>
              <w:t>（2）施工人员生活污水</w:t>
            </w:r>
          </w:p>
          <w:p>
            <w:pPr>
              <w:pStyle w:val="223"/>
              <w:bidi w:val="0"/>
              <w:rPr>
                <w:rFonts w:hint="eastAsia" w:eastAsia="宋体"/>
                <w:lang w:eastAsia="zh-CN"/>
              </w:rPr>
            </w:pPr>
            <w:r>
              <w:rPr>
                <w:rFonts w:hint="eastAsia"/>
                <w:color w:val="000000"/>
              </w:rPr>
              <w:t>按施工期高峰人数150人/d，人均用水0.1m</w:t>
            </w:r>
            <w:r>
              <w:rPr>
                <w:rFonts w:hint="eastAsia"/>
                <w:color w:val="000000"/>
                <w:vertAlign w:val="superscript"/>
              </w:rPr>
              <w:t>3</w:t>
            </w:r>
            <w:r>
              <w:rPr>
                <w:rFonts w:hint="eastAsia"/>
                <w:color w:val="000000"/>
              </w:rPr>
              <w:t>/d，排污系数0.8。则平均生活污水排放量12m</w:t>
            </w:r>
            <w:r>
              <w:rPr>
                <w:rFonts w:hint="eastAsia"/>
                <w:color w:val="000000"/>
                <w:vertAlign w:val="superscript"/>
              </w:rPr>
              <w:t>3</w:t>
            </w:r>
            <w:r>
              <w:rPr>
                <w:rFonts w:hint="eastAsia"/>
                <w:color w:val="000000"/>
              </w:rPr>
              <w:t>/d</w:t>
            </w:r>
            <w:r>
              <w:rPr>
                <w:rFonts w:hint="eastAsia"/>
                <w:color w:val="000000"/>
                <w:lang w:eastAsia="zh-CN"/>
              </w:rPr>
              <w:t>，</w:t>
            </w:r>
            <w:r>
              <w:rPr>
                <w:rFonts w:hint="eastAsia"/>
              </w:rPr>
              <w:t>生活污水依托周边既有生活污水处理设施处理</w:t>
            </w:r>
            <w:r>
              <w:rPr>
                <w:rFonts w:hint="eastAsia"/>
                <w:lang w:eastAsia="zh-CN"/>
              </w:rPr>
              <w:t>，不外排。</w:t>
            </w:r>
          </w:p>
          <w:p>
            <w:pPr>
              <w:pStyle w:val="223"/>
              <w:bidi w:val="0"/>
              <w:rPr>
                <w:rFonts w:hint="eastAsia"/>
              </w:rPr>
            </w:pPr>
            <w:r>
              <w:rPr>
                <w:rFonts w:hint="eastAsia"/>
              </w:rPr>
              <w:t>因此，施工期施工人员生活污水不会对河道水体环境产生影响。</w:t>
            </w:r>
          </w:p>
          <w:p>
            <w:pPr>
              <w:widowControl/>
              <w:spacing w:line="360" w:lineRule="auto"/>
              <w:jc w:val="left"/>
              <w:rPr>
                <w:rFonts w:hint="eastAsia"/>
                <w:b/>
                <w:color w:val="000000"/>
                <w:kern w:val="0"/>
                <w:sz w:val="28"/>
                <w:szCs w:val="28"/>
                <w:lang w:bidi="ar"/>
              </w:rPr>
            </w:pPr>
            <w:r>
              <w:rPr>
                <w:rFonts w:hint="eastAsia"/>
                <w:b/>
                <w:color w:val="000000"/>
                <w:kern w:val="0"/>
                <w:sz w:val="28"/>
                <w:szCs w:val="28"/>
                <w:lang w:bidi="ar"/>
              </w:rPr>
              <w:t>2、大气环境影响分析</w:t>
            </w:r>
          </w:p>
          <w:p>
            <w:pPr>
              <w:widowControl/>
              <w:spacing w:line="360" w:lineRule="auto"/>
              <w:ind w:firstLine="480" w:firstLineChars="200"/>
              <w:rPr>
                <w:bCs/>
                <w:color w:val="000000"/>
                <w:kern w:val="0"/>
                <w:sz w:val="24"/>
                <w:lang w:bidi="ar"/>
              </w:rPr>
            </w:pPr>
            <w:r>
              <w:rPr>
                <w:bCs/>
                <w:color w:val="000000"/>
                <w:kern w:val="0"/>
                <w:sz w:val="24"/>
                <w:lang w:bidi="ar"/>
              </w:rPr>
              <w:t>施工期对大气环境的影响主要是由施工过程中燃油、砼砂浆拌和以及机动车辆运输等产生</w:t>
            </w:r>
            <w:r>
              <w:rPr>
                <w:rFonts w:hint="eastAsia"/>
                <w:bCs/>
                <w:color w:val="000000"/>
                <w:kern w:val="0"/>
                <w:sz w:val="24"/>
                <w:lang w:bidi="ar"/>
              </w:rPr>
              <w:t>的扬尘、燃油废气等引起</w:t>
            </w:r>
            <w:r>
              <w:rPr>
                <w:bCs/>
                <w:color w:val="000000"/>
                <w:kern w:val="0"/>
                <w:sz w:val="24"/>
                <w:lang w:bidi="ar"/>
              </w:rPr>
              <w:t>。</w:t>
            </w:r>
          </w:p>
          <w:p>
            <w:pPr>
              <w:pStyle w:val="138"/>
              <w:ind w:firstLine="482"/>
              <w:rPr>
                <w:rFonts w:hint="eastAsia"/>
                <w:b/>
                <w:color w:val="000000"/>
              </w:rPr>
            </w:pPr>
            <w:r>
              <w:rPr>
                <w:rFonts w:hint="eastAsia"/>
                <w:b/>
                <w:color w:val="000000"/>
                <w:lang w:bidi="ar"/>
              </w:rPr>
              <w:t>（1）</w:t>
            </w:r>
            <w:r>
              <w:rPr>
                <w:rFonts w:hint="eastAsia"/>
                <w:b/>
                <w:color w:val="000000"/>
              </w:rPr>
              <w:t>施工及道路扬尘</w:t>
            </w:r>
          </w:p>
          <w:p>
            <w:pPr>
              <w:pStyle w:val="138"/>
              <w:rPr>
                <w:rFonts w:hint="eastAsia"/>
                <w:color w:val="000000"/>
              </w:rPr>
            </w:pPr>
            <w:r>
              <w:rPr>
                <w:rFonts w:hint="eastAsia"/>
                <w:color w:val="000000"/>
              </w:rPr>
              <w:t>由于施工的需要，一些建材需露天堆放，一些施工点表层土壤需人工开挖、堆放，在气候干燥又有风的情况下会产生扬尘，尘粒在空气中的传播扩散情况与风速气象条件有关，也与尘粒本身的沉降速度有关。施工期的废气污染源主要指施工场地扬尘，道路扬尘量与地面粉尘厚度有关。</w:t>
            </w:r>
          </w:p>
          <w:p>
            <w:pPr>
              <w:pStyle w:val="138"/>
              <w:rPr>
                <w:rFonts w:hint="eastAsia"/>
                <w:color w:val="000000"/>
              </w:rPr>
            </w:pPr>
            <w:r>
              <w:rPr>
                <w:rFonts w:hint="eastAsia"/>
                <w:color w:val="000000"/>
              </w:rPr>
              <w:t>可采用如下公式计算：</w:t>
            </w:r>
          </w:p>
          <w:p>
            <w:pPr>
              <w:pStyle w:val="138"/>
              <w:jc w:val="center"/>
              <w:rPr>
                <w:color w:val="000000"/>
              </w:rPr>
            </w:pPr>
            <w:r>
              <w:rPr>
                <w:color w:val="000000"/>
              </w:rPr>
              <w:t>Q=0.123*V/5*(W/6.8)0.85*(P/0.05)0.72</w:t>
            </w:r>
          </w:p>
          <w:p>
            <w:pPr>
              <w:pStyle w:val="138"/>
              <w:rPr>
                <w:rFonts w:hint="eastAsia"/>
                <w:color w:val="000000"/>
              </w:rPr>
            </w:pPr>
            <w:r>
              <w:rPr>
                <w:rFonts w:hint="eastAsia"/>
                <w:color w:val="000000"/>
              </w:rPr>
              <w:t>式中：</w:t>
            </w:r>
          </w:p>
          <w:p>
            <w:pPr>
              <w:pStyle w:val="138"/>
              <w:rPr>
                <w:rFonts w:hint="eastAsia"/>
                <w:color w:val="000000"/>
              </w:rPr>
            </w:pPr>
            <w:r>
              <w:rPr>
                <w:rFonts w:hint="eastAsia"/>
                <w:color w:val="000000"/>
              </w:rPr>
              <w:t>Q －车扬尘量（kg/(km•辆)）</w:t>
            </w:r>
          </w:p>
          <w:p>
            <w:pPr>
              <w:pStyle w:val="138"/>
              <w:rPr>
                <w:rFonts w:hint="eastAsia"/>
                <w:color w:val="000000"/>
              </w:rPr>
            </w:pPr>
            <w:r>
              <w:rPr>
                <w:rFonts w:hint="eastAsia"/>
                <w:color w:val="000000"/>
              </w:rPr>
              <w:t>V －汽车速度（km/h）</w:t>
            </w:r>
          </w:p>
          <w:p>
            <w:pPr>
              <w:pStyle w:val="138"/>
              <w:rPr>
                <w:rFonts w:hint="eastAsia"/>
                <w:color w:val="000000"/>
              </w:rPr>
            </w:pPr>
            <w:r>
              <w:rPr>
                <w:rFonts w:hint="eastAsia"/>
                <w:color w:val="000000"/>
              </w:rPr>
              <w:t>W－汽车载重量（t/辆）</w:t>
            </w:r>
          </w:p>
          <w:p>
            <w:pPr>
              <w:pStyle w:val="138"/>
              <w:rPr>
                <w:rFonts w:hint="eastAsia"/>
                <w:color w:val="000000"/>
              </w:rPr>
            </w:pPr>
            <w:r>
              <w:rPr>
                <w:rFonts w:hint="eastAsia"/>
                <w:color w:val="000000"/>
              </w:rPr>
              <w:t>P－道路表面积尘量（kg/m</w:t>
            </w:r>
            <w:r>
              <w:rPr>
                <w:rFonts w:hint="eastAsia"/>
                <w:color w:val="000000"/>
                <w:vertAlign w:val="superscript"/>
              </w:rPr>
              <w:t>2</w:t>
            </w:r>
            <w:r>
              <w:rPr>
                <w:rFonts w:hint="eastAsia"/>
                <w:color w:val="000000"/>
              </w:rPr>
              <w:t>）</w:t>
            </w:r>
          </w:p>
          <w:p>
            <w:pPr>
              <w:pStyle w:val="223"/>
              <w:bidi w:val="0"/>
              <w:rPr>
                <w:rFonts w:hint="eastAsia"/>
                <w:color w:val="000000"/>
                <w:sz w:val="24"/>
              </w:rPr>
            </w:pPr>
            <w:r>
              <w:rPr>
                <w:rFonts w:hint="eastAsia"/>
                <w:color w:val="000000"/>
                <w:sz w:val="24"/>
              </w:rPr>
              <w:t>经计算，运输车辆在挖土和临时弃渣区现场的道路扬尘量分别为10.42kg/(km•辆)和7.2kg/(km•辆)。通过类比调查，开挖产生的粉尘在未采取防护措施和土壤较为干燥时，施工现场空气中TSP的浓度可达到3.2~4.3mg/m</w:t>
            </w:r>
            <w:r>
              <w:rPr>
                <w:rFonts w:hint="eastAsia"/>
                <w:color w:val="000000"/>
                <w:sz w:val="24"/>
                <w:vertAlign w:val="superscript"/>
              </w:rPr>
              <w:t>3</w:t>
            </w:r>
            <w:r>
              <w:rPr>
                <w:rFonts w:hint="eastAsia"/>
                <w:color w:val="000000"/>
                <w:sz w:val="24"/>
              </w:rPr>
              <w:t>；在采取一定防护措施和土壤较为湿润时，施工现场空气中TSP的浓度可达到0.3~0.5mg/m</w:t>
            </w:r>
            <w:r>
              <w:rPr>
                <w:rFonts w:hint="eastAsia"/>
                <w:color w:val="000000"/>
                <w:sz w:val="24"/>
                <w:vertAlign w:val="superscript"/>
              </w:rPr>
              <w:t>3</w:t>
            </w:r>
            <w:r>
              <w:rPr>
                <w:rFonts w:hint="eastAsia"/>
                <w:color w:val="000000"/>
                <w:sz w:val="24"/>
              </w:rPr>
              <w:t>。经过类比分析，在不采取措施的情况下，施工期无组织排放的施工扬尘污染的范围主要集中在施工场地周围150m范围以内。</w:t>
            </w:r>
          </w:p>
          <w:p>
            <w:pPr>
              <w:widowControl/>
              <w:spacing w:line="360" w:lineRule="auto"/>
              <w:ind w:firstLine="480" w:firstLineChars="200"/>
              <w:rPr>
                <w:rFonts w:hint="eastAsia"/>
                <w:bCs/>
                <w:color w:val="000000"/>
                <w:kern w:val="0"/>
                <w:sz w:val="24"/>
                <w:lang w:bidi="ar"/>
              </w:rPr>
            </w:pPr>
            <w:r>
              <w:rPr>
                <w:rFonts w:hint="eastAsia"/>
                <w:color w:val="000000"/>
                <w:sz w:val="24"/>
              </w:rPr>
              <w:t>本项目渠道开挖、填埋、覆土、修砌逐段施工。施工时间短，施工结束后，产生的扬尘也随之结束。</w:t>
            </w:r>
          </w:p>
          <w:p>
            <w:pPr>
              <w:widowControl/>
              <w:spacing w:line="360" w:lineRule="auto"/>
              <w:ind w:firstLine="482" w:firstLineChars="200"/>
              <w:rPr>
                <w:rFonts w:hint="eastAsia"/>
                <w:bCs/>
                <w:color w:val="000000"/>
                <w:kern w:val="0"/>
                <w:sz w:val="24"/>
                <w:lang w:bidi="ar"/>
              </w:rPr>
            </w:pPr>
            <w:r>
              <w:rPr>
                <w:rFonts w:hint="eastAsia"/>
                <w:b/>
                <w:color w:val="000000"/>
                <w:kern w:val="0"/>
                <w:sz w:val="24"/>
                <w:lang w:bidi="ar"/>
              </w:rPr>
              <w:t>（2）燃油废气</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施工期间要使用挖掘机、推土机等机械设备以及运输车辆，在施工期间排放燃油废气，燃油废气中含有CO、NOx等。根据资料，一般大型车辆尾气污染物排放量为：CO：5.25g/(km•辆)，THC：2.08g/(km•辆)，NOx：10.44g/(km•辆)。</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施工机械及车辆尾气经大气扩散后对周围空气环境影响不大。</w:t>
            </w:r>
          </w:p>
          <w:p>
            <w:pPr>
              <w:widowControl/>
              <w:spacing w:line="360" w:lineRule="auto"/>
              <w:ind w:firstLine="482" w:firstLineChars="200"/>
              <w:rPr>
                <w:rFonts w:hint="eastAsia"/>
                <w:bCs/>
                <w:color w:val="000000"/>
                <w:kern w:val="0"/>
                <w:sz w:val="24"/>
                <w:lang w:bidi="ar"/>
              </w:rPr>
            </w:pPr>
            <w:r>
              <w:rPr>
                <w:rFonts w:hint="eastAsia"/>
                <w:b/>
                <w:color w:val="000000"/>
                <w:kern w:val="0"/>
                <w:sz w:val="24"/>
                <w:lang w:bidi="ar"/>
              </w:rPr>
              <w:t>（3）施工工区（拌和点粉尘）</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由于本项目设置的拌和点系小型设施，共设置13个拌和点，设置13台移动式的0.4m</w:t>
            </w:r>
            <w:r>
              <w:rPr>
                <w:rFonts w:hint="eastAsia"/>
                <w:bCs/>
                <w:color w:val="000000"/>
                <w:kern w:val="0"/>
                <w:sz w:val="24"/>
                <w:vertAlign w:val="superscript"/>
                <w:lang w:bidi="ar"/>
              </w:rPr>
              <w:t>3</w:t>
            </w:r>
            <w:r>
              <w:rPr>
                <w:rFonts w:hint="eastAsia"/>
                <w:bCs/>
                <w:color w:val="000000"/>
                <w:kern w:val="0"/>
                <w:sz w:val="24"/>
                <w:lang w:bidi="ar"/>
              </w:rPr>
              <w:t>的拌和机。本项目施工工区地点未具体确定，防止施工营地对周围环境发生影响，本次评价要求施工工区（拌和点）设置不涉及生态保护红线、不涉及自然保护区、不涉及风景名胜区、不涉及基本农田等环境敏感区域，要尽量选在居民点等环境敏感点下风向100m以外，并配套洒水降尘设施。施工完成后应进行迹地恢复，立即植树绿化，以减轻对环境的影响。</w:t>
            </w:r>
          </w:p>
          <w:p>
            <w:pPr>
              <w:pStyle w:val="223"/>
              <w:numPr>
                <w:ilvl w:val="0"/>
                <w:numId w:val="0"/>
              </w:numPr>
              <w:bidi w:val="0"/>
              <w:ind w:firstLine="482" w:firstLineChars="200"/>
              <w:rPr>
                <w:rFonts w:hint="eastAsia"/>
                <w:b/>
                <w:bCs/>
                <w:lang w:eastAsia="zh-CN"/>
              </w:rPr>
            </w:pPr>
            <w:r>
              <w:rPr>
                <w:rFonts w:hint="eastAsia"/>
                <w:b/>
                <w:bCs/>
                <w:lang w:eastAsia="zh-CN"/>
              </w:rPr>
              <w:t>（</w:t>
            </w:r>
            <w:r>
              <w:rPr>
                <w:rFonts w:hint="eastAsia"/>
                <w:b/>
                <w:bCs/>
                <w:lang w:val="en-US" w:eastAsia="zh-CN"/>
              </w:rPr>
              <w:t>4</w:t>
            </w:r>
            <w:r>
              <w:rPr>
                <w:rFonts w:hint="eastAsia"/>
                <w:b/>
                <w:bCs/>
                <w:lang w:eastAsia="zh-CN"/>
              </w:rPr>
              <w:t>）沥青烟</w:t>
            </w:r>
          </w:p>
          <w:p>
            <w:pPr>
              <w:pStyle w:val="223"/>
              <w:bidi w:val="0"/>
              <w:rPr>
                <w:rFonts w:ascii="宋体" w:hAnsi="宋体"/>
                <w:bCs/>
              </w:rPr>
            </w:pPr>
            <w:r>
              <w:rPr>
                <w:rFonts w:ascii="宋体" w:hAnsi="宋体"/>
                <w:bCs/>
              </w:rPr>
              <w:t>沥青烟气中含有THC、PM</w:t>
            </w:r>
            <w:r>
              <w:rPr>
                <w:rFonts w:ascii="宋体" w:hAnsi="宋体"/>
                <w:bCs/>
                <w:vertAlign w:val="subscript"/>
              </w:rPr>
              <w:t>10</w:t>
            </w:r>
            <w:r>
              <w:rPr>
                <w:rFonts w:ascii="宋体" w:hAnsi="宋体"/>
                <w:bCs/>
              </w:rPr>
              <w:t>和苯并[a]芘等有毒物质，主要产生于化油系统的熬制工艺、拌和器拌和工艺及铺路时的热油蒸发等。本项目沥青混凝土拟由沥青混凝土生产经销公司供给，现买现用。</w:t>
            </w:r>
          </w:p>
          <w:p>
            <w:pPr>
              <w:pStyle w:val="223"/>
              <w:bidi w:val="0"/>
              <w:rPr>
                <w:rFonts w:hint="eastAsia"/>
                <w:lang w:eastAsia="zh-CN"/>
              </w:rPr>
            </w:pPr>
            <w:r>
              <w:rPr>
                <w:rFonts w:ascii="宋体" w:hAnsi="宋体"/>
                <w:kern w:val="0"/>
              </w:rPr>
              <w:t>沥青烟产生于化油系统的熬制工艺、拌和器拌和工艺及铺路时的热油蒸发等。</w:t>
            </w:r>
            <w:r>
              <w:rPr>
                <w:rFonts w:ascii="宋体" w:hAnsi="宋体"/>
                <w:b/>
              </w:rPr>
              <w:t>本项目不设沥青拌和站，项目所需的沥青均在当地购买商品沥青。</w:t>
            </w:r>
            <w:r>
              <w:rPr>
                <w:rFonts w:ascii="宋体" w:hAnsi="宋体"/>
                <w:b/>
                <w:bCs/>
              </w:rPr>
              <w:t>运送沥青均采用罐装沥青专用车辆装运，以防止沿程撒落污染环境。</w:t>
            </w:r>
            <w:r>
              <w:rPr>
                <w:rFonts w:ascii="宋体" w:hAnsi="宋体"/>
                <w:bCs/>
              </w:rPr>
              <w:t>因此本项目沥青烟仅在铺路时，由于热油蒸发而产生，对环境影响较小。</w:t>
            </w:r>
          </w:p>
          <w:p>
            <w:pPr>
              <w:widowControl/>
              <w:spacing w:line="360" w:lineRule="auto"/>
              <w:rPr>
                <w:b/>
                <w:color w:val="000000"/>
                <w:kern w:val="0"/>
                <w:sz w:val="28"/>
                <w:szCs w:val="28"/>
                <w:lang w:bidi="ar"/>
              </w:rPr>
            </w:pPr>
            <w:r>
              <w:rPr>
                <w:rFonts w:hint="eastAsia"/>
                <w:b/>
                <w:color w:val="000000"/>
                <w:kern w:val="0"/>
                <w:sz w:val="28"/>
                <w:szCs w:val="28"/>
                <w:lang w:bidi="ar"/>
              </w:rPr>
              <w:t>3、声环境影响分析</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施工期噪声主要可分为机械噪声、施工作业噪声和施工车辆噪声；机械噪声主要由施工机械所造成的，如装载机、起重机和挖掘机等，多为点声源；施工车辆的噪声属于交通噪声。这些施工噪声中对声环境影响最大的是机械噪声，但往往施工作业噪声比较容易造成纠纷，特别是在夜间，加上施工管理的操作人员的素质良莠不齐部分人员环境意识淡薄，对某些可以避免的噪声也不加注意，从而很容易造成纠纷。</w:t>
            </w:r>
          </w:p>
          <w:p>
            <w:pPr>
              <w:widowControl/>
              <w:spacing w:line="360" w:lineRule="auto"/>
              <w:ind w:firstLine="482" w:firstLineChars="200"/>
              <w:rPr>
                <w:bCs/>
                <w:color w:val="000000"/>
                <w:kern w:val="0"/>
                <w:sz w:val="24"/>
                <w:lang w:bidi="ar"/>
              </w:rPr>
            </w:pPr>
            <w:r>
              <w:rPr>
                <w:rFonts w:hint="eastAsia"/>
                <w:b/>
                <w:color w:val="000000"/>
                <w:kern w:val="0"/>
                <w:sz w:val="24"/>
                <w:lang w:bidi="ar"/>
              </w:rPr>
              <w:t>（1）施工期噪声源</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施工噪声主要来自土方工程机械和混凝土工程机械，包括装载机、挖掘机、推土机砼拌合机等。考参《环境影响评价技术手册水利水电工程》（邹家祥主编）、《环境噪声与振动控制工程技术导则》（HJ2034-2013）及《水电水利工程施工环境保护技术规程》（DL5260-2010-T），本项目施工阶段各设备噪声污染源见表4-1。开挖过程中使用的挖掘、振捣等机械产生的噪声强度为70~105dB(A)。</w:t>
            </w:r>
          </w:p>
          <w:p>
            <w:pPr>
              <w:widowControl/>
              <w:spacing w:line="360" w:lineRule="auto"/>
              <w:jc w:val="center"/>
            </w:pPr>
            <w:r>
              <w:rPr>
                <w:rFonts w:hint="eastAsia"/>
                <w:b/>
                <w:color w:val="000000"/>
                <w:kern w:val="0"/>
                <w:szCs w:val="21"/>
                <w:lang w:bidi="ar"/>
              </w:rPr>
              <w:t>表4-1  本项目主要施工机械设备噪声源强       单位：dB(A)</w:t>
            </w:r>
          </w:p>
          <w:tbl>
            <w:tblPr>
              <w:tblStyle w:val="39"/>
              <w:tblW w:w="88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24"/>
              <w:gridCol w:w="2224"/>
              <w:gridCol w:w="2225"/>
              <w:gridCol w:w="222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施工机械设备</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1m</w:t>
                  </w:r>
                  <w:r>
                    <w:rPr>
                      <w:rFonts w:hint="eastAsia"/>
                      <w:b/>
                      <w:bCs/>
                      <w:color w:val="000000"/>
                      <w:kern w:val="0"/>
                      <w:szCs w:val="21"/>
                    </w:rPr>
                    <w:t>处的声级</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施工机械设备</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1m</w:t>
                  </w:r>
                  <w:r>
                    <w:rPr>
                      <w:rFonts w:hint="eastAsia"/>
                      <w:b/>
                      <w:bCs/>
                      <w:color w:val="000000"/>
                      <w:kern w:val="0"/>
                      <w:szCs w:val="21"/>
                    </w:rPr>
                    <w:t>处的声级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1"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挖掘机</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82~90</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载重汽车</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90</w:t>
                  </w:r>
                  <w:r>
                    <w:rPr>
                      <w:rFonts w:hint="eastAsia" w:ascii="Times New Roman" w:hAnsi="Times New Roman"/>
                      <w:color w:val="000000"/>
                      <w:kern w:val="0"/>
                      <w:szCs w:val="21"/>
                    </w:rPr>
                    <w:t>~</w:t>
                  </w:r>
                  <w:r>
                    <w:rPr>
                      <w:rFonts w:ascii="Times New Roman" w:hAnsi="Times New Roman"/>
                      <w:color w:val="000000"/>
                      <w:kern w:val="0"/>
                      <w:szCs w:val="21"/>
                    </w:rPr>
                    <w:t>105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推土机</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85</w:t>
                  </w:r>
                  <w:r>
                    <w:rPr>
                      <w:rFonts w:hint="eastAsia" w:ascii="Times New Roman" w:hAnsi="Times New Roman"/>
                      <w:color w:val="000000"/>
                      <w:kern w:val="0"/>
                      <w:szCs w:val="21"/>
                    </w:rPr>
                    <w:t>~</w:t>
                  </w:r>
                  <w:r>
                    <w:rPr>
                      <w:rFonts w:ascii="Times New Roman" w:hAnsi="Times New Roman"/>
                      <w:color w:val="000000"/>
                      <w:kern w:val="0"/>
                      <w:szCs w:val="21"/>
                    </w:rPr>
                    <w:t>95</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风钻</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85~90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装载机</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85</w:t>
                  </w:r>
                  <w:r>
                    <w:rPr>
                      <w:rFonts w:hint="eastAsia" w:ascii="Times New Roman" w:hAnsi="Times New Roman"/>
                      <w:color w:val="000000"/>
                      <w:kern w:val="0"/>
                      <w:szCs w:val="21"/>
                    </w:rPr>
                    <w:t>~</w:t>
                  </w:r>
                  <w:r>
                    <w:rPr>
                      <w:rFonts w:ascii="Times New Roman" w:hAnsi="Times New Roman"/>
                      <w:color w:val="000000"/>
                      <w:kern w:val="0"/>
                      <w:szCs w:val="21"/>
                    </w:rPr>
                    <w:t>95</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空压机</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85~95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蛙式夯实机</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85</w:t>
                  </w:r>
                  <w:r>
                    <w:rPr>
                      <w:rFonts w:hint="eastAsia" w:ascii="Times New Roman" w:hAnsi="Times New Roman"/>
                      <w:color w:val="000000"/>
                      <w:kern w:val="0"/>
                      <w:szCs w:val="21"/>
                    </w:rPr>
                    <w:t>~</w:t>
                  </w:r>
                  <w:r>
                    <w:rPr>
                      <w:rFonts w:ascii="Times New Roman" w:hAnsi="Times New Roman"/>
                      <w:color w:val="000000"/>
                      <w:kern w:val="0"/>
                      <w:szCs w:val="21"/>
                    </w:rPr>
                    <w:t>95</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水泵</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color w:val="000000"/>
                      <w:kern w:val="0"/>
                      <w:szCs w:val="21"/>
                    </w:rPr>
                    <w:t>80</w:t>
                  </w:r>
                  <w:r>
                    <w:rPr>
                      <w:rFonts w:hint="eastAsia"/>
                      <w:color w:val="000000"/>
                      <w:kern w:val="0"/>
                      <w:szCs w:val="21"/>
                    </w:rPr>
                    <w:t>~</w:t>
                  </w:r>
                  <w:r>
                    <w:rPr>
                      <w:color w:val="000000"/>
                      <w:kern w:val="0"/>
                      <w:szCs w:val="21"/>
                    </w:rPr>
                    <w:t>85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eastAsia"/>
                      <w:color w:val="000000"/>
                      <w:kern w:val="0"/>
                      <w:szCs w:val="21"/>
                    </w:rPr>
                  </w:pPr>
                  <w:r>
                    <w:rPr>
                      <w:rFonts w:hint="eastAsia"/>
                      <w:color w:val="000000"/>
                      <w:kern w:val="0"/>
                      <w:szCs w:val="21"/>
                    </w:rPr>
                    <w:t>振捣器</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w:t>
                  </w:r>
                  <w:r>
                    <w:rPr>
                      <w:rFonts w:hint="eastAsia" w:ascii="Times New Roman" w:hAnsi="Times New Roman"/>
                      <w:color w:val="000000"/>
                      <w:kern w:val="0"/>
                      <w:szCs w:val="21"/>
                    </w:rPr>
                    <w:t>0~85</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eastAsia" w:ascii="Times New Roman" w:hAnsi="Times New Roman"/>
                      <w:color w:val="000000"/>
                      <w:kern w:val="0"/>
                      <w:szCs w:val="21"/>
                    </w:rPr>
                  </w:pPr>
                  <w:r>
                    <w:rPr>
                      <w:rFonts w:ascii="Times New Roman" w:hAnsi="Times New Roman"/>
                      <w:color w:val="000000"/>
                      <w:kern w:val="0"/>
                      <w:szCs w:val="21"/>
                    </w:rPr>
                    <w:t>钢筋加工机械</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85~95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16"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砼拌和机</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82</w:t>
                  </w:r>
                  <w:r>
                    <w:rPr>
                      <w:rFonts w:hint="eastAsia" w:ascii="Times New Roman" w:hAnsi="Times New Roman"/>
                      <w:color w:val="000000"/>
                      <w:kern w:val="0"/>
                      <w:szCs w:val="21"/>
                    </w:rPr>
                    <w:t>~</w:t>
                  </w:r>
                  <w:r>
                    <w:rPr>
                      <w:rFonts w:ascii="Times New Roman" w:hAnsi="Times New Roman"/>
                      <w:color w:val="000000"/>
                      <w:kern w:val="0"/>
                      <w:szCs w:val="21"/>
                    </w:rPr>
                    <w:t>95</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木材加工机械</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85~95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自卸汽车</w:t>
                  </w:r>
                </w:p>
              </w:tc>
              <w:tc>
                <w:tcPr>
                  <w:tcW w:w="222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ascii="Times New Roman" w:hAnsi="Times New Roman"/>
                      <w:color w:val="000000"/>
                      <w:kern w:val="0"/>
                      <w:szCs w:val="21"/>
                    </w:rPr>
                    <w:t>70</w:t>
                  </w:r>
                  <w:r>
                    <w:rPr>
                      <w:rFonts w:hint="eastAsia" w:ascii="Times New Roman" w:hAnsi="Times New Roman"/>
                      <w:color w:val="000000"/>
                      <w:kern w:val="0"/>
                      <w:szCs w:val="21"/>
                    </w:rPr>
                    <w:t>~</w:t>
                  </w:r>
                  <w:r>
                    <w:rPr>
                      <w:rFonts w:ascii="Times New Roman" w:hAnsi="Times New Roman"/>
                      <w:color w:val="000000"/>
                      <w:kern w:val="0"/>
                      <w:szCs w:val="21"/>
                    </w:rPr>
                    <w:t>80</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汽车起重机</w:t>
                  </w:r>
                </w:p>
              </w:tc>
              <w:tc>
                <w:tcPr>
                  <w:tcW w:w="222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color w:val="000000"/>
                      <w:kern w:val="0"/>
                      <w:szCs w:val="21"/>
                    </w:rPr>
                    <w:t>85</w:t>
                  </w:r>
                  <w:r>
                    <w:rPr>
                      <w:rFonts w:hint="eastAsia"/>
                      <w:color w:val="000000"/>
                      <w:kern w:val="0"/>
                      <w:szCs w:val="21"/>
                      <w:lang w:val="en-US" w:eastAsia="zh-CN"/>
                    </w:rPr>
                    <w:t>~</w:t>
                  </w:r>
                  <w:r>
                    <w:rPr>
                      <w:color w:val="000000"/>
                      <w:kern w:val="0"/>
                      <w:szCs w:val="21"/>
                    </w:rPr>
                    <w:t>95</w:t>
                  </w:r>
                </w:p>
              </w:tc>
            </w:tr>
          </w:tbl>
          <w:p>
            <w:pPr>
              <w:widowControl/>
              <w:spacing w:line="360" w:lineRule="auto"/>
              <w:ind w:firstLine="482" w:firstLineChars="200"/>
              <w:rPr>
                <w:rFonts w:hint="eastAsia"/>
                <w:b/>
                <w:color w:val="000000"/>
                <w:kern w:val="0"/>
                <w:sz w:val="24"/>
                <w:lang w:bidi="ar"/>
              </w:rPr>
            </w:pPr>
            <w:r>
              <w:rPr>
                <w:rFonts w:hint="eastAsia"/>
                <w:b/>
                <w:color w:val="000000"/>
                <w:kern w:val="0"/>
                <w:sz w:val="24"/>
                <w:lang w:bidi="ar"/>
              </w:rPr>
              <w:t>（2）施工期噪声影响预测</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项目工程施工区为开阔地，施工机械一般置于地面上，故声源处于半自由空间，施工机械噪声采用如下模式进行预测计算：</w:t>
            </w:r>
          </w:p>
          <w:p>
            <w:pPr>
              <w:pStyle w:val="138"/>
              <w:jc w:val="center"/>
              <w:rPr>
                <w:color w:val="000000"/>
              </w:rPr>
            </w:pPr>
            <w:r>
              <w:rPr>
                <w:color w:val="000000"/>
              </w:rPr>
              <w:t>L</w:t>
            </w:r>
            <w:r>
              <w:rPr>
                <w:color w:val="000000"/>
                <w:vertAlign w:val="subscript"/>
              </w:rPr>
              <w:t>AI</w:t>
            </w:r>
            <w:r>
              <w:rPr>
                <w:color w:val="000000"/>
              </w:rPr>
              <w:t>= L</w:t>
            </w:r>
            <w:r>
              <w:rPr>
                <w:color w:val="000000"/>
                <w:vertAlign w:val="subscript"/>
              </w:rPr>
              <w:t>AW</w:t>
            </w:r>
            <w:r>
              <w:rPr>
                <w:color w:val="000000"/>
              </w:rPr>
              <w:t>–20lg</w:t>
            </w:r>
            <w:r>
              <w:rPr>
                <w:color w:val="000000"/>
                <w:vertAlign w:val="subscript"/>
              </w:rPr>
              <w:t>I</w:t>
            </w:r>
            <w:r>
              <w:rPr>
                <w:color w:val="000000"/>
              </w:rPr>
              <w:t>-8</w:t>
            </w:r>
          </w:p>
          <w:p>
            <w:pPr>
              <w:pStyle w:val="138"/>
              <w:rPr>
                <w:rFonts w:hint="eastAsia"/>
                <w:color w:val="000000"/>
              </w:rPr>
            </w:pPr>
            <w:r>
              <w:rPr>
                <w:rFonts w:hint="eastAsia"/>
                <w:color w:val="000000"/>
              </w:rPr>
              <w:t xml:space="preserve"> 式中：L</w:t>
            </w:r>
            <w:r>
              <w:rPr>
                <w:rFonts w:hint="eastAsia"/>
                <w:color w:val="000000"/>
                <w:vertAlign w:val="subscript"/>
              </w:rPr>
              <w:t>AI</w:t>
            </w:r>
            <w:r>
              <w:rPr>
                <w:rFonts w:hint="eastAsia"/>
                <w:color w:val="000000"/>
              </w:rPr>
              <w:t>——为距离声源r处的A声级，dB(A)；</w:t>
            </w:r>
          </w:p>
          <w:p>
            <w:pPr>
              <w:pStyle w:val="138"/>
              <w:rPr>
                <w:rFonts w:hint="eastAsia"/>
                <w:color w:val="000000"/>
              </w:rPr>
            </w:pPr>
            <w:r>
              <w:rPr>
                <w:rFonts w:hint="eastAsia"/>
                <w:color w:val="000000"/>
              </w:rPr>
              <w:t xml:space="preserve">       L</w:t>
            </w:r>
            <w:r>
              <w:rPr>
                <w:rFonts w:hint="eastAsia"/>
                <w:color w:val="000000"/>
                <w:vertAlign w:val="subscript"/>
              </w:rPr>
              <w:t>AW</w:t>
            </w:r>
            <w:r>
              <w:rPr>
                <w:rFonts w:hint="eastAsia"/>
                <w:color w:val="000000"/>
              </w:rPr>
              <w:t>——为声源的A声级，dB(A)；</w:t>
            </w:r>
          </w:p>
          <w:p>
            <w:pPr>
              <w:pStyle w:val="138"/>
              <w:rPr>
                <w:rFonts w:hint="eastAsia"/>
                <w:color w:val="000000"/>
              </w:rPr>
            </w:pPr>
            <w:r>
              <w:rPr>
                <w:rFonts w:hint="eastAsia"/>
                <w:color w:val="000000"/>
              </w:rPr>
              <w:t xml:space="preserve">       r ——关注点与声源距离，m；</w:t>
            </w:r>
            <w:r>
              <w:rPr>
                <w:color w:val="000000"/>
              </w:rPr>
              <w:t xml:space="preserve"> </w:t>
            </w:r>
          </w:p>
          <w:p>
            <w:pPr>
              <w:pStyle w:val="138"/>
              <w:jc w:val="center"/>
              <w:rPr>
                <w:rFonts w:hint="eastAsia"/>
                <w:color w:val="000000"/>
              </w:rPr>
            </w:pPr>
            <w:r>
              <w:rPr>
                <w:color w:val="000000"/>
                <w:position w:val="-28"/>
              </w:rPr>
              <w:object>
                <v:shape id="_x0000_i1066" o:spt="75" type="#_x0000_t75" style="height:40.65pt;width:119.6pt;" o:ole="t" filled="f" o:preferrelative="t" stroked="f" coordsize="21600,21600">
                  <v:path/>
                  <v:fill on="f" alignshape="1" focussize="0,0"/>
                  <v:stroke on="f"/>
                  <v:imagedata r:id="rId58" o:title=""/>
                  <o:lock v:ext="edit" aspectratio="t"/>
                  <w10:wrap type="none"/>
                  <w10:anchorlock/>
                </v:shape>
                <o:OLEObject Type="Embed" ProgID="Equation.3" ShapeID="_x0000_i1066" DrawAspect="Content" ObjectID="_1468075730" r:id="rId57">
                  <o:LockedField>false</o:LockedField>
                </o:OLEObject>
              </w:object>
            </w:r>
          </w:p>
          <w:p>
            <w:pPr>
              <w:pStyle w:val="138"/>
              <w:rPr>
                <w:rFonts w:hint="eastAsia"/>
                <w:color w:val="000000"/>
              </w:rPr>
            </w:pPr>
            <w:r>
              <w:rPr>
                <w:rFonts w:hint="eastAsia"/>
                <w:color w:val="000000"/>
              </w:rPr>
              <w:t>式中：L</w:t>
            </w:r>
            <w:r>
              <w:rPr>
                <w:rFonts w:hint="eastAsia"/>
                <w:color w:val="000000"/>
                <w:vertAlign w:val="subscript"/>
              </w:rPr>
              <w:t>总</w:t>
            </w:r>
            <w:r>
              <w:rPr>
                <w:rFonts w:hint="eastAsia"/>
                <w:color w:val="000000"/>
              </w:rPr>
              <w:t>—— 预测声级，dB；</w:t>
            </w:r>
          </w:p>
          <w:p>
            <w:pPr>
              <w:pStyle w:val="138"/>
              <w:rPr>
                <w:rFonts w:hint="eastAsia"/>
                <w:color w:val="000000"/>
              </w:rPr>
            </w:pPr>
            <w:r>
              <w:rPr>
                <w:rFonts w:hint="eastAsia"/>
                <w:color w:val="000000"/>
              </w:rPr>
              <w:t xml:space="preserve">       L</w:t>
            </w:r>
            <w:r>
              <w:rPr>
                <w:rFonts w:hint="eastAsia"/>
                <w:color w:val="000000"/>
                <w:vertAlign w:val="subscript"/>
              </w:rPr>
              <w:t>i</w:t>
            </w:r>
            <w:r>
              <w:rPr>
                <w:rFonts w:hint="eastAsia"/>
                <w:color w:val="000000"/>
              </w:rPr>
              <w:t xml:space="preserve"> —— 各叠加声级，dB。</w:t>
            </w:r>
          </w:p>
          <w:p>
            <w:pPr>
              <w:widowControl/>
              <w:spacing w:line="360" w:lineRule="auto"/>
              <w:ind w:firstLine="482" w:firstLineChars="200"/>
              <w:rPr>
                <w:rFonts w:hint="eastAsia"/>
                <w:b/>
                <w:color w:val="000000"/>
                <w:kern w:val="0"/>
                <w:sz w:val="24"/>
                <w:lang w:bidi="ar"/>
              </w:rPr>
            </w:pPr>
            <w:r>
              <w:rPr>
                <w:rFonts w:hint="eastAsia"/>
                <w:b/>
                <w:color w:val="000000"/>
                <w:kern w:val="0"/>
                <w:sz w:val="24"/>
                <w:lang w:bidi="ar"/>
              </w:rPr>
              <w:t>（3）</w:t>
            </w:r>
            <w:r>
              <w:rPr>
                <w:rFonts w:hint="eastAsia"/>
                <w:b/>
                <w:color w:val="000000"/>
                <w:sz w:val="24"/>
              </w:rPr>
              <w:t>施工区机械噪声预测结果</w:t>
            </w:r>
          </w:p>
          <w:p>
            <w:pPr>
              <w:pStyle w:val="138"/>
              <w:rPr>
                <w:rFonts w:hint="eastAsia"/>
                <w:color w:val="000000"/>
              </w:rPr>
            </w:pPr>
            <w:r>
              <w:rPr>
                <w:rFonts w:hint="eastAsia"/>
                <w:color w:val="000000"/>
              </w:rPr>
              <w:t>根据各施工机械的噪声级范围，预测施工机械噪声源对不同距离的噪声贡献值，固定噪声源对不同距离处的噪声贡献值见表4-2。</w:t>
            </w:r>
          </w:p>
          <w:p>
            <w:pPr>
              <w:pStyle w:val="138"/>
              <w:spacing w:line="360" w:lineRule="auto"/>
              <w:ind w:firstLine="422"/>
              <w:jc w:val="center"/>
              <w:rPr>
                <w:bCs/>
                <w:color w:val="000000"/>
                <w:sz w:val="21"/>
                <w:szCs w:val="21"/>
              </w:rPr>
            </w:pPr>
            <w:r>
              <w:rPr>
                <w:rFonts w:hint="eastAsia"/>
                <w:b/>
                <w:bCs/>
                <w:color w:val="000000"/>
                <w:sz w:val="21"/>
                <w:szCs w:val="21"/>
              </w:rPr>
              <w:t xml:space="preserve">表4-2  施工区固定源在不同距离的预测结果表      </w:t>
            </w:r>
            <w:r>
              <w:rPr>
                <w:rFonts w:hint="eastAsia"/>
                <w:bCs/>
                <w:color w:val="000000"/>
                <w:sz w:val="21"/>
                <w:szCs w:val="21"/>
              </w:rPr>
              <w:t>单位：</w:t>
            </w:r>
            <w:r>
              <w:rPr>
                <w:bCs/>
                <w:color w:val="000000"/>
                <w:sz w:val="21"/>
                <w:szCs w:val="21"/>
              </w:rPr>
              <w:t>dB(A)</w:t>
            </w:r>
          </w:p>
          <w:tbl>
            <w:tblPr>
              <w:tblStyle w:val="39"/>
              <w:tblW w:w="8265"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519"/>
              <w:gridCol w:w="579"/>
              <w:gridCol w:w="700"/>
              <w:gridCol w:w="733"/>
              <w:gridCol w:w="733"/>
              <w:gridCol w:w="750"/>
              <w:gridCol w:w="734"/>
              <w:gridCol w:w="783"/>
              <w:gridCol w:w="867"/>
              <w:gridCol w:w="867"/>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cantSplit/>
                <w:trHeight w:val="317" w:hRule="atLeast"/>
                <w:jc w:val="center"/>
              </w:trPr>
              <w:tc>
                <w:tcPr>
                  <w:tcW w:w="1519" w:type="dxa"/>
                  <w:vMerge w:val="restart"/>
                  <w:tcBorders>
                    <w:top w:val="single" w:color="000000" w:sz="4"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噪声源</w:t>
                  </w:r>
                </w:p>
              </w:tc>
              <w:tc>
                <w:tcPr>
                  <w:tcW w:w="5012" w:type="dxa"/>
                  <w:gridSpan w:val="7"/>
                  <w:tcBorders>
                    <w:top w:val="single" w:color="000000" w:sz="4"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离声源不同距离的噪声预测值</w:t>
                  </w:r>
                  <w:r>
                    <w:rPr>
                      <w:b/>
                      <w:bCs/>
                      <w:color w:val="000000"/>
                      <w:kern w:val="0"/>
                      <w:szCs w:val="21"/>
                    </w:rPr>
                    <w:t>(dB)</w:t>
                  </w:r>
                </w:p>
              </w:tc>
              <w:tc>
                <w:tcPr>
                  <w:tcW w:w="1734" w:type="dxa"/>
                  <w:gridSpan w:val="2"/>
                  <w:tcBorders>
                    <w:top w:val="single" w:color="000000" w:sz="4" w:space="0"/>
                    <w:left w:val="single" w:color="000000" w:sz="6" w:space="0"/>
                    <w:right w:val="single" w:color="000000" w:sz="4" w:space="0"/>
                  </w:tcBorders>
                  <w:noWrap w:val="0"/>
                  <w:vAlign w:val="center"/>
                </w:tcPr>
                <w:p>
                  <w:pPr>
                    <w:wordWrap w:val="0"/>
                    <w:autoSpaceDE w:val="0"/>
                    <w:autoSpaceDN w:val="0"/>
                    <w:adjustRightInd w:val="0"/>
                    <w:jc w:val="center"/>
                    <w:rPr>
                      <w:rFonts w:hint="eastAsia"/>
                      <w:b/>
                      <w:bCs/>
                      <w:color w:val="000000"/>
                      <w:kern w:val="0"/>
                      <w:szCs w:val="21"/>
                    </w:rPr>
                  </w:pPr>
                  <w:r>
                    <w:rPr>
                      <w:rFonts w:hint="eastAsia"/>
                      <w:b/>
                      <w:bCs/>
                      <w:color w:val="000000"/>
                      <w:kern w:val="0"/>
                      <w:szCs w:val="21"/>
                    </w:rPr>
                    <w:t>达标距离</w:t>
                  </w:r>
                  <w:r>
                    <w:rPr>
                      <w:b/>
                      <w:bCs/>
                      <w:color w:val="000000"/>
                      <w:kern w:val="0"/>
                      <w:szCs w:val="21"/>
                    </w:rPr>
                    <w:t>(</w:t>
                  </w:r>
                  <w:r>
                    <w:rPr>
                      <w:rFonts w:hint="eastAsia"/>
                      <w:b/>
                      <w:bCs/>
                      <w:color w:val="000000"/>
                      <w:kern w:val="0"/>
                      <w:szCs w:val="21"/>
                    </w:rPr>
                    <w:t>m</w:t>
                  </w:r>
                  <w:r>
                    <w:rPr>
                      <w:b/>
                      <w:bCs/>
                      <w:color w:val="000000"/>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95" w:hRule="atLeast"/>
                <w:jc w:val="center"/>
              </w:trPr>
              <w:tc>
                <w:tcPr>
                  <w:tcW w:w="1519" w:type="dxa"/>
                  <w:vMerge w:val="continue"/>
                  <w:tcBorders>
                    <w:top w:val="single" w:color="000000" w:sz="4"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color w:val="000000"/>
                      <w:kern w:val="0"/>
                      <w:szCs w:val="21"/>
                    </w:rPr>
                    <w:t>1m</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color w:val="000000"/>
                      <w:kern w:val="0"/>
                      <w:szCs w:val="21"/>
                    </w:rPr>
                    <w:t>10m</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color w:val="000000"/>
                      <w:kern w:val="0"/>
                      <w:szCs w:val="21"/>
                    </w:rPr>
                    <w:t>20m</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30m</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40</w:t>
                  </w:r>
                  <w:r>
                    <w:rPr>
                      <w:color w:val="000000"/>
                      <w:kern w:val="0"/>
                      <w:szCs w:val="21"/>
                    </w:rPr>
                    <w:t>m</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color w:val="000000"/>
                      <w:kern w:val="0"/>
                      <w:szCs w:val="21"/>
                    </w:rPr>
                    <w:t>50m</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100</w:t>
                  </w:r>
                  <w:r>
                    <w:rPr>
                      <w:color w:val="000000"/>
                      <w:kern w:val="0"/>
                      <w:szCs w:val="21"/>
                    </w:rPr>
                    <w:t>m</w:t>
                  </w:r>
                </w:p>
              </w:tc>
              <w:tc>
                <w:tcPr>
                  <w:tcW w:w="867" w:type="dxa"/>
                  <w:tcBorders>
                    <w:left w:val="single" w:color="000000" w:sz="6" w:space="0"/>
                    <w:bottom w:val="single" w:color="000000" w:sz="6" w:space="0"/>
                    <w:right w:val="single" w:color="000000" w:sz="4" w:space="0"/>
                  </w:tcBorders>
                  <w:noWrap w:val="0"/>
                  <w:vAlign w:val="center"/>
                </w:tcPr>
                <w:p>
                  <w:pPr>
                    <w:wordWrap w:val="0"/>
                    <w:autoSpaceDE w:val="0"/>
                    <w:autoSpaceDN w:val="0"/>
                    <w:adjustRightInd w:val="0"/>
                    <w:jc w:val="center"/>
                    <w:rPr>
                      <w:rFonts w:hint="eastAsia" w:eastAsia="宋体"/>
                      <w:color w:val="000000"/>
                      <w:kern w:val="0"/>
                      <w:szCs w:val="21"/>
                      <w:lang w:eastAsia="zh-CN"/>
                    </w:rPr>
                  </w:pPr>
                  <w:r>
                    <w:rPr>
                      <w:rFonts w:hint="eastAsia"/>
                      <w:color w:val="000000"/>
                      <w:kern w:val="0"/>
                      <w:szCs w:val="21"/>
                      <w:lang w:eastAsia="zh-CN"/>
                    </w:rPr>
                    <w:t>昼间</w:t>
                  </w:r>
                </w:p>
              </w:tc>
              <w:tc>
                <w:tcPr>
                  <w:tcW w:w="867" w:type="dxa"/>
                  <w:tcBorders>
                    <w:left w:val="single" w:color="000000" w:sz="6" w:space="0"/>
                    <w:bottom w:val="single" w:color="000000" w:sz="6" w:space="0"/>
                    <w:right w:val="single" w:color="000000" w:sz="4" w:space="0"/>
                  </w:tcBorders>
                  <w:noWrap w:val="0"/>
                  <w:vAlign w:val="center"/>
                </w:tcPr>
                <w:p>
                  <w:pPr>
                    <w:wordWrap w:val="0"/>
                    <w:autoSpaceDE w:val="0"/>
                    <w:autoSpaceDN w:val="0"/>
                    <w:adjustRightInd w:val="0"/>
                    <w:jc w:val="center"/>
                    <w:rPr>
                      <w:rFonts w:hint="eastAsia" w:eastAsia="宋体"/>
                      <w:color w:val="000000"/>
                      <w:kern w:val="0"/>
                      <w:szCs w:val="21"/>
                      <w:lang w:eastAsia="zh-CN"/>
                    </w:rPr>
                  </w:pPr>
                  <w:r>
                    <w:rPr>
                      <w:rFonts w:hint="eastAsia"/>
                      <w:color w:val="000000"/>
                      <w:kern w:val="0"/>
                      <w:szCs w:val="21"/>
                      <w:lang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挖掘机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推土机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88</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68</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62</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56</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color w:val="000000"/>
                      <w:kern w:val="0"/>
                      <w:szCs w:val="21"/>
                      <w:lang w:val="en-US"/>
                    </w:rPr>
                  </w:pPr>
                  <w:r>
                    <w:rPr>
                      <w:rFonts w:hint="eastAsia"/>
                      <w:color w:val="000000"/>
                      <w:kern w:val="0"/>
                      <w:szCs w:val="21"/>
                      <w:lang w:val="en-US" w:eastAsia="zh-CN"/>
                    </w:rPr>
                    <w:t>54</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25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装载机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90</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70</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64</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60</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56</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30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蛙式夯实机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92</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72</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66</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62</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60</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color w:val="000000"/>
                      <w:kern w:val="0"/>
                      <w:szCs w:val="21"/>
                      <w:lang w:val="en-US"/>
                    </w:rPr>
                  </w:pPr>
                  <w:r>
                    <w:rPr>
                      <w:rFonts w:hint="eastAsia"/>
                      <w:color w:val="000000"/>
                      <w:kern w:val="0"/>
                      <w:szCs w:val="21"/>
                      <w:lang w:val="en-US" w:eastAsia="zh-CN"/>
                    </w:rPr>
                    <w:t>58</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52</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120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振捣器</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90</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70</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64</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60</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56</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30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砼拌和机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自卸汽车</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80</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60</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54</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50</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48</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46</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color w:val="000000"/>
                      <w:kern w:val="0"/>
                      <w:szCs w:val="21"/>
                      <w:lang w:val="en-US" w:eastAsia="zh-CN"/>
                    </w:rPr>
                  </w:pPr>
                  <w:r>
                    <w:rPr>
                      <w:rFonts w:hint="eastAsia"/>
                      <w:color w:val="000000"/>
                      <w:kern w:val="0"/>
                      <w:szCs w:val="21"/>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rFonts w:hint="eastAsia"/>
                      <w:color w:val="000000"/>
                      <w:kern w:val="0"/>
                      <w:szCs w:val="21"/>
                    </w:rPr>
                  </w:pPr>
                  <w:r>
                    <w:rPr>
                      <w:rFonts w:hint="eastAsia"/>
                      <w:color w:val="000000"/>
                      <w:kern w:val="0"/>
                      <w:szCs w:val="21"/>
                    </w:rPr>
                    <w:t>载重汽车</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95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color w:val="000000"/>
                      <w:kern w:val="0"/>
                      <w:szCs w:val="21"/>
                      <w:lang w:val="en-US"/>
                    </w:rPr>
                  </w:pPr>
                  <w:r>
                    <w:rPr>
                      <w:rFonts w:hint="eastAsia"/>
                      <w:color w:val="000000"/>
                      <w:kern w:val="0"/>
                      <w:szCs w:val="21"/>
                      <w:lang w:val="en-US" w:eastAsia="zh-CN"/>
                    </w:rPr>
                    <w:t>61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170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rFonts w:hint="eastAsia"/>
                      <w:color w:val="000000"/>
                      <w:kern w:val="0"/>
                      <w:szCs w:val="21"/>
                    </w:rPr>
                  </w:pPr>
                  <w:r>
                    <w:rPr>
                      <w:rFonts w:ascii="Times New Roman" w:hAnsi="Times New Roman"/>
                      <w:color w:val="000000"/>
                      <w:kern w:val="0"/>
                      <w:szCs w:val="21"/>
                    </w:rPr>
                    <w:t>空压机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ascii="Times New Roman" w:hAnsi="Times New Roman"/>
                      <w:color w:val="000000"/>
                      <w:kern w:val="0"/>
                      <w:szCs w:val="21"/>
                    </w:rPr>
                    <w:t>水泵</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16"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ascii="Times New Roman" w:hAnsi="Times New Roman"/>
                      <w:color w:val="000000"/>
                      <w:kern w:val="0"/>
                      <w:szCs w:val="21"/>
                    </w:rPr>
                    <w:t>钢筋加工机械</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92</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72</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66</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62</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60</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58</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52</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40</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120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31"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ascii="Times New Roman" w:hAnsi="Times New Roman"/>
                      <w:color w:val="000000"/>
                      <w:kern w:val="0"/>
                      <w:szCs w:val="21"/>
                    </w:rPr>
                    <w:t>木材加工机械</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88</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68</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62</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56</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54</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25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331" w:hRule="atLeast"/>
                <w:jc w:val="center"/>
              </w:trPr>
              <w:tc>
                <w:tcPr>
                  <w:tcW w:w="1519" w:type="dxa"/>
                  <w:tcBorders>
                    <w:top w:val="single" w:color="000000" w:sz="6" w:space="0"/>
                    <w:left w:val="single" w:color="000000" w:sz="4" w:space="0"/>
                    <w:bottom w:val="single" w:color="000000" w:sz="6" w:space="0"/>
                    <w:right w:val="single" w:color="000000" w:sz="6" w:space="0"/>
                  </w:tcBorders>
                  <w:noWrap w:val="0"/>
                  <w:vAlign w:val="center"/>
                </w:tcPr>
                <w:p>
                  <w:pPr>
                    <w:wordWrap w:val="0"/>
                    <w:autoSpaceDE w:val="0"/>
                    <w:autoSpaceDN w:val="0"/>
                    <w:adjustRightInd w:val="0"/>
                    <w:jc w:val="center"/>
                    <w:rPr>
                      <w:rFonts w:ascii="Times New Roman" w:hAnsi="Times New Roman"/>
                      <w:color w:val="000000"/>
                      <w:kern w:val="0"/>
                      <w:szCs w:val="21"/>
                    </w:rPr>
                  </w:pPr>
                  <w:r>
                    <w:rPr>
                      <w:rFonts w:hint="eastAsia" w:ascii="Times New Roman" w:hAnsi="Times New Roman"/>
                      <w:color w:val="000000"/>
                      <w:kern w:val="0"/>
                      <w:szCs w:val="21"/>
                    </w:rPr>
                    <w:t>汽车起重机</w:t>
                  </w:r>
                </w:p>
              </w:tc>
              <w:tc>
                <w:tcPr>
                  <w:tcW w:w="579"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85</w:t>
                  </w:r>
                </w:p>
              </w:tc>
              <w:tc>
                <w:tcPr>
                  <w:tcW w:w="70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59</w:t>
                  </w:r>
                </w:p>
              </w:tc>
              <w:tc>
                <w:tcPr>
                  <w:tcW w:w="73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55</w:t>
                  </w:r>
                </w:p>
              </w:tc>
              <w:tc>
                <w:tcPr>
                  <w:tcW w:w="75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53</w:t>
                  </w:r>
                </w:p>
              </w:tc>
              <w:tc>
                <w:tcPr>
                  <w:tcW w:w="734"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lang w:val="en-US" w:eastAsia="zh-CN"/>
                    </w:rPr>
                    <w:t>51</w:t>
                  </w:r>
                </w:p>
              </w:tc>
              <w:tc>
                <w:tcPr>
                  <w:tcW w:w="783"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45</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18</w:t>
                  </w:r>
                </w:p>
              </w:tc>
              <w:tc>
                <w:tcPr>
                  <w:tcW w:w="867"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58</w:t>
                  </w:r>
                </w:p>
              </w:tc>
            </w:tr>
          </w:tbl>
          <w:p>
            <w:pPr>
              <w:pStyle w:val="138"/>
              <w:ind w:firstLine="422"/>
              <w:jc w:val="center"/>
              <w:rPr>
                <w:b/>
                <w:color w:val="000000"/>
                <w:sz w:val="21"/>
                <w:szCs w:val="21"/>
              </w:rPr>
            </w:pPr>
            <w:r>
              <w:rPr>
                <w:rFonts w:hint="eastAsia"/>
                <w:b/>
                <w:color w:val="000000"/>
                <w:sz w:val="21"/>
                <w:szCs w:val="21"/>
              </w:rPr>
              <w:t xml:space="preserve">表4-3  多台机械设备同时运转的噪声预测值      </w:t>
            </w:r>
            <w:r>
              <w:rPr>
                <w:b/>
                <w:color w:val="000000"/>
                <w:sz w:val="21"/>
                <w:szCs w:val="21"/>
              </w:rPr>
              <w:t>单位</w:t>
            </w:r>
            <w:r>
              <w:rPr>
                <w:rFonts w:hint="eastAsia"/>
                <w:b/>
                <w:color w:val="000000"/>
                <w:sz w:val="21"/>
                <w:szCs w:val="21"/>
              </w:rPr>
              <w:t>：</w:t>
            </w:r>
            <w:r>
              <w:rPr>
                <w:b/>
                <w:color w:val="000000"/>
                <w:sz w:val="21"/>
                <w:szCs w:val="21"/>
              </w:rPr>
              <w:t>dB(A)</w:t>
            </w:r>
          </w:p>
          <w:tbl>
            <w:tblPr>
              <w:tblStyle w:val="39"/>
              <w:tblW w:w="819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92"/>
              <w:gridCol w:w="706"/>
              <w:gridCol w:w="665"/>
              <w:gridCol w:w="601"/>
              <w:gridCol w:w="660"/>
              <w:gridCol w:w="745"/>
              <w:gridCol w:w="745"/>
              <w:gridCol w:w="745"/>
              <w:gridCol w:w="745"/>
              <w:gridCol w:w="745"/>
              <w:gridCol w:w="74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1092"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距离（</w:t>
                  </w:r>
                  <w:r>
                    <w:rPr>
                      <w:b/>
                      <w:bCs/>
                      <w:color w:val="000000"/>
                      <w:kern w:val="0"/>
                      <w:szCs w:val="21"/>
                    </w:rPr>
                    <w:t>m</w:t>
                  </w:r>
                  <w:r>
                    <w:rPr>
                      <w:rFonts w:hint="eastAsia"/>
                      <w:b/>
                      <w:bCs/>
                      <w:color w:val="000000"/>
                      <w:kern w:val="0"/>
                      <w:szCs w:val="21"/>
                    </w:rPr>
                    <w:t>）</w:t>
                  </w:r>
                </w:p>
              </w:tc>
              <w:tc>
                <w:tcPr>
                  <w:tcW w:w="706"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0</w:t>
                  </w:r>
                </w:p>
              </w:tc>
              <w:tc>
                <w:tcPr>
                  <w:tcW w:w="66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5</w:t>
                  </w:r>
                </w:p>
              </w:tc>
              <w:tc>
                <w:tcPr>
                  <w:tcW w:w="601"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10</w:t>
                  </w:r>
                </w:p>
              </w:tc>
              <w:tc>
                <w:tcPr>
                  <w:tcW w:w="66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15</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30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60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80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100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150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b/>
                      <w:bCs/>
                      <w:color w:val="000000"/>
                      <w:kern w:val="0"/>
                      <w:szCs w:val="21"/>
                    </w:rPr>
                  </w:pPr>
                  <w:r>
                    <w:rPr>
                      <w:b/>
                      <w:bCs/>
                      <w:color w:val="000000"/>
                      <w:kern w:val="0"/>
                      <w:szCs w:val="21"/>
                    </w:rPr>
                    <w:t>200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1092"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昼间噪声预测值</w:t>
                  </w:r>
                </w:p>
              </w:tc>
              <w:tc>
                <w:tcPr>
                  <w:tcW w:w="706"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100.5</w:t>
                  </w:r>
                </w:p>
              </w:tc>
              <w:tc>
                <w:tcPr>
                  <w:tcW w:w="66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86.5</w:t>
                  </w:r>
                </w:p>
              </w:tc>
              <w:tc>
                <w:tcPr>
                  <w:tcW w:w="601"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80.5</w:t>
                  </w:r>
                </w:p>
              </w:tc>
              <w:tc>
                <w:tcPr>
                  <w:tcW w:w="660"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77.0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71.0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65.0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62.5</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ind w:left="0" w:leftChars="0" w:right="0" w:rightChars="0" w:firstLine="0" w:firstLineChars="0"/>
                    <w:jc w:val="center"/>
                    <w:rPr>
                      <w:rFonts w:hint="default" w:eastAsia="宋体"/>
                      <w:color w:val="000000"/>
                      <w:kern w:val="0"/>
                      <w:szCs w:val="21"/>
                      <w:lang w:val="en-US" w:eastAsia="zh-CN"/>
                    </w:rPr>
                  </w:pPr>
                  <w:r>
                    <w:rPr>
                      <w:rFonts w:hint="eastAsia"/>
                      <w:color w:val="000000"/>
                      <w:kern w:val="0"/>
                      <w:szCs w:val="21"/>
                      <w:lang w:val="en-US" w:eastAsia="zh-CN"/>
                    </w:rPr>
                    <w:t>60.5</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57.0</w:t>
                  </w:r>
                </w:p>
              </w:tc>
              <w:tc>
                <w:tcPr>
                  <w:tcW w:w="745" w:type="dxa"/>
                  <w:tcBorders>
                    <w:top w:val="single" w:color="000000" w:sz="6" w:space="0"/>
                    <w:left w:val="single" w:color="000000" w:sz="6" w:space="0"/>
                    <w:bottom w:val="single" w:color="000000" w:sz="6" w:space="0"/>
                    <w:right w:val="single" w:color="000000" w:sz="6" w:space="0"/>
                  </w:tcBorders>
                  <w:noWrap w:val="0"/>
                  <w:vAlign w:val="center"/>
                </w:tcPr>
                <w:p>
                  <w:pPr>
                    <w:wordWrap w:val="0"/>
                    <w:autoSpaceDE w:val="0"/>
                    <w:autoSpaceDN w:val="0"/>
                    <w:adjustRightInd w:val="0"/>
                    <w:jc w:val="center"/>
                    <w:rPr>
                      <w:rFonts w:hint="default" w:eastAsia="宋体"/>
                      <w:color w:val="000000"/>
                      <w:kern w:val="0"/>
                      <w:szCs w:val="21"/>
                      <w:lang w:val="en-US" w:eastAsia="zh-CN"/>
                    </w:rPr>
                  </w:pPr>
                  <w:r>
                    <w:rPr>
                      <w:rFonts w:hint="eastAsia"/>
                      <w:color w:val="000000"/>
                      <w:kern w:val="0"/>
                      <w:szCs w:val="21"/>
                      <w:lang w:val="en-US" w:eastAsia="zh-CN"/>
                    </w:rPr>
                    <w:t>54.5</w:t>
                  </w:r>
                </w:p>
              </w:tc>
            </w:tr>
          </w:tbl>
          <w:p>
            <w:pPr>
              <w:wordWrap w:val="0"/>
              <w:adjustRightInd w:val="0"/>
              <w:snapToGrid w:val="0"/>
              <w:spacing w:line="360" w:lineRule="auto"/>
              <w:ind w:firstLine="480" w:firstLineChars="200"/>
              <w:jc w:val="left"/>
              <w:rPr>
                <w:rFonts w:hint="eastAsia"/>
                <w:color w:val="000000"/>
                <w:kern w:val="0"/>
                <w:sz w:val="24"/>
              </w:rPr>
            </w:pPr>
            <w:r>
              <w:rPr>
                <w:rFonts w:hint="eastAsia" w:ascii="宋体"/>
                <w:color w:val="000000"/>
                <w:kern w:val="0"/>
                <w:sz w:val="24"/>
              </w:rPr>
              <w:t>由预测结果知，钢筋加工设备、推土机、振捣器的噪声贡献值较大，施工时易</w:t>
            </w:r>
            <w:r>
              <w:rPr>
                <w:rFonts w:hint="eastAsia"/>
                <w:color w:val="000000"/>
                <w:kern w:val="0"/>
                <w:sz w:val="24"/>
              </w:rPr>
              <w:t>对附近居民产生影响。本项目夜间不施工，昼间施工噪声3</w:t>
            </w:r>
            <w:r>
              <w:rPr>
                <w:rFonts w:hint="eastAsia"/>
                <w:color w:val="000000"/>
                <w:kern w:val="0"/>
                <w:sz w:val="24"/>
                <w:lang w:val="en-US" w:eastAsia="zh-CN"/>
              </w:rPr>
              <w:t>5</w:t>
            </w:r>
            <w:r>
              <w:rPr>
                <w:color w:val="000000"/>
                <w:kern w:val="0"/>
                <w:sz w:val="24"/>
              </w:rPr>
              <w:t>m</w:t>
            </w:r>
            <w:r>
              <w:rPr>
                <w:rFonts w:hint="eastAsia"/>
                <w:color w:val="000000"/>
                <w:kern w:val="0"/>
                <w:sz w:val="24"/>
              </w:rPr>
              <w:t>外均能满足《建筑施工场界环境噪声排放标准》（</w:t>
            </w:r>
            <w:r>
              <w:rPr>
                <w:color w:val="000000"/>
                <w:kern w:val="0"/>
                <w:sz w:val="24"/>
              </w:rPr>
              <w:t>GB12523-2011</w:t>
            </w:r>
            <w:r>
              <w:rPr>
                <w:rFonts w:hint="eastAsia"/>
                <w:color w:val="000000"/>
                <w:kern w:val="0"/>
                <w:sz w:val="24"/>
              </w:rPr>
              <w:t>）中限值要求。</w:t>
            </w:r>
          </w:p>
          <w:p>
            <w:pPr>
              <w:widowControl/>
              <w:spacing w:line="360" w:lineRule="auto"/>
              <w:ind w:firstLine="482" w:firstLineChars="200"/>
              <w:rPr>
                <w:rFonts w:hint="eastAsia"/>
                <w:b/>
                <w:color w:val="000000"/>
                <w:kern w:val="0"/>
                <w:sz w:val="24"/>
                <w:lang w:bidi="ar"/>
              </w:rPr>
            </w:pPr>
            <w:r>
              <w:rPr>
                <w:rFonts w:hint="eastAsia"/>
                <w:b/>
                <w:color w:val="000000"/>
                <w:kern w:val="0"/>
                <w:sz w:val="24"/>
                <w:lang w:bidi="ar"/>
              </w:rPr>
              <w:t>（4）施工期噪声环境影响分析</w:t>
            </w:r>
          </w:p>
          <w:p>
            <w:pPr>
              <w:widowControl/>
              <w:spacing w:line="360" w:lineRule="auto"/>
              <w:ind w:firstLine="480" w:firstLineChars="200"/>
              <w:rPr>
                <w:rFonts w:hint="eastAsia"/>
                <w:bCs/>
                <w:color w:val="000000"/>
                <w:kern w:val="0"/>
                <w:sz w:val="24"/>
                <w:lang w:bidi="ar"/>
              </w:rPr>
            </w:pPr>
            <w:r>
              <w:rPr>
                <w:rFonts w:hint="eastAsia"/>
                <w:bCs/>
                <w:color w:val="000000"/>
                <w:kern w:val="0"/>
                <w:sz w:val="24"/>
                <w:lang w:bidi="ar"/>
              </w:rPr>
              <w:t>施工过程机械发生的噪声与其它噪声不同。一是噪声由许多不同种类的设备发出的；二是这些设备的运作是间歇性的，因此所发出的噪声也是间歇性和短暂的。根据《建筑施工场界环境噪声排放限值》（GB12523-2011），本项目施工期场界噪声限值为昼间70dB(A)，夜间55dB(A)，大部分施工机械单台噪声运行时距离约</w:t>
            </w:r>
            <w:r>
              <w:rPr>
                <w:rFonts w:hint="eastAsia"/>
                <w:bCs/>
                <w:color w:val="000000"/>
                <w:kern w:val="0"/>
                <w:sz w:val="24"/>
                <w:lang w:val="en-US" w:eastAsia="zh-CN" w:bidi="ar"/>
              </w:rPr>
              <w:t>10</w:t>
            </w:r>
            <w:r>
              <w:rPr>
                <w:rFonts w:hint="eastAsia"/>
                <w:bCs/>
                <w:color w:val="000000"/>
                <w:kern w:val="0"/>
                <w:sz w:val="24"/>
                <w:lang w:bidi="ar"/>
              </w:rPr>
              <w:t>m处方可达到昼间施工期场界噪声限值，本项目夜间不施工，根据本项目敏感点分布图，渠道附近分布有敏感点，因此禁止夜间施工，在中高考期间禁止施工，渠道施工为线性工程，施工时间相对较短，一旦施工活动结束，施工噪声也随之结束，为减轻施工期间的噪声影响，应采取以下控制措施：</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1）施工队伍建设时，应使用低噪声的设备；加强管理，控制施工作业噪声和施工车辆的噪声辐射强度和排放时间。</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2）合理布置施工场地，避免在同一施工地点安排大量动力机械设备，避免局部声级过高。施工时施工机械尽量远离施工场界敏感目标。</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本工程为高中水库灌区工程建设项目，新建渠道两侧和右干渠整治段两侧主要为零散农户，对于本项目目前较近的农户，要求该渠道的建设和整治在白天进行。</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3）严格控制施工时间及施工方式，在夜间（22:00~06:00）施工中禁止施工，中、高考期间禁止施工。</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4）运输施工材料的工程车辆，采取减速缓行、禁止鸣笛等措施。</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采取以上措施后，可以使噪声达到《建筑施工场界环境噪声排放标准》（GB12523-2011）的要求。</w:t>
            </w:r>
          </w:p>
          <w:p>
            <w:pPr>
              <w:widowControl/>
              <w:spacing w:line="360" w:lineRule="auto"/>
              <w:jc w:val="left"/>
              <w:rPr>
                <w:rFonts w:hint="eastAsia"/>
                <w:b/>
                <w:color w:val="000000"/>
                <w:kern w:val="0"/>
                <w:sz w:val="28"/>
                <w:szCs w:val="28"/>
                <w:lang w:bidi="ar"/>
              </w:rPr>
            </w:pPr>
            <w:r>
              <w:rPr>
                <w:rFonts w:hint="eastAsia"/>
                <w:b/>
                <w:color w:val="000000"/>
                <w:kern w:val="0"/>
                <w:sz w:val="28"/>
                <w:szCs w:val="28"/>
                <w:lang w:bidi="ar"/>
              </w:rPr>
              <w:t>4、固体废弃物环境影响分析</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施工期固废物主要为项目施工过程产生的土石方弃渣、施工人员的生活垃圾。</w:t>
            </w:r>
          </w:p>
          <w:p>
            <w:pPr>
              <w:widowControl/>
              <w:spacing w:line="360" w:lineRule="auto"/>
              <w:ind w:firstLine="482" w:firstLineChars="200"/>
              <w:jc w:val="left"/>
              <w:rPr>
                <w:rFonts w:hint="eastAsia"/>
                <w:b/>
                <w:color w:val="000000"/>
                <w:kern w:val="0"/>
                <w:sz w:val="24"/>
                <w:lang w:bidi="ar"/>
              </w:rPr>
            </w:pPr>
            <w:r>
              <w:rPr>
                <w:rFonts w:hint="eastAsia"/>
                <w:b/>
                <w:color w:val="000000"/>
                <w:kern w:val="0"/>
                <w:sz w:val="24"/>
                <w:lang w:bidi="ar"/>
              </w:rPr>
              <w:t>（1）土石方弃渣</w:t>
            </w:r>
          </w:p>
          <w:p>
            <w:pPr>
              <w:widowControl/>
              <w:spacing w:line="360" w:lineRule="auto"/>
              <w:ind w:firstLine="480" w:firstLineChars="200"/>
              <w:jc w:val="left"/>
              <w:rPr>
                <w:rFonts w:hint="eastAsia"/>
                <w:bCs/>
                <w:color w:val="000000"/>
                <w:kern w:val="0"/>
                <w:sz w:val="24"/>
                <w:lang w:val="zh-CN" w:eastAsia="zh-CN" w:bidi="ar"/>
              </w:rPr>
            </w:pPr>
            <w:r>
              <w:rPr>
                <w:rFonts w:hint="eastAsia"/>
                <w:bCs/>
                <w:color w:val="000000"/>
                <w:kern w:val="0"/>
                <w:sz w:val="24"/>
                <w:lang w:bidi="ar"/>
              </w:rPr>
              <w:t>根据</w:t>
            </w:r>
            <w:r>
              <w:rPr>
                <w:rFonts w:hint="eastAsia"/>
                <w:bCs/>
                <w:color w:val="000000"/>
                <w:kern w:val="0"/>
                <w:sz w:val="24"/>
                <w:lang w:eastAsia="zh-CN" w:bidi="ar"/>
              </w:rPr>
              <w:t>《</w:t>
            </w:r>
            <w:r>
              <w:rPr>
                <w:rFonts w:hint="eastAsia"/>
                <w:bCs/>
                <w:color w:val="000000"/>
                <w:kern w:val="0"/>
                <w:sz w:val="24"/>
                <w:lang w:bidi="ar"/>
              </w:rPr>
              <w:t>立项建议报告》，</w:t>
            </w:r>
            <w:r>
              <w:rPr>
                <w:rFonts w:hint="eastAsia"/>
                <w:bCs/>
                <w:color w:val="000000"/>
                <w:kern w:val="0"/>
                <w:sz w:val="24"/>
                <w:lang w:val="zh-CN" w:bidi="ar"/>
              </w:rPr>
              <w:t>本工程土石方开挖总量</w:t>
            </w:r>
            <w:r>
              <w:rPr>
                <w:rFonts w:hint="eastAsia"/>
                <w:bCs/>
                <w:color w:val="000000"/>
                <w:kern w:val="0"/>
                <w:sz w:val="24"/>
                <w:lang w:bidi="ar"/>
              </w:rPr>
              <w:t>9.69万m</w:t>
            </w:r>
            <w:r>
              <w:rPr>
                <w:rFonts w:hint="eastAsia"/>
                <w:bCs/>
                <w:color w:val="000000"/>
                <w:kern w:val="0"/>
                <w:sz w:val="24"/>
                <w:vertAlign w:val="superscript"/>
                <w:lang w:bidi="ar"/>
              </w:rPr>
              <w:t>3</w:t>
            </w:r>
            <w:r>
              <w:rPr>
                <w:rFonts w:hint="eastAsia"/>
                <w:bCs/>
                <w:color w:val="000000"/>
                <w:kern w:val="0"/>
                <w:sz w:val="24"/>
                <w:lang w:bidi="ar"/>
              </w:rPr>
              <w:t>（自然方，含砌体和砼拆除量），其中土方开挖7.72万m</w:t>
            </w:r>
            <w:r>
              <w:rPr>
                <w:rFonts w:hint="eastAsia"/>
                <w:bCs/>
                <w:color w:val="000000"/>
                <w:kern w:val="0"/>
                <w:sz w:val="24"/>
                <w:vertAlign w:val="superscript"/>
                <w:lang w:bidi="ar"/>
              </w:rPr>
              <w:t>3</w:t>
            </w:r>
            <w:r>
              <w:rPr>
                <w:rFonts w:hint="eastAsia"/>
                <w:bCs/>
                <w:color w:val="000000"/>
                <w:kern w:val="0"/>
                <w:sz w:val="24"/>
                <w:lang w:bidi="ar"/>
              </w:rPr>
              <w:t>、石方明挖1.84万m</w:t>
            </w:r>
            <w:r>
              <w:rPr>
                <w:rFonts w:hint="eastAsia"/>
                <w:bCs/>
                <w:color w:val="000000"/>
                <w:kern w:val="0"/>
                <w:sz w:val="24"/>
                <w:vertAlign w:val="superscript"/>
                <w:lang w:bidi="ar"/>
              </w:rPr>
              <w:t>3</w:t>
            </w:r>
            <w:r>
              <w:rPr>
                <w:rFonts w:hint="eastAsia"/>
                <w:bCs/>
                <w:color w:val="000000"/>
                <w:kern w:val="0"/>
                <w:sz w:val="24"/>
                <w:lang w:bidi="ar"/>
              </w:rPr>
              <w:t>、石方洞挖0.11万m</w:t>
            </w:r>
            <w:r>
              <w:rPr>
                <w:rFonts w:hint="eastAsia"/>
                <w:bCs/>
                <w:color w:val="000000"/>
                <w:kern w:val="0"/>
                <w:sz w:val="24"/>
                <w:vertAlign w:val="superscript"/>
                <w:lang w:bidi="ar"/>
              </w:rPr>
              <w:t>3</w:t>
            </w:r>
            <w:r>
              <w:rPr>
                <w:rFonts w:hint="eastAsia"/>
                <w:bCs/>
                <w:color w:val="000000"/>
                <w:kern w:val="0"/>
                <w:sz w:val="24"/>
                <w:lang w:bidi="ar"/>
              </w:rPr>
              <w:t>、</w:t>
            </w:r>
            <w:r>
              <w:rPr>
                <w:rFonts w:hint="eastAsia"/>
                <w:bCs/>
                <w:color w:val="000000"/>
                <w:kern w:val="0"/>
                <w:sz w:val="24"/>
                <w:lang w:val="zh-CN" w:bidi="ar"/>
              </w:rPr>
              <w:t>土石方回填</w:t>
            </w:r>
            <w:r>
              <w:rPr>
                <w:rFonts w:hint="eastAsia"/>
                <w:bCs/>
                <w:color w:val="000000"/>
                <w:kern w:val="0"/>
                <w:sz w:val="24"/>
                <w:lang w:bidi="ar"/>
              </w:rPr>
              <w:t>8.16万m</w:t>
            </w:r>
            <w:r>
              <w:rPr>
                <w:rFonts w:hint="eastAsia"/>
                <w:bCs/>
                <w:color w:val="000000"/>
                <w:kern w:val="0"/>
                <w:sz w:val="24"/>
                <w:vertAlign w:val="superscript"/>
                <w:lang w:bidi="ar"/>
              </w:rPr>
              <w:t>3</w:t>
            </w:r>
            <w:r>
              <w:rPr>
                <w:rFonts w:hint="eastAsia"/>
                <w:bCs/>
                <w:color w:val="000000"/>
                <w:kern w:val="0"/>
                <w:sz w:val="24"/>
                <w:lang w:bidi="ar"/>
              </w:rPr>
              <w:t>（压实方，需自然方8.19万m</w:t>
            </w:r>
            <w:r>
              <w:rPr>
                <w:rFonts w:hint="eastAsia"/>
                <w:bCs/>
                <w:color w:val="000000"/>
                <w:kern w:val="0"/>
                <w:sz w:val="24"/>
                <w:vertAlign w:val="superscript"/>
                <w:lang w:bidi="ar"/>
              </w:rPr>
              <w:t>3</w:t>
            </w:r>
            <w:r>
              <w:rPr>
                <w:rFonts w:hint="eastAsia"/>
                <w:bCs/>
                <w:color w:val="000000"/>
                <w:kern w:val="0"/>
                <w:sz w:val="24"/>
                <w:lang w:bidi="ar"/>
              </w:rPr>
              <w:t>）</w:t>
            </w:r>
            <w:r>
              <w:rPr>
                <w:rFonts w:hint="eastAsia"/>
                <w:bCs/>
                <w:color w:val="000000"/>
                <w:kern w:val="0"/>
                <w:sz w:val="24"/>
                <w:lang w:val="zh-CN" w:bidi="ar"/>
              </w:rPr>
              <w:t>，经各渠道平衡，总弃渣量</w:t>
            </w:r>
            <w:r>
              <w:rPr>
                <w:rFonts w:hint="eastAsia"/>
                <w:bCs/>
                <w:color w:val="000000"/>
                <w:kern w:val="0"/>
                <w:sz w:val="24"/>
                <w:lang w:bidi="ar"/>
              </w:rPr>
              <w:t>1.50</w:t>
            </w:r>
            <w:r>
              <w:rPr>
                <w:rFonts w:hint="eastAsia"/>
                <w:bCs/>
                <w:color w:val="000000"/>
                <w:kern w:val="0"/>
                <w:sz w:val="24"/>
                <w:lang w:val="zh-CN" w:bidi="ar"/>
              </w:rPr>
              <w:t>万</w:t>
            </w:r>
            <w:r>
              <w:rPr>
                <w:rFonts w:hint="eastAsia"/>
                <w:bCs/>
                <w:color w:val="000000"/>
                <w:kern w:val="0"/>
                <w:sz w:val="24"/>
                <w:lang w:bidi="ar"/>
              </w:rPr>
              <w:t>m</w:t>
            </w:r>
            <w:r>
              <w:rPr>
                <w:rFonts w:hint="eastAsia"/>
                <w:bCs/>
                <w:color w:val="000000"/>
                <w:kern w:val="0"/>
                <w:sz w:val="24"/>
                <w:vertAlign w:val="superscript"/>
                <w:lang w:bidi="ar"/>
              </w:rPr>
              <w:t>3</w:t>
            </w:r>
            <w:r>
              <w:rPr>
                <w:rFonts w:hint="eastAsia"/>
                <w:bCs/>
                <w:color w:val="000000"/>
                <w:kern w:val="0"/>
                <w:sz w:val="24"/>
                <w:lang w:val="zh-CN" w:bidi="ar"/>
              </w:rPr>
              <w:t>（自然方），其中1.30万m</w:t>
            </w:r>
            <w:r>
              <w:rPr>
                <w:rFonts w:hint="eastAsia"/>
                <w:bCs/>
                <w:color w:val="000000"/>
                <w:kern w:val="0"/>
                <w:sz w:val="24"/>
                <w:vertAlign w:val="superscript"/>
                <w:lang w:val="zh-CN" w:bidi="ar"/>
              </w:rPr>
              <w:t>3</w:t>
            </w:r>
            <w:r>
              <w:rPr>
                <w:rFonts w:hint="eastAsia"/>
                <w:bCs/>
                <w:color w:val="000000"/>
                <w:kern w:val="0"/>
                <w:sz w:val="24"/>
                <w:lang w:val="zh-CN" w:bidi="ar"/>
              </w:rPr>
              <w:t>（自然方）弃渣因弃渣量较小，且较分散，拟全部沿渠在渠道施工作业带范围内堆放，另外0.20万m</w:t>
            </w:r>
            <w:r>
              <w:rPr>
                <w:rFonts w:hint="eastAsia"/>
                <w:bCs/>
                <w:color w:val="000000"/>
                <w:kern w:val="0"/>
                <w:sz w:val="24"/>
                <w:vertAlign w:val="superscript"/>
                <w:lang w:val="zh-CN" w:bidi="ar"/>
              </w:rPr>
              <w:t>3</w:t>
            </w:r>
            <w:r>
              <w:rPr>
                <w:rFonts w:hint="eastAsia"/>
                <w:bCs/>
                <w:color w:val="000000"/>
                <w:kern w:val="0"/>
                <w:sz w:val="24"/>
                <w:lang w:val="zh-CN" w:eastAsia="zh-CN" w:bidi="ar"/>
              </w:rPr>
              <w:t>回填渠道低洼地带，</w:t>
            </w:r>
            <w:r>
              <w:rPr>
                <w:rFonts w:hint="eastAsia"/>
                <w:bCs/>
                <w:color w:val="000000"/>
                <w:kern w:val="0"/>
                <w:sz w:val="24"/>
                <w:lang w:val="zh-CN" w:bidi="ar"/>
              </w:rPr>
              <w:t>不设置集中弃渣场</w:t>
            </w:r>
            <w:r>
              <w:rPr>
                <w:rFonts w:hint="eastAsia"/>
                <w:bCs/>
                <w:color w:val="000000"/>
                <w:kern w:val="0"/>
                <w:sz w:val="24"/>
                <w:lang w:val="zh-CN" w:eastAsia="zh-CN" w:bidi="ar"/>
              </w:rPr>
              <w:t>。</w:t>
            </w:r>
          </w:p>
          <w:p>
            <w:pPr>
              <w:widowControl/>
              <w:spacing w:line="360" w:lineRule="auto"/>
              <w:ind w:firstLine="482" w:firstLineChars="200"/>
              <w:jc w:val="left"/>
              <w:rPr>
                <w:rFonts w:hint="eastAsia"/>
                <w:b/>
                <w:color w:val="000000"/>
                <w:kern w:val="0"/>
                <w:sz w:val="24"/>
                <w:lang w:bidi="ar"/>
              </w:rPr>
            </w:pPr>
            <w:r>
              <w:rPr>
                <w:rFonts w:hint="eastAsia"/>
                <w:b/>
                <w:color w:val="000000"/>
                <w:kern w:val="0"/>
                <w:sz w:val="24"/>
                <w:lang w:bidi="ar"/>
              </w:rPr>
              <w:t>（2）生活垃圾</w:t>
            </w:r>
          </w:p>
          <w:p>
            <w:pPr>
              <w:widowControl/>
              <w:spacing w:line="360" w:lineRule="auto"/>
              <w:ind w:firstLine="480" w:firstLineChars="200"/>
              <w:jc w:val="left"/>
              <w:rPr>
                <w:rFonts w:hint="eastAsia"/>
                <w:bCs/>
                <w:color w:val="000000"/>
                <w:kern w:val="0"/>
                <w:sz w:val="24"/>
                <w:lang w:bidi="ar"/>
              </w:rPr>
            </w:pPr>
            <w:r>
              <w:rPr>
                <w:rFonts w:hint="eastAsia"/>
                <w:bCs/>
                <w:color w:val="000000"/>
                <w:kern w:val="0"/>
                <w:sz w:val="24"/>
                <w:lang w:bidi="ar"/>
              </w:rPr>
              <w:t>项目施工高峰期，施工人员人数可达150人。建设施工期施工人员生活垃圾主要成分为烂菜叶、残剩食物、塑料饭盒和塑料袋、果皮核屑等，按每人生活垃圾产生量0.5kg/天，项目施工人员150人，则施工期间生活垃圾产生量为75kg/d，</w:t>
            </w:r>
            <w:r>
              <w:rPr>
                <w:rFonts w:hint="eastAsia"/>
                <w:bCs/>
                <w:color w:val="000000"/>
                <w:kern w:val="0"/>
                <w:sz w:val="24"/>
                <w:lang w:eastAsia="zh-CN" w:bidi="ar"/>
              </w:rPr>
              <w:t>施工期的生活垃圾统一收集交由当地环卫部门</w:t>
            </w:r>
            <w:r>
              <w:rPr>
                <w:rFonts w:hint="eastAsia"/>
                <w:bCs/>
                <w:color w:val="000000"/>
                <w:kern w:val="0"/>
                <w:sz w:val="24"/>
                <w:lang w:bidi="ar"/>
              </w:rPr>
              <w:t>进行清运，消毒处理</w:t>
            </w:r>
            <w:r>
              <w:rPr>
                <w:rFonts w:hint="eastAsia"/>
                <w:bCs/>
                <w:color w:val="000000"/>
                <w:kern w:val="0"/>
                <w:sz w:val="24"/>
                <w:lang w:eastAsia="zh-CN" w:bidi="ar"/>
              </w:rPr>
              <w:t>，</w:t>
            </w:r>
            <w:r>
              <w:rPr>
                <w:rFonts w:hint="eastAsia"/>
                <w:bCs/>
                <w:color w:val="000000"/>
                <w:kern w:val="0"/>
                <w:sz w:val="24"/>
                <w:lang w:bidi="ar"/>
              </w:rPr>
              <w:t>同时加强对施工人员的环保意识教育，杜绝生活垃圾到处乱扔，避免造成对环境的二次污染。</w:t>
            </w:r>
          </w:p>
          <w:p>
            <w:pPr>
              <w:pStyle w:val="121"/>
              <w:ind w:firstLine="480"/>
              <w:rPr>
                <w:rFonts w:ascii="Times New Roman" w:hAnsi="Times New Roman"/>
                <w:kern w:val="0"/>
                <w:szCs w:val="20"/>
              </w:rPr>
            </w:pPr>
            <w:r>
              <w:rPr>
                <w:rFonts w:ascii="Times New Roman" w:hAnsi="Times New Roman"/>
                <w:kern w:val="0"/>
                <w:szCs w:val="20"/>
              </w:rPr>
              <w:t>本项目施工期固废经妥善处理后，对周围环境基本没有影响。</w:t>
            </w:r>
          </w:p>
          <w:p>
            <w:pPr>
              <w:widowControl/>
              <w:spacing w:line="360" w:lineRule="auto"/>
              <w:jc w:val="left"/>
              <w:rPr>
                <w:rFonts w:hint="eastAsia"/>
                <w:b/>
                <w:color w:val="000000"/>
                <w:kern w:val="0"/>
                <w:sz w:val="28"/>
                <w:szCs w:val="28"/>
                <w:lang w:bidi="ar"/>
              </w:rPr>
            </w:pPr>
            <w:r>
              <w:rPr>
                <w:rFonts w:hint="eastAsia"/>
                <w:b/>
                <w:color w:val="000000"/>
                <w:kern w:val="0"/>
                <w:sz w:val="28"/>
                <w:szCs w:val="28"/>
                <w:lang w:bidi="ar"/>
              </w:rPr>
              <w:t>5、生态环境影响分析</w:t>
            </w:r>
          </w:p>
          <w:p>
            <w:pPr>
              <w:pStyle w:val="138"/>
              <w:rPr>
                <w:rFonts w:hint="eastAsia"/>
                <w:color w:val="000000"/>
              </w:rPr>
            </w:pPr>
            <w:r>
              <w:rPr>
                <w:rFonts w:hint="eastAsia"/>
                <w:color w:val="000000"/>
              </w:rPr>
              <w:t>工程总占地面积10.41hm</w:t>
            </w:r>
            <w:r>
              <w:rPr>
                <w:rFonts w:hint="eastAsia"/>
                <w:color w:val="000000"/>
                <w:vertAlign w:val="superscript"/>
              </w:rPr>
              <w:t>2</w:t>
            </w:r>
            <w:r>
              <w:rPr>
                <w:rFonts w:hint="eastAsia"/>
                <w:color w:val="000000"/>
              </w:rPr>
              <w:t>，其中永久占地3.64hm</w:t>
            </w:r>
            <w:r>
              <w:rPr>
                <w:rFonts w:hint="eastAsia"/>
                <w:color w:val="000000"/>
                <w:vertAlign w:val="superscript"/>
              </w:rPr>
              <w:t>2</w:t>
            </w:r>
            <w:r>
              <w:rPr>
                <w:rFonts w:hint="eastAsia"/>
                <w:color w:val="000000"/>
              </w:rPr>
              <w:t>，临时占地6.77hm</w:t>
            </w:r>
            <w:r>
              <w:rPr>
                <w:rFonts w:hint="eastAsia"/>
                <w:color w:val="000000"/>
                <w:vertAlign w:val="superscript"/>
              </w:rPr>
              <w:t>2</w:t>
            </w:r>
            <w:r>
              <w:rPr>
                <w:rFonts w:hint="eastAsia"/>
                <w:color w:val="000000"/>
              </w:rPr>
              <w:t>。包括耕地1.29hm</w:t>
            </w:r>
            <w:r>
              <w:rPr>
                <w:rFonts w:hint="eastAsia"/>
                <w:color w:val="000000"/>
                <w:vertAlign w:val="superscript"/>
              </w:rPr>
              <w:t>2</w:t>
            </w:r>
            <w:r>
              <w:rPr>
                <w:rFonts w:hint="eastAsia"/>
                <w:color w:val="000000"/>
              </w:rPr>
              <w:t>，林地8.63hm</w:t>
            </w:r>
            <w:r>
              <w:rPr>
                <w:rFonts w:hint="eastAsia"/>
                <w:color w:val="000000"/>
                <w:vertAlign w:val="superscript"/>
              </w:rPr>
              <w:t>2</w:t>
            </w:r>
            <w:r>
              <w:rPr>
                <w:rFonts w:hint="eastAsia"/>
                <w:color w:val="000000"/>
              </w:rPr>
              <w:t>，草地0.05hm</w:t>
            </w:r>
            <w:r>
              <w:rPr>
                <w:rFonts w:hint="eastAsia"/>
                <w:color w:val="000000"/>
                <w:vertAlign w:val="superscript"/>
              </w:rPr>
              <w:t>2</w:t>
            </w:r>
            <w:r>
              <w:rPr>
                <w:rFonts w:hint="eastAsia"/>
                <w:color w:val="000000"/>
              </w:rPr>
              <w:t>，水域及水利设施用地（沟渠）0.44hm</w:t>
            </w:r>
            <w:r>
              <w:rPr>
                <w:rFonts w:hint="eastAsia"/>
                <w:color w:val="000000"/>
                <w:vertAlign w:val="superscript"/>
              </w:rPr>
              <w:t>2</w:t>
            </w:r>
            <w:r>
              <w:rPr>
                <w:rFonts w:hint="eastAsia"/>
                <w:color w:val="000000"/>
              </w:rPr>
              <w:t>。项目的建设会对工程临时占地原有的生态系统的产生一定的影响。</w:t>
            </w:r>
          </w:p>
          <w:p>
            <w:pPr>
              <w:pStyle w:val="138"/>
              <w:rPr>
                <w:rFonts w:hint="eastAsia"/>
                <w:color w:val="000000"/>
              </w:rPr>
            </w:pPr>
            <w:r>
              <w:rPr>
                <w:rFonts w:hint="eastAsia"/>
                <w:color w:val="000000"/>
              </w:rPr>
              <w:t>施工期生态影响主要包括工程施工、工程占地、渠道开挖过程中生活污水排放和生活垃圾丢弃对周边生态的影响。项目评价范围内没有自然保护区的分布；没有明显、固定的野生保护动物栖息地；没有珍稀保护植被；沿线河段内也没有珍稀鱼类分布。施工期生态环境影响类型和范围分析见表4-4。</w:t>
            </w:r>
          </w:p>
          <w:p>
            <w:pPr>
              <w:wordWrap w:val="0"/>
              <w:adjustRightInd w:val="0"/>
              <w:snapToGrid w:val="0"/>
              <w:spacing w:line="360" w:lineRule="auto"/>
              <w:ind w:firstLine="482" w:firstLineChars="200"/>
              <w:jc w:val="center"/>
              <w:rPr>
                <w:b/>
                <w:color w:val="000000"/>
                <w:szCs w:val="21"/>
              </w:rPr>
            </w:pPr>
            <w:r>
              <w:rPr>
                <w:rFonts w:hint="eastAsia"/>
                <w:b/>
                <w:color w:val="000000"/>
                <w:szCs w:val="21"/>
              </w:rPr>
              <w:t>表4-4</w:t>
            </w:r>
            <w:r>
              <w:rPr>
                <w:b/>
                <w:color w:val="000000"/>
                <w:szCs w:val="21"/>
              </w:rPr>
              <w:t xml:space="preserve">  </w:t>
            </w:r>
            <w:r>
              <w:rPr>
                <w:rFonts w:hint="eastAsia"/>
                <w:b/>
                <w:color w:val="000000"/>
                <w:szCs w:val="21"/>
              </w:rPr>
              <w:t>工程建设活动生态环境影响类型和范围</w:t>
            </w:r>
          </w:p>
          <w:tbl>
            <w:tblPr>
              <w:tblStyle w:val="39"/>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2"/>
              <w:gridCol w:w="1821"/>
              <w:gridCol w:w="1101"/>
              <w:gridCol w:w="3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60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施工期间生态影响种类</w:t>
                  </w:r>
                </w:p>
              </w:tc>
              <w:tc>
                <w:tcPr>
                  <w:tcW w:w="182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生态影响途径</w:t>
                  </w:r>
                </w:p>
              </w:tc>
              <w:tc>
                <w:tcPr>
                  <w:tcW w:w="110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影响类型</w:t>
                  </w:r>
                </w:p>
              </w:tc>
              <w:tc>
                <w:tcPr>
                  <w:tcW w:w="375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b/>
                      <w:bCs/>
                      <w:color w:val="000000"/>
                      <w:kern w:val="0"/>
                      <w:szCs w:val="21"/>
                    </w:rPr>
                  </w:pPr>
                  <w:r>
                    <w:rPr>
                      <w:rFonts w:hint="eastAsia"/>
                      <w:b/>
                      <w:bCs/>
                      <w:color w:val="000000"/>
                      <w:kern w:val="0"/>
                      <w:szCs w:val="21"/>
                    </w:rPr>
                    <w:t>生态影响表现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60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工程施工</w:t>
                  </w:r>
                </w:p>
              </w:tc>
              <w:tc>
                <w:tcPr>
                  <w:tcW w:w="182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挖掘、填埋扰动土壤，造成水土流失</w:t>
                  </w:r>
                </w:p>
              </w:tc>
              <w:tc>
                <w:tcPr>
                  <w:tcW w:w="110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施工结束，部分恢复</w:t>
                  </w:r>
                </w:p>
              </w:tc>
              <w:tc>
                <w:tcPr>
                  <w:tcW w:w="375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破坏植被和土壤环境，原有植被消失，区域生物和生物产量减少。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60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color w:val="000000"/>
                      <w:kern w:val="0"/>
                      <w:szCs w:val="21"/>
                    </w:rPr>
                  </w:pPr>
                  <w:r>
                    <w:rPr>
                      <w:rFonts w:hint="eastAsia"/>
                      <w:color w:val="000000"/>
                      <w:kern w:val="0"/>
                      <w:szCs w:val="21"/>
                    </w:rPr>
                    <w:t>工程临时占地</w:t>
                  </w:r>
                </w:p>
              </w:tc>
              <w:tc>
                <w:tcPr>
                  <w:tcW w:w="182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占用耕地、林地等</w:t>
                  </w:r>
                </w:p>
              </w:tc>
              <w:tc>
                <w:tcPr>
                  <w:tcW w:w="110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施工结束，部分恢复</w:t>
                  </w:r>
                </w:p>
              </w:tc>
              <w:tc>
                <w:tcPr>
                  <w:tcW w:w="375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改变土地利用性质，造成土地荒废，破坏植被，原有植被消失死亡，区域生物量及生物产量减少。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602"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生活污水排放和生活垃圾丢弃</w:t>
                  </w:r>
                </w:p>
              </w:tc>
              <w:tc>
                <w:tcPr>
                  <w:tcW w:w="182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影响水质，鼠类等啮齿动物繁殖</w:t>
                  </w:r>
                </w:p>
              </w:tc>
              <w:tc>
                <w:tcPr>
                  <w:tcW w:w="1101"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施工结束，部分恢复</w:t>
                  </w:r>
                </w:p>
              </w:tc>
              <w:tc>
                <w:tcPr>
                  <w:tcW w:w="3755" w:type="dxa"/>
                  <w:tcBorders>
                    <w:top w:val="single" w:color="auto" w:sz="4" w:space="0"/>
                    <w:left w:val="single" w:color="auto" w:sz="4" w:space="0"/>
                    <w:bottom w:val="single" w:color="auto" w:sz="4" w:space="0"/>
                    <w:right w:val="single" w:color="auto" w:sz="4" w:space="0"/>
                  </w:tcBorders>
                  <w:noWrap w:val="0"/>
                  <w:vAlign w:val="center"/>
                </w:tcPr>
                <w:p>
                  <w:pPr>
                    <w:wordWrap w:val="0"/>
                    <w:autoSpaceDE w:val="0"/>
                    <w:autoSpaceDN w:val="0"/>
                    <w:adjustRightInd w:val="0"/>
                    <w:jc w:val="center"/>
                    <w:rPr>
                      <w:rFonts w:ascii="宋体" w:cs="宋体"/>
                      <w:color w:val="000000"/>
                      <w:kern w:val="0"/>
                      <w:szCs w:val="21"/>
                    </w:rPr>
                  </w:pPr>
                  <w:r>
                    <w:rPr>
                      <w:rFonts w:hint="eastAsia" w:ascii="宋体" w:hAnsi="宋体" w:cs="宋体"/>
                      <w:color w:val="000000"/>
                      <w:kern w:val="0"/>
                      <w:szCs w:val="21"/>
                    </w:rPr>
                    <w:t>影响水质，对水生生态造成不利影响；鼠类等啮齿动物增加，影响生态链和区域生态系统平衡。</w:t>
                  </w:r>
                </w:p>
              </w:tc>
            </w:tr>
          </w:tbl>
          <w:p>
            <w:pPr>
              <w:wordWrap w:val="0"/>
              <w:adjustRightInd w:val="0"/>
              <w:snapToGrid w:val="0"/>
              <w:spacing w:line="360" w:lineRule="auto"/>
              <w:ind w:left="480"/>
              <w:jc w:val="left"/>
              <w:rPr>
                <w:color w:val="000000"/>
                <w:sz w:val="24"/>
              </w:rPr>
            </w:pPr>
            <w:r>
              <w:rPr>
                <w:rFonts w:hint="eastAsia"/>
                <w:color w:val="000000"/>
                <w:sz w:val="24"/>
              </w:rPr>
              <w:t>（</w:t>
            </w:r>
            <w:r>
              <w:rPr>
                <w:color w:val="000000"/>
                <w:sz w:val="24"/>
              </w:rPr>
              <w:t>1</w:t>
            </w:r>
            <w:r>
              <w:rPr>
                <w:rFonts w:hint="eastAsia"/>
                <w:color w:val="000000"/>
                <w:sz w:val="24"/>
              </w:rPr>
              <w:t>）工程建设占用土地影响</w:t>
            </w:r>
          </w:p>
          <w:p>
            <w:pPr>
              <w:widowControl/>
              <w:spacing w:line="360" w:lineRule="auto"/>
              <w:ind w:firstLine="480" w:firstLineChars="200"/>
              <w:rPr>
                <w:color w:val="000000"/>
                <w:sz w:val="24"/>
              </w:rPr>
            </w:pPr>
            <w:r>
              <w:rPr>
                <w:rFonts w:hint="eastAsia"/>
                <w:color w:val="000000"/>
                <w:sz w:val="24"/>
              </w:rPr>
              <w:t>本工程建设征地范围为工程建设占地，包括工程永久占地和施工临时占地两部分，其中工程永久占地包括渠道占地，附属工程设施占地等，</w:t>
            </w:r>
            <w:r>
              <w:rPr>
                <w:rFonts w:hint="eastAsia" w:ascii="Times New Roman" w:hAnsi="Times New Roman" w:cs="宋体"/>
                <w:snapToGrid w:val="0"/>
                <w:kern w:val="0"/>
                <w:sz w:val="24"/>
                <w:lang w:bidi="ar"/>
              </w:rPr>
              <w:t>工程永久工程占地</w:t>
            </w:r>
            <w:r>
              <w:rPr>
                <w:rFonts w:ascii="Times New Roman" w:hAnsi="Times New Roman"/>
                <w:snapToGrid w:val="0"/>
                <w:kern w:val="0"/>
                <w:sz w:val="24"/>
                <w:lang w:bidi="ar"/>
              </w:rPr>
              <w:t>3.64hm</w:t>
            </w:r>
            <w:r>
              <w:rPr>
                <w:rFonts w:ascii="Times New Roman" w:hAnsi="Times New Roman"/>
                <w:snapToGrid w:val="0"/>
                <w:kern w:val="0"/>
                <w:sz w:val="24"/>
                <w:vertAlign w:val="superscript"/>
                <w:lang w:bidi="ar"/>
              </w:rPr>
              <w:t>2</w:t>
            </w:r>
            <w:r>
              <w:rPr>
                <w:rFonts w:hint="eastAsia" w:ascii="Times New Roman" w:hAnsi="Times New Roman" w:cs="宋体"/>
                <w:snapToGrid w:val="0"/>
                <w:kern w:val="0"/>
                <w:sz w:val="24"/>
                <w:lang w:bidi="ar"/>
              </w:rPr>
              <w:t>，其中耕地</w:t>
            </w:r>
            <w:r>
              <w:rPr>
                <w:rFonts w:hint="eastAsia" w:ascii="Times New Roman" w:hAnsi="Times New Roman"/>
                <w:snapToGrid w:val="0"/>
                <w:kern w:val="0"/>
                <w:sz w:val="24"/>
                <w:lang w:bidi="ar"/>
              </w:rPr>
              <w:t>0.33</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ascii="Times New Roman" w:hAnsi="Times New Roman" w:cs="宋体"/>
                <w:snapToGrid w:val="0"/>
                <w:kern w:val="0"/>
                <w:sz w:val="24"/>
                <w:lang w:bidi="ar"/>
              </w:rPr>
              <w:t>，林地</w:t>
            </w:r>
            <w:r>
              <w:rPr>
                <w:rFonts w:hint="eastAsia" w:ascii="Times New Roman" w:hAnsi="Times New Roman"/>
                <w:snapToGrid w:val="0"/>
                <w:kern w:val="0"/>
                <w:sz w:val="24"/>
                <w:lang w:bidi="ar"/>
              </w:rPr>
              <w:t>2.87</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ascii="Times New Roman" w:hAnsi="Times New Roman"/>
                <w:snapToGrid w:val="0"/>
                <w:kern w:val="0"/>
                <w:sz w:val="24"/>
                <w:lang w:bidi="ar"/>
              </w:rPr>
              <w:t>，水域及水利设施用地（沟渠）0.44</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ascii="Times New Roman" w:hAnsi="Times New Roman" w:cs="宋体"/>
                <w:snapToGrid w:val="0"/>
                <w:kern w:val="0"/>
                <w:sz w:val="24"/>
                <w:lang w:bidi="ar"/>
              </w:rPr>
              <w:t>；</w:t>
            </w:r>
            <w:r>
              <w:rPr>
                <w:rFonts w:hint="eastAsia"/>
                <w:color w:val="000000"/>
                <w:sz w:val="24"/>
              </w:rPr>
              <w:t>施工临时占地包括施工工区、施工道路、弃渣场区等占地。临时占地6.77</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ascii="Times New Roman" w:hAnsi="Times New Roman"/>
                <w:snapToGrid w:val="0"/>
                <w:kern w:val="0"/>
                <w:sz w:val="24"/>
                <w:lang w:bidi="ar"/>
              </w:rPr>
              <w:t>，</w:t>
            </w:r>
            <w:r>
              <w:rPr>
                <w:rFonts w:hint="eastAsia"/>
                <w:color w:val="000000"/>
                <w:sz w:val="24"/>
              </w:rPr>
              <w:t>包括耕地0.96</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color w:val="000000"/>
                <w:sz w:val="24"/>
              </w:rPr>
              <w:t>，林地5.76</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ascii="Times New Roman" w:hAnsi="Times New Roman"/>
                <w:snapToGrid w:val="0"/>
                <w:kern w:val="0"/>
                <w:sz w:val="24"/>
                <w:lang w:bidi="ar"/>
              </w:rPr>
              <w:t>，草地（弃渣场）0.05</w:t>
            </w:r>
            <w:r>
              <w:rPr>
                <w:rFonts w:ascii="Times New Roman" w:hAnsi="Times New Roman"/>
                <w:snapToGrid w:val="0"/>
                <w:kern w:val="0"/>
                <w:sz w:val="24"/>
                <w:lang w:bidi="ar"/>
              </w:rPr>
              <w:t>hm</w:t>
            </w:r>
            <w:r>
              <w:rPr>
                <w:rFonts w:ascii="Times New Roman" w:hAnsi="Times New Roman"/>
                <w:snapToGrid w:val="0"/>
                <w:kern w:val="0"/>
                <w:sz w:val="24"/>
                <w:vertAlign w:val="superscript"/>
                <w:lang w:bidi="ar"/>
              </w:rPr>
              <w:t>2</w:t>
            </w:r>
            <w:r>
              <w:rPr>
                <w:rFonts w:hint="eastAsia"/>
                <w:color w:val="000000"/>
                <w:sz w:val="24"/>
              </w:rPr>
              <w:t>。仅在施工期内及以后较短时间内影响土地的利用，该部分占地在渠道管道敷设和渠道整治施工完成后将逐渐恢复其原来的土地利用性质。</w:t>
            </w:r>
          </w:p>
          <w:p>
            <w:pPr>
              <w:wordWrap w:val="0"/>
              <w:adjustRightInd w:val="0"/>
              <w:snapToGrid w:val="0"/>
              <w:spacing w:line="360" w:lineRule="auto"/>
              <w:ind w:firstLine="480" w:firstLineChars="200"/>
              <w:rPr>
                <w:color w:val="000000"/>
                <w:sz w:val="24"/>
              </w:rPr>
            </w:pPr>
            <w:r>
              <w:rPr>
                <w:rFonts w:hint="eastAsia"/>
                <w:color w:val="000000"/>
                <w:sz w:val="24"/>
              </w:rPr>
              <w:t>（</w:t>
            </w:r>
            <w:r>
              <w:rPr>
                <w:color w:val="000000"/>
                <w:sz w:val="24"/>
              </w:rPr>
              <w:t>2</w:t>
            </w:r>
            <w:r>
              <w:rPr>
                <w:rFonts w:hint="eastAsia"/>
                <w:color w:val="000000"/>
                <w:sz w:val="24"/>
              </w:rPr>
              <w:t>）对生态结构和稳定性的影响</w:t>
            </w:r>
          </w:p>
          <w:p>
            <w:pPr>
              <w:wordWrap w:val="0"/>
              <w:adjustRightInd w:val="0"/>
              <w:snapToGrid w:val="0"/>
              <w:spacing w:line="360" w:lineRule="auto"/>
              <w:ind w:firstLine="480" w:firstLineChars="200"/>
              <w:jc w:val="left"/>
              <w:rPr>
                <w:color w:val="000000"/>
                <w:sz w:val="24"/>
              </w:rPr>
            </w:pPr>
            <w:r>
              <w:rPr>
                <w:rFonts w:hint="eastAsia"/>
                <w:color w:val="000000"/>
                <w:sz w:val="24"/>
              </w:rPr>
              <w:t>施工期人为活动，如渠道的开挖、施工机械的碾压、施工人员的践踏等，将使施工作业区周围的灌木和草本植被遭受到直接的破坏，从而使生物多样性降低。施工沿线具有多年形成的较稳定的农业生态系统和灌草生态系统，根据现场调查，在工程影响范围内，受工程影响的植物均属于一般常见品种，其生长范围广，适应性强。地表植被的损失将对现有生态系统产生一定的影响，但由于损失的面积相对于项目沿线地区是少量的，施工临时占有植被恢复将弥补部分损失的生物量，因此施工活动不会影响项目区的生态系统稳定性和完整性。</w:t>
            </w:r>
          </w:p>
          <w:p>
            <w:pPr>
              <w:pStyle w:val="223"/>
              <w:bidi w:val="0"/>
            </w:pPr>
            <w:r>
              <w:rPr>
                <w:rFonts w:hint="eastAsia"/>
              </w:rPr>
              <w:t>（</w:t>
            </w:r>
            <w:r>
              <w:t>3</w:t>
            </w:r>
            <w:r>
              <w:rPr>
                <w:rFonts w:hint="eastAsia"/>
              </w:rPr>
              <w:t>）对陆生植被影响分析</w:t>
            </w:r>
          </w:p>
          <w:p>
            <w:pPr>
              <w:pStyle w:val="223"/>
              <w:bidi w:val="0"/>
            </w:pPr>
            <w:r>
              <w:rPr>
                <w:rFonts w:hint="eastAsia"/>
              </w:rPr>
              <w:t>根据实地调查可以看出，本工程沿线的景观区以农村类型为主，不涉及森林公园和自然保护区，建设区内无珍稀濒危植物种类，无国家重点保护野生植物种类，无名木古树。且由于长期的人为活动，植被的原生性较差。本项目工程临时占地包括耕地和林地。这些土地一旦被占用，其覆盖的植被将遭到破坏，这会直接导致物种的损失。根据现场调查结果，占地范围内的主要乔木为栽培的人工林，林下灌木层较少，有少量的草本植物分布，以及各种农作物。</w:t>
            </w:r>
          </w:p>
          <w:p>
            <w:pPr>
              <w:pStyle w:val="223"/>
              <w:bidi w:val="0"/>
            </w:pPr>
            <w:r>
              <w:rPr>
                <w:rFonts w:hint="eastAsia"/>
              </w:rPr>
              <w:t>本项目工程施工期临时占地植被损失包含的植物都是当地普通的、周边常见的植物，未发现特有种及窄域分布种，因此，项目的建设对区域植物多样性的影响甚微。施工期结束后，通过项目区的复垦及植被的恢复可逐渐弥补植物的损失。</w:t>
            </w:r>
          </w:p>
          <w:p>
            <w:pPr>
              <w:pStyle w:val="223"/>
              <w:bidi w:val="0"/>
            </w:pPr>
            <w:r>
              <w:rPr>
                <w:rFonts w:hint="eastAsia"/>
              </w:rPr>
              <w:t>（</w:t>
            </w:r>
            <w:r>
              <w:t>4</w:t>
            </w:r>
            <w:r>
              <w:rPr>
                <w:rFonts w:hint="eastAsia"/>
              </w:rPr>
              <w:t>）对陆生动物的影响分析</w:t>
            </w:r>
          </w:p>
          <w:p>
            <w:pPr>
              <w:pStyle w:val="223"/>
              <w:bidi w:val="0"/>
              <w:rPr>
                <w:rFonts w:ascii="宋体" w:cs="宋体"/>
                <w:color w:val="000000"/>
                <w:kern w:val="0"/>
              </w:rPr>
            </w:pPr>
            <w:r>
              <w:rPr>
                <w:rFonts w:hint="eastAsia"/>
              </w:rPr>
              <w:t>本项目工程经过区域为人类频繁活动区，经调査访问和沿途观察，附近的野生动物主要是适合栖息于早地、居民点周边的</w:t>
            </w:r>
            <w:r>
              <w:rPr>
                <w:rFonts w:hint="eastAsia" w:ascii="宋体" w:hAnsi="宋体" w:cs="宋体"/>
                <w:color w:val="000000"/>
                <w:kern w:val="0"/>
              </w:rPr>
              <w:t>种类，如农田常见的啮齿类、两栖类爬行类和麻雀等常见鸟类，无大型野生动物，也无国家保护的珍稀野生动物，家禽家畜有鸡、鸭、牛、羊、猪等。它们的活动区域主要集中在附近的村落、树林、耕地等陆域。本项目工程主要施工区在渠道周边、施工场地以及弃渣场等，占用评价区陆生动物的小部分生境，占用面积十分有限，工程所在地区适宜其栖息和繁殖的空间广阔，因此工程建设对生境占用的影响很小。</w:t>
            </w:r>
          </w:p>
          <w:p>
            <w:pPr>
              <w:pStyle w:val="223"/>
              <w:bidi w:val="0"/>
            </w:pPr>
            <w:r>
              <w:rPr>
                <w:rFonts w:hint="eastAsia"/>
              </w:rPr>
              <w:t>（</w:t>
            </w:r>
            <w:r>
              <w:t>5</w:t>
            </w:r>
            <w:r>
              <w:rPr>
                <w:rFonts w:hint="eastAsia"/>
              </w:rPr>
              <w:t>）对水生生物的影响分析</w:t>
            </w:r>
          </w:p>
          <w:p>
            <w:pPr>
              <w:pStyle w:val="223"/>
              <w:bidi w:val="0"/>
              <w:rPr>
                <w:bCs/>
                <w:color w:val="0000CC"/>
                <w:szCs w:val="21"/>
              </w:rPr>
            </w:pPr>
            <w:r>
              <w:rPr>
                <w:rFonts w:hint="eastAsia"/>
              </w:rPr>
              <w:t>本项目施工期全部为渠系建设全部断水施</w:t>
            </w:r>
            <w:r>
              <w:rPr>
                <w:rFonts w:hint="eastAsia"/>
                <w:bCs/>
                <w:color w:val="000000"/>
                <w:szCs w:val="21"/>
              </w:rPr>
              <w:t>工，不设置围堰，不扰动地表水体，不会水生生物产生影响。</w:t>
            </w:r>
          </w:p>
          <w:p>
            <w:pPr>
              <w:widowControl/>
              <w:spacing w:line="360" w:lineRule="auto"/>
              <w:jc w:val="left"/>
              <w:rPr>
                <w:rFonts w:hint="eastAsia"/>
                <w:b/>
                <w:color w:val="000000"/>
                <w:kern w:val="0"/>
                <w:sz w:val="28"/>
                <w:szCs w:val="28"/>
                <w:lang w:bidi="ar"/>
              </w:rPr>
            </w:pPr>
            <w:r>
              <w:rPr>
                <w:rFonts w:hint="eastAsia"/>
                <w:b/>
                <w:color w:val="000000"/>
                <w:kern w:val="0"/>
                <w:sz w:val="28"/>
                <w:szCs w:val="28"/>
                <w:lang w:bidi="ar"/>
              </w:rPr>
              <w:t>6</w:t>
            </w:r>
            <w:r>
              <w:rPr>
                <w:rFonts w:hAnsi="宋体"/>
                <w:b/>
                <w:color w:val="000000"/>
                <w:kern w:val="0"/>
                <w:sz w:val="28"/>
                <w:szCs w:val="28"/>
                <w:lang w:bidi="ar"/>
              </w:rPr>
              <w:t>、</w:t>
            </w:r>
            <w:r>
              <w:rPr>
                <w:rFonts w:hint="eastAsia" w:hAnsi="宋体"/>
                <w:b/>
                <w:color w:val="000000"/>
                <w:kern w:val="0"/>
                <w:sz w:val="28"/>
                <w:szCs w:val="28"/>
                <w:lang w:bidi="ar"/>
              </w:rPr>
              <w:t>水土流失</w:t>
            </w:r>
            <w:r>
              <w:rPr>
                <w:rFonts w:hAnsi="宋体"/>
                <w:b/>
                <w:color w:val="000000"/>
                <w:kern w:val="0"/>
                <w:sz w:val="28"/>
                <w:szCs w:val="28"/>
                <w:lang w:bidi="ar"/>
              </w:rPr>
              <w:t>影响分析</w:t>
            </w:r>
            <w:r>
              <w:rPr>
                <w:b/>
                <w:color w:val="000000"/>
                <w:kern w:val="0"/>
                <w:sz w:val="28"/>
                <w:szCs w:val="28"/>
                <w:lang w:bidi="ar"/>
              </w:rPr>
              <w:t xml:space="preserve"> </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根据本项目初步设计报告中的水土保持设计，本环评报告对项目施工期的水土流失影响做如下分析：</w:t>
            </w:r>
          </w:p>
          <w:p>
            <w:pPr>
              <w:wordWrap w:val="0"/>
              <w:adjustRightInd w:val="0"/>
              <w:snapToGrid w:val="0"/>
              <w:spacing w:line="360" w:lineRule="auto"/>
              <w:ind w:firstLine="318" w:firstLineChars="132"/>
              <w:jc w:val="left"/>
              <w:rPr>
                <w:b/>
                <w:color w:val="000000"/>
                <w:sz w:val="24"/>
              </w:rPr>
            </w:pPr>
            <w:r>
              <w:rPr>
                <w:rFonts w:hint="eastAsia"/>
                <w:b/>
                <w:color w:val="000000"/>
                <w:sz w:val="24"/>
              </w:rPr>
              <w:t>（1）水土流失预测范围和时段</w:t>
            </w:r>
          </w:p>
          <w:p>
            <w:pPr>
              <w:wordWrap w:val="0"/>
              <w:adjustRightInd w:val="0"/>
              <w:snapToGrid w:val="0"/>
              <w:spacing w:line="360" w:lineRule="auto"/>
              <w:ind w:left="480"/>
              <w:jc w:val="left"/>
              <w:rPr>
                <w:color w:val="000000"/>
                <w:kern w:val="0"/>
                <w:sz w:val="24"/>
              </w:rPr>
            </w:pPr>
            <w:r>
              <w:rPr>
                <w:color w:val="000000"/>
                <w:kern w:val="0"/>
                <w:sz w:val="24"/>
              </w:rPr>
              <w:t>A</w:t>
            </w:r>
            <w:r>
              <w:rPr>
                <w:rFonts w:hint="eastAsia"/>
                <w:color w:val="000000"/>
                <w:kern w:val="0"/>
                <w:sz w:val="24"/>
              </w:rPr>
              <w:t>、预测范围</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依照“谁开发谁保护，谁造成水土流失谁负责治理”的原则和《生产建设项目水土保持技术标准》等有关规定，水土流失防治责任范围为项目永久征地、临时占地（含租赁土地）以及其他使用与管辖区域。经统计，本工程水土保持防治责任范围为10.41hm</w:t>
            </w:r>
            <w:r>
              <w:rPr>
                <w:rFonts w:hint="eastAsia"/>
                <w:color w:val="000000"/>
                <w:kern w:val="0"/>
                <w:sz w:val="24"/>
                <w:vertAlign w:val="superscript"/>
              </w:rPr>
              <w:t>2</w:t>
            </w:r>
            <w:r>
              <w:rPr>
                <w:rFonts w:hint="eastAsia"/>
                <w:color w:val="000000"/>
                <w:kern w:val="0"/>
                <w:sz w:val="24"/>
              </w:rPr>
              <w:t>，其中主体工程区为3.64hm</w:t>
            </w:r>
            <w:r>
              <w:rPr>
                <w:rFonts w:hint="eastAsia"/>
                <w:color w:val="000000"/>
                <w:kern w:val="0"/>
                <w:sz w:val="24"/>
                <w:vertAlign w:val="superscript"/>
              </w:rPr>
              <w:t>2</w:t>
            </w:r>
            <w:r>
              <w:rPr>
                <w:rFonts w:hint="eastAsia"/>
                <w:color w:val="000000"/>
                <w:kern w:val="0"/>
                <w:sz w:val="24"/>
              </w:rPr>
              <w:t>，施工临时占地区为6.77hm</w:t>
            </w:r>
            <w:r>
              <w:rPr>
                <w:rFonts w:hint="eastAsia"/>
                <w:color w:val="000000"/>
                <w:kern w:val="0"/>
                <w:sz w:val="24"/>
                <w:vertAlign w:val="superscript"/>
              </w:rPr>
              <w:t>2</w:t>
            </w:r>
            <w:r>
              <w:rPr>
                <w:rFonts w:hint="eastAsia"/>
                <w:color w:val="000000"/>
                <w:kern w:val="0"/>
                <w:sz w:val="24"/>
              </w:rPr>
              <w:t>，包括主体工程区、施工工区、弃渣场区、施工道路区和渠道施工作业带区共5个防治分区，均属于乐山市市中区境内。</w:t>
            </w:r>
          </w:p>
          <w:p>
            <w:pPr>
              <w:wordWrap w:val="0"/>
              <w:adjustRightInd w:val="0"/>
              <w:snapToGrid w:val="0"/>
              <w:spacing w:line="360" w:lineRule="auto"/>
              <w:ind w:firstLine="480" w:firstLineChars="200"/>
              <w:jc w:val="left"/>
              <w:rPr>
                <w:color w:val="000000"/>
                <w:kern w:val="0"/>
                <w:sz w:val="24"/>
              </w:rPr>
            </w:pPr>
            <w:r>
              <w:rPr>
                <w:color w:val="000000"/>
                <w:kern w:val="0"/>
                <w:sz w:val="24"/>
              </w:rPr>
              <w:t>B</w:t>
            </w:r>
            <w:r>
              <w:rPr>
                <w:rFonts w:hint="eastAsia"/>
                <w:color w:val="000000"/>
                <w:kern w:val="0"/>
                <w:sz w:val="24"/>
              </w:rPr>
              <w:t>、预测时段划分</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根据《开发建设项目水土保持技术规范》</w:t>
            </w:r>
            <w:r>
              <w:rPr>
                <w:color w:val="000000"/>
                <w:kern w:val="0"/>
                <w:sz w:val="24"/>
              </w:rPr>
              <w:t>(GB50433-20</w:t>
            </w:r>
            <w:r>
              <w:rPr>
                <w:rFonts w:hint="eastAsia"/>
                <w:color w:val="000000"/>
                <w:kern w:val="0"/>
                <w:sz w:val="24"/>
              </w:rPr>
              <w:t>19</w:t>
            </w:r>
            <w:r>
              <w:rPr>
                <w:color w:val="000000"/>
                <w:kern w:val="0"/>
                <w:sz w:val="24"/>
              </w:rPr>
              <w:t>)</w:t>
            </w:r>
            <w:r>
              <w:rPr>
                <w:rFonts w:hint="eastAsia"/>
                <w:color w:val="000000"/>
                <w:kern w:val="0"/>
                <w:sz w:val="24"/>
              </w:rPr>
              <w:t>，开发建设类项目可能产生的水土流失量应按施工准备期、施工期和自然恢复期三个时段进行预测。根据项目的特点，本项目工程建设造成的水土流失主要发生在建设期</w:t>
            </w:r>
            <w:r>
              <w:rPr>
                <w:color w:val="000000"/>
                <w:kern w:val="0"/>
                <w:sz w:val="24"/>
              </w:rPr>
              <w:t>(</w:t>
            </w:r>
            <w:r>
              <w:rPr>
                <w:rFonts w:hint="eastAsia"/>
                <w:color w:val="000000"/>
                <w:kern w:val="0"/>
                <w:sz w:val="24"/>
              </w:rPr>
              <w:t>含施工准备期</w:t>
            </w:r>
            <w:r>
              <w:rPr>
                <w:color w:val="000000"/>
                <w:kern w:val="0"/>
                <w:sz w:val="24"/>
              </w:rPr>
              <w:t>)</w:t>
            </w:r>
            <w:r>
              <w:rPr>
                <w:rFonts w:hint="eastAsia"/>
                <w:color w:val="000000"/>
                <w:kern w:val="0"/>
                <w:sz w:val="24"/>
              </w:rPr>
              <w:t>和自然恢复期，根据各建设项目所处的不同阶段，分别进行预测。</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工程为新（改）建项目，工程开挖主要集中在新建及整治渠道、渠系建筑物工程建设阶段。其施工开挖填筑工作主要是在施工期完成，在这期间将使原有植被、地面组成物质以及地形地貌受到扰动，致使表层土裸露，失去原有植被的防冲固土能力，也使其自然稳定状态受到破坏，可能发生侵蚀现象，增加新的水土流失。局部挖方地段形成的边坡，若不加以防护，易产生滑坡等现象，建筑物施工时，土方基础开挖产生的弃渣或泥浆，若处理不好，也会产生水土流失。</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生产运行期间由于基本建设期间实施的各项水土流失防治措施充分发挥相应的功能，水土流失基本得到控制。因此水土流失预测时段主要为施工期和自然恢复期，其中自然恢复期预测时段为各单项工程完工后2年。</w:t>
            </w:r>
          </w:p>
          <w:p>
            <w:pPr>
              <w:wordWrap w:val="0"/>
              <w:adjustRightInd w:val="0"/>
              <w:snapToGrid w:val="0"/>
              <w:spacing w:line="360" w:lineRule="auto"/>
              <w:ind w:firstLine="318" w:firstLineChars="132"/>
              <w:jc w:val="left"/>
              <w:rPr>
                <w:b/>
                <w:color w:val="000000"/>
                <w:sz w:val="24"/>
              </w:rPr>
            </w:pPr>
            <w:r>
              <w:rPr>
                <w:rFonts w:hint="eastAsia"/>
                <w:b/>
                <w:color w:val="000000"/>
                <w:sz w:val="24"/>
              </w:rPr>
              <w:t>（</w:t>
            </w:r>
            <w:r>
              <w:rPr>
                <w:b/>
                <w:color w:val="000000"/>
                <w:sz w:val="24"/>
              </w:rPr>
              <w:t>2</w:t>
            </w:r>
            <w:r>
              <w:rPr>
                <w:rFonts w:hint="eastAsia"/>
                <w:b/>
                <w:color w:val="000000"/>
                <w:sz w:val="24"/>
              </w:rPr>
              <w:t>）水土流失预测内容</w:t>
            </w:r>
          </w:p>
          <w:p>
            <w:pPr>
              <w:wordWrap w:val="0"/>
              <w:adjustRightInd w:val="0"/>
              <w:snapToGrid w:val="0"/>
              <w:spacing w:line="360" w:lineRule="auto"/>
              <w:ind w:firstLine="480" w:firstLineChars="200"/>
              <w:jc w:val="left"/>
              <w:rPr>
                <w:color w:val="000000"/>
                <w:sz w:val="24"/>
              </w:rPr>
            </w:pPr>
            <w:r>
              <w:rPr>
                <w:rFonts w:hint="eastAsia"/>
                <w:color w:val="000000"/>
                <w:sz w:val="24"/>
              </w:rPr>
              <w:t>根据《开发建设项目水土保持技术规范》的规定，确定本工程水土流失预测的主要内容包括：工程建设对原地貌、土地及植</w:t>
            </w:r>
            <w:r>
              <w:rPr>
                <w:rFonts w:hint="eastAsia"/>
                <w:color w:val="000000"/>
                <w:kern w:val="0"/>
                <w:sz w:val="24"/>
              </w:rPr>
              <w:t>被的扰动和破坏面积数量的预测；可能造成的水土流失量预测。</w:t>
            </w:r>
          </w:p>
          <w:p>
            <w:pPr>
              <w:wordWrap w:val="0"/>
              <w:adjustRightInd w:val="0"/>
              <w:snapToGrid w:val="0"/>
              <w:spacing w:line="360" w:lineRule="auto"/>
              <w:ind w:firstLine="480" w:firstLineChars="200"/>
              <w:jc w:val="left"/>
              <w:rPr>
                <w:color w:val="000000"/>
                <w:kern w:val="0"/>
                <w:sz w:val="24"/>
              </w:rPr>
            </w:pPr>
            <w:r>
              <w:rPr>
                <w:color w:val="000000"/>
                <w:kern w:val="0"/>
                <w:sz w:val="24"/>
              </w:rPr>
              <w:t>A</w:t>
            </w:r>
            <w:r>
              <w:rPr>
                <w:rFonts w:hint="eastAsia"/>
                <w:color w:val="000000"/>
                <w:kern w:val="0"/>
                <w:sz w:val="24"/>
              </w:rPr>
              <w:t>、扰动原地貌、破坏土地和植被面积的预测</w:t>
            </w:r>
          </w:p>
          <w:p>
            <w:pPr>
              <w:widowControl/>
              <w:spacing w:line="360" w:lineRule="auto"/>
              <w:ind w:firstLine="480" w:firstLineChars="200"/>
              <w:jc w:val="left"/>
              <w:rPr>
                <w:snapToGrid w:val="0"/>
                <w:kern w:val="0"/>
              </w:rPr>
            </w:pPr>
            <w:r>
              <w:rPr>
                <w:rFonts w:hint="eastAsia" w:ascii="Times New Roman" w:hAnsi="Times New Roman" w:cs="宋体"/>
                <w:snapToGrid w:val="0"/>
                <w:kern w:val="0"/>
                <w:sz w:val="24"/>
                <w:lang w:bidi="ar"/>
              </w:rPr>
              <w:t>根据工程平面布置及征占地范围，本工程建设占地包括新建青白渠、整治左干渠、右干渠及九龙分干渠占地。经统计，本项目扰动原地表面积10.41hm</w:t>
            </w:r>
            <w:r>
              <w:rPr>
                <w:rFonts w:hint="eastAsia" w:ascii="Times New Roman" w:hAnsi="Times New Roman" w:cs="宋体"/>
                <w:snapToGrid w:val="0"/>
                <w:kern w:val="0"/>
                <w:sz w:val="24"/>
                <w:vertAlign w:val="superscript"/>
                <w:lang w:bidi="ar"/>
              </w:rPr>
              <w:t>2</w:t>
            </w:r>
            <w:r>
              <w:rPr>
                <w:rFonts w:hint="eastAsia" w:ascii="Times New Roman" w:hAnsi="Times New Roman" w:cs="宋体"/>
                <w:snapToGrid w:val="0"/>
                <w:kern w:val="0"/>
                <w:sz w:val="24"/>
                <w:lang w:bidi="ar"/>
              </w:rPr>
              <w:t>，损毁植被面积为8.68hm</w:t>
            </w:r>
            <w:r>
              <w:rPr>
                <w:rFonts w:hint="eastAsia" w:ascii="Times New Roman" w:hAnsi="Times New Roman" w:cs="宋体"/>
                <w:snapToGrid w:val="0"/>
                <w:kern w:val="0"/>
                <w:sz w:val="24"/>
                <w:vertAlign w:val="superscript"/>
                <w:lang w:bidi="ar"/>
              </w:rPr>
              <w:t>2</w:t>
            </w:r>
            <w:r>
              <w:rPr>
                <w:rFonts w:hint="eastAsia" w:ascii="Times New Roman" w:hAnsi="Times New Roman" w:cs="宋体"/>
                <w:snapToGrid w:val="0"/>
                <w:kern w:val="0"/>
                <w:sz w:val="24"/>
                <w:lang w:bidi="ar"/>
              </w:rPr>
              <w:t>。详见表</w:t>
            </w:r>
            <w:r>
              <w:rPr>
                <w:rFonts w:hint="eastAsia" w:ascii="Times New Roman" w:hAnsi="Times New Roman"/>
                <w:snapToGrid w:val="0"/>
                <w:kern w:val="0"/>
                <w:sz w:val="24"/>
                <w:lang w:bidi="ar"/>
              </w:rPr>
              <w:t>4-5</w:t>
            </w:r>
            <w:r>
              <w:rPr>
                <w:rFonts w:hint="eastAsia" w:ascii="Times New Roman" w:hAnsi="Times New Roman" w:cs="宋体"/>
                <w:snapToGrid w:val="0"/>
                <w:kern w:val="0"/>
                <w:sz w:val="24"/>
                <w:lang w:bidi="ar"/>
              </w:rPr>
              <w:t>。</w:t>
            </w:r>
          </w:p>
          <w:p>
            <w:pPr>
              <w:widowControl/>
              <w:spacing w:line="360" w:lineRule="auto"/>
              <w:jc w:val="center"/>
              <w:rPr>
                <w:b/>
                <w:kern w:val="0"/>
                <w:szCs w:val="21"/>
              </w:rPr>
            </w:pPr>
            <w:r>
              <w:rPr>
                <w:rFonts w:hint="eastAsia" w:ascii="Times New Roman" w:hAnsi="Times New Roman" w:cs="宋体"/>
                <w:b/>
                <w:kern w:val="0"/>
                <w:szCs w:val="21"/>
                <w:lang w:bidi="ar"/>
              </w:rPr>
              <w:t>表</w:t>
            </w:r>
            <w:r>
              <w:rPr>
                <w:rFonts w:hint="eastAsia" w:ascii="Times New Roman" w:hAnsi="Times New Roman"/>
                <w:b/>
                <w:kern w:val="0"/>
                <w:szCs w:val="21"/>
                <w:lang w:bidi="ar"/>
              </w:rPr>
              <w:t xml:space="preserve">4-5  </w:t>
            </w:r>
            <w:r>
              <w:rPr>
                <w:rFonts w:hint="eastAsia" w:ascii="Times New Roman" w:hAnsi="Times New Roman" w:cs="宋体"/>
                <w:b/>
                <w:kern w:val="0"/>
                <w:szCs w:val="21"/>
                <w:lang w:bidi="ar"/>
              </w:rPr>
              <w:t>工程扰动地表面积表     单位：</w:t>
            </w:r>
            <w:r>
              <w:rPr>
                <w:rFonts w:ascii="Times New Roman" w:hAnsi="Times New Roman"/>
                <w:b/>
                <w:kern w:val="0"/>
                <w:szCs w:val="21"/>
                <w:lang w:bidi="ar"/>
              </w:rPr>
              <w:t>hm</w:t>
            </w:r>
            <w:r>
              <w:rPr>
                <w:rFonts w:ascii="Times New Roman" w:hAnsi="Times New Roman"/>
                <w:b/>
                <w:kern w:val="0"/>
                <w:szCs w:val="21"/>
                <w:vertAlign w:val="superscript"/>
                <w:lang w:bidi="ar"/>
              </w:rPr>
              <w:t>2</w:t>
            </w:r>
          </w:p>
          <w:tbl>
            <w:tblPr>
              <w:tblStyle w:val="39"/>
              <w:tblW w:w="817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740"/>
              <w:gridCol w:w="825"/>
              <w:gridCol w:w="1140"/>
              <w:gridCol w:w="1125"/>
              <w:gridCol w:w="1905"/>
              <w:gridCol w:w="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2441" w:type="dxa"/>
                  <w:gridSpan w:val="2"/>
                  <w:vMerge w:val="restart"/>
                  <w:tcBorders>
                    <w:tl2br w:val="single" w:color="auto" w:sz="4" w:space="0"/>
                  </w:tcBorders>
                  <w:noWrap w:val="0"/>
                  <w:vAlign w:val="center"/>
                </w:tcPr>
                <w:p>
                  <w:pPr>
                    <w:adjustRightInd w:val="0"/>
                    <w:snapToGrid w:val="0"/>
                    <w:jc w:val="right"/>
                    <w:rPr>
                      <w:rFonts w:hint="eastAsia"/>
                      <w:snapToGrid w:val="0"/>
                      <w:szCs w:val="21"/>
                    </w:rPr>
                  </w:pPr>
                  <w:r>
                    <w:rPr>
                      <w:rFonts w:hint="eastAsia"/>
                      <w:snapToGrid w:val="0"/>
                      <w:szCs w:val="21"/>
                    </w:rPr>
                    <w:t xml:space="preserve">             占地类型</w:t>
                  </w:r>
                </w:p>
                <w:p>
                  <w:pPr>
                    <w:adjustRightInd w:val="0"/>
                    <w:snapToGrid w:val="0"/>
                    <w:jc w:val="left"/>
                    <w:rPr>
                      <w:snapToGrid w:val="0"/>
                      <w:szCs w:val="21"/>
                    </w:rPr>
                  </w:pPr>
                  <w:r>
                    <w:rPr>
                      <w:snapToGrid w:val="0"/>
                      <w:szCs w:val="21"/>
                    </w:rPr>
                    <w:t>项目分区</w:t>
                  </w:r>
                </w:p>
              </w:tc>
              <w:tc>
                <w:tcPr>
                  <w:tcW w:w="825" w:type="dxa"/>
                  <w:noWrap w:val="0"/>
                  <w:vAlign w:val="center"/>
                </w:tcPr>
                <w:p>
                  <w:pPr>
                    <w:adjustRightInd w:val="0"/>
                    <w:snapToGrid w:val="0"/>
                    <w:spacing w:line="240" w:lineRule="atLeast"/>
                    <w:ind w:left="-120" w:leftChars="-50" w:right="-120" w:rightChars="-50"/>
                    <w:jc w:val="center"/>
                    <w:rPr>
                      <w:snapToGrid w:val="0"/>
                      <w:szCs w:val="21"/>
                    </w:rPr>
                  </w:pPr>
                  <w:r>
                    <w:rPr>
                      <w:snapToGrid w:val="0"/>
                      <w:szCs w:val="21"/>
                    </w:rPr>
                    <w:t>耕地</w:t>
                  </w:r>
                </w:p>
              </w:tc>
              <w:tc>
                <w:tcPr>
                  <w:tcW w:w="1140" w:type="dxa"/>
                  <w:noWrap w:val="0"/>
                  <w:vAlign w:val="center"/>
                </w:tcPr>
                <w:p>
                  <w:pPr>
                    <w:adjustRightInd w:val="0"/>
                    <w:snapToGrid w:val="0"/>
                    <w:spacing w:line="240" w:lineRule="atLeast"/>
                    <w:ind w:left="-120" w:leftChars="-50" w:right="-120" w:rightChars="-50"/>
                    <w:jc w:val="center"/>
                    <w:rPr>
                      <w:snapToGrid w:val="0"/>
                      <w:szCs w:val="21"/>
                    </w:rPr>
                  </w:pPr>
                  <w:r>
                    <w:rPr>
                      <w:snapToGrid w:val="0"/>
                      <w:szCs w:val="21"/>
                    </w:rPr>
                    <w:t>林地</w:t>
                  </w:r>
                </w:p>
              </w:tc>
              <w:tc>
                <w:tcPr>
                  <w:tcW w:w="1125" w:type="dxa"/>
                  <w:noWrap w:val="0"/>
                  <w:vAlign w:val="center"/>
                </w:tcPr>
                <w:p>
                  <w:pPr>
                    <w:adjustRightInd w:val="0"/>
                    <w:snapToGrid w:val="0"/>
                    <w:spacing w:line="240" w:lineRule="atLeast"/>
                    <w:ind w:left="-120" w:leftChars="-50" w:right="-120" w:rightChars="-50"/>
                    <w:jc w:val="center"/>
                    <w:rPr>
                      <w:rFonts w:hint="eastAsia"/>
                      <w:snapToGrid w:val="0"/>
                      <w:szCs w:val="21"/>
                    </w:rPr>
                  </w:pPr>
                  <w:r>
                    <w:rPr>
                      <w:rFonts w:hint="eastAsia"/>
                      <w:snapToGrid w:val="0"/>
                      <w:szCs w:val="21"/>
                    </w:rPr>
                    <w:t>草地</w:t>
                  </w:r>
                </w:p>
              </w:tc>
              <w:tc>
                <w:tcPr>
                  <w:tcW w:w="1905" w:type="dxa"/>
                  <w:noWrap w:val="0"/>
                  <w:vAlign w:val="center"/>
                </w:tcPr>
                <w:p>
                  <w:pPr>
                    <w:adjustRightInd w:val="0"/>
                    <w:snapToGrid w:val="0"/>
                    <w:spacing w:line="240" w:lineRule="atLeast"/>
                    <w:ind w:left="-120" w:leftChars="-50" w:right="-120" w:rightChars="-50"/>
                    <w:jc w:val="center"/>
                    <w:rPr>
                      <w:rFonts w:hint="eastAsia"/>
                      <w:snapToGrid w:val="0"/>
                      <w:szCs w:val="21"/>
                    </w:rPr>
                  </w:pPr>
                  <w:r>
                    <w:rPr>
                      <w:rFonts w:hint="eastAsia"/>
                      <w:snapToGrid w:val="0"/>
                      <w:szCs w:val="21"/>
                    </w:rPr>
                    <w:t>水域及水利设施用地</w:t>
                  </w:r>
                </w:p>
              </w:tc>
              <w:tc>
                <w:tcPr>
                  <w:tcW w:w="741" w:type="dxa"/>
                  <w:vMerge w:val="restart"/>
                  <w:noWrap w:val="0"/>
                  <w:vAlign w:val="center"/>
                </w:tcPr>
                <w:p>
                  <w:pPr>
                    <w:adjustRightInd w:val="0"/>
                    <w:snapToGrid w:val="0"/>
                    <w:spacing w:line="240" w:lineRule="atLeast"/>
                    <w:jc w:val="center"/>
                    <w:rPr>
                      <w:rFonts w:hint="eastAsia"/>
                      <w:snapToGrid w:val="0"/>
                      <w:szCs w:val="21"/>
                    </w:rPr>
                  </w:pPr>
                  <w:r>
                    <w:rPr>
                      <w:rFonts w:hint="eastAsia"/>
                      <w:snapToGrid w:val="0"/>
                      <w:szCs w:val="21"/>
                    </w:rPr>
                    <w:t>小计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441" w:type="dxa"/>
                  <w:gridSpan w:val="2"/>
                  <w:vMerge w:val="continue"/>
                  <w:tcBorders>
                    <w:tl2br w:val="single" w:color="auto" w:sz="4" w:space="0"/>
                  </w:tcBorders>
                  <w:noWrap w:val="0"/>
                  <w:vAlign w:val="center"/>
                </w:tcPr>
                <w:p>
                  <w:pPr>
                    <w:adjustRightInd w:val="0"/>
                    <w:snapToGrid w:val="0"/>
                    <w:spacing w:line="240" w:lineRule="atLeast"/>
                    <w:jc w:val="center"/>
                    <w:rPr>
                      <w:rFonts w:hint="eastAsia"/>
                      <w:snapToGrid w:val="0"/>
                      <w:szCs w:val="21"/>
                    </w:rPr>
                  </w:pPr>
                </w:p>
              </w:tc>
              <w:tc>
                <w:tcPr>
                  <w:tcW w:w="825" w:type="dxa"/>
                  <w:noWrap w:val="0"/>
                  <w:vAlign w:val="center"/>
                </w:tcPr>
                <w:p>
                  <w:pPr>
                    <w:adjustRightInd w:val="0"/>
                    <w:snapToGrid w:val="0"/>
                    <w:spacing w:line="240" w:lineRule="atLeast"/>
                    <w:ind w:left="-120" w:leftChars="-50" w:right="-120" w:rightChars="-50"/>
                    <w:jc w:val="center"/>
                    <w:rPr>
                      <w:rFonts w:hint="eastAsia"/>
                      <w:snapToGrid w:val="0"/>
                      <w:szCs w:val="21"/>
                    </w:rPr>
                  </w:pPr>
                  <w:r>
                    <w:rPr>
                      <w:rFonts w:hint="eastAsia"/>
                      <w:snapToGrid w:val="0"/>
                      <w:szCs w:val="21"/>
                    </w:rPr>
                    <w:t>旱地</w:t>
                  </w:r>
                </w:p>
              </w:tc>
              <w:tc>
                <w:tcPr>
                  <w:tcW w:w="1140" w:type="dxa"/>
                  <w:noWrap w:val="0"/>
                  <w:vAlign w:val="center"/>
                </w:tcPr>
                <w:p>
                  <w:pPr>
                    <w:adjustRightInd w:val="0"/>
                    <w:snapToGrid w:val="0"/>
                    <w:spacing w:line="240" w:lineRule="atLeast"/>
                    <w:ind w:left="-120" w:leftChars="-50" w:right="-120" w:rightChars="-50"/>
                    <w:jc w:val="center"/>
                    <w:rPr>
                      <w:rFonts w:hint="eastAsia"/>
                      <w:snapToGrid w:val="0"/>
                      <w:szCs w:val="21"/>
                    </w:rPr>
                  </w:pPr>
                  <w:r>
                    <w:rPr>
                      <w:rFonts w:hint="eastAsia"/>
                      <w:snapToGrid w:val="0"/>
                      <w:szCs w:val="21"/>
                    </w:rPr>
                    <w:t>其他林地</w:t>
                  </w:r>
                </w:p>
              </w:tc>
              <w:tc>
                <w:tcPr>
                  <w:tcW w:w="1125" w:type="dxa"/>
                  <w:noWrap w:val="0"/>
                  <w:vAlign w:val="center"/>
                </w:tcPr>
                <w:p>
                  <w:pPr>
                    <w:adjustRightInd w:val="0"/>
                    <w:snapToGrid w:val="0"/>
                    <w:spacing w:line="240" w:lineRule="atLeast"/>
                    <w:ind w:left="-120" w:leftChars="-50" w:right="-120" w:rightChars="-50"/>
                    <w:jc w:val="center"/>
                    <w:rPr>
                      <w:rFonts w:hint="eastAsia"/>
                      <w:snapToGrid w:val="0"/>
                      <w:spacing w:val="-4"/>
                      <w:szCs w:val="21"/>
                    </w:rPr>
                  </w:pPr>
                  <w:r>
                    <w:rPr>
                      <w:rFonts w:hint="eastAsia"/>
                      <w:snapToGrid w:val="0"/>
                      <w:spacing w:val="-4"/>
                      <w:szCs w:val="21"/>
                    </w:rPr>
                    <w:t>其他草地</w:t>
                  </w:r>
                </w:p>
              </w:tc>
              <w:tc>
                <w:tcPr>
                  <w:tcW w:w="1905" w:type="dxa"/>
                  <w:noWrap w:val="0"/>
                  <w:vAlign w:val="center"/>
                </w:tcPr>
                <w:p>
                  <w:pPr>
                    <w:adjustRightInd w:val="0"/>
                    <w:snapToGrid w:val="0"/>
                    <w:spacing w:line="240" w:lineRule="atLeast"/>
                    <w:ind w:left="-120" w:leftChars="-50" w:right="-120" w:rightChars="-50"/>
                    <w:jc w:val="center"/>
                    <w:rPr>
                      <w:snapToGrid w:val="0"/>
                      <w:spacing w:val="-4"/>
                      <w:szCs w:val="21"/>
                    </w:rPr>
                  </w:pPr>
                  <w:r>
                    <w:rPr>
                      <w:snapToGrid w:val="0"/>
                      <w:spacing w:val="-4"/>
                      <w:szCs w:val="21"/>
                    </w:rPr>
                    <w:t>沟渠</w:t>
                  </w:r>
                </w:p>
              </w:tc>
              <w:tc>
                <w:tcPr>
                  <w:tcW w:w="741" w:type="dxa"/>
                  <w:vMerge w:val="continue"/>
                  <w:noWrap w:val="0"/>
                  <w:vAlign w:val="center"/>
                </w:tcPr>
                <w:p>
                  <w:pPr>
                    <w:adjustRightInd w:val="0"/>
                    <w:snapToGrid w:val="0"/>
                    <w:spacing w:line="240" w:lineRule="atLeast"/>
                    <w:jc w:val="center"/>
                    <w:rPr>
                      <w:snapToGrid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exact"/>
              </w:trPr>
              <w:tc>
                <w:tcPr>
                  <w:tcW w:w="701"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永久</w:t>
                  </w:r>
                </w:p>
                <w:p>
                  <w:pPr>
                    <w:adjustRightInd w:val="0"/>
                    <w:snapToGrid w:val="0"/>
                    <w:spacing w:line="240" w:lineRule="atLeast"/>
                    <w:jc w:val="center"/>
                    <w:rPr>
                      <w:snapToGrid w:val="0"/>
                      <w:szCs w:val="21"/>
                    </w:rPr>
                  </w:pPr>
                  <w:r>
                    <w:rPr>
                      <w:rFonts w:hint="eastAsia"/>
                      <w:snapToGrid w:val="0"/>
                      <w:szCs w:val="21"/>
                    </w:rPr>
                    <w:t>占地</w:t>
                  </w:r>
                </w:p>
              </w:tc>
              <w:tc>
                <w:tcPr>
                  <w:tcW w:w="1740" w:type="dxa"/>
                  <w:noWrap w:val="0"/>
                  <w:vAlign w:val="center"/>
                </w:tcPr>
                <w:p>
                  <w:pPr>
                    <w:adjustRightInd w:val="0"/>
                    <w:snapToGrid w:val="0"/>
                    <w:spacing w:line="240" w:lineRule="atLeast"/>
                    <w:ind w:left="-120" w:leftChars="-50" w:right="-120" w:rightChars="-50"/>
                    <w:jc w:val="center"/>
                    <w:rPr>
                      <w:snapToGrid w:val="0"/>
                      <w:szCs w:val="21"/>
                    </w:rPr>
                  </w:pPr>
                  <w:r>
                    <w:rPr>
                      <w:rFonts w:hint="eastAsia"/>
                      <w:snapToGrid w:val="0"/>
                      <w:szCs w:val="21"/>
                    </w:rPr>
                    <w:t>主体工程</w:t>
                  </w:r>
                  <w:r>
                    <w:rPr>
                      <w:snapToGrid w:val="0"/>
                      <w:szCs w:val="21"/>
                    </w:rPr>
                    <w:t>占地区</w:t>
                  </w:r>
                </w:p>
              </w:tc>
              <w:tc>
                <w:tcPr>
                  <w:tcW w:w="825" w:type="dxa"/>
                  <w:noWrap w:val="0"/>
                  <w:vAlign w:val="center"/>
                </w:tcPr>
                <w:p>
                  <w:pPr>
                    <w:adjustRightInd w:val="0"/>
                    <w:snapToGrid w:val="0"/>
                    <w:spacing w:line="240" w:lineRule="atLeast"/>
                    <w:jc w:val="center"/>
                    <w:rPr>
                      <w:snapToGrid w:val="0"/>
                      <w:szCs w:val="21"/>
                    </w:rPr>
                  </w:pPr>
                  <w:r>
                    <w:rPr>
                      <w:rFonts w:hint="eastAsia"/>
                      <w:snapToGrid w:val="0"/>
                      <w:szCs w:val="21"/>
                    </w:rPr>
                    <w:t>0.33</w:t>
                  </w:r>
                </w:p>
              </w:tc>
              <w:tc>
                <w:tcPr>
                  <w:tcW w:w="1140" w:type="dxa"/>
                  <w:noWrap w:val="0"/>
                  <w:vAlign w:val="center"/>
                </w:tcPr>
                <w:p>
                  <w:pPr>
                    <w:adjustRightInd w:val="0"/>
                    <w:snapToGrid w:val="0"/>
                    <w:spacing w:line="240" w:lineRule="atLeast"/>
                    <w:jc w:val="center"/>
                    <w:rPr>
                      <w:snapToGrid w:val="0"/>
                      <w:szCs w:val="21"/>
                    </w:rPr>
                  </w:pPr>
                  <w:r>
                    <w:rPr>
                      <w:rFonts w:hint="eastAsia"/>
                      <w:snapToGrid w:val="0"/>
                      <w:szCs w:val="21"/>
                    </w:rPr>
                    <w:t>2.87</w:t>
                  </w:r>
                </w:p>
              </w:tc>
              <w:tc>
                <w:tcPr>
                  <w:tcW w:w="11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905" w:type="dxa"/>
                  <w:noWrap w:val="0"/>
                  <w:vAlign w:val="center"/>
                </w:tcPr>
                <w:p>
                  <w:pPr>
                    <w:adjustRightInd w:val="0"/>
                    <w:snapToGrid w:val="0"/>
                    <w:spacing w:line="240" w:lineRule="atLeast"/>
                    <w:jc w:val="center"/>
                    <w:rPr>
                      <w:snapToGrid w:val="0"/>
                      <w:szCs w:val="21"/>
                    </w:rPr>
                  </w:pPr>
                  <w:r>
                    <w:rPr>
                      <w:rFonts w:hint="eastAsia"/>
                      <w:snapToGrid w:val="0"/>
                      <w:szCs w:val="21"/>
                    </w:rPr>
                    <w:t>0.44</w:t>
                  </w:r>
                </w:p>
              </w:tc>
              <w:tc>
                <w:tcPr>
                  <w:tcW w:w="741" w:type="dxa"/>
                  <w:noWrap w:val="0"/>
                  <w:vAlign w:val="center"/>
                </w:tcPr>
                <w:p>
                  <w:pPr>
                    <w:adjustRightInd w:val="0"/>
                    <w:snapToGrid w:val="0"/>
                    <w:spacing w:line="240" w:lineRule="atLeast"/>
                    <w:jc w:val="center"/>
                    <w:rPr>
                      <w:snapToGrid w:val="0"/>
                      <w:szCs w:val="21"/>
                    </w:rPr>
                  </w:pPr>
                  <w:r>
                    <w:rPr>
                      <w:rFonts w:hint="eastAsia"/>
                      <w:snapToGrid w:val="0"/>
                      <w:szCs w:val="21"/>
                    </w:rPr>
                    <w:t>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exact"/>
              </w:trPr>
              <w:tc>
                <w:tcPr>
                  <w:tcW w:w="701" w:type="dxa"/>
                  <w:vMerge w:val="restart"/>
                  <w:noWrap w:val="0"/>
                  <w:vAlign w:val="center"/>
                </w:tcPr>
                <w:p>
                  <w:pPr>
                    <w:adjustRightInd w:val="0"/>
                    <w:snapToGrid w:val="0"/>
                    <w:spacing w:line="240" w:lineRule="atLeast"/>
                    <w:jc w:val="center"/>
                    <w:rPr>
                      <w:rFonts w:hint="eastAsia"/>
                      <w:snapToGrid w:val="0"/>
                      <w:szCs w:val="21"/>
                    </w:rPr>
                  </w:pPr>
                  <w:r>
                    <w:rPr>
                      <w:rFonts w:hint="eastAsia"/>
                      <w:snapToGrid w:val="0"/>
                      <w:szCs w:val="21"/>
                    </w:rPr>
                    <w:t>临时</w:t>
                  </w:r>
                </w:p>
                <w:p>
                  <w:pPr>
                    <w:adjustRightInd w:val="0"/>
                    <w:snapToGrid w:val="0"/>
                    <w:spacing w:line="240" w:lineRule="atLeast"/>
                    <w:jc w:val="center"/>
                    <w:rPr>
                      <w:rFonts w:hint="eastAsia"/>
                      <w:snapToGrid w:val="0"/>
                      <w:szCs w:val="21"/>
                    </w:rPr>
                  </w:pPr>
                  <w:r>
                    <w:rPr>
                      <w:rFonts w:hint="eastAsia"/>
                      <w:snapToGrid w:val="0"/>
                      <w:szCs w:val="21"/>
                    </w:rPr>
                    <w:t>占地</w:t>
                  </w:r>
                </w:p>
              </w:tc>
              <w:tc>
                <w:tcPr>
                  <w:tcW w:w="1740" w:type="dxa"/>
                  <w:noWrap w:val="0"/>
                  <w:vAlign w:val="center"/>
                </w:tcPr>
                <w:p>
                  <w:pPr>
                    <w:adjustRightInd w:val="0"/>
                    <w:snapToGrid w:val="0"/>
                    <w:spacing w:line="240" w:lineRule="atLeast"/>
                    <w:jc w:val="center"/>
                    <w:rPr>
                      <w:snapToGrid w:val="0"/>
                      <w:szCs w:val="21"/>
                    </w:rPr>
                  </w:pPr>
                  <w:r>
                    <w:rPr>
                      <w:snapToGrid w:val="0"/>
                      <w:szCs w:val="21"/>
                    </w:rPr>
                    <w:t>施工工区占地区</w:t>
                  </w:r>
                </w:p>
              </w:tc>
              <w:tc>
                <w:tcPr>
                  <w:tcW w:w="825" w:type="dxa"/>
                  <w:noWrap w:val="0"/>
                  <w:vAlign w:val="center"/>
                </w:tcPr>
                <w:p>
                  <w:pPr>
                    <w:adjustRightInd w:val="0"/>
                    <w:snapToGrid w:val="0"/>
                    <w:spacing w:line="240" w:lineRule="atLeast"/>
                    <w:jc w:val="center"/>
                    <w:rPr>
                      <w:snapToGrid w:val="0"/>
                      <w:szCs w:val="21"/>
                    </w:rPr>
                  </w:pPr>
                  <w:r>
                    <w:rPr>
                      <w:rFonts w:hint="eastAsia"/>
                      <w:snapToGrid w:val="0"/>
                      <w:szCs w:val="21"/>
                    </w:rPr>
                    <w:t>0.51</w:t>
                  </w:r>
                </w:p>
              </w:tc>
              <w:tc>
                <w:tcPr>
                  <w:tcW w:w="1140"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1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90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741" w:type="dxa"/>
                  <w:noWrap w:val="0"/>
                  <w:vAlign w:val="center"/>
                </w:tcPr>
                <w:p>
                  <w:pPr>
                    <w:adjustRightInd w:val="0"/>
                    <w:snapToGrid w:val="0"/>
                    <w:spacing w:line="240" w:lineRule="atLeast"/>
                    <w:jc w:val="center"/>
                    <w:rPr>
                      <w:snapToGrid w:val="0"/>
                      <w:szCs w:val="21"/>
                    </w:rPr>
                  </w:pPr>
                  <w:r>
                    <w:rPr>
                      <w:rFonts w:hint="eastAsia"/>
                      <w:snapToGrid w:val="0"/>
                      <w:szCs w:val="21"/>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exact"/>
              </w:trPr>
              <w:tc>
                <w:tcPr>
                  <w:tcW w:w="701" w:type="dxa"/>
                  <w:vMerge w:val="continue"/>
                  <w:noWrap w:val="0"/>
                  <w:vAlign w:val="center"/>
                </w:tcPr>
                <w:p>
                  <w:pPr>
                    <w:adjustRightInd w:val="0"/>
                    <w:snapToGrid w:val="0"/>
                    <w:spacing w:line="240" w:lineRule="atLeast"/>
                    <w:jc w:val="center"/>
                    <w:rPr>
                      <w:snapToGrid w:val="0"/>
                      <w:szCs w:val="21"/>
                    </w:rPr>
                  </w:pPr>
                </w:p>
              </w:tc>
              <w:tc>
                <w:tcPr>
                  <w:tcW w:w="1740" w:type="dxa"/>
                  <w:noWrap w:val="0"/>
                  <w:vAlign w:val="center"/>
                </w:tcPr>
                <w:p>
                  <w:pPr>
                    <w:adjustRightInd w:val="0"/>
                    <w:snapToGrid w:val="0"/>
                    <w:spacing w:line="240" w:lineRule="atLeast"/>
                    <w:jc w:val="center"/>
                    <w:rPr>
                      <w:snapToGrid w:val="0"/>
                      <w:szCs w:val="21"/>
                    </w:rPr>
                  </w:pPr>
                  <w:r>
                    <w:rPr>
                      <w:rFonts w:hint="eastAsia"/>
                      <w:snapToGrid w:val="0"/>
                      <w:szCs w:val="21"/>
                    </w:rPr>
                    <w:t>弃渣场</w:t>
                  </w:r>
                  <w:r>
                    <w:rPr>
                      <w:snapToGrid w:val="0"/>
                      <w:szCs w:val="21"/>
                    </w:rPr>
                    <w:t>占地区</w:t>
                  </w:r>
                </w:p>
              </w:tc>
              <w:tc>
                <w:tcPr>
                  <w:tcW w:w="8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140"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125" w:type="dxa"/>
                  <w:noWrap w:val="0"/>
                  <w:vAlign w:val="center"/>
                </w:tcPr>
                <w:p>
                  <w:pPr>
                    <w:adjustRightInd w:val="0"/>
                    <w:snapToGrid w:val="0"/>
                    <w:spacing w:line="240" w:lineRule="atLeast"/>
                    <w:jc w:val="center"/>
                    <w:rPr>
                      <w:snapToGrid w:val="0"/>
                      <w:szCs w:val="21"/>
                    </w:rPr>
                  </w:pPr>
                  <w:r>
                    <w:rPr>
                      <w:rFonts w:hint="eastAsia"/>
                      <w:snapToGrid w:val="0"/>
                      <w:szCs w:val="21"/>
                    </w:rPr>
                    <w:t>0.05</w:t>
                  </w:r>
                </w:p>
              </w:tc>
              <w:tc>
                <w:tcPr>
                  <w:tcW w:w="190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741" w:type="dxa"/>
                  <w:noWrap w:val="0"/>
                  <w:vAlign w:val="center"/>
                </w:tcPr>
                <w:p>
                  <w:pPr>
                    <w:adjustRightInd w:val="0"/>
                    <w:snapToGrid w:val="0"/>
                    <w:spacing w:line="240" w:lineRule="atLeast"/>
                    <w:jc w:val="center"/>
                    <w:rPr>
                      <w:snapToGrid w:val="0"/>
                      <w:szCs w:val="21"/>
                    </w:rPr>
                  </w:pPr>
                  <w:r>
                    <w:rPr>
                      <w:rFonts w:hint="eastAsia"/>
                      <w:snapToGrid w:val="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exact"/>
              </w:trPr>
              <w:tc>
                <w:tcPr>
                  <w:tcW w:w="701" w:type="dxa"/>
                  <w:vMerge w:val="continue"/>
                  <w:noWrap w:val="0"/>
                  <w:vAlign w:val="center"/>
                </w:tcPr>
                <w:p>
                  <w:pPr>
                    <w:adjustRightInd w:val="0"/>
                    <w:snapToGrid w:val="0"/>
                    <w:spacing w:line="240" w:lineRule="atLeast"/>
                    <w:jc w:val="center"/>
                    <w:rPr>
                      <w:snapToGrid w:val="0"/>
                      <w:szCs w:val="21"/>
                    </w:rPr>
                  </w:pPr>
                </w:p>
              </w:tc>
              <w:tc>
                <w:tcPr>
                  <w:tcW w:w="1740"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施工道路区</w:t>
                  </w:r>
                </w:p>
              </w:tc>
              <w:tc>
                <w:tcPr>
                  <w:tcW w:w="8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140" w:type="dxa"/>
                  <w:noWrap w:val="0"/>
                  <w:vAlign w:val="center"/>
                </w:tcPr>
                <w:p>
                  <w:pPr>
                    <w:adjustRightInd w:val="0"/>
                    <w:snapToGrid w:val="0"/>
                    <w:spacing w:line="240" w:lineRule="atLeast"/>
                    <w:jc w:val="center"/>
                    <w:rPr>
                      <w:snapToGrid w:val="0"/>
                      <w:szCs w:val="21"/>
                    </w:rPr>
                  </w:pPr>
                  <w:r>
                    <w:rPr>
                      <w:rFonts w:hint="eastAsia"/>
                      <w:snapToGrid w:val="0"/>
                      <w:szCs w:val="21"/>
                    </w:rPr>
                    <w:t>1.20</w:t>
                  </w:r>
                </w:p>
              </w:tc>
              <w:tc>
                <w:tcPr>
                  <w:tcW w:w="11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905" w:type="dxa"/>
                  <w:noWrap w:val="0"/>
                  <w:vAlign w:val="center"/>
                </w:tcPr>
                <w:p>
                  <w:pPr>
                    <w:adjustRightInd w:val="0"/>
                    <w:snapToGrid w:val="0"/>
                    <w:spacing w:line="240" w:lineRule="atLeast"/>
                    <w:jc w:val="center"/>
                    <w:rPr>
                      <w:snapToGrid w:val="0"/>
                      <w:szCs w:val="21"/>
                    </w:rPr>
                  </w:pPr>
                </w:p>
              </w:tc>
              <w:tc>
                <w:tcPr>
                  <w:tcW w:w="741" w:type="dxa"/>
                  <w:noWrap w:val="0"/>
                  <w:vAlign w:val="center"/>
                </w:tcPr>
                <w:p>
                  <w:pPr>
                    <w:adjustRightInd w:val="0"/>
                    <w:snapToGrid w:val="0"/>
                    <w:spacing w:line="240" w:lineRule="atLeast"/>
                    <w:jc w:val="center"/>
                    <w:rPr>
                      <w:snapToGrid w:val="0"/>
                      <w:szCs w:val="21"/>
                    </w:rPr>
                  </w:pPr>
                  <w:r>
                    <w:rPr>
                      <w:rFonts w:hint="eastAsia"/>
                      <w:snapToGrid w:val="0"/>
                      <w:szCs w:val="21"/>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3" w:hRule="exact"/>
              </w:trPr>
              <w:tc>
                <w:tcPr>
                  <w:tcW w:w="701" w:type="dxa"/>
                  <w:vMerge w:val="continue"/>
                  <w:noWrap w:val="0"/>
                  <w:vAlign w:val="center"/>
                </w:tcPr>
                <w:p>
                  <w:pPr>
                    <w:adjustRightInd w:val="0"/>
                    <w:snapToGrid w:val="0"/>
                    <w:spacing w:line="240" w:lineRule="atLeast"/>
                    <w:jc w:val="center"/>
                    <w:rPr>
                      <w:snapToGrid w:val="0"/>
                      <w:szCs w:val="21"/>
                    </w:rPr>
                  </w:pPr>
                </w:p>
              </w:tc>
              <w:tc>
                <w:tcPr>
                  <w:tcW w:w="1740"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渠道施工作业带区</w:t>
                  </w:r>
                </w:p>
              </w:tc>
              <w:tc>
                <w:tcPr>
                  <w:tcW w:w="825" w:type="dxa"/>
                  <w:noWrap w:val="0"/>
                  <w:vAlign w:val="center"/>
                </w:tcPr>
                <w:p>
                  <w:pPr>
                    <w:adjustRightInd w:val="0"/>
                    <w:snapToGrid w:val="0"/>
                    <w:spacing w:line="240" w:lineRule="atLeast"/>
                    <w:jc w:val="center"/>
                    <w:rPr>
                      <w:snapToGrid w:val="0"/>
                      <w:szCs w:val="21"/>
                    </w:rPr>
                  </w:pPr>
                  <w:r>
                    <w:rPr>
                      <w:rFonts w:hint="eastAsia"/>
                      <w:snapToGrid w:val="0"/>
                      <w:szCs w:val="21"/>
                    </w:rPr>
                    <w:t>0.45</w:t>
                  </w:r>
                </w:p>
              </w:tc>
              <w:tc>
                <w:tcPr>
                  <w:tcW w:w="1140" w:type="dxa"/>
                  <w:noWrap w:val="0"/>
                  <w:vAlign w:val="center"/>
                </w:tcPr>
                <w:p>
                  <w:pPr>
                    <w:adjustRightInd w:val="0"/>
                    <w:snapToGrid w:val="0"/>
                    <w:spacing w:line="240" w:lineRule="atLeast"/>
                    <w:jc w:val="center"/>
                    <w:rPr>
                      <w:snapToGrid w:val="0"/>
                      <w:szCs w:val="21"/>
                    </w:rPr>
                  </w:pPr>
                  <w:r>
                    <w:rPr>
                      <w:rFonts w:hint="eastAsia"/>
                      <w:snapToGrid w:val="0"/>
                      <w:szCs w:val="21"/>
                    </w:rPr>
                    <w:t>4.56</w:t>
                  </w:r>
                </w:p>
              </w:tc>
              <w:tc>
                <w:tcPr>
                  <w:tcW w:w="112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1905" w:type="dxa"/>
                  <w:noWrap w:val="0"/>
                  <w:vAlign w:val="center"/>
                </w:tcPr>
                <w:p>
                  <w:pPr>
                    <w:adjustRightInd w:val="0"/>
                    <w:snapToGrid w:val="0"/>
                    <w:spacing w:line="240" w:lineRule="atLeast"/>
                    <w:jc w:val="center"/>
                    <w:rPr>
                      <w:rFonts w:hint="eastAsia"/>
                      <w:snapToGrid w:val="0"/>
                      <w:szCs w:val="21"/>
                    </w:rPr>
                  </w:pPr>
                  <w:r>
                    <w:rPr>
                      <w:rFonts w:hint="eastAsia"/>
                      <w:snapToGrid w:val="0"/>
                      <w:szCs w:val="21"/>
                    </w:rPr>
                    <w:t>/</w:t>
                  </w:r>
                </w:p>
              </w:tc>
              <w:tc>
                <w:tcPr>
                  <w:tcW w:w="741" w:type="dxa"/>
                  <w:noWrap w:val="0"/>
                  <w:vAlign w:val="center"/>
                </w:tcPr>
                <w:p>
                  <w:pPr>
                    <w:adjustRightInd w:val="0"/>
                    <w:snapToGrid w:val="0"/>
                    <w:spacing w:line="240" w:lineRule="atLeast"/>
                    <w:jc w:val="center"/>
                    <w:rPr>
                      <w:snapToGrid w:val="0"/>
                      <w:szCs w:val="21"/>
                    </w:rPr>
                  </w:pPr>
                  <w:r>
                    <w:rPr>
                      <w:rFonts w:hint="eastAsia"/>
                      <w:snapToGrid w:val="0"/>
                      <w:szCs w:val="21"/>
                    </w:rPr>
                    <w:t>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exact"/>
              </w:trPr>
              <w:tc>
                <w:tcPr>
                  <w:tcW w:w="2441" w:type="dxa"/>
                  <w:gridSpan w:val="2"/>
                  <w:noWrap w:val="0"/>
                  <w:vAlign w:val="center"/>
                </w:tcPr>
                <w:p>
                  <w:pPr>
                    <w:adjustRightInd w:val="0"/>
                    <w:snapToGrid w:val="0"/>
                    <w:spacing w:line="240" w:lineRule="atLeast"/>
                    <w:jc w:val="center"/>
                    <w:rPr>
                      <w:snapToGrid w:val="0"/>
                      <w:szCs w:val="21"/>
                    </w:rPr>
                  </w:pPr>
                  <w:r>
                    <w:rPr>
                      <w:snapToGrid w:val="0"/>
                      <w:szCs w:val="21"/>
                    </w:rPr>
                    <w:t>合计</w:t>
                  </w:r>
                </w:p>
              </w:tc>
              <w:tc>
                <w:tcPr>
                  <w:tcW w:w="825" w:type="dxa"/>
                  <w:noWrap w:val="0"/>
                  <w:vAlign w:val="center"/>
                </w:tcPr>
                <w:p>
                  <w:pPr>
                    <w:adjustRightInd w:val="0"/>
                    <w:snapToGrid w:val="0"/>
                    <w:spacing w:line="240" w:lineRule="atLeast"/>
                    <w:jc w:val="center"/>
                    <w:rPr>
                      <w:b/>
                      <w:snapToGrid w:val="0"/>
                      <w:szCs w:val="21"/>
                    </w:rPr>
                  </w:pPr>
                  <w:r>
                    <w:rPr>
                      <w:rFonts w:hint="eastAsia"/>
                      <w:b/>
                      <w:snapToGrid w:val="0"/>
                      <w:szCs w:val="21"/>
                    </w:rPr>
                    <w:t>1.29</w:t>
                  </w:r>
                </w:p>
              </w:tc>
              <w:tc>
                <w:tcPr>
                  <w:tcW w:w="1140" w:type="dxa"/>
                  <w:noWrap w:val="0"/>
                  <w:vAlign w:val="center"/>
                </w:tcPr>
                <w:p>
                  <w:pPr>
                    <w:adjustRightInd w:val="0"/>
                    <w:snapToGrid w:val="0"/>
                    <w:spacing w:line="240" w:lineRule="atLeast"/>
                    <w:jc w:val="center"/>
                    <w:rPr>
                      <w:b/>
                      <w:snapToGrid w:val="0"/>
                      <w:szCs w:val="21"/>
                    </w:rPr>
                  </w:pPr>
                  <w:r>
                    <w:rPr>
                      <w:rFonts w:hint="eastAsia"/>
                      <w:b/>
                      <w:snapToGrid w:val="0"/>
                      <w:szCs w:val="21"/>
                    </w:rPr>
                    <w:t>8.63</w:t>
                  </w:r>
                </w:p>
              </w:tc>
              <w:tc>
                <w:tcPr>
                  <w:tcW w:w="1125" w:type="dxa"/>
                  <w:noWrap w:val="0"/>
                  <w:vAlign w:val="center"/>
                </w:tcPr>
                <w:p>
                  <w:pPr>
                    <w:adjustRightInd w:val="0"/>
                    <w:snapToGrid w:val="0"/>
                    <w:spacing w:line="240" w:lineRule="atLeast"/>
                    <w:jc w:val="center"/>
                    <w:rPr>
                      <w:b/>
                      <w:snapToGrid w:val="0"/>
                      <w:szCs w:val="21"/>
                    </w:rPr>
                  </w:pPr>
                  <w:r>
                    <w:rPr>
                      <w:rFonts w:hint="eastAsia"/>
                      <w:b/>
                      <w:snapToGrid w:val="0"/>
                      <w:szCs w:val="21"/>
                    </w:rPr>
                    <w:t>0.05</w:t>
                  </w:r>
                </w:p>
              </w:tc>
              <w:tc>
                <w:tcPr>
                  <w:tcW w:w="1905" w:type="dxa"/>
                  <w:noWrap w:val="0"/>
                  <w:vAlign w:val="center"/>
                </w:tcPr>
                <w:p>
                  <w:pPr>
                    <w:adjustRightInd w:val="0"/>
                    <w:snapToGrid w:val="0"/>
                    <w:spacing w:line="240" w:lineRule="atLeast"/>
                    <w:jc w:val="center"/>
                    <w:rPr>
                      <w:b/>
                      <w:snapToGrid w:val="0"/>
                      <w:szCs w:val="21"/>
                    </w:rPr>
                  </w:pPr>
                  <w:r>
                    <w:rPr>
                      <w:rFonts w:hint="eastAsia"/>
                      <w:b/>
                      <w:snapToGrid w:val="0"/>
                      <w:szCs w:val="21"/>
                    </w:rPr>
                    <w:t>0.44</w:t>
                  </w:r>
                </w:p>
              </w:tc>
              <w:tc>
                <w:tcPr>
                  <w:tcW w:w="741" w:type="dxa"/>
                  <w:noWrap w:val="0"/>
                  <w:vAlign w:val="center"/>
                </w:tcPr>
                <w:p>
                  <w:pPr>
                    <w:adjustRightInd w:val="0"/>
                    <w:snapToGrid w:val="0"/>
                    <w:spacing w:line="240" w:lineRule="atLeast"/>
                    <w:jc w:val="center"/>
                    <w:rPr>
                      <w:b/>
                      <w:snapToGrid w:val="0"/>
                      <w:szCs w:val="21"/>
                    </w:rPr>
                  </w:pPr>
                  <w:r>
                    <w:rPr>
                      <w:rFonts w:hint="eastAsia"/>
                      <w:b/>
                      <w:snapToGrid w:val="0"/>
                      <w:szCs w:val="21"/>
                    </w:rPr>
                    <w:t>10.41</w:t>
                  </w:r>
                </w:p>
              </w:tc>
            </w:tr>
          </w:tbl>
          <w:p>
            <w:pPr>
              <w:pStyle w:val="138"/>
              <w:rPr>
                <w:rFonts w:hint="eastAsia"/>
                <w:bCs/>
                <w:color w:val="000000"/>
              </w:rPr>
            </w:pPr>
            <w:r>
              <w:rPr>
                <w:rFonts w:hint="eastAsia"/>
                <w:bCs/>
                <w:color w:val="000000"/>
              </w:rPr>
              <w:t>B、水土流失量预测</w:t>
            </w:r>
          </w:p>
          <w:p>
            <w:pPr>
              <w:pStyle w:val="121"/>
              <w:ind w:firstLine="480"/>
              <w:rPr>
                <w:rFonts w:ascii="Times New Roman" w:hAnsi="Times New Roman"/>
                <w:kern w:val="0"/>
                <w:szCs w:val="20"/>
              </w:rPr>
            </w:pPr>
            <w:r>
              <w:rPr>
                <w:rFonts w:ascii="Times New Roman" w:hAnsi="Times New Roman"/>
                <w:kern w:val="0"/>
                <w:szCs w:val="20"/>
              </w:rPr>
              <w:t>本工程的水土流失影响主要表现在破坏原生地貌和弃渣。</w:t>
            </w:r>
          </w:p>
          <w:p>
            <w:pPr>
              <w:pStyle w:val="121"/>
              <w:ind w:firstLine="480"/>
              <w:rPr>
                <w:rFonts w:ascii="Times New Roman" w:hAnsi="Times New Roman"/>
                <w:kern w:val="0"/>
                <w:szCs w:val="20"/>
              </w:rPr>
            </w:pPr>
            <w:r>
              <w:rPr>
                <w:rFonts w:ascii="Times New Roman" w:hAnsi="Times New Roman"/>
                <w:kern w:val="0"/>
                <w:szCs w:val="20"/>
              </w:rPr>
              <w:t>工程破坏区主要是耕地、林地及水域水利设施用地，由于工程无实测资料，通过和同类项目的比较、现场调查，结合《土壤侵蚀分类分级标准》，确定各个预测单元的土壤侵蚀模数背景值，结合各个单元的面积、侵蚀时间，预测水土流失量。</w:t>
            </w:r>
          </w:p>
          <w:p>
            <w:pPr>
              <w:pStyle w:val="121"/>
              <w:ind w:firstLine="480"/>
              <w:rPr>
                <w:rFonts w:ascii="Times New Roman" w:hAnsi="Times New Roman"/>
                <w:kern w:val="0"/>
                <w:szCs w:val="20"/>
              </w:rPr>
            </w:pPr>
            <w:r>
              <w:rPr>
                <w:rFonts w:ascii="Times New Roman" w:hAnsi="Times New Roman"/>
                <w:kern w:val="0"/>
                <w:szCs w:val="20"/>
              </w:rPr>
              <w:t>工程区不属于国家级及省级划定的水土流失重点防治区范围内，水土流失类型以水力侵蚀为主，容许土壤流失量为500t/km</w:t>
            </w:r>
            <w:r>
              <w:rPr>
                <w:rFonts w:ascii="Times New Roman" w:hAnsi="Times New Roman"/>
                <w:kern w:val="0"/>
                <w:szCs w:val="20"/>
                <w:vertAlign w:val="superscript"/>
              </w:rPr>
              <w:t>2</w:t>
            </w:r>
            <w:r>
              <w:rPr>
                <w:rFonts w:ascii="Times New Roman" w:hAnsi="Times New Roman"/>
                <w:kern w:val="0"/>
                <w:szCs w:val="20"/>
              </w:rPr>
              <w:t>·a。根据区域水土流失现状调查及土壤侵蚀遥感资料分析，工程区水土流失强度以轻度水力侵蚀为主，水土流失形式主要为面蚀、沟蚀，平均侵蚀模数达1750t/km</w:t>
            </w:r>
            <w:r>
              <w:rPr>
                <w:rFonts w:ascii="Times New Roman" w:hAnsi="Times New Roman"/>
                <w:kern w:val="0"/>
                <w:szCs w:val="20"/>
                <w:vertAlign w:val="superscript"/>
              </w:rPr>
              <w:t>2</w:t>
            </w:r>
            <w:r>
              <w:rPr>
                <w:rFonts w:ascii="Times New Roman" w:hAnsi="Times New Roman"/>
                <w:kern w:val="0"/>
                <w:szCs w:val="20"/>
              </w:rPr>
              <w:t>·a左右。</w:t>
            </w:r>
          </w:p>
          <w:p>
            <w:pPr>
              <w:pStyle w:val="121"/>
              <w:ind w:firstLine="480"/>
              <w:rPr>
                <w:rFonts w:hint="eastAsia"/>
                <w:b/>
                <w:bCs/>
                <w:sz w:val="21"/>
                <w:szCs w:val="21"/>
              </w:rPr>
            </w:pPr>
            <w:r>
              <w:rPr>
                <w:rFonts w:ascii="Times New Roman" w:hAnsi="Times New Roman"/>
                <w:kern w:val="0"/>
                <w:szCs w:val="20"/>
              </w:rPr>
              <w:t>工程建成后，项目区新增水土流失主要来自工程建设区域，面积10.41hm</w:t>
            </w:r>
            <w:r>
              <w:rPr>
                <w:rFonts w:ascii="Times New Roman" w:hAnsi="Times New Roman"/>
                <w:kern w:val="0"/>
                <w:szCs w:val="20"/>
                <w:vertAlign w:val="superscript"/>
              </w:rPr>
              <w:t>2</w:t>
            </w:r>
            <w:r>
              <w:rPr>
                <w:rFonts w:ascii="Times New Roman" w:hAnsi="Times New Roman"/>
                <w:kern w:val="0"/>
                <w:szCs w:val="20"/>
              </w:rPr>
              <w:t>。结合项目区水土流失背景值预测，本项目在不采取水保措施的前提下，预测时段内水土流失总量为717.71t，新增水土流失总量为375.09t。流失时段主要集中于施工期。</w:t>
            </w:r>
          </w:p>
          <w:p>
            <w:pPr>
              <w:pStyle w:val="138"/>
              <w:ind w:firstLine="0" w:firstLineChars="0"/>
              <w:jc w:val="center"/>
              <w:rPr>
                <w:rFonts w:hint="eastAsia"/>
                <w:bCs/>
                <w:color w:val="000000"/>
                <w:sz w:val="21"/>
                <w:szCs w:val="21"/>
              </w:rPr>
            </w:pPr>
            <w:r>
              <w:rPr>
                <w:rFonts w:hint="eastAsia"/>
                <w:b/>
                <w:bCs/>
                <w:sz w:val="21"/>
                <w:szCs w:val="21"/>
              </w:rPr>
              <w:t>表4-6  项目区水土流失量预测表</w:t>
            </w:r>
          </w:p>
          <w:tbl>
            <w:tblPr>
              <w:tblStyle w:val="39"/>
              <w:tblW w:w="82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5"/>
              <w:gridCol w:w="1320"/>
              <w:gridCol w:w="1200"/>
              <w:gridCol w:w="1215"/>
              <w:gridCol w:w="750"/>
              <w:gridCol w:w="735"/>
              <w:gridCol w:w="870"/>
              <w:gridCol w:w="859"/>
              <w:gridCol w:w="9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9" w:hRule="atLeast"/>
                <w:tblHeader/>
                <w:jc w:val="center"/>
              </w:trPr>
              <w:tc>
                <w:tcPr>
                  <w:tcW w:w="1665" w:type="dxa"/>
                  <w:gridSpan w:val="2"/>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分区</w:t>
                  </w:r>
                </w:p>
              </w:tc>
              <w:tc>
                <w:tcPr>
                  <w:tcW w:w="1200" w:type="dxa"/>
                  <w:noWrap w:val="0"/>
                  <w:vAlign w:val="center"/>
                </w:tcPr>
                <w:p>
                  <w:pPr>
                    <w:pStyle w:val="273"/>
                    <w:spacing w:line="240" w:lineRule="auto"/>
                    <w:ind w:firstLine="0" w:firstLineChars="0"/>
                    <w:jc w:val="center"/>
                    <w:rPr>
                      <w:rFonts w:ascii="Times New Roman" w:hAnsi="Times New Roman"/>
                      <w:szCs w:val="21"/>
                    </w:rPr>
                  </w:pPr>
                  <w:r>
                    <w:rPr>
                      <w:rFonts w:ascii="Times New Roman" w:hAnsi="Times New Roman"/>
                      <w:szCs w:val="21"/>
                    </w:rPr>
                    <w:t>原地貌土壤侵蚀模数(t/km</w:t>
                  </w:r>
                  <w:r>
                    <w:rPr>
                      <w:rFonts w:ascii="Times New Roman" w:hAnsi="Times New Roman"/>
                      <w:szCs w:val="21"/>
                      <w:vertAlign w:val="superscript"/>
                    </w:rPr>
                    <w:t>2</w:t>
                  </w:r>
                  <w:r>
                    <w:rPr>
                      <w:rFonts w:ascii="Times New Roman" w:hAnsi="Times New Roman"/>
                      <w:szCs w:val="21"/>
                    </w:rPr>
                    <w:t>·a)</w:t>
                  </w:r>
                </w:p>
              </w:tc>
              <w:tc>
                <w:tcPr>
                  <w:tcW w:w="1215"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扰动后土壤侵蚀模数(t/km</w:t>
                  </w:r>
                  <w:r>
                    <w:rPr>
                      <w:rFonts w:ascii="Times New Roman" w:hAnsi="Times New Roman"/>
                      <w:szCs w:val="21"/>
                      <w:vertAlign w:val="superscript"/>
                    </w:rPr>
                    <w:t>2</w:t>
                  </w:r>
                  <w:r>
                    <w:rPr>
                      <w:rFonts w:ascii="Times New Roman" w:hAnsi="Times New Roman"/>
                      <w:szCs w:val="21"/>
                    </w:rPr>
                    <w:t>·a)</w:t>
                  </w:r>
                </w:p>
              </w:tc>
              <w:tc>
                <w:tcPr>
                  <w:tcW w:w="750"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流失面积(hm</w:t>
                  </w:r>
                  <w:r>
                    <w:rPr>
                      <w:rFonts w:ascii="Times New Roman" w:hAnsi="Times New Roman"/>
                      <w:szCs w:val="21"/>
                      <w:vertAlign w:val="superscript"/>
                    </w:rPr>
                    <w:t>2</w:t>
                  </w:r>
                  <w:r>
                    <w:rPr>
                      <w:rFonts w:ascii="Times New Roman" w:hAnsi="Times New Roman"/>
                      <w:szCs w:val="21"/>
                    </w:rPr>
                    <w:t>)</w:t>
                  </w:r>
                </w:p>
              </w:tc>
              <w:tc>
                <w:tcPr>
                  <w:tcW w:w="735"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预测时间(年)</w:t>
                  </w:r>
                </w:p>
              </w:tc>
              <w:tc>
                <w:tcPr>
                  <w:tcW w:w="870"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水土流失量(t)</w:t>
                  </w:r>
                </w:p>
              </w:tc>
              <w:tc>
                <w:tcPr>
                  <w:tcW w:w="859"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背景值流失值(t)</w:t>
                  </w:r>
                </w:p>
              </w:tc>
              <w:tc>
                <w:tcPr>
                  <w:tcW w:w="921" w:type="dxa"/>
                  <w:noWrap w:val="0"/>
                  <w:vAlign w:val="center"/>
                </w:tcPr>
                <w:p>
                  <w:pPr>
                    <w:pStyle w:val="273"/>
                    <w:spacing w:line="220" w:lineRule="exact"/>
                    <w:ind w:firstLine="0" w:firstLineChars="0"/>
                    <w:jc w:val="center"/>
                    <w:rPr>
                      <w:rFonts w:ascii="Times New Roman" w:hAnsi="Times New Roman"/>
                      <w:szCs w:val="21"/>
                    </w:rPr>
                  </w:pPr>
                  <w:r>
                    <w:rPr>
                      <w:rFonts w:ascii="Times New Roman" w:hAnsi="Times New Roman"/>
                      <w:szCs w:val="21"/>
                    </w:rPr>
                    <w:t>新增水土流失量(t)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restart"/>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施工期</w:t>
                  </w: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主体工程区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7500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3.64</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0.58</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158.34</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36.95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121.39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施工工区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6500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0.51</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0.58</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19.23</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5.18</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14.05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弃渣场区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7500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0.05</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0.58</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2.18</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0.51</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1.67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施工道路区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7000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1.20</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0.58</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48.72</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12.18</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36.54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渠道施工作业带区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7500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5.01</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0.58</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217.94</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50.85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167.09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小计</w:t>
                  </w:r>
                </w:p>
              </w:tc>
              <w:tc>
                <w:tcPr>
                  <w:tcW w:w="1200" w:type="dxa"/>
                  <w:noWrap w:val="0"/>
                  <w:vAlign w:val="center"/>
                </w:tcPr>
                <w:p>
                  <w:pPr>
                    <w:adjustRightInd w:val="0"/>
                    <w:snapToGrid w:val="0"/>
                    <w:spacing w:line="220" w:lineRule="exact"/>
                    <w:jc w:val="center"/>
                    <w:rPr>
                      <w:rFonts w:ascii="Times New Roman" w:hAnsi="Times New Roman"/>
                      <w:szCs w:val="21"/>
                    </w:rPr>
                  </w:pPr>
                </w:p>
              </w:tc>
              <w:tc>
                <w:tcPr>
                  <w:tcW w:w="1215" w:type="dxa"/>
                  <w:noWrap w:val="0"/>
                  <w:vAlign w:val="center"/>
                </w:tcPr>
                <w:p>
                  <w:pPr>
                    <w:adjustRightInd w:val="0"/>
                    <w:snapToGrid w:val="0"/>
                    <w:spacing w:line="220" w:lineRule="exact"/>
                    <w:jc w:val="center"/>
                    <w:rPr>
                      <w:rFonts w:ascii="Times New Roman" w:hAnsi="Times New Roman"/>
                      <w:szCs w:val="21"/>
                    </w:rPr>
                  </w:pP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10.41</w:t>
                  </w:r>
                </w:p>
              </w:tc>
              <w:tc>
                <w:tcPr>
                  <w:tcW w:w="735" w:type="dxa"/>
                  <w:noWrap w:val="0"/>
                  <w:vAlign w:val="center"/>
                </w:tcPr>
                <w:p>
                  <w:pPr>
                    <w:adjustRightInd w:val="0"/>
                    <w:snapToGrid w:val="0"/>
                    <w:spacing w:line="220" w:lineRule="exact"/>
                    <w:jc w:val="center"/>
                    <w:rPr>
                      <w:rFonts w:ascii="Times New Roman" w:hAnsi="Times New Roman"/>
                      <w:szCs w:val="21"/>
                    </w:rPr>
                  </w:pP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446.41</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105.67</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340.74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restart"/>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自然恢复期</w:t>
                  </w: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施工工区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0.51</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20.40</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17.85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2.55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弃渣场区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2500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0.05</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2.50</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1.75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施工道路区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1.20</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48.00</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42.00</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渠道施工作业带区</w:t>
                  </w:r>
                </w:p>
              </w:tc>
              <w:tc>
                <w:tcPr>
                  <w:tcW w:w="120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1750</w:t>
                  </w:r>
                </w:p>
              </w:tc>
              <w:tc>
                <w:tcPr>
                  <w:tcW w:w="121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2000</w:t>
                  </w: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5.01</w:t>
                  </w:r>
                </w:p>
              </w:tc>
              <w:tc>
                <w:tcPr>
                  <w:tcW w:w="735"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2.00</w:t>
                  </w: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200.40</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175.35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25.05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45" w:type="dxa"/>
                  <w:vMerge w:val="continue"/>
                  <w:noWrap w:val="0"/>
                  <w:vAlign w:val="center"/>
                </w:tcPr>
                <w:p>
                  <w:pPr>
                    <w:adjustRightInd w:val="0"/>
                    <w:snapToGrid w:val="0"/>
                    <w:spacing w:line="220" w:lineRule="exact"/>
                    <w:jc w:val="center"/>
                    <w:rPr>
                      <w:rFonts w:ascii="Times New Roman" w:hAnsi="Times New Roman"/>
                      <w:szCs w:val="21"/>
                    </w:rPr>
                  </w:pPr>
                </w:p>
              </w:tc>
              <w:tc>
                <w:tcPr>
                  <w:tcW w:w="132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小计</w:t>
                  </w:r>
                </w:p>
              </w:tc>
              <w:tc>
                <w:tcPr>
                  <w:tcW w:w="1200" w:type="dxa"/>
                  <w:noWrap w:val="0"/>
                  <w:vAlign w:val="center"/>
                </w:tcPr>
                <w:p>
                  <w:pPr>
                    <w:adjustRightInd w:val="0"/>
                    <w:snapToGrid w:val="0"/>
                    <w:spacing w:line="220" w:lineRule="exact"/>
                    <w:jc w:val="center"/>
                    <w:rPr>
                      <w:rFonts w:ascii="Times New Roman" w:hAnsi="Times New Roman"/>
                      <w:szCs w:val="21"/>
                    </w:rPr>
                  </w:pPr>
                </w:p>
              </w:tc>
              <w:tc>
                <w:tcPr>
                  <w:tcW w:w="1215" w:type="dxa"/>
                  <w:noWrap w:val="0"/>
                  <w:vAlign w:val="center"/>
                </w:tcPr>
                <w:p>
                  <w:pPr>
                    <w:adjustRightInd w:val="0"/>
                    <w:snapToGrid w:val="0"/>
                    <w:spacing w:line="220" w:lineRule="exact"/>
                    <w:jc w:val="center"/>
                    <w:rPr>
                      <w:rFonts w:ascii="Times New Roman" w:hAnsi="Times New Roman"/>
                      <w:szCs w:val="21"/>
                    </w:rPr>
                  </w:pPr>
                </w:p>
              </w:tc>
              <w:tc>
                <w:tcPr>
                  <w:tcW w:w="750" w:type="dxa"/>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6.77</w:t>
                  </w:r>
                </w:p>
              </w:tc>
              <w:tc>
                <w:tcPr>
                  <w:tcW w:w="735" w:type="dxa"/>
                  <w:noWrap w:val="0"/>
                  <w:vAlign w:val="center"/>
                </w:tcPr>
                <w:p>
                  <w:pPr>
                    <w:adjustRightInd w:val="0"/>
                    <w:snapToGrid w:val="0"/>
                    <w:spacing w:line="220" w:lineRule="exact"/>
                    <w:jc w:val="center"/>
                    <w:rPr>
                      <w:rFonts w:ascii="Times New Roman" w:hAnsi="Times New Roman"/>
                      <w:szCs w:val="21"/>
                    </w:rPr>
                  </w:pPr>
                </w:p>
              </w:tc>
              <w:tc>
                <w:tcPr>
                  <w:tcW w:w="870" w:type="dxa"/>
                  <w:noWrap w:val="0"/>
                  <w:vAlign w:val="center"/>
                </w:tcPr>
                <w:p>
                  <w:pPr>
                    <w:spacing w:line="220" w:lineRule="exact"/>
                    <w:jc w:val="center"/>
                    <w:rPr>
                      <w:rFonts w:ascii="Times New Roman" w:hAnsi="Times New Roman"/>
                      <w:szCs w:val="21"/>
                    </w:rPr>
                  </w:pPr>
                  <w:r>
                    <w:rPr>
                      <w:rFonts w:ascii="Times New Roman" w:hAnsi="Times New Roman"/>
                      <w:szCs w:val="21"/>
                    </w:rPr>
                    <w:t>271.30</w:t>
                  </w:r>
                </w:p>
              </w:tc>
              <w:tc>
                <w:tcPr>
                  <w:tcW w:w="859" w:type="dxa"/>
                  <w:noWrap w:val="0"/>
                  <w:vAlign w:val="center"/>
                </w:tcPr>
                <w:p>
                  <w:pPr>
                    <w:spacing w:line="220" w:lineRule="exact"/>
                    <w:jc w:val="center"/>
                    <w:rPr>
                      <w:rFonts w:ascii="Times New Roman" w:hAnsi="Times New Roman"/>
                      <w:szCs w:val="21"/>
                    </w:rPr>
                  </w:pPr>
                  <w:r>
                    <w:rPr>
                      <w:rFonts w:ascii="Times New Roman" w:hAnsi="Times New Roman"/>
                      <w:szCs w:val="21"/>
                    </w:rPr>
                    <w:t>236.95</w:t>
                  </w:r>
                </w:p>
              </w:tc>
              <w:tc>
                <w:tcPr>
                  <w:tcW w:w="921" w:type="dxa"/>
                  <w:noWrap w:val="0"/>
                  <w:vAlign w:val="center"/>
                </w:tcPr>
                <w:p>
                  <w:pPr>
                    <w:spacing w:line="220" w:lineRule="exact"/>
                    <w:jc w:val="center"/>
                    <w:rPr>
                      <w:rFonts w:ascii="Times New Roman" w:hAnsi="Times New Roman"/>
                      <w:szCs w:val="21"/>
                    </w:rPr>
                  </w:pPr>
                  <w:r>
                    <w:rPr>
                      <w:rFonts w:ascii="Times New Roman" w:hAnsi="Times New Roman"/>
                      <w:szCs w:val="21"/>
                    </w:rPr>
                    <w:t>34.35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65" w:type="dxa"/>
                  <w:gridSpan w:val="2"/>
                  <w:noWrap w:val="0"/>
                  <w:vAlign w:val="center"/>
                </w:tcPr>
                <w:p>
                  <w:pPr>
                    <w:adjustRightInd w:val="0"/>
                    <w:snapToGrid w:val="0"/>
                    <w:spacing w:line="220" w:lineRule="exact"/>
                    <w:jc w:val="center"/>
                    <w:rPr>
                      <w:rFonts w:ascii="Times New Roman" w:hAnsi="Times New Roman"/>
                      <w:szCs w:val="21"/>
                    </w:rPr>
                  </w:pPr>
                  <w:r>
                    <w:rPr>
                      <w:rFonts w:ascii="Times New Roman" w:hAnsi="Times New Roman"/>
                      <w:szCs w:val="21"/>
                    </w:rPr>
                    <w:t>合计</w:t>
                  </w:r>
                </w:p>
              </w:tc>
              <w:tc>
                <w:tcPr>
                  <w:tcW w:w="1200" w:type="dxa"/>
                  <w:noWrap w:val="0"/>
                  <w:vAlign w:val="center"/>
                </w:tcPr>
                <w:p>
                  <w:pPr>
                    <w:adjustRightInd w:val="0"/>
                    <w:snapToGrid w:val="0"/>
                    <w:spacing w:line="220" w:lineRule="exact"/>
                    <w:jc w:val="center"/>
                    <w:rPr>
                      <w:rFonts w:ascii="Times New Roman" w:hAnsi="Times New Roman"/>
                      <w:szCs w:val="21"/>
                    </w:rPr>
                  </w:pPr>
                </w:p>
              </w:tc>
              <w:tc>
                <w:tcPr>
                  <w:tcW w:w="1215" w:type="dxa"/>
                  <w:noWrap w:val="0"/>
                  <w:vAlign w:val="center"/>
                </w:tcPr>
                <w:p>
                  <w:pPr>
                    <w:adjustRightInd w:val="0"/>
                    <w:snapToGrid w:val="0"/>
                    <w:spacing w:line="220" w:lineRule="exact"/>
                    <w:jc w:val="center"/>
                    <w:rPr>
                      <w:rFonts w:ascii="Times New Roman" w:hAnsi="Times New Roman"/>
                      <w:szCs w:val="21"/>
                    </w:rPr>
                  </w:pPr>
                </w:p>
              </w:tc>
              <w:tc>
                <w:tcPr>
                  <w:tcW w:w="750" w:type="dxa"/>
                  <w:noWrap w:val="0"/>
                  <w:vAlign w:val="center"/>
                </w:tcPr>
                <w:p>
                  <w:pPr>
                    <w:adjustRightInd w:val="0"/>
                    <w:snapToGrid w:val="0"/>
                    <w:spacing w:line="220" w:lineRule="exact"/>
                    <w:jc w:val="center"/>
                    <w:rPr>
                      <w:rFonts w:ascii="Times New Roman" w:hAnsi="Times New Roman"/>
                      <w:b/>
                      <w:bCs/>
                      <w:szCs w:val="21"/>
                    </w:rPr>
                  </w:pPr>
                  <w:r>
                    <w:rPr>
                      <w:rFonts w:ascii="Times New Roman" w:hAnsi="Times New Roman"/>
                      <w:b/>
                      <w:bCs/>
                      <w:szCs w:val="21"/>
                    </w:rPr>
                    <w:t>10.41</w:t>
                  </w:r>
                </w:p>
              </w:tc>
              <w:tc>
                <w:tcPr>
                  <w:tcW w:w="735" w:type="dxa"/>
                  <w:noWrap w:val="0"/>
                  <w:vAlign w:val="center"/>
                </w:tcPr>
                <w:p>
                  <w:pPr>
                    <w:adjustRightInd w:val="0"/>
                    <w:snapToGrid w:val="0"/>
                    <w:spacing w:line="220" w:lineRule="exact"/>
                    <w:jc w:val="center"/>
                    <w:rPr>
                      <w:rFonts w:ascii="Times New Roman" w:hAnsi="Times New Roman"/>
                      <w:b/>
                      <w:bCs/>
                      <w:szCs w:val="21"/>
                    </w:rPr>
                  </w:pPr>
                </w:p>
              </w:tc>
              <w:tc>
                <w:tcPr>
                  <w:tcW w:w="870" w:type="dxa"/>
                  <w:noWrap w:val="0"/>
                  <w:vAlign w:val="center"/>
                </w:tcPr>
                <w:p>
                  <w:pPr>
                    <w:adjustRightInd w:val="0"/>
                    <w:snapToGrid w:val="0"/>
                    <w:spacing w:line="220" w:lineRule="exact"/>
                    <w:jc w:val="center"/>
                    <w:rPr>
                      <w:rFonts w:ascii="Times New Roman" w:hAnsi="Times New Roman"/>
                      <w:b/>
                      <w:bCs/>
                      <w:szCs w:val="21"/>
                    </w:rPr>
                  </w:pPr>
                  <w:r>
                    <w:rPr>
                      <w:rFonts w:ascii="Times New Roman" w:hAnsi="Times New Roman"/>
                      <w:b/>
                      <w:bCs/>
                      <w:szCs w:val="21"/>
                    </w:rPr>
                    <w:t>717.71</w:t>
                  </w:r>
                </w:p>
              </w:tc>
              <w:tc>
                <w:tcPr>
                  <w:tcW w:w="859" w:type="dxa"/>
                  <w:noWrap w:val="0"/>
                  <w:vAlign w:val="center"/>
                </w:tcPr>
                <w:p>
                  <w:pPr>
                    <w:adjustRightInd w:val="0"/>
                    <w:snapToGrid w:val="0"/>
                    <w:spacing w:line="220" w:lineRule="exact"/>
                    <w:jc w:val="center"/>
                    <w:rPr>
                      <w:rFonts w:ascii="Times New Roman" w:hAnsi="Times New Roman"/>
                      <w:b/>
                      <w:bCs/>
                      <w:szCs w:val="21"/>
                    </w:rPr>
                  </w:pPr>
                  <w:r>
                    <w:rPr>
                      <w:rFonts w:ascii="Times New Roman" w:hAnsi="Times New Roman"/>
                      <w:b/>
                      <w:bCs/>
                      <w:szCs w:val="21"/>
                    </w:rPr>
                    <w:t>342.62</w:t>
                  </w:r>
                </w:p>
              </w:tc>
              <w:tc>
                <w:tcPr>
                  <w:tcW w:w="921" w:type="dxa"/>
                  <w:noWrap w:val="0"/>
                  <w:vAlign w:val="center"/>
                </w:tcPr>
                <w:p>
                  <w:pPr>
                    <w:spacing w:line="220" w:lineRule="exact"/>
                    <w:jc w:val="center"/>
                    <w:rPr>
                      <w:rFonts w:ascii="Times New Roman" w:hAnsi="Times New Roman"/>
                      <w:b/>
                      <w:bCs/>
                      <w:szCs w:val="21"/>
                    </w:rPr>
                  </w:pPr>
                  <w:r>
                    <w:rPr>
                      <w:rFonts w:ascii="Times New Roman" w:hAnsi="Times New Roman"/>
                      <w:b/>
                      <w:bCs/>
                      <w:szCs w:val="21"/>
                    </w:rPr>
                    <w:t>375.09</w:t>
                  </w:r>
                </w:p>
              </w:tc>
            </w:tr>
          </w:tbl>
          <w:p>
            <w:pPr>
              <w:pStyle w:val="138"/>
              <w:ind w:firstLine="482"/>
              <w:rPr>
                <w:b/>
                <w:color w:val="000000"/>
              </w:rPr>
            </w:pPr>
            <w:r>
              <w:rPr>
                <w:rFonts w:hint="eastAsia"/>
                <w:b/>
                <w:color w:val="000000"/>
              </w:rPr>
              <w:t>（</w:t>
            </w:r>
            <w:r>
              <w:rPr>
                <w:b/>
                <w:color w:val="000000"/>
              </w:rPr>
              <w:t>3</w:t>
            </w:r>
            <w:r>
              <w:rPr>
                <w:rFonts w:hint="eastAsia"/>
                <w:b/>
                <w:color w:val="000000"/>
              </w:rPr>
              <w:t>）水土流失预测综合结论</w:t>
            </w:r>
          </w:p>
          <w:p>
            <w:pPr>
              <w:widowControl/>
              <w:spacing w:line="360" w:lineRule="auto"/>
              <w:ind w:firstLine="480" w:firstLineChars="200"/>
              <w:jc w:val="left"/>
              <w:rPr>
                <w:snapToGrid w:val="0"/>
                <w:kern w:val="0"/>
              </w:rPr>
            </w:pPr>
            <w:r>
              <w:rPr>
                <w:rFonts w:hint="eastAsia" w:ascii="Times New Roman" w:hAnsi="Times New Roman" w:cs="宋体"/>
                <w:snapToGrid w:val="0"/>
                <w:kern w:val="0"/>
                <w:sz w:val="24"/>
                <w:lang w:eastAsia="zh-CN" w:bidi="ar"/>
              </w:rPr>
              <w:t>乐山市市中区引水工程建设项目（二期工程）—高中水库灌区2023-2025年续建配套与节水改造项目</w:t>
            </w:r>
            <w:r>
              <w:rPr>
                <w:rFonts w:hint="eastAsia" w:ascii="Times New Roman" w:hAnsi="Times New Roman" w:cs="宋体"/>
                <w:snapToGrid w:val="0"/>
                <w:kern w:val="0"/>
                <w:sz w:val="24"/>
                <w:lang w:bidi="ar"/>
              </w:rPr>
              <w:t>的水土流失影响主要表现在扰动原地表面积10.41hm</w:t>
            </w:r>
            <w:r>
              <w:rPr>
                <w:rFonts w:hint="eastAsia" w:ascii="Times New Roman" w:hAnsi="Times New Roman" w:cs="宋体"/>
                <w:snapToGrid w:val="0"/>
                <w:kern w:val="0"/>
                <w:sz w:val="24"/>
                <w:vertAlign w:val="superscript"/>
                <w:lang w:bidi="ar"/>
              </w:rPr>
              <w:t>2</w:t>
            </w:r>
            <w:r>
              <w:rPr>
                <w:rFonts w:hint="eastAsia" w:ascii="Times New Roman" w:hAnsi="Times New Roman" w:cs="宋体"/>
                <w:snapToGrid w:val="0"/>
                <w:kern w:val="0"/>
                <w:sz w:val="24"/>
                <w:lang w:bidi="ar"/>
              </w:rPr>
              <w:t>。</w:t>
            </w:r>
          </w:p>
          <w:p>
            <w:pPr>
              <w:widowControl/>
              <w:spacing w:line="360" w:lineRule="auto"/>
              <w:ind w:firstLine="480" w:firstLineChars="200"/>
              <w:jc w:val="left"/>
            </w:pPr>
            <w:r>
              <w:rPr>
                <w:rFonts w:hint="eastAsia" w:ascii="Times New Roman" w:hAnsi="Times New Roman"/>
                <w:snapToGrid w:val="0"/>
                <w:sz w:val="24"/>
                <w:lang w:bidi="ar"/>
              </w:rPr>
              <w:t>工程破坏区主要是旱地、林地，根据类比调查，不同工区其土壤加速侵蚀系数可达原地貌的</w:t>
            </w:r>
            <w:r>
              <w:rPr>
                <w:rFonts w:ascii="Times New Roman" w:hAnsi="Times New Roman"/>
                <w:snapToGrid w:val="0"/>
                <w:sz w:val="24"/>
                <w:lang w:bidi="ar"/>
              </w:rPr>
              <w:t>7</w:t>
            </w:r>
            <w:r>
              <w:rPr>
                <w:rFonts w:hint="eastAsia" w:ascii="Times New Roman" w:hAnsi="Times New Roman"/>
                <w:snapToGrid w:val="0"/>
                <w:sz w:val="24"/>
                <w:lang w:bidi="ar"/>
              </w:rPr>
              <w:t>~</w:t>
            </w:r>
            <w:r>
              <w:rPr>
                <w:rFonts w:ascii="Times New Roman" w:hAnsi="Times New Roman"/>
                <w:snapToGrid w:val="0"/>
                <w:sz w:val="24"/>
                <w:lang w:bidi="ar"/>
              </w:rPr>
              <w:t>15</w:t>
            </w:r>
            <w:r>
              <w:rPr>
                <w:rFonts w:hint="eastAsia" w:ascii="Times New Roman" w:hAnsi="Times New Roman"/>
                <w:snapToGrid w:val="0"/>
                <w:sz w:val="24"/>
                <w:lang w:bidi="ar"/>
              </w:rPr>
              <w:t>倍。按原土壤侵蚀模数1750</w:t>
            </w:r>
            <w:r>
              <w:rPr>
                <w:rFonts w:ascii="Times New Roman" w:hAnsi="Times New Roman"/>
                <w:snapToGrid w:val="0"/>
                <w:sz w:val="24"/>
                <w:lang w:bidi="ar"/>
              </w:rPr>
              <w:t>t/km</w:t>
            </w:r>
            <w:r>
              <w:rPr>
                <w:rFonts w:ascii="Times New Roman" w:hAnsi="Times New Roman"/>
                <w:snapToGrid w:val="0"/>
                <w:sz w:val="24"/>
                <w:vertAlign w:val="superscript"/>
                <w:lang w:bidi="ar"/>
              </w:rPr>
              <w:t>2</w:t>
            </w:r>
            <w:r>
              <w:rPr>
                <w:rFonts w:hint="eastAsia" w:ascii="Times New Roman" w:hAnsi="Times New Roman"/>
                <w:snapToGrid w:val="0"/>
                <w:sz w:val="24"/>
                <w:lang w:bidi="ar"/>
              </w:rPr>
              <w:t>·</w:t>
            </w:r>
            <w:r>
              <w:rPr>
                <w:rFonts w:ascii="Times New Roman" w:hAnsi="Times New Roman"/>
                <w:snapToGrid w:val="0"/>
                <w:sz w:val="24"/>
                <w:lang w:bidi="ar"/>
              </w:rPr>
              <w:t>a</w:t>
            </w:r>
            <w:r>
              <w:rPr>
                <w:rFonts w:hint="eastAsia" w:ascii="Times New Roman" w:hAnsi="Times New Roman"/>
                <w:snapToGrid w:val="0"/>
                <w:sz w:val="24"/>
                <w:lang w:bidi="ar"/>
              </w:rPr>
              <w:t>为基数计算，水土流失总量为717.71t，新增水土流失总量为375.09t。</w:t>
            </w:r>
          </w:p>
          <w:p>
            <w:pPr>
              <w:wordWrap w:val="0"/>
              <w:adjustRightInd w:val="0"/>
              <w:snapToGrid w:val="0"/>
              <w:spacing w:line="360" w:lineRule="auto"/>
              <w:ind w:firstLine="482" w:firstLineChars="200"/>
              <w:jc w:val="left"/>
              <w:rPr>
                <w:b/>
                <w:color w:val="000000"/>
                <w:sz w:val="24"/>
              </w:rPr>
            </w:pPr>
            <w:r>
              <w:rPr>
                <w:rFonts w:hint="eastAsia"/>
                <w:b/>
                <w:color w:val="000000"/>
                <w:sz w:val="24"/>
              </w:rPr>
              <w:t>（</w:t>
            </w:r>
            <w:r>
              <w:rPr>
                <w:b/>
                <w:color w:val="000000"/>
                <w:sz w:val="24"/>
              </w:rPr>
              <w:t>4</w:t>
            </w:r>
            <w:r>
              <w:rPr>
                <w:rFonts w:hint="eastAsia"/>
                <w:b/>
                <w:color w:val="000000"/>
                <w:sz w:val="24"/>
              </w:rPr>
              <w:t>）水土流失影响分析</w:t>
            </w:r>
          </w:p>
          <w:p>
            <w:pPr>
              <w:wordWrap w:val="0"/>
              <w:adjustRightInd w:val="0"/>
              <w:snapToGrid w:val="0"/>
              <w:spacing w:line="360" w:lineRule="auto"/>
              <w:ind w:firstLine="480" w:firstLineChars="200"/>
              <w:jc w:val="left"/>
              <w:rPr>
                <w:color w:val="000000"/>
                <w:kern w:val="0"/>
                <w:sz w:val="24"/>
              </w:rPr>
            </w:pPr>
            <w:r>
              <w:rPr>
                <w:rFonts w:hint="eastAsia"/>
                <w:color w:val="000000"/>
                <w:kern w:val="0"/>
                <w:sz w:val="24"/>
              </w:rPr>
              <w:t>本工程土石方开挖量大，而所处地区降雨量较大且集中，在降水及人为活动影响情况下，工程建设易造面蚀、沟蚀等水土流失形式。如不加以有效防治，工程建设或对工程所在区域和工程本身将造成较大危害，主要体现在以下几方面：</w:t>
            </w:r>
          </w:p>
          <w:p>
            <w:pPr>
              <w:wordWrap w:val="0"/>
              <w:adjustRightInd w:val="0"/>
              <w:snapToGrid w:val="0"/>
              <w:spacing w:line="360" w:lineRule="auto"/>
              <w:ind w:firstLine="480" w:firstLineChars="200"/>
              <w:jc w:val="left"/>
              <w:rPr>
                <w:color w:val="000000"/>
                <w:sz w:val="24"/>
              </w:rPr>
            </w:pPr>
            <w:r>
              <w:rPr>
                <w:rFonts w:hint="eastAsia"/>
                <w:color w:val="000000"/>
                <w:sz w:val="24"/>
              </w:rPr>
              <w:t>1）对土地资源的破坏</w:t>
            </w:r>
          </w:p>
          <w:p>
            <w:pPr>
              <w:wordWrap w:val="0"/>
              <w:adjustRightInd w:val="0"/>
              <w:snapToGrid w:val="0"/>
              <w:spacing w:line="360" w:lineRule="auto"/>
              <w:ind w:firstLine="480" w:firstLineChars="200"/>
              <w:jc w:val="left"/>
              <w:rPr>
                <w:color w:val="000000"/>
                <w:sz w:val="24"/>
              </w:rPr>
            </w:pPr>
            <w:r>
              <w:rPr>
                <w:rFonts w:hint="eastAsia"/>
                <w:color w:val="000000"/>
                <w:sz w:val="24"/>
              </w:rPr>
              <w:t>工程建设将扰动和破坏地表，使原地表土层剥离形成裸露地表或高陡边坡，失去原有植被的防冲固土能力，若不采取水土保持措施对其进行防护，剥离表层耕作工或腐殖质层将被剥离、冲蚀殆尽，使土壤中的养分降低，造成区域植被生长立地条件变差，对以后的迹地恢复不利。</w:t>
            </w:r>
          </w:p>
          <w:p>
            <w:pPr>
              <w:wordWrap w:val="0"/>
              <w:adjustRightInd w:val="0"/>
              <w:snapToGrid w:val="0"/>
              <w:spacing w:line="360" w:lineRule="auto"/>
              <w:ind w:firstLine="480" w:firstLineChars="200"/>
              <w:jc w:val="left"/>
              <w:rPr>
                <w:color w:val="000000"/>
                <w:sz w:val="24"/>
              </w:rPr>
            </w:pPr>
            <w:r>
              <w:rPr>
                <w:rFonts w:hint="eastAsia"/>
                <w:color w:val="000000"/>
                <w:sz w:val="24"/>
              </w:rPr>
              <w:t>2）对生态环境的影响</w:t>
            </w:r>
            <w:r>
              <w:rPr>
                <w:color w:val="000000"/>
                <w:sz w:val="24"/>
              </w:rPr>
              <w:t> </w:t>
            </w:r>
          </w:p>
          <w:p>
            <w:pPr>
              <w:wordWrap w:val="0"/>
              <w:adjustRightInd w:val="0"/>
              <w:snapToGrid w:val="0"/>
              <w:spacing w:line="360" w:lineRule="auto"/>
              <w:ind w:firstLine="480" w:firstLineChars="200"/>
              <w:jc w:val="left"/>
              <w:rPr>
                <w:color w:val="000000"/>
                <w:sz w:val="24"/>
              </w:rPr>
            </w:pPr>
            <w:r>
              <w:rPr>
                <w:rFonts w:hint="eastAsia"/>
                <w:color w:val="000000"/>
                <w:sz w:val="24"/>
              </w:rPr>
              <w:t>由于工程建设破坏区域内原有的地表及植被，加剧了水土流失，对当地环境造成影响。</w:t>
            </w:r>
          </w:p>
          <w:p>
            <w:pPr>
              <w:wordWrap w:val="0"/>
              <w:adjustRightInd w:val="0"/>
              <w:snapToGrid w:val="0"/>
              <w:spacing w:line="360" w:lineRule="auto"/>
              <w:ind w:firstLine="480" w:firstLineChars="200"/>
              <w:jc w:val="left"/>
              <w:rPr>
                <w:color w:val="000000"/>
                <w:sz w:val="24"/>
              </w:rPr>
            </w:pPr>
            <w:r>
              <w:rPr>
                <w:rFonts w:hint="eastAsia"/>
                <w:color w:val="000000"/>
                <w:sz w:val="24"/>
              </w:rPr>
              <w:t>3）对工程施工和安全的影响</w:t>
            </w:r>
          </w:p>
          <w:p>
            <w:pPr>
              <w:wordWrap w:val="0"/>
              <w:adjustRightInd w:val="0"/>
              <w:snapToGrid w:val="0"/>
              <w:spacing w:line="360" w:lineRule="auto"/>
              <w:ind w:firstLine="480" w:firstLineChars="200"/>
              <w:jc w:val="left"/>
              <w:rPr>
                <w:rFonts w:hint="eastAsia"/>
                <w:color w:val="000000"/>
                <w:sz w:val="24"/>
              </w:rPr>
            </w:pPr>
            <w:r>
              <w:rPr>
                <w:rFonts w:hint="eastAsia"/>
                <w:color w:val="000000"/>
                <w:sz w:val="24"/>
              </w:rPr>
              <w:t>开挖形成的边坡，如不采取措施加以防护，将可能造成局部垮塌等流失现象，危及工程安全，影响工程正常施工。</w:t>
            </w:r>
          </w:p>
          <w:p>
            <w:pPr>
              <w:wordWrap w:val="0"/>
              <w:adjustRightInd w:val="0"/>
              <w:snapToGrid w:val="0"/>
              <w:spacing w:line="360" w:lineRule="auto"/>
              <w:jc w:val="left"/>
              <w:rPr>
                <w:rFonts w:hint="eastAsia"/>
                <w:b/>
                <w:bCs/>
                <w:color w:val="000000"/>
                <w:sz w:val="28"/>
                <w:szCs w:val="28"/>
              </w:rPr>
            </w:pPr>
            <w:r>
              <w:rPr>
                <w:rFonts w:hint="eastAsia"/>
                <w:b/>
                <w:bCs/>
                <w:color w:val="000000"/>
                <w:sz w:val="28"/>
                <w:szCs w:val="28"/>
              </w:rPr>
              <w:t>7、小结</w:t>
            </w:r>
          </w:p>
          <w:p>
            <w:pPr>
              <w:wordWrap w:val="0"/>
              <w:adjustRightInd w:val="0"/>
              <w:snapToGrid w:val="0"/>
              <w:spacing w:line="360" w:lineRule="auto"/>
              <w:ind w:firstLine="480" w:firstLineChars="200"/>
              <w:jc w:val="left"/>
              <w:rPr>
                <w:rFonts w:hint="eastAsia"/>
                <w:color w:val="000000"/>
                <w:sz w:val="24"/>
              </w:rPr>
            </w:pPr>
            <w:r>
              <w:rPr>
                <w:rFonts w:hint="eastAsia"/>
                <w:color w:val="000000"/>
                <w:sz w:val="24"/>
              </w:rPr>
              <w:t>本项目施工期对环境最主要的影响因素是生态影响、施工噪声、施工废水和施工扬尘，采取有效的防治措施后，对环境的影响较小。施工期对环境的影响是短期的、暂时的，施工结束，对环境的影响随之消失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79" w:type="dxa"/>
            <w:noWrap w:val="0"/>
            <w:tcMar>
              <w:left w:w="28" w:type="dxa"/>
              <w:right w:w="28" w:type="dxa"/>
            </w:tcMar>
            <w:vAlign w:val="center"/>
          </w:tcPr>
          <w:p>
            <w:pPr>
              <w:pStyle w:val="34"/>
              <w:adjustRightInd w:val="0"/>
              <w:snapToGrid w:val="0"/>
              <w:spacing w:before="0" w:beforeAutospacing="0" w:after="0" w:afterAutospacing="0"/>
              <w:jc w:val="center"/>
              <w:rPr>
                <w:rFonts w:cs="宋体"/>
                <w:bCs/>
                <w:color w:val="000000"/>
                <w:kern w:val="2"/>
                <w:szCs w:val="24"/>
              </w:rPr>
            </w:pPr>
            <w:r>
              <w:rPr>
                <w:rFonts w:hint="eastAsia" w:cs="宋体"/>
                <w:bCs/>
                <w:color w:val="000000"/>
                <w:spacing w:val="10"/>
                <w:kern w:val="2"/>
                <w:szCs w:val="24"/>
              </w:rPr>
              <w:t>运营期生态环境影响分析</w:t>
            </w:r>
          </w:p>
        </w:tc>
        <w:tc>
          <w:tcPr>
            <w:tcW w:w="8363" w:type="dxa"/>
            <w:noWrap w:val="0"/>
            <w:vAlign w:val="center"/>
          </w:tcPr>
          <w:p>
            <w:pPr>
              <w:pStyle w:val="138"/>
              <w:rPr>
                <w:rFonts w:hint="eastAsia"/>
                <w:color w:val="000000"/>
              </w:rPr>
            </w:pPr>
            <w:r>
              <w:rPr>
                <w:rFonts w:hint="eastAsia"/>
                <w:color w:val="000000"/>
              </w:rPr>
              <w:t>本项目属于生态建类项目，工程建成后对保障用水供水质量及水量、保证区域农田灌溉、提高农民生活环境质量具有环境正效益，不会产生污染物。</w:t>
            </w:r>
          </w:p>
          <w:p>
            <w:pPr>
              <w:pStyle w:val="138"/>
              <w:ind w:firstLine="482"/>
              <w:rPr>
                <w:rFonts w:hint="eastAsia"/>
                <w:b/>
                <w:bCs/>
                <w:color w:val="000000"/>
              </w:rPr>
            </w:pPr>
            <w:r>
              <w:rPr>
                <w:rFonts w:hint="eastAsia"/>
                <w:b/>
                <w:bCs/>
                <w:color w:val="000000"/>
              </w:rPr>
              <w:t>1、水环境影响分析</w:t>
            </w:r>
          </w:p>
          <w:p>
            <w:pPr>
              <w:pStyle w:val="138"/>
              <w:ind w:left="547" w:leftChars="228" w:firstLine="0" w:firstLineChars="0"/>
              <w:rPr>
                <w:rFonts w:hint="eastAsia"/>
                <w:b w:val="0"/>
                <w:bCs w:val="0"/>
                <w:color w:val="000000"/>
              </w:rPr>
            </w:pPr>
            <w:r>
              <w:rPr>
                <w:rFonts w:hint="eastAsia"/>
                <w:b w:val="0"/>
                <w:bCs w:val="0"/>
                <w:color w:val="000000"/>
              </w:rPr>
              <w:t>见地表水专项评价。根据专项评价结论，本项目建设对地表水影响可接受。</w:t>
            </w:r>
          </w:p>
          <w:p>
            <w:pPr>
              <w:pStyle w:val="138"/>
              <w:ind w:left="547" w:leftChars="228" w:firstLine="0" w:firstLineChars="0"/>
              <w:rPr>
                <w:rFonts w:hint="eastAsia"/>
                <w:b/>
                <w:bCs/>
                <w:color w:val="000000"/>
              </w:rPr>
            </w:pPr>
            <w:r>
              <w:rPr>
                <w:rFonts w:hint="eastAsia"/>
                <w:b/>
                <w:bCs/>
                <w:color w:val="000000"/>
              </w:rPr>
              <w:t>2、大气环境影响分析</w:t>
            </w:r>
          </w:p>
          <w:p>
            <w:pPr>
              <w:pStyle w:val="138"/>
              <w:rPr>
                <w:color w:val="000000"/>
              </w:rPr>
            </w:pPr>
            <w:r>
              <w:rPr>
                <w:rFonts w:hint="eastAsia"/>
                <w:color w:val="000000"/>
              </w:rPr>
              <w:t>本项目运营期不产生大气污染物。</w:t>
            </w:r>
          </w:p>
          <w:p>
            <w:pPr>
              <w:pStyle w:val="138"/>
              <w:ind w:firstLine="482"/>
              <w:rPr>
                <w:rFonts w:hint="eastAsia"/>
                <w:b/>
                <w:bCs/>
                <w:color w:val="000000"/>
              </w:rPr>
            </w:pPr>
            <w:r>
              <w:rPr>
                <w:rFonts w:hint="eastAsia"/>
                <w:b/>
                <w:bCs/>
                <w:color w:val="000000"/>
              </w:rPr>
              <w:t>3、声环境影响分析</w:t>
            </w:r>
          </w:p>
          <w:p>
            <w:pPr>
              <w:pStyle w:val="138"/>
              <w:rPr>
                <w:rFonts w:hint="eastAsia"/>
                <w:color w:val="000000"/>
              </w:rPr>
            </w:pPr>
            <w:r>
              <w:rPr>
                <w:rFonts w:hint="eastAsia"/>
                <w:color w:val="000000"/>
              </w:rPr>
              <w:t>本项目运营期不产生噪声。</w:t>
            </w:r>
          </w:p>
          <w:p>
            <w:pPr>
              <w:pStyle w:val="138"/>
              <w:ind w:firstLine="482"/>
              <w:rPr>
                <w:rFonts w:hint="eastAsia"/>
                <w:b/>
                <w:bCs/>
                <w:color w:val="000000"/>
              </w:rPr>
            </w:pPr>
            <w:r>
              <w:rPr>
                <w:rFonts w:hint="eastAsia"/>
                <w:b/>
                <w:bCs/>
                <w:color w:val="000000"/>
              </w:rPr>
              <w:t>4、固体废弃物环境影响分析</w:t>
            </w:r>
          </w:p>
          <w:p>
            <w:pPr>
              <w:pStyle w:val="138"/>
              <w:rPr>
                <w:rFonts w:hint="eastAsia"/>
                <w:color w:val="000000"/>
              </w:rPr>
            </w:pPr>
            <w:r>
              <w:rPr>
                <w:rFonts w:hint="eastAsia"/>
                <w:color w:val="000000"/>
              </w:rPr>
              <w:t>本项目不新增工作人员，不产生生活垃圾。</w:t>
            </w:r>
          </w:p>
          <w:p>
            <w:pPr>
              <w:pStyle w:val="138"/>
              <w:ind w:firstLine="482"/>
              <w:rPr>
                <w:rFonts w:hint="eastAsia"/>
                <w:b/>
                <w:bCs/>
                <w:color w:val="000000"/>
              </w:rPr>
            </w:pPr>
            <w:r>
              <w:rPr>
                <w:rFonts w:hint="eastAsia"/>
                <w:b/>
                <w:bCs/>
                <w:color w:val="000000"/>
              </w:rPr>
              <w:t>5、生态环境影响分析</w:t>
            </w:r>
          </w:p>
          <w:p>
            <w:pPr>
              <w:pStyle w:val="223"/>
              <w:bidi w:val="0"/>
            </w:pPr>
            <w:r>
              <w:rPr>
                <w:rFonts w:hint="eastAsia"/>
              </w:rPr>
              <w:t>本工程运营期间，不再进行新的施工活动，原有施工场地通过地面硬化、厂区绿化、迹地恢复等措施处理后，水土保持机制重新建立，被施工破坏的植被得到有效的恢复、补偿，从而使项目建设占地范围的生态环境得到明显好转。因此，本项目运营期对评价范围内的陆域生态环境不再产生新的影响。</w:t>
            </w:r>
          </w:p>
          <w:p>
            <w:pPr>
              <w:pStyle w:val="138"/>
              <w:ind w:firstLine="482"/>
              <w:rPr>
                <w:rFonts w:hint="eastAsia"/>
                <w:b/>
                <w:bCs/>
                <w:color w:val="000000"/>
              </w:rPr>
            </w:pPr>
            <w:r>
              <w:rPr>
                <w:rFonts w:hint="eastAsia"/>
                <w:b/>
                <w:bCs/>
                <w:color w:val="000000"/>
              </w:rPr>
              <w:t>6、地下水、土壤环境影响分析</w:t>
            </w:r>
          </w:p>
          <w:p>
            <w:pPr>
              <w:pStyle w:val="223"/>
              <w:bidi w:val="0"/>
              <w:rPr>
                <w:rFonts w:hint="eastAsia"/>
                <w:color w:val="000000"/>
              </w:rPr>
            </w:pPr>
            <w:r>
              <w:rPr>
                <w:rFonts w:hint="eastAsia"/>
                <w:color w:val="000000"/>
              </w:rPr>
              <w:t>本项目属于渠道新建和整治工程，根据《环境影响评价技术导则 土壤环境（试行）》（HJ964-2018）附录A，属于</w:t>
            </w:r>
            <w:r>
              <w:rPr>
                <w:rFonts w:ascii="Times New Roman" w:hAnsi="Times New Roman"/>
                <w:bCs/>
                <w:color w:val="000000"/>
              </w:rPr>
              <w:t>“</w:t>
            </w:r>
            <w:r>
              <w:rPr>
                <w:rFonts w:hint="eastAsia" w:ascii="Times New Roman" w:hAnsi="Times New Roman"/>
                <w:bCs/>
                <w:color w:val="000000"/>
              </w:rPr>
              <w:t>农林牧渔业-其他</w:t>
            </w:r>
            <w:r>
              <w:rPr>
                <w:rFonts w:ascii="Times New Roman" w:hAnsi="Times New Roman"/>
                <w:bCs/>
                <w:color w:val="000000"/>
              </w:rPr>
              <w:t>”，列入Ⅳ类项目。</w:t>
            </w:r>
            <w:r>
              <w:rPr>
                <w:rFonts w:hint="eastAsia"/>
                <w:color w:val="000000"/>
              </w:rPr>
              <w:t>根据《环境影响评价技术导则 土壤环境（试行）》（HJ964-2018）表1 中生态影响型敏感程度分级表，本项目土壤敏感程度为“不敏感”，可不开展土壤环境质量现状监测和土壤环境影响评价。</w:t>
            </w:r>
          </w:p>
          <w:p>
            <w:pPr>
              <w:pStyle w:val="223"/>
              <w:bidi w:val="0"/>
              <w:rPr>
                <w:rFonts w:hint="eastAsia"/>
              </w:rPr>
            </w:pPr>
            <w:r>
              <w:rPr>
                <w:rFonts w:hint="eastAsia"/>
              </w:rPr>
              <w:t>本项目属于渠道新建和整治工程，根据《环境影响评价技术导则地下水环境》（HJ610-2016），项目属于“A水利-2、灌区工程-其他和3、引水工程-其他”，因此本项目地下水环境影响评价项目类别为Ⅳ类，可不开展地下水环境影响评价工作。本项目不开展地下水环境质量现状监测和地下水环境影响评价。</w:t>
            </w:r>
          </w:p>
          <w:p>
            <w:pPr>
              <w:pStyle w:val="223"/>
              <w:bidi w:val="0"/>
              <w:rPr>
                <w:rFonts w:hint="eastAsia"/>
                <w:b/>
                <w:bCs/>
              </w:rPr>
            </w:pPr>
            <w:r>
              <w:rPr>
                <w:rFonts w:hint="eastAsia"/>
                <w:b/>
                <w:bCs/>
              </w:rPr>
              <w:t>7、环境风险</w:t>
            </w:r>
          </w:p>
          <w:p>
            <w:pPr>
              <w:pStyle w:val="223"/>
              <w:bidi w:val="0"/>
            </w:pPr>
            <w:r>
              <w:rPr>
                <w:rFonts w:hint="eastAsia"/>
                <w:bCs/>
                <w:snapToGrid w:val="0"/>
                <w:color w:val="000000"/>
                <w:kern w:val="0"/>
              </w:rPr>
              <w:t>根据环境影响分析可</w:t>
            </w:r>
            <w:r>
              <w:rPr>
                <w:rFonts w:hint="eastAsia"/>
              </w:rPr>
              <w:t>知，项目施工期的环境风险主要来源于施工机械的事故泄露造成污染外环境。为防止油类物质事故泄露入河，评价要求建设单位应采取</w:t>
            </w:r>
            <w:r>
              <w:t>以下风险防范措施：</w:t>
            </w:r>
          </w:p>
          <w:p>
            <w:pPr>
              <w:pStyle w:val="223"/>
              <w:bidi w:val="0"/>
            </w:pPr>
            <w:r>
              <w:t>（1）所有机械维修及加油服务均不在施工区域进行，全部委外在修理站及加油站进行；</w:t>
            </w:r>
          </w:p>
          <w:p>
            <w:pPr>
              <w:pStyle w:val="223"/>
              <w:bidi w:val="0"/>
            </w:pPr>
            <w:r>
              <w:t>（2）按操作规程施工，禁止野蛮施工；</w:t>
            </w:r>
          </w:p>
          <w:p>
            <w:pPr>
              <w:pStyle w:val="223"/>
              <w:bidi w:val="0"/>
            </w:pPr>
            <w:r>
              <w:t>（3）加强机械车辆维护保养，确保能够正常使用；</w:t>
            </w:r>
          </w:p>
          <w:p>
            <w:pPr>
              <w:pStyle w:val="223"/>
              <w:bidi w:val="0"/>
            </w:pPr>
            <w:r>
              <w:t>（4）一旦发生泄露事故，应立即停止施工，并采取相应应急措施，减缓对外环境的影响。</w:t>
            </w:r>
          </w:p>
          <w:p>
            <w:pPr>
              <w:pStyle w:val="138"/>
              <w:ind w:firstLine="482"/>
              <w:rPr>
                <w:rFonts w:hint="eastAsia" w:ascii="宋体" w:hAnsi="宋体" w:cs="宋体"/>
                <w:bCs/>
                <w:color w:val="000000"/>
              </w:rPr>
            </w:pPr>
            <w:r>
              <w:rPr>
                <w:rFonts w:hint="eastAsia"/>
                <w:b/>
                <w:bCs/>
                <w:color w:val="000000"/>
              </w:rPr>
              <w:t>综上，经采取上述风险防范措施，本项目施工期环境风险可降到最低程度。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noWrap w:val="0"/>
            <w:vAlign w:val="center"/>
          </w:tcPr>
          <w:p>
            <w:pPr>
              <w:pStyle w:val="34"/>
              <w:adjustRightInd w:val="0"/>
              <w:snapToGrid w:val="0"/>
              <w:spacing w:before="0" w:beforeAutospacing="0" w:after="0" w:afterAutospacing="0"/>
              <w:jc w:val="center"/>
              <w:rPr>
                <w:rFonts w:cs="宋体"/>
                <w:bCs/>
                <w:color w:val="000000"/>
                <w:kern w:val="2"/>
                <w:szCs w:val="24"/>
              </w:rPr>
            </w:pPr>
            <w:r>
              <w:rPr>
                <w:rFonts w:hint="eastAsia" w:cs="宋体"/>
                <w:bCs/>
                <w:color w:val="000000"/>
                <w:kern w:val="2"/>
                <w:szCs w:val="24"/>
              </w:rPr>
              <w:t>选址选线环境合理性分析</w:t>
            </w:r>
          </w:p>
        </w:tc>
        <w:tc>
          <w:tcPr>
            <w:tcW w:w="8363" w:type="dxa"/>
            <w:noWrap w:val="0"/>
            <w:vAlign w:val="top"/>
          </w:tcPr>
          <w:p>
            <w:pPr>
              <w:pStyle w:val="138"/>
              <w:rPr>
                <w:rFonts w:ascii="Times New Roman" w:hAnsi="Times New Roman"/>
                <w:bCs/>
                <w:color w:val="000000"/>
              </w:rPr>
            </w:pPr>
            <w:r>
              <w:rPr>
                <w:rFonts w:ascii="Times New Roman" w:hAnsi="Times New Roman"/>
                <w:bCs/>
                <w:color w:val="000000"/>
              </w:rPr>
              <w:t>1、渠道改造选址合理性分析</w:t>
            </w:r>
          </w:p>
          <w:p>
            <w:pPr>
              <w:pStyle w:val="138"/>
              <w:rPr>
                <w:rFonts w:hint="eastAsia" w:ascii="Times New Roman" w:hAnsi="Times New Roman"/>
                <w:bCs/>
                <w:color w:val="000000"/>
              </w:rPr>
            </w:pPr>
            <w:r>
              <w:rPr>
                <w:rFonts w:ascii="Times New Roman" w:hAnsi="Times New Roman"/>
                <w:bCs/>
                <w:color w:val="000000"/>
              </w:rPr>
              <w:t>本项目为高中水库灌区续建配套和节水改造项目，右干渠整治（1.803km）和渠系建筑物整治是在原址上进行，不涉及新的选址</w:t>
            </w:r>
            <w:r>
              <w:rPr>
                <w:rFonts w:hint="eastAsia" w:ascii="Times New Roman" w:hAnsi="Times New Roman"/>
                <w:bCs/>
                <w:color w:val="000000"/>
              </w:rPr>
              <w:t>；</w:t>
            </w:r>
            <w:r>
              <w:rPr>
                <w:rFonts w:ascii="Times New Roman" w:hAnsi="Times New Roman"/>
                <w:bCs/>
                <w:color w:val="000000"/>
              </w:rPr>
              <w:t>青白渠为新建渠道，采用地埋式管道敷设，</w:t>
            </w:r>
            <w:r>
              <w:rPr>
                <w:rFonts w:hint="eastAsia" w:ascii="Times New Roman" w:hAnsi="Times New Roman"/>
                <w:bCs/>
                <w:color w:val="000000"/>
              </w:rPr>
              <w:t>总长12.8km，项目为新建，项目选址不涉及国家公园、自然保护区、风景名胜区、世界文化和自然遗产地、饮用水水源保护区等环境敏感区，因此工程选址无重大环境制约因素。</w:t>
            </w:r>
          </w:p>
          <w:p>
            <w:pPr>
              <w:pStyle w:val="223"/>
              <w:bidi w:val="0"/>
              <w:rPr>
                <w:rFonts w:ascii="Times New Roman" w:hAnsi="Times New Roman"/>
                <w:bCs/>
                <w:color w:val="000000"/>
              </w:rPr>
            </w:pPr>
            <w:r>
              <w:rPr>
                <w:rFonts w:ascii="Times New Roman" w:hAnsi="Times New Roman"/>
                <w:bCs/>
                <w:color w:val="000000"/>
              </w:rPr>
              <w:t>实施本次中型灌区续建配套及节水改造项目，将恢复灌面0.5388万亩，改善灌面0.224万亩,年节水量248万m</w:t>
            </w:r>
            <w:r>
              <w:rPr>
                <w:rFonts w:ascii="Times New Roman" w:hAnsi="Times New Roman"/>
                <w:bCs/>
                <w:color w:val="000000"/>
                <w:vertAlign w:val="superscript"/>
              </w:rPr>
              <w:t>3</w:t>
            </w:r>
            <w:r>
              <w:rPr>
                <w:rFonts w:ascii="Times New Roman" w:hAnsi="Times New Roman"/>
                <w:bCs/>
                <w:color w:val="000000"/>
              </w:rPr>
              <w:t>，渠系水利用系数提高至0.660，粮食增产457万kg，经济作物增产438万kg。同时本次续建配套与节水改造项目充分考虑了灌区渠系建设与项目区乡村环境相协调，维持灌区自然生态功能，实现灌区生态良好，对加强农业面源污染防治，开展农业绿色发展行动等方面起到积极的作用。。此外，项目通过施工工区邻居民一侧设置围挡、控制施工噪声等措施后，项目施工对周围环境影响较小。</w:t>
            </w:r>
          </w:p>
          <w:p>
            <w:pPr>
              <w:pStyle w:val="138"/>
              <w:rPr>
                <w:rFonts w:ascii="Times New Roman" w:hAnsi="Times New Roman"/>
                <w:bCs/>
                <w:color w:val="000000"/>
              </w:rPr>
            </w:pPr>
            <w:r>
              <w:rPr>
                <w:rFonts w:ascii="Times New Roman" w:hAnsi="Times New Roman"/>
                <w:bCs/>
                <w:color w:val="000000"/>
              </w:rPr>
              <w:t>因此，本项目渠道</w:t>
            </w:r>
            <w:r>
              <w:rPr>
                <w:rFonts w:hint="eastAsia" w:ascii="Times New Roman" w:hAnsi="Times New Roman"/>
                <w:bCs/>
                <w:color w:val="000000"/>
              </w:rPr>
              <w:t>新建和整治</w:t>
            </w:r>
            <w:r>
              <w:rPr>
                <w:rFonts w:ascii="Times New Roman" w:hAnsi="Times New Roman"/>
                <w:bCs/>
                <w:color w:val="000000"/>
              </w:rPr>
              <w:t>选址合理。</w:t>
            </w:r>
          </w:p>
          <w:p>
            <w:pPr>
              <w:pStyle w:val="138"/>
              <w:rPr>
                <w:rFonts w:ascii="Times New Roman" w:hAnsi="Times New Roman"/>
                <w:bCs/>
                <w:color w:val="000000"/>
              </w:rPr>
            </w:pPr>
            <w:r>
              <w:rPr>
                <w:rFonts w:ascii="Times New Roman" w:hAnsi="Times New Roman"/>
                <w:bCs/>
                <w:color w:val="000000"/>
              </w:rPr>
              <w:t>2、</w:t>
            </w:r>
            <w:r>
              <w:rPr>
                <w:rFonts w:hint="eastAsia" w:ascii="Times New Roman" w:hAnsi="Times New Roman"/>
                <w:bCs/>
                <w:color w:val="000000"/>
                <w:lang w:eastAsia="zh-CN"/>
              </w:rPr>
              <w:t>临时施工工区</w:t>
            </w:r>
            <w:r>
              <w:rPr>
                <w:rFonts w:ascii="Times New Roman" w:hAnsi="Times New Roman"/>
                <w:bCs/>
                <w:color w:val="000000"/>
              </w:rPr>
              <w:t>选址合理性分析</w:t>
            </w:r>
          </w:p>
          <w:p>
            <w:pPr>
              <w:pStyle w:val="223"/>
              <w:bidi w:val="0"/>
              <w:rPr>
                <w:rFonts w:hint="eastAsia"/>
              </w:rPr>
            </w:pPr>
            <w:r>
              <w:rPr>
                <w:rFonts w:hint="eastAsia"/>
              </w:rPr>
              <w:t>本项目施工工区地点未具体确定，为防止施工工区对周围环境发生影响，本次评价要求施工工区（临时拌和点）设置不涉及生态保护红线、不涉及自然保护区、不涉及风景名胜区、不涉及基本农田等环境敏感区域，要尽量选在居民点等环境敏感点下风向100m以外，并配套洒水降尘设施；所有出场运输车辆必须全覆盖，确保上路无“抛、洒、滴、漏”现象，定期洒水和清扫地面，合理安排施工时间，夜间和午休时间禁止施工，施工完成后应进行迹地恢复，立即植树绿化。</w:t>
            </w:r>
          </w:p>
          <w:p>
            <w:pPr>
              <w:pStyle w:val="223"/>
              <w:bidi w:val="0"/>
            </w:pPr>
            <w:r>
              <w:t>因此，本项目</w:t>
            </w:r>
            <w:r>
              <w:rPr>
                <w:rFonts w:hint="eastAsia"/>
                <w:lang w:eastAsia="zh-CN"/>
              </w:rPr>
              <w:t>临时施工工区</w:t>
            </w:r>
            <w:r>
              <w:t>选址合理。</w:t>
            </w:r>
          </w:p>
          <w:p>
            <w:pPr>
              <w:pStyle w:val="138"/>
              <w:ind w:firstLine="482"/>
              <w:rPr>
                <w:rFonts w:ascii="Times New Roman" w:hAnsi="Times New Roman"/>
                <w:bCs/>
                <w:color w:val="000000"/>
              </w:rPr>
            </w:pPr>
            <w:r>
              <w:rPr>
                <w:rFonts w:ascii="Times New Roman" w:hAnsi="Times New Roman"/>
                <w:b/>
                <w:color w:val="000000"/>
              </w:rPr>
              <w:t>综上所述，项目选线、选址合理。</w:t>
            </w:r>
          </w:p>
        </w:tc>
      </w:tr>
    </w:tbl>
    <w:p>
      <w:pPr>
        <w:pStyle w:val="34"/>
        <w:jc w:val="center"/>
        <w:rPr>
          <w:rFonts w:ascii="黑体" w:hAnsi="黑体" w:eastAsia="黑体"/>
          <w:snapToGrid w:val="0"/>
          <w:color w:val="000000"/>
          <w:sz w:val="36"/>
          <w:szCs w:val="36"/>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pStyle w:val="34"/>
        <w:adjustRightInd w:val="0"/>
        <w:snapToGrid w:val="0"/>
        <w:spacing w:before="0" w:beforeAutospacing="0" w:after="0" w:afterAutospacing="0" w:line="14" w:lineRule="auto"/>
        <w:jc w:val="center"/>
        <w:rPr>
          <w:rFonts w:hint="eastAsia" w:ascii="黑体" w:hAnsi="黑体" w:eastAsia="黑体"/>
          <w:snapToGrid w:val="0"/>
          <w:color w:val="000000"/>
          <w:sz w:val="30"/>
          <w:szCs w:val="30"/>
        </w:rPr>
      </w:pPr>
    </w:p>
    <w:p>
      <w:pPr>
        <w:pStyle w:val="3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五、主要生态环境保护措施</w:t>
      </w:r>
    </w:p>
    <w:tbl>
      <w:tblPr>
        <w:tblStyle w:val="39"/>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753" w:type="dxa"/>
            <w:noWrap w:val="0"/>
            <w:tcMar>
              <w:left w:w="28" w:type="dxa"/>
              <w:right w:w="28" w:type="dxa"/>
            </w:tcMar>
            <w:vAlign w:val="center"/>
          </w:tcPr>
          <w:p>
            <w:pPr>
              <w:adjustRightInd w:val="0"/>
              <w:snapToGrid w:val="0"/>
              <w:jc w:val="center"/>
              <w:rPr>
                <w:rFonts w:ascii="宋体" w:hAnsi="宋体"/>
                <w:bCs/>
                <w:color w:val="000000"/>
                <w:sz w:val="24"/>
              </w:rPr>
            </w:pPr>
            <w:r>
              <w:rPr>
                <w:rFonts w:hint="eastAsia" w:ascii="宋体" w:hAnsi="宋体" w:cs="宋体"/>
                <w:bCs/>
                <w:color w:val="000000"/>
                <w:spacing w:val="10"/>
                <w:sz w:val="24"/>
              </w:rPr>
              <w:t>施工期生态环境保护措施</w:t>
            </w:r>
          </w:p>
        </w:tc>
        <w:tc>
          <w:tcPr>
            <w:tcW w:w="8457" w:type="dxa"/>
            <w:noWrap w:val="0"/>
            <w:vAlign w:val="top"/>
          </w:tcPr>
          <w:p>
            <w:pPr>
              <w:widowControl/>
              <w:spacing w:line="360" w:lineRule="auto"/>
              <w:jc w:val="left"/>
              <w:rPr>
                <w:b/>
                <w:color w:val="000000"/>
                <w:sz w:val="28"/>
                <w:szCs w:val="28"/>
              </w:rPr>
            </w:pPr>
            <w:bookmarkStart w:id="24" w:name="_Toc13594"/>
            <w:r>
              <w:rPr>
                <w:rFonts w:hint="eastAsia" w:hAnsi="宋体"/>
                <w:b/>
                <w:color w:val="000000"/>
                <w:kern w:val="0"/>
                <w:sz w:val="28"/>
                <w:szCs w:val="28"/>
                <w:lang w:bidi="ar"/>
              </w:rPr>
              <w:t>1、</w:t>
            </w:r>
            <w:r>
              <w:rPr>
                <w:rFonts w:hAnsi="宋体"/>
                <w:b/>
                <w:color w:val="000000"/>
                <w:kern w:val="0"/>
                <w:sz w:val="28"/>
                <w:szCs w:val="28"/>
                <w:lang w:bidi="ar"/>
              </w:rPr>
              <w:t>生态环境保护措施</w:t>
            </w:r>
          </w:p>
          <w:p>
            <w:pPr>
              <w:pStyle w:val="138"/>
              <w:ind w:firstLine="482"/>
              <w:rPr>
                <w:rFonts w:hint="eastAsia"/>
                <w:b/>
                <w:color w:val="000000"/>
              </w:rPr>
            </w:pPr>
            <w:r>
              <w:rPr>
                <w:rFonts w:hint="eastAsia"/>
                <w:b/>
                <w:color w:val="000000"/>
              </w:rPr>
              <w:t>（1）对陆生生态的保护措施</w:t>
            </w:r>
          </w:p>
          <w:p>
            <w:pPr>
              <w:pStyle w:val="138"/>
              <w:rPr>
                <w:rFonts w:hint="eastAsia"/>
                <w:color w:val="000000"/>
              </w:rPr>
            </w:pPr>
            <w:r>
              <w:rPr>
                <w:rFonts w:hint="eastAsia"/>
                <w:color w:val="000000"/>
              </w:rPr>
              <w:t>1）陆生植物保护措施</w:t>
            </w:r>
          </w:p>
          <w:p>
            <w:pPr>
              <w:pStyle w:val="138"/>
              <w:rPr>
                <w:rFonts w:hint="eastAsia"/>
                <w:color w:val="000000"/>
              </w:rPr>
            </w:pPr>
            <w:r>
              <w:rPr>
                <w:rFonts w:hint="eastAsia"/>
                <w:color w:val="000000"/>
              </w:rPr>
              <w:t>①减缓措施：优化施工布置，合理规划占地，严格控制占地面积；施工期间，施工占地周围设置5m宽的作业范围，施工车辆、人员必须在作业带内活动，严禁随意扩大扰动范围。</w:t>
            </w:r>
          </w:p>
          <w:p>
            <w:pPr>
              <w:pStyle w:val="138"/>
              <w:rPr>
                <w:rFonts w:hint="eastAsia"/>
                <w:color w:val="000000"/>
              </w:rPr>
            </w:pPr>
            <w:r>
              <w:rPr>
                <w:rFonts w:hint="eastAsia"/>
                <w:color w:val="000000"/>
              </w:rPr>
              <w:t>②恢复措施：本次临时占地面积有限，环评要求尽可能采取与永久占地相结合方式。施工结束后，应及时对临时施工场地进行平整，采取植被恢复措施。植被恢复应选用当地树种和草种，并注意乔灌草相结合，形成多层立体结构，具有良好生态功能的绿地系统，并且要采用多种植物进行绿化，注意不同种植物之间的生态关系，多采用土著种绿化，维护区域的生物多样性和生态系统的稳定性。加强管道沿线、土地植被恢复，以补偿由于项目施工造成生态系统功能的损失，同时保持与周边景观的协调性，达到较好的景观效果</w:t>
            </w:r>
          </w:p>
          <w:p>
            <w:pPr>
              <w:pStyle w:val="138"/>
              <w:rPr>
                <w:rFonts w:hint="eastAsia"/>
                <w:color w:val="000000"/>
              </w:rPr>
            </w:pPr>
            <w:r>
              <w:rPr>
                <w:rFonts w:hint="eastAsia"/>
                <w:color w:val="000000"/>
              </w:rPr>
              <w:t>③管理措施：施工招标时，应明确承包商对施工区域物种多样性以及环境保护的责任和义务；在施工过程中，加强环境监理职能作用，对保护措施实施监督和检查，对出现的环境问题及时处理；施工单位在进场前，必须制定严格的施工组织和管理细则，作好有关生态环境保护知识和法律宣传工作，在施工区、生活区设置宣传牌，提高施工人员环境保护意识；制定完善的工程管理制度，在施工期间严禁施工人员随意在景区内活动，以免破坏工程直接影响区域以外的植被。</w:t>
            </w:r>
          </w:p>
          <w:p>
            <w:pPr>
              <w:pStyle w:val="138"/>
              <w:rPr>
                <w:rFonts w:hint="eastAsia"/>
                <w:color w:val="000000"/>
              </w:rPr>
            </w:pPr>
            <w:r>
              <w:rPr>
                <w:rFonts w:hint="eastAsia"/>
                <w:color w:val="000000"/>
              </w:rPr>
              <w:t>2）陆生动物保护措施</w:t>
            </w:r>
          </w:p>
          <w:p>
            <w:pPr>
              <w:pStyle w:val="138"/>
              <w:rPr>
                <w:rFonts w:hint="eastAsia"/>
                <w:color w:val="000000"/>
              </w:rPr>
            </w:pPr>
            <w:r>
              <w:rPr>
                <w:rFonts w:hint="eastAsia"/>
                <w:color w:val="000000"/>
              </w:rPr>
              <w:t xml:space="preserve">①施工期间，对施工人员和附近居民加强生态保护的宣传教育，以公告、发放宣传册等形式，教育施工人员，说明国家法律对野生动物保护的要求及意义，尤其说明对施工区周边保护动物保护的重要性，增强施工人员保护植被和动植物多样性对生态环境重要性的意识。 </w:t>
            </w:r>
          </w:p>
          <w:p>
            <w:pPr>
              <w:pStyle w:val="138"/>
              <w:rPr>
                <w:rFonts w:hint="eastAsia"/>
                <w:color w:val="000000"/>
              </w:rPr>
            </w:pPr>
            <w:r>
              <w:rPr>
                <w:rFonts w:hint="eastAsia"/>
                <w:color w:val="000000"/>
              </w:rPr>
              <w:t xml:space="preserve">②建立生态破坏惩罚制度，严禁施工人员非法猎捕野生动物，禁止施工人员食用蛙类、鸟类、鱼类等；限制施工人员在施工以外区域活动，禁止施工人员野外用火，把对野生动物的干扰降至最低程度。 </w:t>
            </w:r>
          </w:p>
          <w:p>
            <w:pPr>
              <w:pStyle w:val="138"/>
              <w:rPr>
                <w:rFonts w:hint="eastAsia"/>
                <w:color w:val="000000"/>
              </w:rPr>
            </w:pPr>
            <w:r>
              <w:rPr>
                <w:rFonts w:hint="eastAsia"/>
                <w:color w:val="000000"/>
              </w:rPr>
              <w:t xml:space="preserve">③各施工区设置野生动植物保护警示牌或宣传栏，说明生物保护的意义等。 </w:t>
            </w:r>
          </w:p>
          <w:p>
            <w:pPr>
              <w:pStyle w:val="138"/>
              <w:rPr>
                <w:rFonts w:hint="eastAsia"/>
                <w:color w:val="000000"/>
              </w:rPr>
            </w:pPr>
            <w:r>
              <w:rPr>
                <w:rFonts w:hint="eastAsia"/>
                <w:color w:val="000000"/>
              </w:rPr>
              <w:t xml:space="preserve">④工过程中，根据工程设计优化施工布置，尽量减少施工占地及施工活动对植被的扰动，减少陆生动物生境损失。 </w:t>
            </w:r>
          </w:p>
          <w:p>
            <w:pPr>
              <w:pStyle w:val="138"/>
              <w:rPr>
                <w:rFonts w:hint="eastAsia"/>
                <w:color w:val="000000"/>
              </w:rPr>
            </w:pPr>
            <w:r>
              <w:rPr>
                <w:rFonts w:hint="eastAsia"/>
                <w:color w:val="000000"/>
              </w:rPr>
              <w:t>⑤加强工程监理工作的环境保护内容。工程监理应将环境保护工程监理纳入重点，成立项目环境工程监理部，监理人员应由环境保护行政管理部门监理人员和工程监理公司人员组成，环境工程监理由项目总监直接负责，建设单位应严格按照国家法律规定授予监理公司应有的权利，根据工程施工对生态环境的影响程度，提出相应的建议和保护措施。建设单位也可委托第三方环境监理机构承担本工程环境监理工作。</w:t>
            </w:r>
          </w:p>
          <w:p>
            <w:pPr>
              <w:pStyle w:val="138"/>
              <w:ind w:firstLine="482"/>
              <w:rPr>
                <w:rFonts w:hint="eastAsia"/>
                <w:b/>
                <w:color w:val="000000"/>
              </w:rPr>
            </w:pPr>
            <w:r>
              <w:rPr>
                <w:rFonts w:hint="eastAsia"/>
                <w:b/>
                <w:color w:val="000000"/>
              </w:rPr>
              <w:t>（2）对水生生物的保护措施</w:t>
            </w:r>
          </w:p>
          <w:p>
            <w:pPr>
              <w:pStyle w:val="138"/>
              <w:rPr>
                <w:rFonts w:hint="eastAsia"/>
                <w:color w:val="000000"/>
              </w:rPr>
            </w:pPr>
            <w:r>
              <w:rPr>
                <w:rFonts w:hint="eastAsia"/>
                <w:color w:val="000000"/>
              </w:rPr>
              <w:t>本工程对水生生物的影响主要集中在施工期，施工人员生活污水若不加管理控制而直接进入附近水体，将对下游水质产生影响，从而对水生生物产生影响。针对水生生物保护，本次评价提出以下措施：</w:t>
            </w:r>
          </w:p>
          <w:p>
            <w:pPr>
              <w:pStyle w:val="138"/>
              <w:rPr>
                <w:rFonts w:hint="eastAsia"/>
                <w:color w:val="000000"/>
              </w:rPr>
            </w:pPr>
            <w:r>
              <w:rPr>
                <w:rFonts w:hint="eastAsia"/>
                <w:color w:val="000000"/>
              </w:rPr>
              <w:t>1）减缓措施</w:t>
            </w:r>
          </w:p>
          <w:p>
            <w:pPr>
              <w:pStyle w:val="138"/>
              <w:rPr>
                <w:rFonts w:hint="default" w:ascii="Times New Roman" w:hAnsi="Times New Roman" w:eastAsia="宋体" w:cs="Times New Roman"/>
                <w:color w:val="000000"/>
                <w:lang w:eastAsia="zh-CN"/>
              </w:rPr>
            </w:pPr>
            <w:r>
              <w:rPr>
                <w:rFonts w:hint="default" w:ascii="Times New Roman" w:hAnsi="Times New Roman" w:cs="Times New Roman"/>
                <w:color w:val="000000"/>
              </w:rPr>
              <w:t>①优化并规范施工方式</w:t>
            </w:r>
            <w:r>
              <w:rPr>
                <w:rFonts w:hint="default" w:ascii="Times New Roman" w:hAnsi="Times New Roman" w:cs="Times New Roman"/>
                <w:color w:val="000000"/>
                <w:lang w:eastAsia="zh-CN"/>
              </w:rPr>
              <w:t>。</w:t>
            </w:r>
          </w:p>
          <w:p>
            <w:pPr>
              <w:pStyle w:val="138"/>
              <w:rPr>
                <w:rFonts w:hint="default" w:ascii="Times New Roman" w:hAnsi="Times New Roman" w:cs="Times New Roman"/>
                <w:color w:val="000000"/>
              </w:rPr>
            </w:pPr>
            <w:r>
              <w:rPr>
                <w:rFonts w:hint="default" w:ascii="Times New Roman" w:hAnsi="Times New Roman" w:cs="Times New Roman"/>
                <w:color w:val="000000"/>
              </w:rPr>
              <w:t>②加强施工人员的各类卫生管理。生活垃圾不得随意排入水体，设置垃圾桶，统一收集后，交由环卫部门外运处理。</w:t>
            </w:r>
          </w:p>
          <w:p>
            <w:pPr>
              <w:pStyle w:val="138"/>
              <w:rPr>
                <w:rFonts w:hint="default" w:ascii="Times New Roman" w:hAnsi="Times New Roman" w:cs="Times New Roman"/>
                <w:color w:val="000000"/>
              </w:rPr>
            </w:pPr>
            <w:r>
              <w:rPr>
                <w:rFonts w:hint="default" w:ascii="Times New Roman" w:hAnsi="Times New Roman" w:cs="Times New Roman"/>
                <w:color w:val="000000"/>
              </w:rPr>
              <w:t>③施工材料的堆放要远离水源，防止被暴雨径流进入水体，尤其是粉状材料与有害材料，运输材料时也要注意不能被雨水或风吹至水体中，以免对这些水生生物造成生境污染；各类材料应备有防雨遮雨设施。施工区的疏松土壤应做好水土保持措施，防止泥沙因雨水冲刷进入湖泊。</w:t>
            </w:r>
          </w:p>
          <w:p>
            <w:pPr>
              <w:pStyle w:val="138"/>
              <w:rPr>
                <w:rFonts w:hint="default" w:ascii="Times New Roman" w:hAnsi="Times New Roman" w:cs="Times New Roman"/>
                <w:color w:val="000000"/>
              </w:rPr>
            </w:pPr>
            <w:r>
              <w:rPr>
                <w:rFonts w:hint="default" w:ascii="Times New Roman" w:hAnsi="Times New Roman" w:cs="Times New Roman"/>
                <w:color w:val="000000"/>
              </w:rPr>
              <w:t>④加强渔政管理，配合当地渔政管理部门做好工程河段鱼类的保护以及宣传工作。</w:t>
            </w:r>
          </w:p>
          <w:p>
            <w:pPr>
              <w:pStyle w:val="138"/>
              <w:rPr>
                <w:rFonts w:hint="eastAsia"/>
                <w:color w:val="000000"/>
              </w:rPr>
            </w:pPr>
            <w:r>
              <w:rPr>
                <w:rFonts w:hint="eastAsia"/>
                <w:color w:val="000000"/>
              </w:rPr>
              <w:t>2）恢复与补偿措施</w:t>
            </w:r>
          </w:p>
          <w:p>
            <w:pPr>
              <w:pStyle w:val="138"/>
              <w:rPr>
                <w:rFonts w:hint="eastAsia"/>
                <w:color w:val="000000"/>
              </w:rPr>
            </w:pPr>
            <w:r>
              <w:rPr>
                <w:rFonts w:hint="eastAsia"/>
                <w:color w:val="000000"/>
              </w:rPr>
              <w:t>项目种植植物，形成多层次的植物群落。</w:t>
            </w:r>
          </w:p>
          <w:p>
            <w:pPr>
              <w:pStyle w:val="138"/>
              <w:rPr>
                <w:rFonts w:hint="eastAsia"/>
                <w:color w:val="000000"/>
              </w:rPr>
            </w:pPr>
            <w:r>
              <w:rPr>
                <w:rFonts w:hint="eastAsia"/>
                <w:color w:val="000000"/>
              </w:rPr>
              <w:t>3）管理措施</w:t>
            </w:r>
          </w:p>
          <w:p>
            <w:pPr>
              <w:pStyle w:val="138"/>
              <w:rPr>
                <w:rFonts w:hint="eastAsia"/>
                <w:color w:val="000000"/>
              </w:rPr>
            </w:pPr>
            <w:r>
              <w:rPr>
                <w:rFonts w:hint="eastAsia"/>
                <w:color w:val="000000"/>
              </w:rPr>
              <w:t>①在工程的建设和营运期，除了工程业主应设立由工程技术、环保和安全等方面人员组成的环保工作部门，落实各项环保措施外，施工方应与保护区管理部门保持密切联系，保护区管理部门应指导施工方在施工过程中如何对水生生物进行保护，并与上述部门一道加强对工程施工行为的监督和管理。</w:t>
            </w:r>
          </w:p>
          <w:p>
            <w:pPr>
              <w:pStyle w:val="138"/>
              <w:rPr>
                <w:rFonts w:hint="eastAsia"/>
                <w:color w:val="000000"/>
              </w:rPr>
            </w:pPr>
            <w:r>
              <w:rPr>
                <w:rFonts w:hint="eastAsia"/>
                <w:color w:val="000000"/>
              </w:rPr>
              <w:t>②环保宣传和教育。在进场施工前，聘请水生生物专家组织施工人员学习有关国家法律和法规，对施工人员进行野生珍稀保护水生动物的科普宣传工作，使施工人员了解保护水生态环境的意义，提高施工人员保护水环境意识。禁止施工人员进行捕捞活动。</w:t>
            </w:r>
          </w:p>
          <w:p>
            <w:pPr>
              <w:pStyle w:val="138"/>
              <w:rPr>
                <w:rFonts w:hint="eastAsia"/>
                <w:color w:val="000000"/>
              </w:rPr>
            </w:pPr>
            <w:r>
              <w:rPr>
                <w:rFonts w:hint="eastAsia"/>
                <w:color w:val="000000"/>
              </w:rPr>
              <w:t>③施工巡逻。工程施工，需要有水务管理部门参与。涉水工程施工时若发现珍稀水生动物在附近应暂停施工，或者采用鸣笛善意驱赶，避免意外伤害事故的发生。</w:t>
            </w:r>
          </w:p>
          <w:p>
            <w:pPr>
              <w:pStyle w:val="138"/>
              <w:ind w:firstLine="482"/>
              <w:rPr>
                <w:b/>
                <w:color w:val="000000"/>
                <w:shd w:val="clear" w:color="auto" w:fill="FFFF00"/>
              </w:rPr>
            </w:pPr>
            <w:r>
              <w:rPr>
                <w:rFonts w:hint="eastAsia"/>
                <w:b/>
                <w:color w:val="000000"/>
              </w:rPr>
              <w:t>（3）水土保护措施</w:t>
            </w:r>
          </w:p>
          <w:p>
            <w:pPr>
              <w:pStyle w:val="138"/>
              <w:rPr>
                <w:rFonts w:hint="eastAsia"/>
                <w:color w:val="000000"/>
              </w:rPr>
            </w:pPr>
            <w:r>
              <w:rPr>
                <w:rFonts w:hint="eastAsia"/>
                <w:color w:val="000000"/>
              </w:rPr>
              <w:t>根据工程建设特点及水土流失特征进行水土流失防治分区：共分为主体工程区、施工工区、弃渣场区、施工道路区和渠道施工作业带区共5个防治分区。</w:t>
            </w:r>
          </w:p>
          <w:p>
            <w:pPr>
              <w:pStyle w:val="138"/>
              <w:rPr>
                <w:rFonts w:hint="eastAsia"/>
                <w:color w:val="000000"/>
              </w:rPr>
            </w:pPr>
            <w:r>
              <w:rPr>
                <w:rFonts w:hint="eastAsia"/>
                <w:color w:val="000000"/>
              </w:rPr>
              <w:t>（1）工程措施：主体工程区原地表土壤条件较好，在场地使用前，应将地表土剥离出来，临时堆放于施工作业带区或临近施工工区，用于后期复耕、复绿覆土。经估算，主体工程区表土剥离5460m</w:t>
            </w:r>
            <w:r>
              <w:rPr>
                <w:rFonts w:hint="eastAsia"/>
                <w:color w:val="000000"/>
                <w:vertAlign w:val="superscript"/>
              </w:rPr>
              <w:t>3</w:t>
            </w:r>
            <w:r>
              <w:rPr>
                <w:rFonts w:hint="eastAsia"/>
                <w:color w:val="000000"/>
              </w:rPr>
              <w:t>。</w:t>
            </w:r>
          </w:p>
          <w:p>
            <w:pPr>
              <w:pStyle w:val="138"/>
              <w:ind w:left="0" w:leftChars="0" w:firstLine="0" w:firstLineChars="0"/>
              <w:jc w:val="left"/>
              <w:rPr>
                <w:rFonts w:hint="eastAsia"/>
                <w:b/>
                <w:bCs/>
                <w:color w:val="000000"/>
                <w:sz w:val="28"/>
                <w:szCs w:val="28"/>
              </w:rPr>
            </w:pPr>
            <w:r>
              <w:rPr>
                <w:rFonts w:hint="eastAsia"/>
                <w:b/>
                <w:bCs/>
                <w:color w:val="000000"/>
                <w:sz w:val="28"/>
                <w:szCs w:val="28"/>
                <w:lang w:val="en-US" w:eastAsia="zh-CN"/>
              </w:rPr>
              <w:t>2</w:t>
            </w:r>
            <w:r>
              <w:rPr>
                <w:rFonts w:hint="eastAsia"/>
                <w:b/>
                <w:bCs/>
                <w:color w:val="000000"/>
                <w:sz w:val="28"/>
                <w:szCs w:val="28"/>
              </w:rPr>
              <w:t>、施工结束后迹地恢复措施</w:t>
            </w:r>
          </w:p>
          <w:p>
            <w:pPr>
              <w:pStyle w:val="138"/>
              <w:rPr>
                <w:rFonts w:hint="eastAsia"/>
                <w:color w:val="000000"/>
              </w:rPr>
            </w:pPr>
            <w:r>
              <w:rPr>
                <w:rFonts w:hint="eastAsia"/>
                <w:color w:val="000000"/>
              </w:rPr>
              <w:t>施工工区占地面积为0.51hm</w:t>
            </w:r>
            <w:r>
              <w:rPr>
                <w:rFonts w:hint="eastAsia"/>
                <w:color w:val="000000"/>
                <w:vertAlign w:val="superscript"/>
              </w:rPr>
              <w:t>2</w:t>
            </w:r>
            <w:r>
              <w:rPr>
                <w:rFonts w:hint="eastAsia"/>
                <w:color w:val="000000"/>
              </w:rPr>
              <w:t>，占地类型为耕地。</w:t>
            </w:r>
          </w:p>
          <w:p>
            <w:pPr>
              <w:pStyle w:val="138"/>
              <w:rPr>
                <w:rFonts w:hint="eastAsia"/>
                <w:color w:val="000000"/>
              </w:rPr>
            </w:pPr>
            <w:r>
              <w:rPr>
                <w:rFonts w:hint="eastAsia"/>
                <w:color w:val="000000"/>
              </w:rPr>
              <w:t>（1）工程措施：根据施工组织设计，本工程施工工区主要包含施工机械停放场、综合加工系统场，主体工程施工结束后，应及时拆除临时建筑物，平整各临时工程占用的土地，恢复土地原使用功能。施工临时设施场地原地表土壤条件较好，在场地使用前，应将地表土剥离出来，临时堆放于场地一角，用于后期复耕覆土。经估算，施工工区表土剥离1785m</w:t>
            </w:r>
            <w:r>
              <w:rPr>
                <w:rFonts w:hint="eastAsia"/>
                <w:color w:val="000000"/>
                <w:vertAlign w:val="superscript"/>
              </w:rPr>
              <w:t>3</w:t>
            </w:r>
            <w:r>
              <w:rPr>
                <w:rFonts w:hint="eastAsia"/>
                <w:color w:val="000000"/>
              </w:rPr>
              <w:t>，覆土2040m</w:t>
            </w:r>
            <w:r>
              <w:rPr>
                <w:rFonts w:hint="eastAsia"/>
                <w:color w:val="000000"/>
                <w:vertAlign w:val="superscript"/>
              </w:rPr>
              <w:t>3</w:t>
            </w:r>
            <w:r>
              <w:rPr>
                <w:rFonts w:hint="eastAsia"/>
                <w:color w:val="000000"/>
              </w:rPr>
              <w:t>。</w:t>
            </w:r>
          </w:p>
          <w:p>
            <w:pPr>
              <w:pStyle w:val="121"/>
              <w:ind w:firstLine="480"/>
              <w:rPr>
                <w:rFonts w:ascii="Times New Roman" w:hAnsi="Times New Roman"/>
                <w:kern w:val="0"/>
                <w:szCs w:val="20"/>
              </w:rPr>
            </w:pPr>
            <w:r>
              <w:rPr>
                <w:rFonts w:ascii="Times New Roman" w:hAnsi="Times New Roman"/>
                <w:kern w:val="0"/>
                <w:szCs w:val="20"/>
              </w:rPr>
              <w:t>（2）植物措施：在施工结束后，对占用耕地采取复耕措施，复耕0.51hm</w:t>
            </w:r>
            <w:r>
              <w:rPr>
                <w:rFonts w:ascii="Times New Roman" w:hAnsi="Times New Roman"/>
                <w:kern w:val="0"/>
                <w:szCs w:val="20"/>
                <w:vertAlign w:val="superscript"/>
              </w:rPr>
              <w:t>2</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（3）临时措施：剥离后的表土集中堆放在施工工区占地内，不另新增占地，堆高不超过2.5m，堆土顶部采用密目网遮盖，砖石压护，防治降雨侵蚀。经估算，共需密目网2000m</w:t>
            </w:r>
            <w:r>
              <w:rPr>
                <w:rFonts w:ascii="Times New Roman" w:hAnsi="Times New Roman"/>
                <w:kern w:val="0"/>
                <w:szCs w:val="20"/>
                <w:vertAlign w:val="superscript"/>
              </w:rPr>
              <w:t>2</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三、弃渣场区</w:t>
            </w:r>
          </w:p>
          <w:p>
            <w:pPr>
              <w:pStyle w:val="121"/>
              <w:ind w:firstLine="480"/>
              <w:rPr>
                <w:rFonts w:ascii="Times New Roman" w:hAnsi="Times New Roman"/>
                <w:kern w:val="0"/>
                <w:szCs w:val="20"/>
              </w:rPr>
            </w:pPr>
            <w:r>
              <w:rPr>
                <w:rFonts w:hint="eastAsia"/>
                <w:bCs/>
                <w:color w:val="000000"/>
                <w:kern w:val="0"/>
                <w:sz w:val="24"/>
                <w:lang w:val="zh-CN" w:bidi="ar"/>
              </w:rPr>
              <w:t>经各渠道平衡，总弃渣量</w:t>
            </w:r>
            <w:r>
              <w:rPr>
                <w:rFonts w:hint="eastAsia"/>
                <w:bCs/>
                <w:color w:val="000000"/>
                <w:kern w:val="0"/>
                <w:sz w:val="24"/>
                <w:lang w:bidi="ar"/>
              </w:rPr>
              <w:t>1.50</w:t>
            </w:r>
            <w:r>
              <w:rPr>
                <w:rFonts w:hint="eastAsia"/>
                <w:bCs/>
                <w:color w:val="000000"/>
                <w:kern w:val="0"/>
                <w:sz w:val="24"/>
                <w:lang w:val="zh-CN" w:bidi="ar"/>
              </w:rPr>
              <w:t>万</w:t>
            </w:r>
            <w:r>
              <w:rPr>
                <w:rFonts w:hint="eastAsia"/>
                <w:bCs/>
                <w:color w:val="000000"/>
                <w:kern w:val="0"/>
                <w:sz w:val="24"/>
                <w:lang w:bidi="ar"/>
              </w:rPr>
              <w:t>m</w:t>
            </w:r>
            <w:r>
              <w:rPr>
                <w:rFonts w:hint="eastAsia"/>
                <w:bCs/>
                <w:color w:val="000000"/>
                <w:kern w:val="0"/>
                <w:sz w:val="24"/>
                <w:vertAlign w:val="superscript"/>
                <w:lang w:bidi="ar"/>
              </w:rPr>
              <w:t>3</w:t>
            </w:r>
            <w:r>
              <w:rPr>
                <w:rFonts w:hint="eastAsia"/>
                <w:bCs/>
                <w:color w:val="000000"/>
                <w:kern w:val="0"/>
                <w:sz w:val="24"/>
                <w:lang w:val="zh-CN" w:bidi="ar"/>
              </w:rPr>
              <w:t>（自然方），其中1.30万m</w:t>
            </w:r>
            <w:r>
              <w:rPr>
                <w:rFonts w:hint="eastAsia"/>
                <w:bCs/>
                <w:color w:val="000000"/>
                <w:kern w:val="0"/>
                <w:sz w:val="24"/>
                <w:vertAlign w:val="superscript"/>
                <w:lang w:val="zh-CN" w:bidi="ar"/>
              </w:rPr>
              <w:t>3</w:t>
            </w:r>
            <w:r>
              <w:rPr>
                <w:rFonts w:hint="eastAsia"/>
                <w:bCs/>
                <w:color w:val="000000"/>
                <w:kern w:val="0"/>
                <w:sz w:val="24"/>
                <w:lang w:val="zh-CN" w:bidi="ar"/>
              </w:rPr>
              <w:t>（自然方）弃渣因弃渣量较小，且较分散，拟全部沿渠在渠道施工作业带范围内堆放，另外0.20万m</w:t>
            </w:r>
            <w:r>
              <w:rPr>
                <w:rFonts w:hint="eastAsia"/>
                <w:bCs/>
                <w:color w:val="000000"/>
                <w:kern w:val="0"/>
                <w:sz w:val="24"/>
                <w:vertAlign w:val="superscript"/>
                <w:lang w:val="zh-CN" w:bidi="ar"/>
              </w:rPr>
              <w:t>3</w:t>
            </w:r>
            <w:r>
              <w:rPr>
                <w:rFonts w:hint="eastAsia"/>
                <w:bCs/>
                <w:color w:val="000000"/>
                <w:kern w:val="0"/>
                <w:sz w:val="24"/>
                <w:lang w:val="zh-CN" w:eastAsia="zh-CN" w:bidi="ar"/>
              </w:rPr>
              <w:t>回填渠道低洼地带，</w:t>
            </w:r>
            <w:r>
              <w:rPr>
                <w:rFonts w:hint="eastAsia"/>
                <w:bCs/>
                <w:color w:val="000000"/>
                <w:kern w:val="0"/>
                <w:sz w:val="24"/>
                <w:lang w:val="zh-CN" w:bidi="ar"/>
              </w:rPr>
              <w:t>不设置集中弃渣场</w:t>
            </w:r>
            <w:r>
              <w:rPr>
                <w:rFonts w:ascii="Times New Roman" w:hAnsi="Times New Roman"/>
                <w:kern w:val="0"/>
                <w:szCs w:val="20"/>
              </w:rPr>
              <w:t>，经场地平整后进行迹地恢复。</w:t>
            </w:r>
          </w:p>
          <w:p>
            <w:pPr>
              <w:pStyle w:val="121"/>
              <w:ind w:firstLine="480"/>
              <w:rPr>
                <w:rFonts w:ascii="Times New Roman" w:hAnsi="Times New Roman"/>
                <w:kern w:val="0"/>
                <w:szCs w:val="20"/>
              </w:rPr>
            </w:pPr>
            <w:r>
              <w:rPr>
                <w:rFonts w:ascii="Times New Roman" w:hAnsi="Times New Roman"/>
                <w:kern w:val="0"/>
                <w:szCs w:val="20"/>
              </w:rPr>
              <w:t>（1）工程措施</w:t>
            </w:r>
          </w:p>
          <w:p>
            <w:pPr>
              <w:pStyle w:val="121"/>
              <w:ind w:firstLine="480"/>
              <w:rPr>
                <w:rFonts w:ascii="Times New Roman" w:hAnsi="Times New Roman"/>
                <w:kern w:val="0"/>
                <w:szCs w:val="20"/>
              </w:rPr>
            </w:pPr>
            <w:r>
              <w:rPr>
                <w:rFonts w:ascii="Times New Roman" w:hAnsi="Times New Roman"/>
                <w:kern w:val="0"/>
                <w:szCs w:val="20"/>
              </w:rPr>
              <w:t>场地现状为草地，对表土资源进行剥离保护，后期施工结束后用于场地覆土复绿。经计算，本区域可剥离表土75m</w:t>
            </w:r>
            <w:r>
              <w:rPr>
                <w:rFonts w:ascii="Times New Roman" w:hAnsi="Times New Roman"/>
                <w:kern w:val="0"/>
                <w:szCs w:val="20"/>
                <w:vertAlign w:val="superscript"/>
              </w:rPr>
              <w:t>3</w:t>
            </w:r>
            <w:r>
              <w:rPr>
                <w:rFonts w:ascii="Times New Roman" w:hAnsi="Times New Roman"/>
                <w:kern w:val="0"/>
                <w:szCs w:val="20"/>
              </w:rPr>
              <w:t>，覆土125m</w:t>
            </w:r>
            <w:r>
              <w:rPr>
                <w:rFonts w:ascii="Times New Roman" w:hAnsi="Times New Roman"/>
                <w:kern w:val="0"/>
                <w:szCs w:val="20"/>
                <w:vertAlign w:val="superscript"/>
              </w:rPr>
              <w:t>3</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（2）植物措施</w:t>
            </w:r>
          </w:p>
          <w:p>
            <w:pPr>
              <w:pStyle w:val="121"/>
              <w:ind w:firstLine="480"/>
              <w:rPr>
                <w:rFonts w:ascii="Times New Roman" w:hAnsi="Times New Roman"/>
                <w:kern w:val="0"/>
                <w:szCs w:val="20"/>
              </w:rPr>
            </w:pPr>
            <w:r>
              <w:rPr>
                <w:rFonts w:ascii="Times New Roman" w:hAnsi="Times New Roman"/>
                <w:kern w:val="0"/>
                <w:szCs w:val="20"/>
              </w:rPr>
              <w:t>本区施工场地地势较为平坦，具备一定的水源条件，立地条件较好，因此在进行场地平整后根据迹地恢复的原则，对弃渣场进行绿化措施，撒播草籽绿化面积0.05hm</w:t>
            </w:r>
            <w:r>
              <w:rPr>
                <w:rFonts w:ascii="Times New Roman" w:hAnsi="Times New Roman"/>
                <w:kern w:val="0"/>
                <w:szCs w:val="20"/>
                <w:vertAlign w:val="superscript"/>
              </w:rPr>
              <w:t>2</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（3）临时措施</w:t>
            </w:r>
          </w:p>
          <w:p>
            <w:pPr>
              <w:pStyle w:val="121"/>
              <w:ind w:firstLine="480"/>
              <w:rPr>
                <w:rFonts w:ascii="Times New Roman" w:hAnsi="Times New Roman"/>
                <w:kern w:val="0"/>
                <w:szCs w:val="20"/>
              </w:rPr>
            </w:pPr>
            <w:r>
              <w:rPr>
                <w:rFonts w:ascii="Times New Roman" w:hAnsi="Times New Roman"/>
                <w:kern w:val="0"/>
                <w:szCs w:val="20"/>
              </w:rPr>
              <w:t>本工程剥离的表土临时堆放于渣场一角，由于堆放量较小，工期较短，因此在表土堆体表面采取密目网遮盖、砖石压护。经估算，共需密目网100m</w:t>
            </w:r>
            <w:r>
              <w:rPr>
                <w:rFonts w:ascii="Times New Roman" w:hAnsi="Times New Roman"/>
                <w:kern w:val="0"/>
                <w:szCs w:val="20"/>
                <w:vertAlign w:val="superscript"/>
              </w:rPr>
              <w:t>2</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四、施工道路区</w:t>
            </w:r>
          </w:p>
          <w:p>
            <w:pPr>
              <w:pStyle w:val="121"/>
              <w:ind w:firstLine="480"/>
              <w:rPr>
                <w:rFonts w:ascii="Times New Roman" w:hAnsi="Times New Roman"/>
                <w:kern w:val="0"/>
                <w:szCs w:val="20"/>
              </w:rPr>
            </w:pPr>
            <w:r>
              <w:rPr>
                <w:rFonts w:ascii="Times New Roman" w:hAnsi="Times New Roman"/>
                <w:kern w:val="0"/>
                <w:szCs w:val="20"/>
              </w:rPr>
              <w:t>本工程需布设临时施工道路3km，占地面积1.20hm</w:t>
            </w:r>
            <w:r>
              <w:rPr>
                <w:rFonts w:ascii="Times New Roman" w:hAnsi="Times New Roman"/>
                <w:kern w:val="0"/>
                <w:szCs w:val="20"/>
                <w:vertAlign w:val="superscript"/>
              </w:rPr>
              <w:t>2</w:t>
            </w:r>
            <w:r>
              <w:rPr>
                <w:rFonts w:ascii="Times New Roman" w:hAnsi="Times New Roman"/>
                <w:kern w:val="0"/>
                <w:szCs w:val="20"/>
              </w:rPr>
              <w:t>，以林地为主。</w:t>
            </w:r>
          </w:p>
          <w:p>
            <w:pPr>
              <w:pStyle w:val="121"/>
              <w:ind w:firstLine="480"/>
              <w:rPr>
                <w:rFonts w:ascii="Times New Roman" w:hAnsi="Times New Roman"/>
                <w:kern w:val="0"/>
                <w:szCs w:val="20"/>
              </w:rPr>
            </w:pPr>
            <w:r>
              <w:rPr>
                <w:rFonts w:ascii="Times New Roman" w:hAnsi="Times New Roman"/>
                <w:kern w:val="0"/>
                <w:szCs w:val="20"/>
              </w:rPr>
              <w:t>（1）工程措施</w:t>
            </w:r>
          </w:p>
          <w:p>
            <w:pPr>
              <w:pStyle w:val="121"/>
              <w:ind w:firstLine="480"/>
              <w:rPr>
                <w:rFonts w:ascii="Times New Roman" w:hAnsi="Times New Roman"/>
                <w:kern w:val="0"/>
                <w:szCs w:val="20"/>
              </w:rPr>
            </w:pPr>
            <w:r>
              <w:rPr>
                <w:rFonts w:ascii="Times New Roman" w:hAnsi="Times New Roman"/>
                <w:kern w:val="0"/>
                <w:szCs w:val="20"/>
              </w:rPr>
              <w:t>场地现状林地，需对表土资源进行剥离保护，剥离表土堆放于临近施工工区。后期施工结束后进行覆土复绿。经计算，本区域可剥离表土1800m</w:t>
            </w:r>
            <w:r>
              <w:rPr>
                <w:rFonts w:ascii="Times New Roman" w:hAnsi="Times New Roman"/>
                <w:kern w:val="0"/>
                <w:szCs w:val="20"/>
                <w:vertAlign w:val="superscript"/>
              </w:rPr>
              <w:t>3</w:t>
            </w:r>
            <w:r>
              <w:rPr>
                <w:rFonts w:ascii="Times New Roman" w:hAnsi="Times New Roman"/>
                <w:kern w:val="0"/>
                <w:szCs w:val="20"/>
              </w:rPr>
              <w:t>，覆土3000m</w:t>
            </w:r>
            <w:r>
              <w:rPr>
                <w:rFonts w:ascii="Times New Roman" w:hAnsi="Times New Roman"/>
                <w:kern w:val="0"/>
                <w:szCs w:val="20"/>
                <w:vertAlign w:val="superscript"/>
              </w:rPr>
              <w:t>3</w:t>
            </w:r>
            <w:r>
              <w:rPr>
                <w:rFonts w:ascii="Times New Roman" w:hAnsi="Times New Roman"/>
                <w:kern w:val="0"/>
                <w:szCs w:val="20"/>
              </w:rPr>
              <w:t>。</w:t>
            </w:r>
          </w:p>
          <w:p>
            <w:pPr>
              <w:pStyle w:val="121"/>
              <w:ind w:firstLine="480"/>
              <w:rPr>
                <w:rFonts w:ascii="Times New Roman" w:hAnsi="Times New Roman"/>
                <w:kern w:val="0"/>
                <w:szCs w:val="20"/>
              </w:rPr>
            </w:pPr>
            <w:r>
              <w:rPr>
                <w:rFonts w:ascii="Times New Roman" w:hAnsi="Times New Roman"/>
                <w:kern w:val="0"/>
                <w:szCs w:val="20"/>
              </w:rPr>
              <w:t>（2）植物措施</w:t>
            </w:r>
          </w:p>
          <w:p>
            <w:pPr>
              <w:pStyle w:val="121"/>
              <w:ind w:firstLine="480"/>
              <w:rPr>
                <w:rFonts w:ascii="Times New Roman" w:hAnsi="Times New Roman"/>
                <w:kern w:val="0"/>
                <w:szCs w:val="20"/>
              </w:rPr>
            </w:pPr>
            <w:r>
              <w:rPr>
                <w:rFonts w:ascii="Times New Roman" w:hAnsi="Times New Roman"/>
                <w:kern w:val="0"/>
                <w:szCs w:val="20"/>
              </w:rPr>
              <w:t>临时道路在使用结束后对路面采取覆土后采取灌草相结合的方式进行绿化。</w:t>
            </w:r>
          </w:p>
          <w:p>
            <w:pPr>
              <w:pStyle w:val="121"/>
              <w:ind w:firstLine="480"/>
              <w:rPr>
                <w:rFonts w:ascii="Times New Roman" w:hAnsi="Times New Roman"/>
                <w:kern w:val="0"/>
                <w:szCs w:val="20"/>
              </w:rPr>
            </w:pPr>
            <w:r>
              <w:rPr>
                <w:rFonts w:ascii="Times New Roman" w:hAnsi="Times New Roman"/>
                <w:kern w:val="0"/>
                <w:szCs w:val="20"/>
              </w:rPr>
              <w:t>（3）临时措施：为保障道路使用过程中减少水土流失的产生，在道路内侧设置临时排水沟，排水沟断面形式采取梯形断面，底宽0.3m，深0.3m，边坡比1:0.5，在排水沟出口处设置沉砂池使汇水在池中流速减缓、沉淀泥沙。沉砂池采用土质沉砂池，容积为3.0m</w:t>
            </w:r>
            <w:r>
              <w:rPr>
                <w:rFonts w:ascii="Times New Roman" w:hAnsi="Times New Roman"/>
                <w:kern w:val="0"/>
                <w:szCs w:val="20"/>
                <w:vertAlign w:val="superscript"/>
              </w:rPr>
              <w:t>3</w:t>
            </w:r>
            <w:r>
              <w:rPr>
                <w:rFonts w:ascii="Times New Roman" w:hAnsi="Times New Roman"/>
                <w:kern w:val="0"/>
                <w:szCs w:val="20"/>
              </w:rPr>
              <w:t>，底部尺寸1×1m，顶部尺寸2m×1.5m，排水沟与沉砂池表面压实平整沉砂池两端分别连接排水沟，经沉砂池过滤后的排出水就近排入附近排灌渠或者灌溉沟。经估算，修建临时排水沟3000m，临时沉砂池6个。</w:t>
            </w:r>
          </w:p>
          <w:p>
            <w:pPr>
              <w:pStyle w:val="121"/>
              <w:ind w:firstLine="480"/>
              <w:rPr>
                <w:rFonts w:ascii="Times New Roman" w:hAnsi="Times New Roman"/>
                <w:kern w:val="0"/>
                <w:szCs w:val="20"/>
              </w:rPr>
            </w:pPr>
            <w:r>
              <w:rPr>
                <w:rFonts w:ascii="Times New Roman" w:hAnsi="Times New Roman"/>
                <w:kern w:val="0"/>
                <w:szCs w:val="20"/>
              </w:rPr>
              <w:t>五、</w:t>
            </w:r>
            <w:bookmarkStart w:id="25" w:name="_Toc28545"/>
            <w:r>
              <w:rPr>
                <w:rFonts w:ascii="Times New Roman" w:hAnsi="Times New Roman"/>
                <w:kern w:val="0"/>
                <w:szCs w:val="20"/>
              </w:rPr>
              <w:t>渠道施工作业带区</w:t>
            </w:r>
            <w:bookmarkEnd w:id="25"/>
          </w:p>
          <w:p>
            <w:pPr>
              <w:pStyle w:val="121"/>
              <w:ind w:firstLine="480"/>
              <w:rPr>
                <w:rFonts w:ascii="Times New Roman" w:hAnsi="Times New Roman"/>
                <w:kern w:val="0"/>
                <w:szCs w:val="20"/>
                <w:lang w:val="zh-CN"/>
              </w:rPr>
            </w:pPr>
            <w:r>
              <w:rPr>
                <w:rFonts w:ascii="Times New Roman" w:hAnsi="Times New Roman"/>
                <w:kern w:val="0"/>
                <w:szCs w:val="20"/>
                <w:lang w:val="zh-CN"/>
              </w:rPr>
              <w:t>青白渠为管渠，全部地埋，管沟施工需要沿渠作业，因此需要渠道施工作业带</w:t>
            </w:r>
            <w:r>
              <w:rPr>
                <w:rFonts w:ascii="Times New Roman" w:hAnsi="Times New Roman"/>
                <w:kern w:val="0"/>
                <w:szCs w:val="20"/>
              </w:rPr>
              <w:t>5.01hm</w:t>
            </w:r>
            <w:r>
              <w:rPr>
                <w:rFonts w:ascii="Times New Roman" w:hAnsi="Times New Roman"/>
                <w:kern w:val="0"/>
                <w:szCs w:val="20"/>
                <w:vertAlign w:val="superscript"/>
              </w:rPr>
              <w:t>2</w:t>
            </w:r>
            <w:r>
              <w:rPr>
                <w:rFonts w:ascii="Times New Roman" w:hAnsi="Times New Roman"/>
                <w:kern w:val="0"/>
                <w:szCs w:val="20"/>
                <w:lang w:val="zh-CN"/>
              </w:rPr>
              <w:t>。</w:t>
            </w:r>
          </w:p>
          <w:p>
            <w:pPr>
              <w:pStyle w:val="121"/>
              <w:ind w:firstLine="480"/>
              <w:rPr>
                <w:rFonts w:ascii="Times New Roman" w:hAnsi="Times New Roman"/>
                <w:kern w:val="0"/>
                <w:szCs w:val="20"/>
              </w:rPr>
            </w:pPr>
            <w:r>
              <w:rPr>
                <w:rFonts w:ascii="Times New Roman" w:hAnsi="Times New Roman"/>
                <w:kern w:val="0"/>
                <w:szCs w:val="20"/>
              </w:rPr>
              <w:t>（1）工程措施</w:t>
            </w:r>
          </w:p>
          <w:p>
            <w:pPr>
              <w:pStyle w:val="121"/>
              <w:ind w:firstLine="480"/>
              <w:rPr>
                <w:rFonts w:ascii="Times New Roman" w:hAnsi="Times New Roman"/>
                <w:kern w:val="0"/>
                <w:szCs w:val="20"/>
                <w:lang w:val="zh-CN"/>
              </w:rPr>
            </w:pPr>
            <w:r>
              <w:rPr>
                <w:rFonts w:ascii="Times New Roman" w:hAnsi="Times New Roman"/>
                <w:kern w:val="0"/>
                <w:szCs w:val="20"/>
                <w:lang w:val="zh-CN"/>
              </w:rPr>
              <w:t>工程弃渣</w:t>
            </w:r>
            <w:r>
              <w:rPr>
                <w:rFonts w:ascii="Times New Roman" w:hAnsi="Times New Roman"/>
                <w:kern w:val="0"/>
                <w:szCs w:val="20"/>
              </w:rPr>
              <w:t>7652m</w:t>
            </w:r>
            <w:r>
              <w:rPr>
                <w:rFonts w:ascii="Times New Roman" w:hAnsi="Times New Roman"/>
                <w:kern w:val="0"/>
                <w:szCs w:val="20"/>
                <w:vertAlign w:val="superscript"/>
              </w:rPr>
              <w:t>3</w:t>
            </w:r>
            <w:r>
              <w:rPr>
                <w:rFonts w:ascii="Times New Roman" w:hAnsi="Times New Roman"/>
                <w:kern w:val="0"/>
                <w:szCs w:val="20"/>
                <w:lang w:val="zh-CN"/>
              </w:rPr>
              <w:t>分布在</w:t>
            </w:r>
            <w:r>
              <w:rPr>
                <w:rFonts w:ascii="Times New Roman" w:hAnsi="Times New Roman"/>
                <w:kern w:val="0"/>
                <w:szCs w:val="20"/>
              </w:rPr>
              <w:t>5.01hm</w:t>
            </w:r>
            <w:r>
              <w:rPr>
                <w:rFonts w:ascii="Times New Roman" w:hAnsi="Times New Roman"/>
                <w:kern w:val="0"/>
                <w:szCs w:val="20"/>
                <w:vertAlign w:val="superscript"/>
              </w:rPr>
              <w:t>2</w:t>
            </w:r>
            <w:r>
              <w:rPr>
                <w:rFonts w:ascii="Times New Roman" w:hAnsi="Times New Roman"/>
                <w:kern w:val="0"/>
                <w:szCs w:val="20"/>
              </w:rPr>
              <w:t>施工作业带区</w:t>
            </w:r>
            <w:r>
              <w:rPr>
                <w:rFonts w:ascii="Times New Roman" w:hAnsi="Times New Roman"/>
                <w:kern w:val="0"/>
                <w:szCs w:val="20"/>
                <w:lang w:val="zh-CN"/>
              </w:rPr>
              <w:t>，回填高度在</w:t>
            </w:r>
            <w:r>
              <w:rPr>
                <w:rFonts w:ascii="Times New Roman" w:hAnsi="Times New Roman"/>
                <w:kern w:val="0"/>
                <w:szCs w:val="20"/>
              </w:rPr>
              <w:t>0.15</w:t>
            </w:r>
            <w:r>
              <w:rPr>
                <w:rFonts w:ascii="Times New Roman" w:hAnsi="Times New Roman"/>
                <w:kern w:val="0"/>
                <w:szCs w:val="20"/>
                <w:lang w:val="zh-CN"/>
              </w:rPr>
              <w:t>m</w:t>
            </w:r>
            <w:r>
              <w:rPr>
                <w:rFonts w:ascii="Times New Roman" w:hAnsi="Times New Roman"/>
                <w:kern w:val="0"/>
                <w:szCs w:val="20"/>
              </w:rPr>
              <w:t>~0.20</w:t>
            </w:r>
            <w:r>
              <w:rPr>
                <w:rFonts w:ascii="Times New Roman" w:hAnsi="Times New Roman"/>
                <w:kern w:val="0"/>
                <w:szCs w:val="20"/>
                <w:lang w:val="zh-CN"/>
              </w:rPr>
              <w:t>m左右，无需新增工程挡护措施。工程建设前，水保设计对本区表土采用剥离措施用于后期复耕及绿化恢复，共计表土剥离</w:t>
            </w:r>
            <w:r>
              <w:rPr>
                <w:rFonts w:ascii="Times New Roman" w:hAnsi="Times New Roman"/>
                <w:kern w:val="0"/>
                <w:szCs w:val="20"/>
              </w:rPr>
              <w:t>8415</w:t>
            </w:r>
            <w:r>
              <w:rPr>
                <w:rFonts w:ascii="Times New Roman" w:hAnsi="Times New Roman"/>
                <w:kern w:val="0"/>
                <w:szCs w:val="20"/>
                <w:lang w:val="zh-CN"/>
              </w:rPr>
              <w:t>m</w:t>
            </w:r>
            <w:r>
              <w:rPr>
                <w:rFonts w:ascii="Times New Roman" w:hAnsi="Times New Roman"/>
                <w:kern w:val="0"/>
                <w:szCs w:val="20"/>
                <w:vertAlign w:val="superscript"/>
                <w:lang w:val="zh-CN"/>
              </w:rPr>
              <w:t>3</w:t>
            </w:r>
            <w:r>
              <w:rPr>
                <w:rFonts w:ascii="Times New Roman" w:hAnsi="Times New Roman"/>
                <w:kern w:val="0"/>
                <w:szCs w:val="20"/>
                <w:lang w:val="zh-CN"/>
              </w:rPr>
              <w:t>，后期覆土</w:t>
            </w:r>
            <w:r>
              <w:rPr>
                <w:rFonts w:ascii="Times New Roman" w:hAnsi="Times New Roman"/>
                <w:kern w:val="0"/>
                <w:szCs w:val="20"/>
              </w:rPr>
              <w:t>12370</w:t>
            </w:r>
            <w:r>
              <w:rPr>
                <w:rFonts w:ascii="Times New Roman" w:hAnsi="Times New Roman"/>
                <w:kern w:val="0"/>
                <w:szCs w:val="20"/>
                <w:lang w:val="zh-CN"/>
              </w:rPr>
              <w:t>m</w:t>
            </w:r>
            <w:r>
              <w:rPr>
                <w:rFonts w:ascii="Times New Roman" w:hAnsi="Times New Roman"/>
                <w:kern w:val="0"/>
                <w:szCs w:val="20"/>
                <w:vertAlign w:val="superscript"/>
                <w:lang w:val="zh-CN"/>
              </w:rPr>
              <w:t>3</w:t>
            </w:r>
            <w:r>
              <w:rPr>
                <w:rFonts w:ascii="Times New Roman" w:hAnsi="Times New Roman"/>
                <w:kern w:val="0"/>
                <w:szCs w:val="20"/>
                <w:lang w:val="zh-CN"/>
              </w:rPr>
              <w:t>。</w:t>
            </w:r>
          </w:p>
          <w:p>
            <w:pPr>
              <w:pStyle w:val="121"/>
              <w:ind w:firstLine="480"/>
              <w:rPr>
                <w:rFonts w:ascii="Times New Roman" w:hAnsi="Times New Roman"/>
                <w:kern w:val="0"/>
                <w:szCs w:val="20"/>
              </w:rPr>
            </w:pPr>
            <w:r>
              <w:rPr>
                <w:rFonts w:ascii="Times New Roman" w:hAnsi="Times New Roman"/>
                <w:kern w:val="0"/>
                <w:szCs w:val="20"/>
              </w:rPr>
              <w:t>（2）植物措施：施工结束后，对本区占地采取复耕、绿化恢复措施。共计撒播草种4.56hm</w:t>
            </w:r>
            <w:r>
              <w:rPr>
                <w:rFonts w:ascii="Times New Roman" w:hAnsi="Times New Roman"/>
                <w:kern w:val="0"/>
                <w:szCs w:val="20"/>
                <w:vertAlign w:val="superscript"/>
              </w:rPr>
              <w:t>2</w:t>
            </w:r>
            <w:r>
              <w:rPr>
                <w:rFonts w:ascii="Times New Roman" w:hAnsi="Times New Roman"/>
                <w:kern w:val="0"/>
                <w:szCs w:val="20"/>
              </w:rPr>
              <w:t>，复耕0.45hm</w:t>
            </w:r>
            <w:r>
              <w:rPr>
                <w:rFonts w:ascii="Times New Roman" w:hAnsi="Times New Roman"/>
                <w:kern w:val="0"/>
                <w:szCs w:val="20"/>
                <w:vertAlign w:val="superscript"/>
              </w:rPr>
              <w:t>2</w:t>
            </w:r>
            <w:r>
              <w:rPr>
                <w:rFonts w:ascii="Times New Roman" w:hAnsi="Times New Roman"/>
                <w:kern w:val="0"/>
                <w:szCs w:val="20"/>
              </w:rPr>
              <w:t>。</w:t>
            </w:r>
          </w:p>
          <w:p>
            <w:pPr>
              <w:pStyle w:val="121"/>
              <w:ind w:firstLine="480"/>
              <w:jc w:val="both"/>
              <w:rPr>
                <w:rFonts w:ascii="Times New Roman" w:hAnsi="Times New Roman"/>
                <w:color w:val="000000"/>
                <w:kern w:val="0"/>
                <w:szCs w:val="20"/>
              </w:rPr>
            </w:pPr>
            <w:r>
              <w:rPr>
                <w:rFonts w:ascii="Times New Roman" w:hAnsi="Times New Roman"/>
                <w:kern w:val="0"/>
                <w:szCs w:val="20"/>
              </w:rPr>
              <w:t>（3）临时措施：剥离后的表土沿线堆放在施工作业带区，不另新增占地，堆高不超过2.5m，堆土顶部采用密目网遮盖，防治降雨侵蚀，场地周围排水体系完善，无需新增临时排水设施。经估算，共需密目网3500m</w:t>
            </w:r>
            <w:r>
              <w:rPr>
                <w:rFonts w:ascii="Times New Roman" w:hAnsi="Times New Roman"/>
                <w:kern w:val="0"/>
                <w:szCs w:val="20"/>
                <w:vertAlign w:val="superscript"/>
              </w:rPr>
              <w:t>2</w:t>
            </w:r>
            <w:r>
              <w:rPr>
                <w:rFonts w:ascii="Times New Roman" w:hAnsi="Times New Roman"/>
                <w:kern w:val="0"/>
                <w:szCs w:val="20"/>
              </w:rPr>
              <w:t>。</w:t>
            </w:r>
          </w:p>
          <w:p>
            <w:pPr>
              <w:pStyle w:val="121"/>
              <w:ind w:firstLine="0" w:firstLineChars="0"/>
              <w:jc w:val="center"/>
              <w:rPr>
                <w:rFonts w:hint="default" w:ascii="Times New Roman" w:hAnsi="Times New Roman"/>
                <w:b/>
                <w:bCs/>
                <w:kern w:val="0"/>
                <w:sz w:val="21"/>
                <w:szCs w:val="21"/>
              </w:rPr>
            </w:pPr>
            <w:r>
              <w:rPr>
                <w:rFonts w:ascii="Times New Roman" w:hAnsi="Times New Roman"/>
                <w:b/>
                <w:bCs/>
                <w:kern w:val="0"/>
                <w:sz w:val="21"/>
                <w:szCs w:val="21"/>
              </w:rPr>
              <w:t>表5-1  水土保持方案总体布局表</w:t>
            </w:r>
          </w:p>
          <w:tbl>
            <w:tblPr>
              <w:tblStyle w:val="39"/>
              <w:tblW w:w="82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755"/>
              <w:gridCol w:w="2055"/>
              <w:gridCol w:w="2400"/>
              <w:gridCol w:w="13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pPr>
                    <w:spacing w:line="240" w:lineRule="exact"/>
                    <w:jc w:val="center"/>
                    <w:rPr>
                      <w:rFonts w:hint="eastAsia"/>
                      <w:b/>
                      <w:bCs/>
                      <w:szCs w:val="21"/>
                    </w:rPr>
                  </w:pPr>
                  <w:r>
                    <w:rPr>
                      <w:b/>
                      <w:bCs/>
                      <w:szCs w:val="21"/>
                    </w:rPr>
                    <w:t>序号</w:t>
                  </w:r>
                </w:p>
              </w:tc>
              <w:tc>
                <w:tcPr>
                  <w:tcW w:w="1755" w:type="dxa"/>
                  <w:noWrap w:val="0"/>
                  <w:vAlign w:val="center"/>
                </w:tcPr>
                <w:p>
                  <w:pPr>
                    <w:spacing w:line="240" w:lineRule="exact"/>
                    <w:jc w:val="center"/>
                    <w:rPr>
                      <w:rFonts w:hint="eastAsia"/>
                      <w:b/>
                      <w:bCs/>
                      <w:szCs w:val="21"/>
                    </w:rPr>
                  </w:pPr>
                  <w:r>
                    <w:rPr>
                      <w:b/>
                      <w:bCs/>
                      <w:szCs w:val="21"/>
                    </w:rPr>
                    <w:t>位置</w:t>
                  </w:r>
                </w:p>
              </w:tc>
              <w:tc>
                <w:tcPr>
                  <w:tcW w:w="2055" w:type="dxa"/>
                  <w:noWrap w:val="0"/>
                  <w:vAlign w:val="center"/>
                </w:tcPr>
                <w:p>
                  <w:pPr>
                    <w:spacing w:line="240" w:lineRule="exact"/>
                    <w:jc w:val="center"/>
                    <w:rPr>
                      <w:rFonts w:hint="eastAsia"/>
                      <w:b/>
                      <w:bCs/>
                      <w:szCs w:val="21"/>
                    </w:rPr>
                  </w:pPr>
                  <w:r>
                    <w:rPr>
                      <w:b/>
                      <w:bCs/>
                      <w:szCs w:val="21"/>
                    </w:rPr>
                    <w:t>水土保持措施</w:t>
                  </w:r>
                </w:p>
              </w:tc>
              <w:tc>
                <w:tcPr>
                  <w:tcW w:w="2400" w:type="dxa"/>
                  <w:noWrap w:val="0"/>
                  <w:vAlign w:val="center"/>
                </w:tcPr>
                <w:p>
                  <w:pPr>
                    <w:spacing w:line="240" w:lineRule="exact"/>
                    <w:jc w:val="center"/>
                    <w:rPr>
                      <w:rFonts w:hint="eastAsia"/>
                      <w:b/>
                      <w:bCs/>
                      <w:szCs w:val="21"/>
                    </w:rPr>
                  </w:pPr>
                  <w:r>
                    <w:rPr>
                      <w:b/>
                      <w:bCs/>
                      <w:szCs w:val="21"/>
                    </w:rPr>
                    <w:t>水土保持工程</w:t>
                  </w:r>
                </w:p>
              </w:tc>
              <w:tc>
                <w:tcPr>
                  <w:tcW w:w="1310" w:type="dxa"/>
                  <w:noWrap w:val="0"/>
                  <w:vAlign w:val="center"/>
                </w:tcPr>
                <w:p>
                  <w:pPr>
                    <w:spacing w:line="240" w:lineRule="exact"/>
                    <w:jc w:val="center"/>
                    <w:rPr>
                      <w:rFonts w:hint="eastAsia"/>
                      <w:b/>
                      <w:bCs/>
                      <w:szCs w:val="21"/>
                    </w:rPr>
                  </w:pPr>
                  <w:r>
                    <w:rPr>
                      <w:b/>
                      <w:bCs/>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pPr>
                    <w:spacing w:line="240" w:lineRule="exact"/>
                    <w:jc w:val="center"/>
                    <w:rPr>
                      <w:rFonts w:hint="eastAsia"/>
                      <w:szCs w:val="21"/>
                    </w:rPr>
                  </w:pPr>
                  <w:r>
                    <w:rPr>
                      <w:rFonts w:hint="eastAsia"/>
                      <w:szCs w:val="21"/>
                    </w:rPr>
                    <w:t>1</w:t>
                  </w:r>
                </w:p>
              </w:tc>
              <w:tc>
                <w:tcPr>
                  <w:tcW w:w="1755" w:type="dxa"/>
                  <w:noWrap w:val="0"/>
                  <w:vAlign w:val="center"/>
                </w:tcPr>
                <w:p>
                  <w:pPr>
                    <w:spacing w:line="240" w:lineRule="exact"/>
                    <w:jc w:val="center"/>
                    <w:rPr>
                      <w:rFonts w:hint="eastAsia"/>
                      <w:szCs w:val="21"/>
                    </w:rPr>
                  </w:pPr>
                  <w:r>
                    <w:rPr>
                      <w:rFonts w:hint="eastAsia"/>
                      <w:szCs w:val="21"/>
                    </w:rPr>
                    <w:t>主体工程区</w:t>
                  </w:r>
                </w:p>
              </w:tc>
              <w:tc>
                <w:tcPr>
                  <w:tcW w:w="2055" w:type="dxa"/>
                  <w:noWrap w:val="0"/>
                  <w:vAlign w:val="center"/>
                </w:tcPr>
                <w:p>
                  <w:pPr>
                    <w:spacing w:line="240" w:lineRule="exact"/>
                    <w:jc w:val="center"/>
                    <w:rPr>
                      <w:rFonts w:hint="eastAsia"/>
                      <w:szCs w:val="21"/>
                    </w:rPr>
                  </w:pPr>
                  <w:r>
                    <w:rPr>
                      <w:rFonts w:hint="eastAsia"/>
                      <w:szCs w:val="21"/>
                    </w:rPr>
                    <w:t>工程措施</w:t>
                  </w:r>
                </w:p>
              </w:tc>
              <w:tc>
                <w:tcPr>
                  <w:tcW w:w="2400" w:type="dxa"/>
                  <w:noWrap w:val="0"/>
                  <w:vAlign w:val="center"/>
                </w:tcPr>
                <w:p>
                  <w:pPr>
                    <w:spacing w:line="240" w:lineRule="exact"/>
                    <w:jc w:val="center"/>
                    <w:rPr>
                      <w:rFonts w:hint="eastAsia"/>
                      <w:szCs w:val="21"/>
                    </w:rPr>
                  </w:pPr>
                  <w:r>
                    <w:rPr>
                      <w:rFonts w:hint="eastAsia"/>
                      <w:szCs w:val="21"/>
                    </w:rPr>
                    <w:t>表土剥离</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restart"/>
                  <w:noWrap w:val="0"/>
                  <w:vAlign w:val="center"/>
                </w:tcPr>
                <w:p>
                  <w:pPr>
                    <w:spacing w:line="240" w:lineRule="exact"/>
                    <w:jc w:val="center"/>
                    <w:rPr>
                      <w:rFonts w:hint="eastAsia"/>
                      <w:szCs w:val="21"/>
                    </w:rPr>
                  </w:pPr>
                  <w:r>
                    <w:rPr>
                      <w:rFonts w:hint="eastAsia"/>
                      <w:szCs w:val="21"/>
                    </w:rPr>
                    <w:t>2</w:t>
                  </w:r>
                </w:p>
              </w:tc>
              <w:tc>
                <w:tcPr>
                  <w:tcW w:w="1755" w:type="dxa"/>
                  <w:vMerge w:val="restart"/>
                  <w:noWrap w:val="0"/>
                  <w:vAlign w:val="center"/>
                </w:tcPr>
                <w:p>
                  <w:pPr>
                    <w:spacing w:line="240" w:lineRule="exact"/>
                    <w:jc w:val="center"/>
                    <w:rPr>
                      <w:rFonts w:hint="eastAsia"/>
                      <w:szCs w:val="21"/>
                    </w:rPr>
                  </w:pPr>
                  <w:r>
                    <w:rPr>
                      <w:szCs w:val="21"/>
                    </w:rPr>
                    <w:t>施工工区</w:t>
                  </w:r>
                </w:p>
              </w:tc>
              <w:tc>
                <w:tcPr>
                  <w:tcW w:w="2055" w:type="dxa"/>
                  <w:vMerge w:val="restart"/>
                  <w:noWrap w:val="0"/>
                  <w:vAlign w:val="center"/>
                </w:tcPr>
                <w:p>
                  <w:pPr>
                    <w:spacing w:line="240" w:lineRule="exact"/>
                    <w:jc w:val="center"/>
                    <w:rPr>
                      <w:rFonts w:hint="eastAsia"/>
                      <w:szCs w:val="21"/>
                    </w:rPr>
                  </w:pPr>
                  <w:r>
                    <w:rPr>
                      <w:szCs w:val="21"/>
                    </w:rPr>
                    <w:t>工程措施</w:t>
                  </w:r>
                </w:p>
              </w:tc>
              <w:tc>
                <w:tcPr>
                  <w:tcW w:w="2400" w:type="dxa"/>
                  <w:noWrap w:val="0"/>
                  <w:vAlign w:val="center"/>
                </w:tcPr>
                <w:p>
                  <w:pPr>
                    <w:spacing w:line="240" w:lineRule="exact"/>
                    <w:jc w:val="center"/>
                    <w:rPr>
                      <w:rFonts w:hint="eastAsia"/>
                      <w:szCs w:val="21"/>
                    </w:rPr>
                  </w:pPr>
                  <w:r>
                    <w:rPr>
                      <w:szCs w:val="21"/>
                    </w:rPr>
                    <w:t>表土剥离</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vMerge w:val="continue"/>
                  <w:noWrap w:val="0"/>
                  <w:vAlign w:val="center"/>
                </w:tcPr>
                <w:p>
                  <w:pPr>
                    <w:pStyle w:val="272"/>
                    <w:rPr>
                      <w:rFonts w:hint="eastAsia"/>
                      <w:sz w:val="21"/>
                      <w:szCs w:val="21"/>
                    </w:rPr>
                  </w:pPr>
                </w:p>
              </w:tc>
              <w:tc>
                <w:tcPr>
                  <w:tcW w:w="2400" w:type="dxa"/>
                  <w:noWrap w:val="0"/>
                  <w:vAlign w:val="center"/>
                </w:tcPr>
                <w:p>
                  <w:pPr>
                    <w:spacing w:line="240" w:lineRule="exact"/>
                    <w:jc w:val="center"/>
                    <w:rPr>
                      <w:rFonts w:hint="eastAsia"/>
                      <w:szCs w:val="21"/>
                    </w:rPr>
                  </w:pPr>
                  <w:r>
                    <w:rPr>
                      <w:rFonts w:hint="eastAsia"/>
                      <w:szCs w:val="21"/>
                    </w:rPr>
                    <w:t>覆土</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植物措施</w:t>
                  </w:r>
                </w:p>
              </w:tc>
              <w:tc>
                <w:tcPr>
                  <w:tcW w:w="2400" w:type="dxa"/>
                  <w:noWrap w:val="0"/>
                  <w:vAlign w:val="center"/>
                </w:tcPr>
                <w:p>
                  <w:pPr>
                    <w:spacing w:line="240" w:lineRule="exact"/>
                    <w:jc w:val="center"/>
                    <w:rPr>
                      <w:rFonts w:hint="eastAsia"/>
                      <w:szCs w:val="21"/>
                    </w:rPr>
                  </w:pPr>
                  <w:r>
                    <w:rPr>
                      <w:rFonts w:hint="eastAsia"/>
                      <w:szCs w:val="21"/>
                    </w:rPr>
                    <w:t>复耕</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临时措施</w:t>
                  </w:r>
                </w:p>
              </w:tc>
              <w:tc>
                <w:tcPr>
                  <w:tcW w:w="2400" w:type="dxa"/>
                  <w:noWrap w:val="0"/>
                  <w:vAlign w:val="center"/>
                </w:tcPr>
                <w:p>
                  <w:pPr>
                    <w:spacing w:line="240" w:lineRule="exact"/>
                    <w:jc w:val="center"/>
                    <w:rPr>
                      <w:rFonts w:hint="eastAsia"/>
                      <w:szCs w:val="21"/>
                    </w:rPr>
                  </w:pPr>
                  <w:r>
                    <w:rPr>
                      <w:rFonts w:hint="eastAsia"/>
                      <w:szCs w:val="21"/>
                    </w:rPr>
                    <w:t>密目网遮盖</w:t>
                  </w:r>
                  <w:r>
                    <w:rPr>
                      <w:szCs w:val="21"/>
                    </w:rPr>
                    <w:t>措施</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restart"/>
                  <w:noWrap w:val="0"/>
                  <w:vAlign w:val="center"/>
                </w:tcPr>
                <w:p>
                  <w:pPr>
                    <w:spacing w:line="240" w:lineRule="exact"/>
                    <w:jc w:val="center"/>
                    <w:rPr>
                      <w:rFonts w:hint="eastAsia"/>
                      <w:szCs w:val="21"/>
                    </w:rPr>
                  </w:pPr>
                  <w:r>
                    <w:rPr>
                      <w:rFonts w:hint="eastAsia"/>
                      <w:szCs w:val="21"/>
                    </w:rPr>
                    <w:t>3</w:t>
                  </w:r>
                </w:p>
              </w:tc>
              <w:tc>
                <w:tcPr>
                  <w:tcW w:w="1755" w:type="dxa"/>
                  <w:vMerge w:val="restart"/>
                  <w:noWrap w:val="0"/>
                  <w:vAlign w:val="center"/>
                </w:tcPr>
                <w:p>
                  <w:pPr>
                    <w:spacing w:line="240" w:lineRule="exact"/>
                    <w:jc w:val="center"/>
                    <w:rPr>
                      <w:rFonts w:hint="eastAsia"/>
                      <w:szCs w:val="21"/>
                    </w:rPr>
                  </w:pPr>
                  <w:r>
                    <w:rPr>
                      <w:rFonts w:hint="eastAsia"/>
                      <w:szCs w:val="21"/>
                    </w:rPr>
                    <w:t>弃渣场区</w:t>
                  </w:r>
                </w:p>
              </w:tc>
              <w:tc>
                <w:tcPr>
                  <w:tcW w:w="2055" w:type="dxa"/>
                  <w:vMerge w:val="restart"/>
                  <w:noWrap w:val="0"/>
                  <w:vAlign w:val="center"/>
                </w:tcPr>
                <w:p>
                  <w:pPr>
                    <w:spacing w:line="240" w:lineRule="exact"/>
                    <w:jc w:val="center"/>
                    <w:rPr>
                      <w:rFonts w:hint="eastAsia"/>
                      <w:szCs w:val="21"/>
                    </w:rPr>
                  </w:pPr>
                  <w:r>
                    <w:rPr>
                      <w:szCs w:val="21"/>
                    </w:rPr>
                    <w:t>工程措施</w:t>
                  </w:r>
                </w:p>
              </w:tc>
              <w:tc>
                <w:tcPr>
                  <w:tcW w:w="2400" w:type="dxa"/>
                  <w:noWrap w:val="0"/>
                  <w:vAlign w:val="center"/>
                </w:tcPr>
                <w:p>
                  <w:pPr>
                    <w:spacing w:line="240" w:lineRule="exact"/>
                    <w:jc w:val="center"/>
                    <w:rPr>
                      <w:rFonts w:hint="eastAsia"/>
                      <w:szCs w:val="21"/>
                    </w:rPr>
                  </w:pPr>
                  <w:r>
                    <w:rPr>
                      <w:szCs w:val="21"/>
                    </w:rPr>
                    <w:t>表土剥离</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vMerge w:val="continue"/>
                  <w:noWrap w:val="0"/>
                  <w:vAlign w:val="center"/>
                </w:tcPr>
                <w:p>
                  <w:pPr>
                    <w:pStyle w:val="272"/>
                    <w:rPr>
                      <w:rFonts w:hint="eastAsia"/>
                      <w:sz w:val="21"/>
                      <w:szCs w:val="21"/>
                    </w:rPr>
                  </w:pPr>
                </w:p>
              </w:tc>
              <w:tc>
                <w:tcPr>
                  <w:tcW w:w="2400" w:type="dxa"/>
                  <w:noWrap w:val="0"/>
                  <w:vAlign w:val="center"/>
                </w:tcPr>
                <w:p>
                  <w:pPr>
                    <w:spacing w:line="240" w:lineRule="exact"/>
                    <w:jc w:val="center"/>
                    <w:rPr>
                      <w:rFonts w:hint="eastAsia"/>
                      <w:szCs w:val="21"/>
                    </w:rPr>
                  </w:pPr>
                  <w:r>
                    <w:rPr>
                      <w:rFonts w:hint="eastAsia"/>
                      <w:szCs w:val="21"/>
                    </w:rPr>
                    <w:t>覆土</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植物措施</w:t>
                  </w:r>
                </w:p>
              </w:tc>
              <w:tc>
                <w:tcPr>
                  <w:tcW w:w="2400" w:type="dxa"/>
                  <w:noWrap w:val="0"/>
                  <w:vAlign w:val="center"/>
                </w:tcPr>
                <w:p>
                  <w:pPr>
                    <w:spacing w:line="240" w:lineRule="exact"/>
                    <w:jc w:val="center"/>
                    <w:rPr>
                      <w:rFonts w:hint="eastAsia"/>
                      <w:szCs w:val="21"/>
                    </w:rPr>
                  </w:pPr>
                  <w:r>
                    <w:rPr>
                      <w:rFonts w:hint="eastAsia"/>
                      <w:szCs w:val="21"/>
                    </w:rPr>
                    <w:t>植草绿化</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临时措施</w:t>
                  </w:r>
                </w:p>
              </w:tc>
              <w:tc>
                <w:tcPr>
                  <w:tcW w:w="2400" w:type="dxa"/>
                  <w:noWrap w:val="0"/>
                  <w:vAlign w:val="center"/>
                </w:tcPr>
                <w:p>
                  <w:pPr>
                    <w:spacing w:line="240" w:lineRule="exact"/>
                    <w:jc w:val="center"/>
                    <w:rPr>
                      <w:rFonts w:hint="eastAsia"/>
                      <w:szCs w:val="21"/>
                    </w:rPr>
                  </w:pPr>
                  <w:r>
                    <w:rPr>
                      <w:rFonts w:hint="eastAsia"/>
                      <w:szCs w:val="21"/>
                    </w:rPr>
                    <w:t>密目网遮盖</w:t>
                  </w:r>
                  <w:r>
                    <w:rPr>
                      <w:szCs w:val="21"/>
                    </w:rPr>
                    <w:t>措施</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721" w:type="dxa"/>
                  <w:vMerge w:val="restart"/>
                  <w:noWrap w:val="0"/>
                  <w:vAlign w:val="center"/>
                </w:tcPr>
                <w:p>
                  <w:pPr>
                    <w:spacing w:line="240" w:lineRule="exact"/>
                    <w:jc w:val="center"/>
                    <w:rPr>
                      <w:rFonts w:hint="eastAsia"/>
                      <w:szCs w:val="21"/>
                    </w:rPr>
                  </w:pPr>
                  <w:r>
                    <w:rPr>
                      <w:rFonts w:hint="eastAsia"/>
                      <w:szCs w:val="21"/>
                    </w:rPr>
                    <w:t>4</w:t>
                  </w:r>
                </w:p>
              </w:tc>
              <w:tc>
                <w:tcPr>
                  <w:tcW w:w="1755" w:type="dxa"/>
                  <w:vMerge w:val="restart"/>
                  <w:noWrap w:val="0"/>
                  <w:vAlign w:val="center"/>
                </w:tcPr>
                <w:p>
                  <w:pPr>
                    <w:spacing w:line="240" w:lineRule="exact"/>
                    <w:jc w:val="center"/>
                    <w:rPr>
                      <w:rFonts w:hint="eastAsia"/>
                      <w:szCs w:val="21"/>
                    </w:rPr>
                  </w:pPr>
                  <w:r>
                    <w:rPr>
                      <w:rFonts w:hint="eastAsia"/>
                      <w:szCs w:val="21"/>
                    </w:rPr>
                    <w:t>施工道路</w:t>
                  </w:r>
                  <w:r>
                    <w:rPr>
                      <w:szCs w:val="21"/>
                    </w:rPr>
                    <w:t>区</w:t>
                  </w:r>
                </w:p>
              </w:tc>
              <w:tc>
                <w:tcPr>
                  <w:tcW w:w="2055" w:type="dxa"/>
                  <w:vMerge w:val="restart"/>
                  <w:noWrap w:val="0"/>
                  <w:vAlign w:val="center"/>
                </w:tcPr>
                <w:p>
                  <w:pPr>
                    <w:spacing w:line="240" w:lineRule="exact"/>
                    <w:jc w:val="center"/>
                    <w:rPr>
                      <w:rFonts w:hint="eastAsia"/>
                      <w:szCs w:val="21"/>
                    </w:rPr>
                  </w:pPr>
                  <w:r>
                    <w:rPr>
                      <w:szCs w:val="21"/>
                    </w:rPr>
                    <w:t>工程措施</w:t>
                  </w:r>
                </w:p>
              </w:tc>
              <w:tc>
                <w:tcPr>
                  <w:tcW w:w="2400" w:type="dxa"/>
                  <w:noWrap w:val="0"/>
                  <w:vAlign w:val="center"/>
                </w:tcPr>
                <w:p>
                  <w:pPr>
                    <w:spacing w:line="240" w:lineRule="exact"/>
                    <w:jc w:val="center"/>
                    <w:rPr>
                      <w:rFonts w:hint="eastAsia"/>
                      <w:szCs w:val="21"/>
                    </w:rPr>
                  </w:pPr>
                  <w:r>
                    <w:rPr>
                      <w:szCs w:val="21"/>
                    </w:rPr>
                    <w:t>表土剥离</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vMerge w:val="continue"/>
                  <w:noWrap w:val="0"/>
                  <w:vAlign w:val="center"/>
                </w:tcPr>
                <w:p>
                  <w:pPr>
                    <w:pStyle w:val="272"/>
                    <w:rPr>
                      <w:rFonts w:hint="eastAsia"/>
                      <w:sz w:val="21"/>
                      <w:szCs w:val="21"/>
                    </w:rPr>
                  </w:pPr>
                </w:p>
              </w:tc>
              <w:tc>
                <w:tcPr>
                  <w:tcW w:w="2400" w:type="dxa"/>
                  <w:noWrap w:val="0"/>
                  <w:vAlign w:val="center"/>
                </w:tcPr>
                <w:p>
                  <w:pPr>
                    <w:spacing w:line="240" w:lineRule="exact"/>
                    <w:jc w:val="center"/>
                    <w:rPr>
                      <w:rFonts w:hint="eastAsia"/>
                      <w:szCs w:val="21"/>
                    </w:rPr>
                  </w:pPr>
                  <w:r>
                    <w:rPr>
                      <w:rFonts w:hint="eastAsia"/>
                      <w:szCs w:val="21"/>
                    </w:rPr>
                    <w:t>覆土</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植物措施</w:t>
                  </w:r>
                </w:p>
              </w:tc>
              <w:tc>
                <w:tcPr>
                  <w:tcW w:w="2400" w:type="dxa"/>
                  <w:noWrap w:val="0"/>
                  <w:vAlign w:val="center"/>
                </w:tcPr>
                <w:p>
                  <w:pPr>
                    <w:spacing w:line="240" w:lineRule="exact"/>
                    <w:jc w:val="center"/>
                    <w:rPr>
                      <w:rFonts w:hint="eastAsia"/>
                      <w:szCs w:val="21"/>
                    </w:rPr>
                  </w:pPr>
                  <w:r>
                    <w:rPr>
                      <w:rFonts w:hint="eastAsia"/>
                      <w:szCs w:val="21"/>
                    </w:rPr>
                    <w:t>植草绿化</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临时措施</w:t>
                  </w:r>
                </w:p>
              </w:tc>
              <w:tc>
                <w:tcPr>
                  <w:tcW w:w="2400" w:type="dxa"/>
                  <w:noWrap w:val="0"/>
                  <w:vAlign w:val="center"/>
                </w:tcPr>
                <w:p>
                  <w:pPr>
                    <w:spacing w:line="240" w:lineRule="exact"/>
                    <w:jc w:val="center"/>
                    <w:rPr>
                      <w:rFonts w:hint="eastAsia"/>
                      <w:szCs w:val="21"/>
                    </w:rPr>
                  </w:pPr>
                  <w:r>
                    <w:rPr>
                      <w:szCs w:val="21"/>
                    </w:rPr>
                    <w:t>截排水措施</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restart"/>
                  <w:noWrap w:val="0"/>
                  <w:vAlign w:val="center"/>
                </w:tcPr>
                <w:p>
                  <w:pPr>
                    <w:spacing w:line="240" w:lineRule="exact"/>
                    <w:jc w:val="center"/>
                    <w:rPr>
                      <w:rFonts w:hint="eastAsia"/>
                      <w:szCs w:val="21"/>
                    </w:rPr>
                  </w:pPr>
                  <w:r>
                    <w:rPr>
                      <w:rFonts w:hint="eastAsia"/>
                      <w:szCs w:val="21"/>
                    </w:rPr>
                    <w:t>5</w:t>
                  </w:r>
                </w:p>
              </w:tc>
              <w:tc>
                <w:tcPr>
                  <w:tcW w:w="1755" w:type="dxa"/>
                  <w:vMerge w:val="restart"/>
                  <w:noWrap w:val="0"/>
                  <w:vAlign w:val="center"/>
                </w:tcPr>
                <w:p>
                  <w:pPr>
                    <w:spacing w:line="240" w:lineRule="exact"/>
                    <w:jc w:val="center"/>
                    <w:rPr>
                      <w:rFonts w:hint="eastAsia"/>
                      <w:szCs w:val="21"/>
                    </w:rPr>
                  </w:pPr>
                  <w:r>
                    <w:rPr>
                      <w:rFonts w:hint="eastAsia"/>
                      <w:szCs w:val="21"/>
                    </w:rPr>
                    <w:t>渠道施工作业带区</w:t>
                  </w:r>
                </w:p>
              </w:tc>
              <w:tc>
                <w:tcPr>
                  <w:tcW w:w="2055" w:type="dxa"/>
                  <w:vMerge w:val="restart"/>
                  <w:noWrap w:val="0"/>
                  <w:vAlign w:val="center"/>
                </w:tcPr>
                <w:p>
                  <w:pPr>
                    <w:spacing w:line="240" w:lineRule="exact"/>
                    <w:jc w:val="center"/>
                    <w:rPr>
                      <w:rFonts w:hint="eastAsia"/>
                      <w:szCs w:val="21"/>
                    </w:rPr>
                  </w:pPr>
                  <w:r>
                    <w:rPr>
                      <w:szCs w:val="21"/>
                    </w:rPr>
                    <w:t>工程措施</w:t>
                  </w:r>
                </w:p>
              </w:tc>
              <w:tc>
                <w:tcPr>
                  <w:tcW w:w="2400" w:type="dxa"/>
                  <w:noWrap w:val="0"/>
                  <w:vAlign w:val="center"/>
                </w:tcPr>
                <w:p>
                  <w:pPr>
                    <w:spacing w:line="240" w:lineRule="exact"/>
                    <w:jc w:val="center"/>
                    <w:rPr>
                      <w:rFonts w:hint="eastAsia"/>
                      <w:szCs w:val="21"/>
                    </w:rPr>
                  </w:pPr>
                  <w:r>
                    <w:rPr>
                      <w:szCs w:val="21"/>
                    </w:rPr>
                    <w:t>表土剥离</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vMerge w:val="continue"/>
                  <w:noWrap w:val="0"/>
                  <w:vAlign w:val="center"/>
                </w:tcPr>
                <w:p>
                  <w:pPr>
                    <w:pStyle w:val="272"/>
                    <w:rPr>
                      <w:rFonts w:hint="eastAsia"/>
                      <w:sz w:val="21"/>
                      <w:szCs w:val="21"/>
                    </w:rPr>
                  </w:pPr>
                </w:p>
              </w:tc>
              <w:tc>
                <w:tcPr>
                  <w:tcW w:w="2400" w:type="dxa"/>
                  <w:noWrap w:val="0"/>
                  <w:vAlign w:val="center"/>
                </w:tcPr>
                <w:p>
                  <w:pPr>
                    <w:spacing w:line="240" w:lineRule="exact"/>
                    <w:jc w:val="center"/>
                    <w:rPr>
                      <w:rFonts w:hint="eastAsia"/>
                      <w:szCs w:val="21"/>
                    </w:rPr>
                  </w:pPr>
                  <w:r>
                    <w:rPr>
                      <w:rFonts w:hint="eastAsia"/>
                      <w:szCs w:val="21"/>
                    </w:rPr>
                    <w:t>覆土</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植物措施</w:t>
                  </w:r>
                </w:p>
              </w:tc>
              <w:tc>
                <w:tcPr>
                  <w:tcW w:w="2400" w:type="dxa"/>
                  <w:noWrap w:val="0"/>
                  <w:vAlign w:val="center"/>
                </w:tcPr>
                <w:p>
                  <w:pPr>
                    <w:spacing w:line="240" w:lineRule="exact"/>
                    <w:jc w:val="center"/>
                    <w:rPr>
                      <w:rFonts w:hint="eastAsia"/>
                      <w:szCs w:val="21"/>
                    </w:rPr>
                  </w:pPr>
                  <w:r>
                    <w:rPr>
                      <w:rFonts w:hint="eastAsia"/>
                      <w:szCs w:val="21"/>
                    </w:rPr>
                    <w:t>复耕、植草绿化</w:t>
                  </w:r>
                </w:p>
              </w:tc>
              <w:tc>
                <w:tcPr>
                  <w:tcW w:w="1310" w:type="dxa"/>
                  <w:noWrap w:val="0"/>
                  <w:vAlign w:val="center"/>
                </w:tcPr>
                <w:p>
                  <w:pPr>
                    <w:spacing w:line="24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vMerge w:val="continue"/>
                  <w:noWrap w:val="0"/>
                  <w:vAlign w:val="center"/>
                </w:tcPr>
                <w:p>
                  <w:pPr>
                    <w:pStyle w:val="272"/>
                    <w:rPr>
                      <w:rFonts w:hint="eastAsia"/>
                      <w:sz w:val="21"/>
                      <w:szCs w:val="21"/>
                    </w:rPr>
                  </w:pPr>
                </w:p>
              </w:tc>
              <w:tc>
                <w:tcPr>
                  <w:tcW w:w="1755" w:type="dxa"/>
                  <w:vMerge w:val="continue"/>
                  <w:noWrap w:val="0"/>
                  <w:vAlign w:val="center"/>
                </w:tcPr>
                <w:p>
                  <w:pPr>
                    <w:pStyle w:val="272"/>
                    <w:rPr>
                      <w:rFonts w:hint="eastAsia"/>
                      <w:sz w:val="21"/>
                      <w:szCs w:val="21"/>
                    </w:rPr>
                  </w:pPr>
                </w:p>
              </w:tc>
              <w:tc>
                <w:tcPr>
                  <w:tcW w:w="2055" w:type="dxa"/>
                  <w:noWrap w:val="0"/>
                  <w:vAlign w:val="center"/>
                </w:tcPr>
                <w:p>
                  <w:pPr>
                    <w:spacing w:line="240" w:lineRule="exact"/>
                    <w:jc w:val="center"/>
                    <w:rPr>
                      <w:rFonts w:hint="eastAsia"/>
                      <w:szCs w:val="21"/>
                    </w:rPr>
                  </w:pPr>
                  <w:r>
                    <w:rPr>
                      <w:szCs w:val="21"/>
                    </w:rPr>
                    <w:t>临时措施</w:t>
                  </w:r>
                </w:p>
              </w:tc>
              <w:tc>
                <w:tcPr>
                  <w:tcW w:w="2400" w:type="dxa"/>
                  <w:noWrap w:val="0"/>
                  <w:vAlign w:val="center"/>
                </w:tcPr>
                <w:p>
                  <w:pPr>
                    <w:spacing w:line="240" w:lineRule="exact"/>
                    <w:jc w:val="center"/>
                    <w:rPr>
                      <w:rFonts w:hint="eastAsia"/>
                      <w:szCs w:val="21"/>
                    </w:rPr>
                  </w:pPr>
                  <w:r>
                    <w:rPr>
                      <w:rFonts w:hint="eastAsia"/>
                      <w:szCs w:val="21"/>
                    </w:rPr>
                    <w:t>密目网遮盖</w:t>
                  </w:r>
                  <w:r>
                    <w:rPr>
                      <w:szCs w:val="21"/>
                    </w:rPr>
                    <w:t>措施</w:t>
                  </w:r>
                </w:p>
              </w:tc>
              <w:tc>
                <w:tcPr>
                  <w:tcW w:w="1310" w:type="dxa"/>
                  <w:noWrap w:val="0"/>
                  <w:vAlign w:val="center"/>
                </w:tcPr>
                <w:p>
                  <w:pPr>
                    <w:spacing w:line="240" w:lineRule="exact"/>
                    <w:jc w:val="center"/>
                    <w:rPr>
                      <w:rFonts w:hint="eastAsia"/>
                      <w:szCs w:val="21"/>
                    </w:rPr>
                  </w:pPr>
                </w:p>
              </w:tc>
            </w:tr>
          </w:tbl>
          <w:p>
            <w:pPr>
              <w:pStyle w:val="138"/>
              <w:rPr>
                <w:rFonts w:hint="eastAsia"/>
              </w:rPr>
            </w:pPr>
            <w:r>
              <w:rPr>
                <w:rFonts w:hint="eastAsia"/>
                <w:color w:val="000000"/>
              </w:rPr>
              <w:t>施工结束后进行绿化覆土，为植物绿化创造基础；通过以上措施形成本项目完整的水土流失防治体系，达到改善项目区生态环境的目的。</w:t>
            </w:r>
          </w:p>
          <w:p>
            <w:pPr>
              <w:widowControl/>
              <w:spacing w:line="360" w:lineRule="auto"/>
              <w:jc w:val="left"/>
              <w:rPr>
                <w:b/>
                <w:color w:val="000000"/>
                <w:kern w:val="0"/>
                <w:sz w:val="28"/>
                <w:szCs w:val="28"/>
                <w:lang w:bidi="ar"/>
              </w:rPr>
            </w:pPr>
            <w:r>
              <w:rPr>
                <w:b/>
                <w:color w:val="000000"/>
                <w:kern w:val="0"/>
                <w:sz w:val="28"/>
                <w:szCs w:val="28"/>
                <w:lang w:bidi="ar"/>
              </w:rPr>
              <w:t>2</w:t>
            </w:r>
            <w:r>
              <w:rPr>
                <w:rFonts w:hAnsi="宋体"/>
                <w:b/>
                <w:color w:val="000000"/>
                <w:kern w:val="0"/>
                <w:sz w:val="28"/>
                <w:szCs w:val="28"/>
                <w:lang w:bidi="ar"/>
              </w:rPr>
              <w:t>、地表水环境保护措施</w:t>
            </w:r>
            <w:r>
              <w:rPr>
                <w:b/>
                <w:color w:val="000000"/>
                <w:kern w:val="0"/>
                <w:sz w:val="28"/>
                <w:szCs w:val="28"/>
                <w:lang w:bidi="ar"/>
              </w:rPr>
              <w:t xml:space="preserve"> </w:t>
            </w:r>
          </w:p>
          <w:p>
            <w:pPr>
              <w:pStyle w:val="21"/>
              <w:snapToGrid w:val="0"/>
              <w:spacing w:line="360" w:lineRule="auto"/>
              <w:ind w:left="0" w:firstLine="480" w:firstLineChars="200"/>
              <w:jc w:val="left"/>
              <w:rPr>
                <w:b/>
                <w:bCs/>
                <w:color w:val="000000"/>
              </w:rPr>
            </w:pPr>
            <w:r>
              <w:rPr>
                <w:rFonts w:hint="eastAsia"/>
                <w:bCs/>
                <w:snapToGrid w:val="0"/>
                <w:color w:val="000000"/>
                <w:kern w:val="0"/>
              </w:rPr>
              <w:t>根据环境影响分析，</w:t>
            </w:r>
            <w:r>
              <w:rPr>
                <w:rFonts w:hint="eastAsia"/>
                <w:color w:val="000000"/>
              </w:rPr>
              <w:t>项目施工期废水主要为砼砂浆拌和系统和砼养护冲洗废水、施工人员生活污水。</w:t>
            </w:r>
          </w:p>
          <w:p>
            <w:pPr>
              <w:pStyle w:val="138"/>
              <w:ind w:firstLine="482"/>
              <w:rPr>
                <w:rFonts w:hint="eastAsia"/>
                <w:b/>
                <w:bCs/>
                <w:color w:val="000000"/>
              </w:rPr>
            </w:pPr>
            <w:r>
              <w:rPr>
                <w:rFonts w:hint="eastAsia"/>
                <w:b/>
                <w:bCs/>
                <w:color w:val="000000"/>
              </w:rPr>
              <w:t>（1）砼砂浆拌和系统和砼养护冲洗废水</w:t>
            </w:r>
          </w:p>
          <w:p>
            <w:pPr>
              <w:wordWrap w:val="0"/>
              <w:adjustRightInd w:val="0"/>
              <w:snapToGrid w:val="0"/>
              <w:spacing w:line="360" w:lineRule="auto"/>
              <w:ind w:firstLine="480" w:firstLineChars="200"/>
              <w:jc w:val="left"/>
              <w:rPr>
                <w:rFonts w:hint="eastAsia"/>
                <w:color w:val="000000"/>
              </w:rPr>
            </w:pPr>
            <w:r>
              <w:rPr>
                <w:rFonts w:hint="eastAsia"/>
                <w:color w:val="000000"/>
                <w:sz w:val="24"/>
              </w:rPr>
              <w:t>修建澄清池</w:t>
            </w:r>
            <w:r>
              <w:rPr>
                <w:rFonts w:hint="eastAsia"/>
                <w:color w:val="000000"/>
                <w:sz w:val="24"/>
                <w:lang w:val="en-US" w:eastAsia="zh-CN"/>
              </w:rPr>
              <w:t>13</w:t>
            </w:r>
            <w:r>
              <w:rPr>
                <w:rFonts w:hint="eastAsia"/>
                <w:color w:val="000000"/>
                <w:sz w:val="24"/>
              </w:rPr>
              <w:t>个，施工废水不能进入附近水体，利用主体工程开挖的排水沟、集水沟汇集生产废水，采取自然坑储澄清处理生产废水，经沉淀后，清水用于砼砂浆拌和机用水，工程完工后对澄清池进行填埋。</w:t>
            </w:r>
          </w:p>
          <w:p>
            <w:pPr>
              <w:pStyle w:val="138"/>
              <w:ind w:firstLine="482"/>
              <w:rPr>
                <w:rFonts w:hint="eastAsia"/>
                <w:b/>
                <w:bCs/>
                <w:color w:val="000000"/>
              </w:rPr>
            </w:pPr>
            <w:r>
              <w:rPr>
                <w:rFonts w:hint="eastAsia"/>
                <w:b/>
                <w:bCs/>
                <w:color w:val="000000"/>
              </w:rPr>
              <w:t>（2）施工人员生活污水</w:t>
            </w:r>
          </w:p>
          <w:p>
            <w:pPr>
              <w:pStyle w:val="223"/>
              <w:bidi w:val="0"/>
              <w:rPr>
                <w:rFonts w:ascii="Times New Roman" w:hAnsi="Times New Roman"/>
                <w:b/>
                <w:color w:val="000000"/>
                <w:kern w:val="0"/>
                <w:sz w:val="24"/>
              </w:rPr>
            </w:pPr>
            <w:r>
              <w:rPr>
                <w:rFonts w:hint="eastAsia" w:ascii="宋体" w:hAnsi="宋体" w:cs="宋体"/>
                <w:bCs/>
                <w:color w:val="000000"/>
                <w:kern w:val="0"/>
                <w:sz w:val="24"/>
              </w:rPr>
              <w:t>本项目</w:t>
            </w:r>
            <w:r>
              <w:rPr>
                <w:rFonts w:hint="eastAsia" w:ascii="宋体" w:hAnsi="宋体" w:cs="宋体"/>
                <w:bCs/>
                <w:color w:val="000000"/>
                <w:kern w:val="0"/>
                <w:sz w:val="24"/>
                <w:lang w:eastAsia="zh-CN"/>
              </w:rPr>
              <w:t>施工期生活污水</w:t>
            </w:r>
            <w:r>
              <w:rPr>
                <w:rFonts w:hint="eastAsia"/>
              </w:rPr>
              <w:t>依托周边既有生活污水处理设施处理</w:t>
            </w:r>
            <w:r>
              <w:rPr>
                <w:rFonts w:ascii="Times New Roman" w:hAnsi="Times New Roman"/>
                <w:bCs/>
                <w:color w:val="000000"/>
                <w:kern w:val="0"/>
                <w:sz w:val="24"/>
              </w:rPr>
              <w:t>，不外排。</w:t>
            </w:r>
            <w:r>
              <w:rPr>
                <w:rFonts w:ascii="Times New Roman" w:hAnsi="Times New Roman"/>
                <w:color w:val="000000"/>
                <w:kern w:val="0"/>
                <w:sz w:val="24"/>
              </w:rPr>
              <w:t>对周围地表水环境无直接影响。</w:t>
            </w:r>
          </w:p>
          <w:p>
            <w:pPr>
              <w:wordWrap w:val="0"/>
              <w:adjustRightInd w:val="0"/>
              <w:snapToGrid w:val="0"/>
              <w:spacing w:line="360" w:lineRule="auto"/>
              <w:ind w:firstLine="482" w:firstLineChars="200"/>
              <w:jc w:val="left"/>
              <w:rPr>
                <w:rFonts w:ascii="宋体" w:hAnsi="宋体" w:cs="宋体"/>
                <w:color w:val="000000"/>
                <w:kern w:val="0"/>
                <w:sz w:val="24"/>
              </w:rPr>
            </w:pPr>
            <w:r>
              <w:rPr>
                <w:rFonts w:hint="eastAsia" w:ascii="宋体" w:hAnsi="宋体" w:cs="宋体"/>
                <w:b/>
                <w:color w:val="000000"/>
                <w:kern w:val="0"/>
                <w:sz w:val="24"/>
              </w:rPr>
              <w:t>本次评价要求严禁施工期废水未经处理直接排入地表水水体。</w:t>
            </w:r>
          </w:p>
          <w:p>
            <w:pPr>
              <w:widowControl/>
              <w:spacing w:line="360" w:lineRule="auto"/>
              <w:jc w:val="left"/>
              <w:rPr>
                <w:b/>
                <w:color w:val="000000"/>
                <w:kern w:val="0"/>
                <w:sz w:val="28"/>
                <w:szCs w:val="28"/>
                <w:lang w:bidi="ar"/>
              </w:rPr>
            </w:pPr>
            <w:r>
              <w:rPr>
                <w:b/>
                <w:color w:val="000000"/>
                <w:kern w:val="0"/>
                <w:sz w:val="28"/>
                <w:szCs w:val="28"/>
                <w:lang w:bidi="ar"/>
              </w:rPr>
              <w:t>3</w:t>
            </w:r>
            <w:r>
              <w:rPr>
                <w:rFonts w:hAnsi="宋体"/>
                <w:b/>
                <w:color w:val="000000"/>
                <w:kern w:val="0"/>
                <w:sz w:val="28"/>
                <w:szCs w:val="28"/>
                <w:lang w:bidi="ar"/>
              </w:rPr>
              <w:t>、大气环境保护措施</w:t>
            </w:r>
            <w:r>
              <w:rPr>
                <w:b/>
                <w:color w:val="000000"/>
                <w:kern w:val="0"/>
                <w:sz w:val="28"/>
                <w:szCs w:val="28"/>
                <w:lang w:bidi="ar"/>
              </w:rPr>
              <w:t xml:space="preserve"> </w:t>
            </w:r>
          </w:p>
          <w:p>
            <w:pPr>
              <w:spacing w:line="360" w:lineRule="auto"/>
              <w:ind w:firstLine="480" w:firstLineChars="200"/>
              <w:rPr>
                <w:rFonts w:hint="eastAsia"/>
                <w:color w:val="000000"/>
                <w:kern w:val="0"/>
                <w:sz w:val="24"/>
                <w:lang w:bidi="ar"/>
              </w:rPr>
            </w:pPr>
            <w:r>
              <w:rPr>
                <w:rFonts w:hint="eastAsia"/>
                <w:color w:val="000000"/>
                <w:kern w:val="0"/>
                <w:sz w:val="24"/>
                <w:lang w:bidi="ar"/>
              </w:rPr>
              <w:t>（1）施工扬尘</w:t>
            </w:r>
          </w:p>
          <w:p>
            <w:pPr>
              <w:spacing w:line="360" w:lineRule="auto"/>
              <w:ind w:firstLine="480" w:firstLineChars="200"/>
              <w:rPr>
                <w:rFonts w:hint="eastAsia" w:eastAsia="宋体"/>
                <w:color w:val="000000"/>
                <w:kern w:val="0"/>
                <w:sz w:val="24"/>
                <w:lang w:eastAsia="zh-CN" w:bidi="ar"/>
              </w:rPr>
            </w:pPr>
            <w:r>
              <w:rPr>
                <w:rFonts w:hint="eastAsia"/>
                <w:color w:val="000000"/>
                <w:kern w:val="0"/>
                <w:sz w:val="24"/>
                <w:lang w:bidi="ar"/>
              </w:rPr>
              <w:t>开挖过程尽量采用湿式除尘作业减少粉尘扬起，是水利工程施工中最有效、经济简便易行的除尘方法。在土料场等多开挖作业面配备人员及设备进行定期洒水；施工人员应加强个人防护，采取佩戴防尘口罩等个人防护措施。施工弃渣及时清运至处理。本项目管槽开挖、填埋、修砌逐段施工。施工时间短，施工结束后，产生的扬尘也随之结束</w:t>
            </w:r>
            <w:r>
              <w:rPr>
                <w:rFonts w:hint="eastAsia"/>
                <w:color w:val="000000"/>
                <w:kern w:val="0"/>
                <w:sz w:val="24"/>
                <w:lang w:eastAsia="zh-CN" w:bidi="ar"/>
              </w:rPr>
              <w:t>；</w:t>
            </w:r>
            <w:r>
              <w:rPr>
                <w:rFonts w:hint="eastAsia"/>
                <w:bCs/>
                <w:color w:val="000000"/>
                <w:kern w:val="0"/>
                <w:sz w:val="24"/>
                <w:lang w:bidi="ar"/>
              </w:rPr>
              <w:t>拌和点配套洒水降尘设施</w:t>
            </w:r>
            <w:r>
              <w:rPr>
                <w:rFonts w:hint="eastAsia"/>
                <w:bCs/>
                <w:color w:val="000000"/>
                <w:kern w:val="0"/>
                <w:sz w:val="24"/>
                <w:lang w:eastAsia="zh-CN" w:bidi="ar"/>
              </w:rPr>
              <w:t>，</w:t>
            </w:r>
            <w:r>
              <w:rPr>
                <w:rFonts w:hint="eastAsia"/>
                <w:bCs/>
                <w:color w:val="000000"/>
                <w:kern w:val="0"/>
                <w:sz w:val="24"/>
                <w:lang w:bidi="ar"/>
              </w:rPr>
              <w:t>施工完成后应进行迹地恢复，立即植树绿化，以减轻对环境的影响。</w:t>
            </w:r>
          </w:p>
          <w:p>
            <w:pPr>
              <w:spacing w:line="360" w:lineRule="auto"/>
              <w:ind w:firstLine="480" w:firstLineChars="200"/>
              <w:rPr>
                <w:rFonts w:hint="eastAsia"/>
                <w:color w:val="000000"/>
                <w:kern w:val="0"/>
                <w:sz w:val="24"/>
                <w:lang w:bidi="ar"/>
              </w:rPr>
            </w:pPr>
            <w:r>
              <w:rPr>
                <w:rFonts w:hint="eastAsia"/>
                <w:color w:val="000000"/>
                <w:kern w:val="0"/>
                <w:sz w:val="24"/>
                <w:lang w:bidi="ar"/>
              </w:rPr>
              <w:t>（2）运输路线扬尘控制</w:t>
            </w:r>
          </w:p>
          <w:p>
            <w:pPr>
              <w:spacing w:line="360" w:lineRule="auto"/>
              <w:ind w:firstLine="480" w:firstLineChars="200"/>
              <w:rPr>
                <w:rFonts w:hint="eastAsia"/>
                <w:color w:val="000000"/>
                <w:kern w:val="0"/>
                <w:sz w:val="24"/>
                <w:lang w:bidi="ar"/>
              </w:rPr>
            </w:pPr>
            <w:r>
              <w:rPr>
                <w:rFonts w:hint="eastAsia"/>
                <w:color w:val="000000"/>
                <w:kern w:val="0"/>
                <w:sz w:val="24"/>
                <w:lang w:bidi="ar"/>
              </w:rPr>
              <w:t>车辆扬尘量与公路路面尘土、道路损坏、装载的物料特性及车速等因素有关，只要有效控制扬尘来源，可有效减少扬尘。运输通过临时性道路和土路时，实施车辆速度限制，防止车速过快产生扬尘污染环境。施工阶段对汽车行驶路面勤洒水，每天3~4次，则可以使空气中粉尘量减少70%左右，可以收到很好的降尘效果。各工区在无雨日和干燥大风天气情况洒水频率加密，重点洒水路段为进场公路路段。做好运输车辆的密封，减少因弃渣、砂、土的外泄造成的扬尘污染。凡运送土石方等道路材料的运货车，都应用蓬布覆盖，避免一路扬尘。在施工场地出口设置车辆冲洗系统，车辆在离开施工场地时用软管冲洗轮胎，减少车轮、底盘等携带泥土散落路面。</w:t>
            </w:r>
          </w:p>
          <w:p>
            <w:pPr>
              <w:spacing w:line="360" w:lineRule="auto"/>
              <w:ind w:firstLine="480" w:firstLineChars="200"/>
              <w:rPr>
                <w:rFonts w:hint="eastAsia"/>
                <w:color w:val="000000"/>
                <w:kern w:val="0"/>
                <w:sz w:val="24"/>
                <w:lang w:bidi="ar"/>
              </w:rPr>
            </w:pPr>
            <w:r>
              <w:rPr>
                <w:rFonts w:hint="eastAsia"/>
                <w:color w:val="000000"/>
                <w:kern w:val="0"/>
                <w:sz w:val="24"/>
                <w:lang w:bidi="ar"/>
              </w:rPr>
              <w:t>（3）场地风蚀扬尘控制</w:t>
            </w:r>
          </w:p>
          <w:p>
            <w:pPr>
              <w:pStyle w:val="121"/>
              <w:ind w:firstLine="480"/>
              <w:rPr>
                <w:rFonts w:ascii="Times New Roman" w:hAnsi="Times New Roman"/>
                <w:color w:val="000000"/>
                <w:kern w:val="0"/>
                <w:szCs w:val="20"/>
                <w:lang w:bidi="ar"/>
              </w:rPr>
            </w:pPr>
            <w:r>
              <w:rPr>
                <w:rFonts w:ascii="Times New Roman" w:hAnsi="Times New Roman"/>
                <w:color w:val="000000"/>
                <w:kern w:val="0"/>
                <w:szCs w:val="20"/>
                <w:lang w:bidi="ar"/>
              </w:rPr>
              <w:t>右干渠施工场地开挖拆除废料设立渣土存放场地，并及时清运渣土到指定的弃渣场进行处理。工程材料、砂石、土方或渣土在施工工地、临时堆场堆置时，应采取覆盖防尘布。做好施工场地、土料场以及临时堆场等场地内的定期洒水措施，防治风蚀扬尘。</w:t>
            </w:r>
          </w:p>
          <w:p>
            <w:pPr>
              <w:pStyle w:val="121"/>
              <w:ind w:firstLine="480"/>
              <w:rPr>
                <w:rFonts w:hint="eastAsia" w:ascii="Times New Roman" w:hAnsi="Times New Roman"/>
                <w:color w:val="000000"/>
                <w:kern w:val="0"/>
                <w:szCs w:val="20"/>
                <w:lang w:eastAsia="zh-CN" w:bidi="ar"/>
              </w:rPr>
            </w:pPr>
            <w:r>
              <w:rPr>
                <w:rFonts w:hint="eastAsia" w:ascii="Times New Roman" w:hAnsi="Times New Roman"/>
                <w:color w:val="000000"/>
                <w:kern w:val="0"/>
                <w:szCs w:val="20"/>
                <w:lang w:eastAsia="zh-CN" w:bidi="ar"/>
              </w:rPr>
              <w:t>（</w:t>
            </w:r>
            <w:r>
              <w:rPr>
                <w:rFonts w:hint="eastAsia" w:ascii="Times New Roman" w:hAnsi="Times New Roman"/>
                <w:color w:val="000000"/>
                <w:kern w:val="0"/>
                <w:szCs w:val="20"/>
                <w:lang w:val="en-US" w:eastAsia="zh-CN" w:bidi="ar"/>
              </w:rPr>
              <w:t>4</w:t>
            </w:r>
            <w:r>
              <w:rPr>
                <w:rFonts w:hint="eastAsia" w:ascii="Times New Roman" w:hAnsi="Times New Roman"/>
                <w:color w:val="000000"/>
                <w:kern w:val="0"/>
                <w:szCs w:val="20"/>
                <w:lang w:eastAsia="zh-CN" w:bidi="ar"/>
              </w:rPr>
              <w:t>）沥青烟</w:t>
            </w:r>
          </w:p>
          <w:p>
            <w:pPr>
              <w:pStyle w:val="223"/>
              <w:bidi w:val="0"/>
              <w:rPr>
                <w:rFonts w:ascii="宋体" w:hAnsi="宋体"/>
                <w:bCs/>
              </w:rPr>
            </w:pPr>
            <w:r>
              <w:rPr>
                <w:rFonts w:ascii="宋体" w:hAnsi="宋体"/>
                <w:bCs/>
              </w:rPr>
              <w:t>沥青烟气中含有THC、PM</w:t>
            </w:r>
            <w:r>
              <w:rPr>
                <w:rFonts w:ascii="宋体" w:hAnsi="宋体"/>
                <w:bCs/>
                <w:vertAlign w:val="subscript"/>
              </w:rPr>
              <w:t>10</w:t>
            </w:r>
            <w:r>
              <w:rPr>
                <w:rFonts w:ascii="宋体" w:hAnsi="宋体"/>
                <w:bCs/>
              </w:rPr>
              <w:t>和苯并[a]芘等有毒物质，主要产生于化油系统的熬制工艺、拌和器拌和工艺及铺路时的热油蒸发等。本项目沥青混凝土拟由沥青混凝土生产经销公司供给，现买现用。</w:t>
            </w:r>
          </w:p>
          <w:p>
            <w:pPr>
              <w:pStyle w:val="223"/>
              <w:bidi w:val="0"/>
              <w:rPr>
                <w:rFonts w:hint="eastAsia" w:ascii="Times New Roman" w:hAnsi="Times New Roman"/>
                <w:color w:val="000000"/>
                <w:kern w:val="0"/>
                <w:szCs w:val="20"/>
                <w:lang w:eastAsia="zh-CN" w:bidi="ar"/>
              </w:rPr>
            </w:pPr>
            <w:r>
              <w:rPr>
                <w:rFonts w:ascii="宋体" w:hAnsi="宋体"/>
                <w:kern w:val="0"/>
              </w:rPr>
              <w:t>沥青烟产生于化油系统的熬制工艺、拌和器拌和工艺及铺路时的热油蒸发等。</w:t>
            </w:r>
            <w:r>
              <w:rPr>
                <w:rFonts w:ascii="宋体" w:hAnsi="宋体"/>
                <w:b/>
              </w:rPr>
              <w:t>本项目不设沥青拌和站，项目所需的沥青均在当地购买商品沥青。</w:t>
            </w:r>
            <w:r>
              <w:rPr>
                <w:rFonts w:ascii="宋体" w:hAnsi="宋体"/>
                <w:b/>
                <w:bCs/>
              </w:rPr>
              <w:t>运送沥青均采用罐装沥青专用车辆装运，以防止沿程撒落污染环境。</w:t>
            </w:r>
            <w:r>
              <w:rPr>
                <w:rFonts w:ascii="宋体" w:hAnsi="宋体"/>
                <w:bCs/>
              </w:rPr>
              <w:t>因此本项目沥青烟仅在铺路时，由于热油蒸发而产生，对环境影响较小。</w:t>
            </w:r>
          </w:p>
          <w:p>
            <w:pPr>
              <w:widowControl/>
              <w:spacing w:line="360" w:lineRule="auto"/>
              <w:ind w:firstLine="480" w:firstLineChars="200"/>
              <w:rPr>
                <w:rFonts w:hint="eastAsia" w:ascii="宋体" w:hAnsi="宋体" w:cs="宋体"/>
                <w:b/>
                <w:bCs/>
                <w:color w:val="000000"/>
                <w:kern w:val="0"/>
                <w:sz w:val="24"/>
                <w:lang w:bidi="ar"/>
              </w:rPr>
            </w:pPr>
            <w:r>
              <w:rPr>
                <w:rFonts w:hint="eastAsia" w:ascii="宋体" w:hAnsi="宋体" w:cs="宋体"/>
                <w:color w:val="000000"/>
                <w:kern w:val="0"/>
                <w:sz w:val="24"/>
                <w:lang w:bidi="ar"/>
              </w:rPr>
              <w:t>综上所述，本项目施工期在采取以上环保措施处理后，可以符合相关的排放要求，只要加强管理，确保施工期大气污染防治措施落实到位，本项目施工建设不会对项目周围的大气环境造成明显影响</w:t>
            </w:r>
          </w:p>
          <w:p>
            <w:pPr>
              <w:widowControl/>
              <w:spacing w:line="360" w:lineRule="auto"/>
              <w:rPr>
                <w:b/>
                <w:color w:val="000000"/>
                <w:kern w:val="0"/>
                <w:sz w:val="28"/>
                <w:szCs w:val="28"/>
                <w:lang w:bidi="ar"/>
              </w:rPr>
            </w:pPr>
            <w:r>
              <w:rPr>
                <w:b/>
                <w:color w:val="000000"/>
                <w:kern w:val="0"/>
                <w:sz w:val="28"/>
                <w:szCs w:val="28"/>
                <w:lang w:bidi="ar"/>
              </w:rPr>
              <w:t>4</w:t>
            </w:r>
            <w:r>
              <w:rPr>
                <w:rFonts w:hAnsi="宋体"/>
                <w:b/>
                <w:color w:val="000000"/>
                <w:kern w:val="0"/>
                <w:sz w:val="28"/>
                <w:szCs w:val="28"/>
                <w:lang w:bidi="ar"/>
              </w:rPr>
              <w:t>、声环境保护措施</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本工程施工机械噪声主要来自施工机械设备的运转。主体工程施工的机械设备有挖掘机、蛙式打夯机、插入式振捣器等，施工辅助设施有空压机等。</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根据环境影响分析，工程的施工期噪声对周边敏感保护目标影响较大，特别是夜间。为减轻噪声对管道整治沿线敏感点的噪声影响，评价要求建设单位做到规范施工，并做到以下措施：</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①移动噪声源如空压机等应尽可能屏蔽，在可能的条件下应尽量远离噪声敏感区，以减少噪声对周围地区的影响；</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②加强设备的维修和保养，保持机械润滑，降低运行噪声；震动较大的机械设备应使用减震机座降低噪声；</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③中高考期间、夜间及午休时间禁止施工、钢筋加工及运输；</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④车辆在经过环境敏感区时减速行驶，禁止鸣笛，同时定期对车辆进行维修，保证其正常运行。</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⑤建设管理部门应加强对施工场地的噪声管理，施工企业也应对施工噪声进行自律，文明施工，避免因施工噪声产生纠纷。现场装卸钢模、设备机具时，应轻装慢放，不得随意乱扔发出巨响。</w:t>
            </w:r>
          </w:p>
          <w:p>
            <w:pPr>
              <w:widowControl/>
              <w:spacing w:line="360" w:lineRule="auto"/>
              <w:ind w:firstLine="480" w:firstLineChars="200"/>
              <w:rPr>
                <w:rFonts w:hint="eastAsia" w:ascii="宋体" w:hAnsi="宋体" w:cs="宋体"/>
                <w:b/>
                <w:bCs/>
                <w:color w:val="000000"/>
                <w:kern w:val="0"/>
                <w:sz w:val="24"/>
                <w:lang w:bidi="ar"/>
              </w:rPr>
            </w:pPr>
            <w:r>
              <w:rPr>
                <w:rFonts w:hint="eastAsia" w:ascii="宋体" w:hAnsi="宋体" w:cs="宋体"/>
                <w:color w:val="000000"/>
                <w:kern w:val="0"/>
                <w:sz w:val="24"/>
                <w:lang w:bidi="ar"/>
              </w:rPr>
              <w:t>在施工过程中不可能完全避免产生噪声，而上述预测结果只考虑施工期噪声经距离衰减的情况，而施工单位在做好上述噪声防治措施的前提下，可将噪声的影响降至最低，本项目施工期并不长，施工噪声随着施工期的结束而消失。</w:t>
            </w:r>
          </w:p>
          <w:p>
            <w:pPr>
              <w:widowControl/>
              <w:spacing w:line="360" w:lineRule="auto"/>
              <w:rPr>
                <w:b/>
                <w:color w:val="000000"/>
                <w:kern w:val="0"/>
                <w:sz w:val="28"/>
                <w:szCs w:val="28"/>
                <w:lang w:bidi="ar"/>
              </w:rPr>
            </w:pPr>
            <w:r>
              <w:rPr>
                <w:b/>
                <w:color w:val="000000"/>
                <w:kern w:val="0"/>
                <w:sz w:val="28"/>
                <w:szCs w:val="28"/>
                <w:lang w:bidi="ar"/>
              </w:rPr>
              <w:t>5</w:t>
            </w:r>
            <w:r>
              <w:rPr>
                <w:rFonts w:hAnsi="宋体"/>
                <w:b/>
                <w:color w:val="000000"/>
                <w:kern w:val="0"/>
                <w:sz w:val="28"/>
                <w:szCs w:val="28"/>
                <w:lang w:bidi="ar"/>
              </w:rPr>
              <w:t>、固体废物处置措施</w:t>
            </w:r>
            <w:r>
              <w:rPr>
                <w:b/>
                <w:color w:val="000000"/>
                <w:kern w:val="0"/>
                <w:sz w:val="28"/>
                <w:szCs w:val="28"/>
                <w:lang w:bidi="ar"/>
              </w:rPr>
              <w:t xml:space="preserve"> </w:t>
            </w:r>
          </w:p>
          <w:p>
            <w:pPr>
              <w:widowControl/>
              <w:spacing w:line="360" w:lineRule="auto"/>
              <w:ind w:firstLine="480" w:firstLineChars="200"/>
              <w:rPr>
                <w:rFonts w:ascii="Times New Roman" w:hAnsi="Times New Roman"/>
                <w:color w:val="000000"/>
                <w:kern w:val="0"/>
                <w:sz w:val="24"/>
                <w:lang w:bidi="ar"/>
              </w:rPr>
            </w:pPr>
            <w:r>
              <w:rPr>
                <w:rFonts w:ascii="Times New Roman" w:hAnsi="Times New Roman"/>
                <w:color w:val="000000"/>
                <w:kern w:val="0"/>
                <w:sz w:val="24"/>
                <w:lang w:bidi="ar"/>
              </w:rPr>
              <w:t>（1）施工过程中产生的废弃材料必须回收，按照种类进行分类处理，废木材、废钢筋等能够回收利用的进行回收利用，废弃砖块、石块等进行土方回填等，做到建筑垃圾二次利用。施工单位在产生建筑垃圾后，应确保其得到妥善处置，将建筑垃圾送达至具有相应资质的处置单位或以其他法律允许的方式进行处置，并在其运输、处置等各环节实现全程管理</w:t>
            </w:r>
          </w:p>
          <w:p>
            <w:pPr>
              <w:widowControl/>
              <w:spacing w:line="360" w:lineRule="auto"/>
              <w:ind w:firstLine="480" w:firstLineChars="200"/>
              <w:rPr>
                <w:rFonts w:hint="eastAsia" w:ascii="宋体" w:hAnsi="宋体" w:cs="宋体"/>
                <w:color w:val="000000"/>
                <w:kern w:val="0"/>
                <w:sz w:val="24"/>
                <w:lang w:bidi="ar"/>
              </w:rPr>
            </w:pPr>
            <w:r>
              <w:rPr>
                <w:rFonts w:ascii="Times New Roman" w:hAnsi="Times New Roman"/>
                <w:color w:val="000000"/>
                <w:kern w:val="0"/>
                <w:sz w:val="24"/>
                <w:lang w:bidi="ar"/>
              </w:rPr>
              <w:t>（2）加强教育和</w:t>
            </w:r>
            <w:r>
              <w:rPr>
                <w:rFonts w:hint="eastAsia" w:ascii="宋体" w:hAnsi="宋体" w:cs="宋体"/>
                <w:color w:val="000000"/>
                <w:kern w:val="0"/>
                <w:sz w:val="24"/>
                <w:lang w:bidi="ar"/>
              </w:rPr>
              <w:t>管理，保持施工场地清洁。</w:t>
            </w:r>
          </w:p>
          <w:p>
            <w:pPr>
              <w:widowControl/>
              <w:spacing w:line="360" w:lineRule="auto"/>
              <w:ind w:firstLine="480" w:firstLineChars="200"/>
              <w:rPr>
                <w:rFonts w:hint="eastAsia" w:ascii="宋体" w:hAnsi="宋体" w:cs="宋体"/>
                <w:color w:val="000000"/>
                <w:kern w:val="0"/>
                <w:sz w:val="24"/>
                <w:lang w:bidi="ar"/>
              </w:rPr>
            </w:pPr>
            <w:r>
              <w:rPr>
                <w:rFonts w:hint="eastAsia" w:ascii="宋体" w:hAnsi="宋体" w:cs="宋体"/>
                <w:color w:val="000000"/>
                <w:kern w:val="0"/>
                <w:sz w:val="24"/>
                <w:lang w:bidi="ar"/>
              </w:rPr>
              <w:t>①尽量实施全封闭型施工，尽可能使施工期间的污染和影响控制在施工场地范围内，减少对周围环境的影响。</w:t>
            </w:r>
          </w:p>
          <w:p>
            <w:pPr>
              <w:widowControl/>
              <w:spacing w:line="360" w:lineRule="auto"/>
              <w:ind w:firstLine="480" w:firstLineChars="200"/>
              <w:rPr>
                <w:rFonts w:ascii="Times New Roman" w:hAnsi="Times New Roman"/>
                <w:color w:val="000000"/>
                <w:kern w:val="0"/>
                <w:sz w:val="24"/>
                <w:lang w:bidi="ar"/>
              </w:rPr>
            </w:pPr>
            <w:r>
              <w:rPr>
                <w:rFonts w:hint="eastAsia" w:ascii="宋体" w:hAnsi="宋体" w:cs="宋体"/>
                <w:color w:val="000000"/>
                <w:kern w:val="0"/>
                <w:sz w:val="24"/>
                <w:lang w:bidi="ar"/>
              </w:rPr>
              <w:t>②施工车辆的物料运输应尽量避开敏感点和交通高峰期，车辆运输散体物料和废弃物时，必须密闭、包扎、覆盖，不得沿途漏撒；运载土方的车辆必须在规定的时间内，按指定路段行驶。减轻物料运输的交通压力和物料泄漏，以及可</w:t>
            </w:r>
            <w:r>
              <w:rPr>
                <w:rFonts w:ascii="Times New Roman" w:hAnsi="Times New Roman"/>
                <w:color w:val="000000"/>
                <w:kern w:val="0"/>
                <w:sz w:val="24"/>
                <w:lang w:bidi="ar"/>
              </w:rPr>
              <w:t>能导致的二次扬尘污染。</w:t>
            </w:r>
          </w:p>
          <w:p>
            <w:pPr>
              <w:widowControl/>
              <w:spacing w:line="360" w:lineRule="auto"/>
              <w:ind w:firstLine="480" w:firstLineChars="200"/>
              <w:rPr>
                <w:rFonts w:ascii="Times New Roman" w:hAnsi="Times New Roman"/>
                <w:color w:val="000000"/>
                <w:kern w:val="0"/>
                <w:sz w:val="24"/>
                <w:lang w:bidi="ar"/>
              </w:rPr>
            </w:pPr>
            <w:r>
              <w:rPr>
                <w:rFonts w:ascii="Times New Roman" w:hAnsi="Times New Roman"/>
                <w:color w:val="000000"/>
                <w:kern w:val="0"/>
                <w:sz w:val="24"/>
                <w:lang w:bidi="ar"/>
              </w:rPr>
              <w:t>（3）工程结束后，拆除施工区的临建设施，对工机械停放场、综合仓库等施工用地、临时堆土场，及时进行场地清理，清除建筑垃圾及各种杂物，并对其周围的生活垃圾、沉淀处理池必须清理平整，并用石炭酸、生石灰进行消毒，做好施工迹地恢复工作</w:t>
            </w:r>
          </w:p>
          <w:p>
            <w:pPr>
              <w:spacing w:line="500" w:lineRule="exact"/>
              <w:ind w:firstLine="480" w:firstLineChars="200"/>
              <w:rPr>
                <w:rFonts w:ascii="Times New Roman" w:hAnsi="Times New Roman"/>
                <w:color w:val="000000"/>
                <w:kern w:val="0"/>
                <w:sz w:val="24"/>
                <w:lang w:bidi="ar"/>
              </w:rPr>
            </w:pPr>
            <w:r>
              <w:rPr>
                <w:rFonts w:ascii="Times New Roman" w:hAnsi="Times New Roman"/>
                <w:color w:val="000000"/>
                <w:kern w:val="0"/>
                <w:sz w:val="24"/>
                <w:lang w:bidi="ar"/>
              </w:rPr>
              <w:t>（4）</w:t>
            </w:r>
            <w:r>
              <w:rPr>
                <w:rFonts w:hint="eastAsia"/>
                <w:bCs/>
                <w:color w:val="000000"/>
                <w:kern w:val="0"/>
                <w:sz w:val="24"/>
                <w:lang w:bidi="ar"/>
              </w:rPr>
              <w:t>根据《立项建议报告》</w:t>
            </w:r>
            <w:r>
              <w:rPr>
                <w:rFonts w:ascii="Times New Roman" w:hAnsi="Times New Roman"/>
                <w:bCs/>
                <w:color w:val="000000"/>
                <w:kern w:val="0"/>
                <w:sz w:val="24"/>
                <w:lang w:bidi="ar"/>
              </w:rPr>
              <w:t>，</w:t>
            </w:r>
            <w:r>
              <w:rPr>
                <w:rFonts w:ascii="Times New Roman" w:hAnsi="Times New Roman"/>
                <w:kern w:val="0"/>
                <w:sz w:val="24"/>
                <w:lang w:val="zh-CN"/>
              </w:rPr>
              <w:t>本工程土石方开挖总量</w:t>
            </w:r>
            <w:r>
              <w:rPr>
                <w:rFonts w:ascii="Times New Roman" w:hAnsi="Times New Roman"/>
                <w:kern w:val="0"/>
                <w:sz w:val="24"/>
              </w:rPr>
              <w:t>9.69万m</w:t>
            </w:r>
            <w:r>
              <w:rPr>
                <w:rFonts w:ascii="Times New Roman" w:hAnsi="Times New Roman"/>
                <w:kern w:val="0"/>
                <w:sz w:val="24"/>
                <w:vertAlign w:val="superscript"/>
              </w:rPr>
              <w:t>3</w:t>
            </w:r>
            <w:r>
              <w:rPr>
                <w:rFonts w:ascii="Times New Roman" w:hAnsi="Times New Roman"/>
                <w:kern w:val="0"/>
                <w:sz w:val="24"/>
              </w:rPr>
              <w:t>（自然方，含砌体和砼拆除量），其中土方开挖7.72万m</w:t>
            </w:r>
            <w:r>
              <w:rPr>
                <w:rFonts w:ascii="Times New Roman" w:hAnsi="Times New Roman"/>
                <w:kern w:val="0"/>
                <w:sz w:val="24"/>
                <w:vertAlign w:val="superscript"/>
              </w:rPr>
              <w:t>3</w:t>
            </w:r>
            <w:r>
              <w:rPr>
                <w:rFonts w:ascii="Times New Roman" w:hAnsi="Times New Roman"/>
                <w:kern w:val="0"/>
                <w:sz w:val="24"/>
              </w:rPr>
              <w:t>、石方明挖1.84万m</w:t>
            </w:r>
            <w:r>
              <w:rPr>
                <w:rFonts w:ascii="Times New Roman" w:hAnsi="Times New Roman"/>
                <w:kern w:val="0"/>
                <w:sz w:val="24"/>
                <w:vertAlign w:val="superscript"/>
              </w:rPr>
              <w:t>3</w:t>
            </w:r>
            <w:r>
              <w:rPr>
                <w:rFonts w:ascii="Times New Roman" w:hAnsi="Times New Roman"/>
                <w:kern w:val="0"/>
                <w:sz w:val="24"/>
              </w:rPr>
              <w:t>、石方洞挖0.11万m3、</w:t>
            </w:r>
            <w:r>
              <w:rPr>
                <w:rFonts w:ascii="Times New Roman" w:hAnsi="Times New Roman"/>
                <w:kern w:val="0"/>
                <w:sz w:val="24"/>
                <w:lang w:val="zh-CN"/>
              </w:rPr>
              <w:t>土石方回填</w:t>
            </w:r>
            <w:r>
              <w:rPr>
                <w:rFonts w:ascii="Times New Roman" w:hAnsi="Times New Roman"/>
                <w:kern w:val="0"/>
                <w:sz w:val="24"/>
              </w:rPr>
              <w:t>8.16万m</w:t>
            </w:r>
            <w:r>
              <w:rPr>
                <w:rFonts w:ascii="Times New Roman" w:hAnsi="Times New Roman"/>
                <w:kern w:val="0"/>
                <w:sz w:val="36"/>
                <w:szCs w:val="36"/>
                <w:vertAlign w:val="superscript"/>
              </w:rPr>
              <w:t>3</w:t>
            </w:r>
            <w:r>
              <w:rPr>
                <w:rFonts w:ascii="Times New Roman" w:hAnsi="Times New Roman"/>
                <w:kern w:val="0"/>
                <w:sz w:val="24"/>
              </w:rPr>
              <w:t>（压实方，需自然方8.19万m</w:t>
            </w:r>
            <w:r>
              <w:rPr>
                <w:rFonts w:ascii="Times New Roman" w:hAnsi="Times New Roman"/>
                <w:kern w:val="0"/>
                <w:sz w:val="24"/>
                <w:vertAlign w:val="superscript"/>
              </w:rPr>
              <w:t>3</w:t>
            </w:r>
            <w:r>
              <w:rPr>
                <w:rFonts w:ascii="Times New Roman" w:hAnsi="Times New Roman"/>
                <w:kern w:val="0"/>
                <w:sz w:val="24"/>
              </w:rPr>
              <w:t>）</w:t>
            </w:r>
            <w:r>
              <w:rPr>
                <w:rFonts w:ascii="Times New Roman" w:hAnsi="Times New Roman"/>
                <w:kern w:val="0"/>
                <w:sz w:val="24"/>
                <w:lang w:val="zh-CN"/>
              </w:rPr>
              <w:t>，经各渠道平衡，总弃渣量</w:t>
            </w:r>
            <w:r>
              <w:rPr>
                <w:rFonts w:ascii="Times New Roman" w:hAnsi="Times New Roman"/>
                <w:kern w:val="0"/>
                <w:sz w:val="24"/>
              </w:rPr>
              <w:t>1.50</w:t>
            </w:r>
            <w:r>
              <w:rPr>
                <w:rFonts w:ascii="Times New Roman" w:hAnsi="Times New Roman"/>
                <w:kern w:val="0"/>
                <w:sz w:val="24"/>
                <w:lang w:val="zh-CN"/>
              </w:rPr>
              <w:t>万m</w:t>
            </w:r>
            <w:r>
              <w:rPr>
                <w:rFonts w:ascii="Times New Roman" w:hAnsi="Times New Roman"/>
                <w:kern w:val="0"/>
                <w:sz w:val="24"/>
                <w:vertAlign w:val="superscript"/>
                <w:lang w:val="zh-CN"/>
              </w:rPr>
              <w:t>3</w:t>
            </w:r>
            <w:r>
              <w:rPr>
                <w:rFonts w:ascii="Times New Roman" w:hAnsi="Times New Roman"/>
                <w:kern w:val="0"/>
                <w:sz w:val="24"/>
                <w:lang w:val="zh-CN"/>
              </w:rPr>
              <w:t>（自然方），</w:t>
            </w:r>
            <w:r>
              <w:rPr>
                <w:rFonts w:hint="eastAsia"/>
                <w:bCs/>
                <w:color w:val="000000"/>
                <w:kern w:val="0"/>
                <w:sz w:val="24"/>
                <w:lang w:val="zh-CN" w:bidi="ar"/>
              </w:rPr>
              <w:t>其中1.30万m</w:t>
            </w:r>
            <w:r>
              <w:rPr>
                <w:rFonts w:hint="eastAsia"/>
                <w:bCs/>
                <w:color w:val="000000"/>
                <w:kern w:val="0"/>
                <w:sz w:val="24"/>
                <w:vertAlign w:val="superscript"/>
                <w:lang w:val="zh-CN" w:bidi="ar"/>
              </w:rPr>
              <w:t>3</w:t>
            </w:r>
            <w:r>
              <w:rPr>
                <w:rFonts w:hint="eastAsia"/>
                <w:bCs/>
                <w:color w:val="000000"/>
                <w:kern w:val="0"/>
                <w:sz w:val="24"/>
                <w:lang w:val="zh-CN" w:bidi="ar"/>
              </w:rPr>
              <w:t>（自然方）弃渣因弃渣量较小，且较分散，拟全部沿渠在渠道施工作业带范围内堆放，另外0.20万m</w:t>
            </w:r>
            <w:r>
              <w:rPr>
                <w:rFonts w:hint="eastAsia"/>
                <w:bCs/>
                <w:color w:val="000000"/>
                <w:kern w:val="0"/>
                <w:sz w:val="24"/>
                <w:vertAlign w:val="superscript"/>
                <w:lang w:val="zh-CN" w:bidi="ar"/>
              </w:rPr>
              <w:t>3</w:t>
            </w:r>
            <w:r>
              <w:rPr>
                <w:rFonts w:hint="eastAsia"/>
                <w:bCs/>
                <w:color w:val="000000"/>
                <w:kern w:val="0"/>
                <w:sz w:val="24"/>
                <w:lang w:val="zh-CN" w:eastAsia="zh-CN" w:bidi="ar"/>
              </w:rPr>
              <w:t>回填渠道低洼地带，</w:t>
            </w:r>
            <w:r>
              <w:rPr>
                <w:rFonts w:hint="eastAsia"/>
                <w:bCs/>
                <w:color w:val="000000"/>
                <w:kern w:val="0"/>
                <w:sz w:val="24"/>
                <w:lang w:val="zh-CN" w:bidi="ar"/>
              </w:rPr>
              <w:t>不设置集中弃渣场。</w:t>
            </w:r>
            <w:r>
              <w:rPr>
                <w:rFonts w:hint="eastAsia" w:ascii="Times New Roman" w:hAnsi="Times New Roman" w:cs="宋体"/>
                <w:sz w:val="24"/>
                <w:lang w:bidi="ar"/>
              </w:rPr>
              <w:t>施工期应落实弃渣场的水土保持方案，减轻施工期的水土流失影响</w:t>
            </w:r>
          </w:p>
          <w:p>
            <w:pPr>
              <w:spacing w:line="360" w:lineRule="auto"/>
              <w:ind w:firstLine="482" w:firstLineChars="200"/>
              <w:jc w:val="left"/>
              <w:rPr>
                <w:rFonts w:hint="eastAsia"/>
                <w:b/>
                <w:bCs/>
                <w:snapToGrid w:val="0"/>
                <w:color w:val="000000"/>
                <w:kern w:val="0"/>
                <w:sz w:val="24"/>
                <w:u w:val="single"/>
              </w:rPr>
            </w:pPr>
            <w:r>
              <w:rPr>
                <w:rFonts w:hint="eastAsia"/>
                <w:b/>
                <w:bCs/>
                <w:snapToGrid w:val="0"/>
                <w:color w:val="000000"/>
                <w:kern w:val="0"/>
                <w:sz w:val="24"/>
                <w:u w:val="single"/>
              </w:rPr>
              <w:t>同时，本次评价要求建设单位加强对开挖土方、建渣的管理，禁止开挖的土方及建渣进入河流；并按照要求运至弃渣场堆放，运输过程中采用全封闭车辆进行运输，做好转运记录，禁止沿途抛、撒、滴、漏。</w:t>
            </w:r>
          </w:p>
          <w:p>
            <w:pPr>
              <w:spacing w:line="360" w:lineRule="auto"/>
              <w:ind w:firstLine="482" w:firstLineChars="200"/>
              <w:rPr>
                <w:b/>
                <w:color w:val="000000"/>
              </w:rPr>
            </w:pPr>
            <w:r>
              <w:rPr>
                <w:rFonts w:hint="eastAsia" w:ascii="宋体" w:cs="宋体"/>
                <w:b/>
                <w:color w:val="000000"/>
                <w:kern w:val="0"/>
                <w:sz w:val="24"/>
              </w:rPr>
              <w:t>综上，</w:t>
            </w:r>
            <w:r>
              <w:rPr>
                <w:rFonts w:hint="eastAsia"/>
                <w:b/>
                <w:color w:val="000000"/>
                <w:sz w:val="24"/>
              </w:rPr>
              <w:t>在严格采取以上措施情况下，本项目施工期产生的各类固体废物均得到合理处置，去向明确，不会对周围环境产生二次污染。</w:t>
            </w:r>
          </w:p>
          <w:p>
            <w:pPr>
              <w:pStyle w:val="17"/>
              <w:spacing w:line="360" w:lineRule="auto"/>
              <w:ind w:firstLine="0"/>
              <w:rPr>
                <w:rFonts w:ascii="Times New Roman" w:hAnsi="Times New Roman"/>
                <w:b/>
                <w:bCs/>
                <w:color w:val="000000"/>
                <w:szCs w:val="28"/>
                <w:lang w:bidi="ar"/>
              </w:rPr>
            </w:pPr>
            <w:r>
              <w:rPr>
                <w:rFonts w:hint="eastAsia" w:ascii="Times New Roman" w:hAnsi="Times New Roman"/>
                <w:b/>
                <w:bCs/>
                <w:color w:val="000000"/>
                <w:szCs w:val="28"/>
                <w:lang w:bidi="ar"/>
              </w:rPr>
              <w:t>6</w:t>
            </w:r>
            <w:r>
              <w:rPr>
                <w:rFonts w:ascii="Times New Roman" w:hAnsi="宋体"/>
                <w:b/>
                <w:bCs/>
                <w:color w:val="000000"/>
                <w:szCs w:val="28"/>
                <w:lang w:bidi="ar"/>
              </w:rPr>
              <w:t>、项目建成后生态修复措施</w:t>
            </w:r>
          </w:p>
          <w:p>
            <w:pPr>
              <w:pStyle w:val="17"/>
              <w:spacing w:line="360" w:lineRule="auto"/>
              <w:ind w:firstLine="480" w:firstLineChars="200"/>
              <w:rPr>
                <w:rFonts w:hAnsi="宋体" w:cs="宋体"/>
                <w:bCs/>
                <w:color w:val="000000"/>
                <w:spacing w:val="10"/>
                <w:sz w:val="24"/>
                <w:szCs w:val="24"/>
              </w:rPr>
            </w:pPr>
            <w:r>
              <w:rPr>
                <w:rFonts w:hint="eastAsia"/>
                <w:snapToGrid w:val="0"/>
                <w:color w:val="000000"/>
                <w:sz w:val="24"/>
                <w:szCs w:val="24"/>
              </w:rPr>
              <w:t>项目建成后，应及时对临时工程进行全部拆除，同时需对临时占地采取迹地恢复，种植相应的植物、市政绿化等生态修复措施。</w:t>
            </w:r>
            <w:bookmarkEnd w:id="24"/>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noWrap w:val="0"/>
            <w:tcMar>
              <w:left w:w="28" w:type="dxa"/>
              <w:right w:w="28" w:type="dxa"/>
            </w:tcMar>
            <w:vAlign w:val="center"/>
          </w:tcPr>
          <w:p>
            <w:pPr>
              <w:adjustRightInd w:val="0"/>
              <w:snapToGrid w:val="0"/>
              <w:jc w:val="center"/>
              <w:rPr>
                <w:rFonts w:ascii="宋体" w:hAnsi="宋体" w:cs="宋体"/>
                <w:bCs/>
                <w:color w:val="000000"/>
                <w:spacing w:val="10"/>
                <w:sz w:val="24"/>
              </w:rPr>
            </w:pPr>
            <w:r>
              <w:rPr>
                <w:rFonts w:hint="eastAsia" w:ascii="宋体" w:hAnsi="宋体" w:cs="宋体"/>
                <w:bCs/>
                <w:color w:val="000000"/>
                <w:spacing w:val="10"/>
                <w:sz w:val="24"/>
              </w:rPr>
              <w:t>运营期生态环境保护措施</w:t>
            </w:r>
          </w:p>
        </w:tc>
        <w:tc>
          <w:tcPr>
            <w:tcW w:w="8457" w:type="dxa"/>
            <w:noWrap w:val="0"/>
            <w:vAlign w:val="top"/>
          </w:tcPr>
          <w:p>
            <w:pPr>
              <w:wordWrap w:val="0"/>
              <w:adjustRightInd w:val="0"/>
              <w:snapToGrid w:val="0"/>
              <w:spacing w:line="360" w:lineRule="auto"/>
              <w:ind w:firstLine="482" w:firstLineChars="200"/>
              <w:jc w:val="left"/>
              <w:rPr>
                <w:b/>
                <w:color w:val="000000"/>
                <w:sz w:val="24"/>
              </w:rPr>
            </w:pPr>
            <w:r>
              <w:rPr>
                <w:b/>
                <w:color w:val="000000"/>
                <w:sz w:val="24"/>
              </w:rPr>
              <w:t>1</w:t>
            </w:r>
            <w:r>
              <w:rPr>
                <w:rFonts w:hint="eastAsia"/>
                <w:b/>
                <w:color w:val="000000"/>
                <w:sz w:val="24"/>
              </w:rPr>
              <w:t>、运营期废气</w:t>
            </w:r>
          </w:p>
          <w:p>
            <w:pPr>
              <w:pStyle w:val="138"/>
              <w:rPr>
                <w:color w:val="000000"/>
              </w:rPr>
            </w:pPr>
            <w:r>
              <w:rPr>
                <w:rFonts w:hint="eastAsia"/>
                <w:color w:val="000000"/>
              </w:rPr>
              <w:t>本项目运营期不产生废气排放。</w:t>
            </w:r>
          </w:p>
          <w:p>
            <w:pPr>
              <w:wordWrap w:val="0"/>
              <w:adjustRightInd w:val="0"/>
              <w:snapToGrid w:val="0"/>
              <w:spacing w:line="360" w:lineRule="auto"/>
              <w:ind w:firstLine="482" w:firstLineChars="200"/>
              <w:jc w:val="left"/>
              <w:rPr>
                <w:b/>
                <w:color w:val="000000"/>
                <w:sz w:val="24"/>
              </w:rPr>
            </w:pPr>
            <w:r>
              <w:rPr>
                <w:b/>
                <w:color w:val="000000"/>
                <w:sz w:val="24"/>
              </w:rPr>
              <w:t>2</w:t>
            </w:r>
            <w:r>
              <w:rPr>
                <w:rFonts w:hint="eastAsia"/>
                <w:b/>
                <w:color w:val="000000"/>
                <w:sz w:val="24"/>
              </w:rPr>
              <w:t>、运营期废水</w:t>
            </w:r>
          </w:p>
          <w:p>
            <w:pPr>
              <w:pStyle w:val="138"/>
              <w:ind w:left="547" w:leftChars="228" w:firstLine="0" w:firstLineChars="0"/>
              <w:rPr>
                <w:rFonts w:hint="eastAsia" w:eastAsia="宋体"/>
                <w:color w:val="000000"/>
                <w:lang w:eastAsia="zh-CN"/>
              </w:rPr>
            </w:pPr>
            <w:r>
              <w:rPr>
                <w:rFonts w:hint="eastAsia"/>
              </w:rPr>
              <w:t>见地表水专项评价</w:t>
            </w:r>
            <w:r>
              <w:rPr>
                <w:rFonts w:hint="eastAsia"/>
                <w:lang w:eastAsia="zh-CN"/>
              </w:rPr>
              <w:t>，</w:t>
            </w:r>
            <w:r>
              <w:rPr>
                <w:rFonts w:hint="eastAsia"/>
                <w:b w:val="0"/>
                <w:bCs w:val="0"/>
                <w:color w:val="000000"/>
              </w:rPr>
              <w:t>根据专项评价结论，本项目建设对地表水影响可接受。</w:t>
            </w:r>
          </w:p>
          <w:p>
            <w:pPr>
              <w:wordWrap w:val="0"/>
              <w:adjustRightInd w:val="0"/>
              <w:snapToGrid w:val="0"/>
              <w:spacing w:line="360" w:lineRule="auto"/>
              <w:ind w:firstLine="482" w:firstLineChars="200"/>
              <w:jc w:val="left"/>
              <w:rPr>
                <w:b/>
                <w:color w:val="000000"/>
                <w:sz w:val="24"/>
              </w:rPr>
            </w:pPr>
            <w:r>
              <w:rPr>
                <w:b/>
                <w:color w:val="000000"/>
                <w:sz w:val="24"/>
              </w:rPr>
              <w:t>3</w:t>
            </w:r>
            <w:r>
              <w:rPr>
                <w:rFonts w:hint="eastAsia"/>
                <w:b/>
                <w:color w:val="000000"/>
                <w:sz w:val="24"/>
              </w:rPr>
              <w:t>、运营期噪声</w:t>
            </w:r>
          </w:p>
          <w:p>
            <w:pPr>
              <w:wordWrap w:val="0"/>
              <w:adjustRightInd w:val="0"/>
              <w:snapToGrid w:val="0"/>
              <w:spacing w:line="360" w:lineRule="auto"/>
              <w:ind w:firstLine="480" w:firstLineChars="200"/>
              <w:jc w:val="left"/>
              <w:rPr>
                <w:color w:val="000000"/>
                <w:sz w:val="24"/>
              </w:rPr>
            </w:pPr>
            <w:r>
              <w:rPr>
                <w:rFonts w:hint="eastAsia"/>
                <w:color w:val="000000"/>
                <w:sz w:val="24"/>
              </w:rPr>
              <w:t>本项目运营期无新增噪声影响。</w:t>
            </w:r>
          </w:p>
          <w:p>
            <w:pPr>
              <w:wordWrap w:val="0"/>
              <w:adjustRightInd w:val="0"/>
              <w:snapToGrid w:val="0"/>
              <w:spacing w:line="360" w:lineRule="auto"/>
              <w:ind w:firstLine="482" w:firstLineChars="200"/>
              <w:jc w:val="left"/>
              <w:rPr>
                <w:b/>
                <w:color w:val="000000"/>
                <w:sz w:val="24"/>
              </w:rPr>
            </w:pPr>
            <w:r>
              <w:rPr>
                <w:b/>
                <w:color w:val="000000"/>
                <w:sz w:val="24"/>
              </w:rPr>
              <w:t>4</w:t>
            </w:r>
            <w:r>
              <w:rPr>
                <w:rFonts w:hint="eastAsia"/>
                <w:b/>
                <w:color w:val="000000"/>
                <w:sz w:val="24"/>
              </w:rPr>
              <w:t>、运营期固废</w:t>
            </w:r>
          </w:p>
          <w:p>
            <w:pPr>
              <w:wordWrap w:val="0"/>
              <w:adjustRightInd w:val="0"/>
              <w:snapToGrid w:val="0"/>
              <w:spacing w:line="360" w:lineRule="auto"/>
              <w:ind w:firstLine="480" w:firstLineChars="200"/>
              <w:jc w:val="left"/>
              <w:rPr>
                <w:rFonts w:hint="eastAsia" w:ascii="宋体" w:hAnsi="宋体" w:cs="宋体"/>
                <w:bCs/>
                <w:color w:val="000000"/>
                <w:spacing w:val="10"/>
                <w:sz w:val="24"/>
              </w:rPr>
            </w:pPr>
            <w:r>
              <w:rPr>
                <w:rFonts w:hint="eastAsia"/>
                <w:color w:val="000000"/>
                <w:sz w:val="24"/>
              </w:rPr>
              <w:t>本项目不新增工作人员，不新增生活垃圾。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noWrap w:val="0"/>
            <w:vAlign w:val="center"/>
          </w:tcPr>
          <w:p>
            <w:pPr>
              <w:adjustRightInd w:val="0"/>
              <w:snapToGrid w:val="0"/>
              <w:jc w:val="center"/>
              <w:rPr>
                <w:rFonts w:hint="eastAsia" w:ascii="宋体" w:hAnsi="宋体" w:cs="宋体"/>
                <w:bCs/>
                <w:color w:val="000000"/>
                <w:spacing w:val="10"/>
                <w:sz w:val="24"/>
              </w:rPr>
            </w:pPr>
            <w:r>
              <w:rPr>
                <w:rFonts w:hint="eastAsia" w:ascii="宋体" w:hAnsi="宋体"/>
                <w:bCs/>
                <w:color w:val="000000"/>
                <w:sz w:val="24"/>
              </w:rPr>
              <w:t>环境管理</w:t>
            </w:r>
          </w:p>
        </w:tc>
        <w:tc>
          <w:tcPr>
            <w:tcW w:w="8457" w:type="dxa"/>
            <w:noWrap w:val="0"/>
            <w:vAlign w:val="top"/>
          </w:tcPr>
          <w:p>
            <w:pPr>
              <w:spacing w:line="360" w:lineRule="auto"/>
              <w:ind w:firstLine="480" w:firstLineChars="200"/>
              <w:rPr>
                <w:color w:val="000000"/>
                <w:kern w:val="0"/>
                <w:sz w:val="24"/>
              </w:rPr>
            </w:pPr>
            <w:r>
              <w:rPr>
                <w:rFonts w:hint="eastAsia"/>
                <w:color w:val="000000"/>
                <w:kern w:val="0"/>
                <w:sz w:val="24"/>
              </w:rPr>
              <w:t>环境管理是指运用经济、法律、技术、行政、教育等手段使经济发展和环境保护得到协调发展。为此应明确本建设项目环境管理监督机构的指导和监督，使本项目的环境管理得到有效实施。</w:t>
            </w:r>
          </w:p>
          <w:p>
            <w:pPr>
              <w:spacing w:line="360" w:lineRule="auto"/>
              <w:ind w:firstLine="482" w:firstLineChars="200"/>
              <w:rPr>
                <w:b/>
                <w:bCs/>
                <w:color w:val="000000"/>
                <w:kern w:val="0"/>
                <w:sz w:val="24"/>
              </w:rPr>
            </w:pPr>
            <w:r>
              <w:rPr>
                <w:rFonts w:hint="eastAsia"/>
                <w:b/>
                <w:bCs/>
                <w:color w:val="000000"/>
                <w:kern w:val="0"/>
                <w:sz w:val="24"/>
              </w:rPr>
              <w:t>1、管理机构</w:t>
            </w:r>
          </w:p>
          <w:p>
            <w:pPr>
              <w:pStyle w:val="138"/>
            </w:pPr>
            <w:r>
              <w:rPr>
                <w:rFonts w:hint="eastAsia"/>
              </w:rPr>
              <w:t>根据国家环境保护管理的有关规定，本工程建设单位在施工期和工程运行期均应设置环保管理机构。根据环境保护需要，在建设期实行施工单位管理与建设单位管理相结合的管理办法，管理机构由施工单位和建设单位各派1~2名相关专业技术人员组成。运行期的环境管理在堤防管理机构中设兼职环保管理人员1名。</w:t>
            </w:r>
          </w:p>
          <w:p>
            <w:pPr>
              <w:spacing w:line="360" w:lineRule="auto"/>
              <w:ind w:firstLine="482" w:firstLineChars="200"/>
              <w:rPr>
                <w:rFonts w:hint="eastAsia"/>
                <w:b/>
                <w:bCs/>
                <w:color w:val="000000"/>
                <w:kern w:val="0"/>
                <w:sz w:val="24"/>
              </w:rPr>
            </w:pPr>
            <w:r>
              <w:rPr>
                <w:rFonts w:hint="eastAsia"/>
                <w:b/>
                <w:bCs/>
                <w:color w:val="000000"/>
                <w:kern w:val="0"/>
                <w:sz w:val="24"/>
              </w:rPr>
              <w:t>2、工作内容</w:t>
            </w:r>
          </w:p>
          <w:p>
            <w:pPr>
              <w:spacing w:line="360" w:lineRule="auto"/>
              <w:ind w:firstLine="480" w:firstLineChars="200"/>
              <w:rPr>
                <w:rFonts w:hint="eastAsia"/>
                <w:color w:val="000000"/>
                <w:kern w:val="0"/>
                <w:sz w:val="24"/>
              </w:rPr>
            </w:pPr>
            <w:r>
              <w:rPr>
                <w:rFonts w:hint="eastAsia"/>
                <w:color w:val="000000"/>
                <w:kern w:val="0"/>
                <w:sz w:val="24"/>
              </w:rPr>
              <w:t>环境保护机构应负责工程建设期和运行期环保措施的落实，并配合地方和上级环保部门进行监督，其主要工作内容及职责如下：</w:t>
            </w:r>
          </w:p>
          <w:p>
            <w:pPr>
              <w:spacing w:line="360" w:lineRule="auto"/>
              <w:ind w:firstLine="480" w:firstLineChars="200"/>
              <w:rPr>
                <w:rFonts w:hint="eastAsia"/>
                <w:color w:val="000000"/>
                <w:kern w:val="0"/>
                <w:sz w:val="24"/>
              </w:rPr>
            </w:pPr>
            <w:r>
              <w:rPr>
                <w:rFonts w:hint="eastAsia"/>
                <w:color w:val="000000"/>
                <w:kern w:val="0"/>
                <w:sz w:val="24"/>
              </w:rPr>
              <w:t>（1）负责施工区环境管理，会同地方环保部门检查和监督施工单位或承包商执行环保条款的情况，组织检查、验收环保设施建设及建后管理工作，协调有关环保工作；</w:t>
            </w:r>
          </w:p>
          <w:p>
            <w:pPr>
              <w:spacing w:line="360" w:lineRule="auto"/>
              <w:ind w:firstLine="480" w:firstLineChars="200"/>
              <w:rPr>
                <w:rFonts w:hint="eastAsia"/>
                <w:color w:val="000000"/>
                <w:kern w:val="0"/>
                <w:sz w:val="24"/>
              </w:rPr>
            </w:pPr>
            <w:r>
              <w:rPr>
                <w:rFonts w:hint="eastAsia"/>
                <w:color w:val="000000"/>
                <w:kern w:val="0"/>
                <w:sz w:val="24"/>
              </w:rPr>
              <w:t>（2）负责监督施工单位进行废、污水处理、基础卫生设施建设、施工人员上岗前疫情检查、施工期的卫生防疫、宣传教育工作；负责组织环境监测计划的实施，协助有关监测部门进行各项监测工作，统计、分析监测结果，并针对突发性的环境问题提出控制措施；</w:t>
            </w:r>
          </w:p>
          <w:p>
            <w:pPr>
              <w:spacing w:line="360" w:lineRule="auto"/>
              <w:ind w:firstLine="480" w:firstLineChars="200"/>
              <w:rPr>
                <w:rFonts w:hint="eastAsia"/>
                <w:color w:val="000000"/>
                <w:kern w:val="0"/>
                <w:sz w:val="24"/>
              </w:rPr>
            </w:pPr>
            <w:r>
              <w:rPr>
                <w:rFonts w:hint="eastAsia"/>
                <w:color w:val="000000"/>
                <w:kern w:val="0"/>
                <w:sz w:val="24"/>
              </w:rPr>
              <w:t>（3）编制年度工作计划和年度工作总结。</w:t>
            </w:r>
          </w:p>
          <w:p>
            <w:pPr>
              <w:spacing w:line="360" w:lineRule="auto"/>
              <w:ind w:firstLine="482" w:firstLineChars="200"/>
              <w:rPr>
                <w:rFonts w:hint="eastAsia"/>
                <w:b/>
                <w:bCs/>
                <w:color w:val="000000"/>
                <w:kern w:val="0"/>
                <w:sz w:val="24"/>
              </w:rPr>
            </w:pPr>
            <w:r>
              <w:rPr>
                <w:rFonts w:hint="eastAsia"/>
                <w:b/>
                <w:bCs/>
                <w:color w:val="000000"/>
                <w:kern w:val="0"/>
                <w:sz w:val="24"/>
              </w:rPr>
              <w:t>3、施工期的环境监理</w:t>
            </w:r>
          </w:p>
          <w:p>
            <w:pPr>
              <w:spacing w:line="360" w:lineRule="auto"/>
              <w:ind w:firstLine="480" w:firstLineChars="200"/>
              <w:rPr>
                <w:rFonts w:hint="eastAsia"/>
                <w:color w:val="000000"/>
                <w:kern w:val="0"/>
                <w:sz w:val="24"/>
              </w:rPr>
            </w:pPr>
            <w:r>
              <w:rPr>
                <w:rFonts w:hint="eastAsia"/>
                <w:color w:val="000000"/>
                <w:kern w:val="0"/>
                <w:sz w:val="24"/>
              </w:rPr>
              <w:t>在工程施工期间，根据环境保护要求，对各项环保措施的施工进度、工程质量和投资进行监理。监理工作应从工程筹建期开始，并贯穿工程建设全过程。为确保工程环保监理工作的顺利进行，在工程监理的招标设计文件中应明确环保监理的工作内容，并委托具有环境工程监理资格的单位和人员承担。</w:t>
            </w:r>
            <w:bookmarkStart w:id="26" w:name="8.1.2_环境管理机构及职责"/>
            <w:bookmarkEnd w:id="26"/>
          </w:p>
          <w:p>
            <w:pPr>
              <w:spacing w:line="360" w:lineRule="auto"/>
              <w:ind w:firstLine="482" w:firstLineChars="200"/>
              <w:rPr>
                <w:rFonts w:hint="eastAsia"/>
                <w:b/>
                <w:bCs/>
                <w:color w:val="000000"/>
                <w:kern w:val="0"/>
                <w:sz w:val="24"/>
              </w:rPr>
            </w:pPr>
            <w:r>
              <w:rPr>
                <w:rFonts w:hint="eastAsia"/>
                <w:b/>
                <w:bCs/>
                <w:color w:val="000000"/>
                <w:kern w:val="0"/>
                <w:sz w:val="24"/>
              </w:rPr>
              <w:t>4、本项目环保设施“三同时”验收</w:t>
            </w:r>
          </w:p>
          <w:p>
            <w:pPr>
              <w:spacing w:line="360" w:lineRule="auto"/>
              <w:ind w:firstLine="480" w:firstLineChars="200"/>
              <w:rPr>
                <w:rFonts w:hint="eastAsia"/>
                <w:color w:val="000000"/>
                <w:kern w:val="0"/>
                <w:sz w:val="24"/>
              </w:rPr>
            </w:pPr>
            <w:r>
              <w:rPr>
                <w:rFonts w:hint="eastAsia"/>
                <w:color w:val="000000"/>
                <w:kern w:val="0"/>
                <w:sz w:val="24"/>
              </w:rPr>
              <w:t>按照《建设项目环境保护管理条例》（中华人民共和国国务院令第682号）提出以下竣工验收规定和要求：</w:t>
            </w:r>
          </w:p>
          <w:p>
            <w:pPr>
              <w:numPr>
                <w:ilvl w:val="0"/>
                <w:numId w:val="12"/>
              </w:numPr>
              <w:spacing w:line="360" w:lineRule="auto"/>
              <w:ind w:firstLine="480" w:firstLineChars="200"/>
              <w:rPr>
                <w:rFonts w:hint="eastAsia"/>
                <w:color w:val="000000"/>
                <w:kern w:val="0"/>
                <w:sz w:val="24"/>
              </w:rPr>
            </w:pPr>
            <w:r>
              <w:rPr>
                <w:rFonts w:hint="eastAsia"/>
                <w:color w:val="000000"/>
                <w:kern w:val="0"/>
                <w:sz w:val="24"/>
              </w:rPr>
              <w:t>本项目需配套建设的环境保护设施，必须与主体工程同时设计、同时施工、同时投产使用。</w:t>
            </w:r>
          </w:p>
          <w:p>
            <w:pPr>
              <w:numPr>
                <w:ilvl w:val="0"/>
                <w:numId w:val="12"/>
              </w:numPr>
              <w:spacing w:line="360" w:lineRule="auto"/>
              <w:ind w:firstLine="480" w:firstLineChars="200"/>
              <w:rPr>
                <w:rFonts w:hint="eastAsia"/>
                <w:color w:val="000000"/>
                <w:kern w:val="0"/>
                <w:sz w:val="24"/>
              </w:rPr>
            </w:pPr>
            <w:r>
              <w:rPr>
                <w:rFonts w:hint="eastAsia"/>
                <w:color w:val="000000"/>
                <w:kern w:val="0"/>
                <w:sz w:val="24"/>
              </w:rPr>
              <w:t>本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w:t>
            </w:r>
          </w:p>
          <w:p>
            <w:pPr>
              <w:numPr>
                <w:ilvl w:val="0"/>
                <w:numId w:val="12"/>
              </w:numPr>
              <w:spacing w:line="360" w:lineRule="auto"/>
              <w:ind w:firstLine="480" w:firstLineChars="200"/>
              <w:rPr>
                <w:rFonts w:hint="eastAsia"/>
                <w:color w:val="000000"/>
                <w:kern w:val="0"/>
                <w:sz w:val="24"/>
              </w:rPr>
            </w:pPr>
            <w:r>
              <w:rPr>
                <w:rFonts w:hint="eastAsia"/>
                <w:color w:val="000000"/>
                <w:kern w:val="0"/>
                <w:sz w:val="24"/>
              </w:rPr>
              <w:t>除按照国家规定需要保密的情形外，建设单位应当依法向社会公开验收报告。</w:t>
            </w:r>
          </w:p>
          <w:p>
            <w:pPr>
              <w:numPr>
                <w:ilvl w:val="0"/>
                <w:numId w:val="12"/>
              </w:numPr>
              <w:spacing w:line="360" w:lineRule="auto"/>
              <w:ind w:firstLine="480" w:firstLineChars="200"/>
              <w:rPr>
                <w:rFonts w:hint="eastAsia"/>
                <w:color w:val="000000"/>
                <w:kern w:val="0"/>
                <w:sz w:val="24"/>
              </w:rPr>
            </w:pPr>
            <w:r>
              <w:rPr>
                <w:rFonts w:hint="eastAsia"/>
                <w:color w:val="000000"/>
                <w:kern w:val="0"/>
                <w:sz w:val="24"/>
              </w:rPr>
              <w:t xml:space="preserve">本项目及配套建设的环境保护设施经验收合格后，方可投入生产或者使用；未经验收或者验收不合格的，不得投入生产或者使用。 </w:t>
            </w:r>
          </w:p>
          <w:p>
            <w:pPr>
              <w:numPr>
                <w:ilvl w:val="0"/>
                <w:numId w:val="12"/>
              </w:numPr>
              <w:spacing w:line="360" w:lineRule="auto"/>
              <w:ind w:firstLine="480" w:firstLineChars="200"/>
              <w:rPr>
                <w:rFonts w:hint="eastAsia"/>
                <w:color w:val="000000"/>
                <w:kern w:val="0"/>
                <w:sz w:val="24"/>
              </w:rPr>
            </w:pPr>
            <w:r>
              <w:rPr>
                <w:rFonts w:hint="eastAsia"/>
                <w:color w:val="000000"/>
                <w:kern w:val="0"/>
                <w:sz w:val="24"/>
              </w:rPr>
              <w:t>环境保护行政主管部门应当对本项目环境保护设施设计、施工、验收、投入生产或者使用情况，以及有关环境影响评价文件确定的其他环境保护措施的落实情况，进行监督检查</w:t>
            </w:r>
          </w:p>
          <w:p>
            <w:pPr>
              <w:spacing w:line="360" w:lineRule="auto"/>
              <w:ind w:firstLine="480" w:firstLineChars="200"/>
              <w:rPr>
                <w:rFonts w:hint="eastAsia"/>
                <w:color w:val="000000"/>
                <w:kern w:val="0"/>
                <w:sz w:val="24"/>
              </w:rPr>
            </w:pPr>
            <w:r>
              <w:rPr>
                <w:rFonts w:hint="eastAsia"/>
                <w:color w:val="000000"/>
                <w:kern w:val="0"/>
                <w:sz w:val="24"/>
              </w:rPr>
              <w:t>环保设施竣工验收要求见下表。</w:t>
            </w:r>
          </w:p>
          <w:p>
            <w:pPr>
              <w:spacing w:line="360" w:lineRule="auto"/>
              <w:jc w:val="center"/>
              <w:rPr>
                <w:b/>
                <w:bCs/>
                <w:color w:val="000000"/>
                <w:kern w:val="0"/>
                <w:szCs w:val="21"/>
              </w:rPr>
            </w:pPr>
            <w:r>
              <w:rPr>
                <w:rFonts w:hint="eastAsia"/>
                <w:b/>
                <w:bCs/>
                <w:color w:val="000000"/>
                <w:kern w:val="0"/>
                <w:szCs w:val="21"/>
              </w:rPr>
              <w:t>表5-2  本项目“三同时”验收一览表</w:t>
            </w:r>
          </w:p>
          <w:tbl>
            <w:tblPr>
              <w:tblStyle w:val="39"/>
              <w:tblW w:w="81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941"/>
              <w:gridCol w:w="1057"/>
              <w:gridCol w:w="1297"/>
              <w:gridCol w:w="1214"/>
              <w:gridCol w:w="1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89" w:type="dxa"/>
                  <w:noWrap w:val="0"/>
                  <w:vAlign w:val="center"/>
                </w:tcPr>
                <w:p>
                  <w:pPr>
                    <w:jc w:val="center"/>
                    <w:rPr>
                      <w:rFonts w:hint="eastAsia"/>
                      <w:b/>
                      <w:bCs/>
                      <w:color w:val="000000"/>
                      <w:kern w:val="0"/>
                      <w:szCs w:val="21"/>
                    </w:rPr>
                  </w:pPr>
                  <w:r>
                    <w:rPr>
                      <w:rFonts w:hint="eastAsia"/>
                      <w:b/>
                      <w:bCs/>
                      <w:color w:val="000000"/>
                      <w:kern w:val="0"/>
                      <w:szCs w:val="21"/>
                    </w:rPr>
                    <w:t>类别</w:t>
                  </w:r>
                </w:p>
              </w:tc>
              <w:tc>
                <w:tcPr>
                  <w:tcW w:w="1941" w:type="dxa"/>
                  <w:noWrap w:val="0"/>
                  <w:vAlign w:val="center"/>
                </w:tcPr>
                <w:p>
                  <w:pPr>
                    <w:jc w:val="center"/>
                    <w:rPr>
                      <w:rFonts w:hint="eastAsia"/>
                      <w:b/>
                      <w:bCs/>
                      <w:color w:val="000000"/>
                      <w:kern w:val="0"/>
                      <w:szCs w:val="21"/>
                    </w:rPr>
                  </w:pPr>
                  <w:r>
                    <w:rPr>
                      <w:rFonts w:hint="eastAsia"/>
                      <w:b/>
                      <w:bCs/>
                      <w:color w:val="000000"/>
                      <w:kern w:val="0"/>
                      <w:szCs w:val="21"/>
                    </w:rPr>
                    <w:t>治理对象</w:t>
                  </w:r>
                </w:p>
              </w:tc>
              <w:tc>
                <w:tcPr>
                  <w:tcW w:w="1057" w:type="dxa"/>
                  <w:noWrap w:val="0"/>
                  <w:vAlign w:val="center"/>
                </w:tcPr>
                <w:p>
                  <w:pPr>
                    <w:jc w:val="center"/>
                    <w:rPr>
                      <w:rFonts w:hint="eastAsia"/>
                      <w:b/>
                      <w:bCs/>
                      <w:color w:val="000000"/>
                      <w:kern w:val="0"/>
                      <w:szCs w:val="21"/>
                    </w:rPr>
                  </w:pPr>
                  <w:r>
                    <w:rPr>
                      <w:rFonts w:hint="eastAsia"/>
                      <w:b/>
                      <w:bCs/>
                      <w:color w:val="000000"/>
                      <w:kern w:val="0"/>
                      <w:szCs w:val="21"/>
                    </w:rPr>
                    <w:t>环保设施内容</w:t>
                  </w:r>
                </w:p>
              </w:tc>
              <w:tc>
                <w:tcPr>
                  <w:tcW w:w="1297" w:type="dxa"/>
                  <w:noWrap w:val="0"/>
                  <w:vAlign w:val="center"/>
                </w:tcPr>
                <w:p>
                  <w:pPr>
                    <w:jc w:val="center"/>
                    <w:rPr>
                      <w:rFonts w:hint="eastAsia"/>
                      <w:b/>
                      <w:bCs/>
                      <w:color w:val="000000"/>
                      <w:kern w:val="0"/>
                      <w:szCs w:val="21"/>
                    </w:rPr>
                  </w:pPr>
                  <w:r>
                    <w:rPr>
                      <w:rFonts w:hint="eastAsia"/>
                      <w:b/>
                      <w:bCs/>
                      <w:color w:val="000000"/>
                      <w:kern w:val="0"/>
                      <w:szCs w:val="21"/>
                    </w:rPr>
                    <w:t>验收位置</w:t>
                  </w:r>
                </w:p>
              </w:tc>
              <w:tc>
                <w:tcPr>
                  <w:tcW w:w="1214" w:type="dxa"/>
                  <w:noWrap w:val="0"/>
                  <w:vAlign w:val="center"/>
                </w:tcPr>
                <w:p>
                  <w:pPr>
                    <w:jc w:val="center"/>
                    <w:rPr>
                      <w:rFonts w:hint="eastAsia"/>
                      <w:b/>
                      <w:bCs/>
                      <w:color w:val="000000"/>
                      <w:kern w:val="0"/>
                      <w:szCs w:val="21"/>
                    </w:rPr>
                  </w:pPr>
                  <w:r>
                    <w:rPr>
                      <w:rFonts w:hint="eastAsia"/>
                      <w:b/>
                      <w:bCs/>
                      <w:color w:val="000000"/>
                      <w:kern w:val="0"/>
                      <w:szCs w:val="21"/>
                    </w:rPr>
                    <w:t>验收因子</w:t>
                  </w:r>
                </w:p>
              </w:tc>
              <w:tc>
                <w:tcPr>
                  <w:tcW w:w="1738" w:type="dxa"/>
                  <w:noWrap w:val="0"/>
                  <w:vAlign w:val="center"/>
                </w:tcPr>
                <w:p>
                  <w:pPr>
                    <w:jc w:val="center"/>
                    <w:rPr>
                      <w:rFonts w:hint="eastAsia"/>
                      <w:b/>
                      <w:bCs/>
                      <w:color w:val="000000"/>
                      <w:kern w:val="0"/>
                      <w:szCs w:val="21"/>
                    </w:rPr>
                  </w:pPr>
                  <w:r>
                    <w:rPr>
                      <w:rFonts w:hint="eastAsia"/>
                      <w:b/>
                      <w:bCs/>
                      <w:color w:val="000000"/>
                      <w:kern w:val="0"/>
                      <w:szCs w:val="21"/>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89" w:type="dxa"/>
                  <w:noWrap w:val="0"/>
                  <w:vAlign w:val="center"/>
                </w:tcPr>
                <w:p>
                  <w:pPr>
                    <w:jc w:val="center"/>
                    <w:rPr>
                      <w:rFonts w:hint="eastAsia"/>
                      <w:color w:val="000000"/>
                      <w:kern w:val="0"/>
                      <w:szCs w:val="21"/>
                    </w:rPr>
                  </w:pPr>
                  <w:r>
                    <w:rPr>
                      <w:rFonts w:hint="eastAsia"/>
                      <w:color w:val="000000"/>
                      <w:kern w:val="0"/>
                      <w:szCs w:val="21"/>
                    </w:rPr>
                    <w:t>水污染物</w:t>
                  </w:r>
                </w:p>
              </w:tc>
              <w:tc>
                <w:tcPr>
                  <w:tcW w:w="1941" w:type="dxa"/>
                  <w:noWrap w:val="0"/>
                  <w:vAlign w:val="center"/>
                </w:tcPr>
                <w:p>
                  <w:pPr>
                    <w:jc w:val="center"/>
                    <w:rPr>
                      <w:rFonts w:hint="eastAsia"/>
                      <w:color w:val="000000"/>
                      <w:kern w:val="0"/>
                      <w:szCs w:val="21"/>
                    </w:rPr>
                  </w:pPr>
                  <w:r>
                    <w:rPr>
                      <w:rFonts w:hint="eastAsia"/>
                      <w:color w:val="000000"/>
                      <w:kern w:val="0"/>
                      <w:szCs w:val="21"/>
                    </w:rPr>
                    <w:t>运营期不涉及水污染物</w:t>
                  </w:r>
                </w:p>
              </w:tc>
              <w:tc>
                <w:tcPr>
                  <w:tcW w:w="1057" w:type="dxa"/>
                  <w:noWrap w:val="0"/>
                  <w:vAlign w:val="center"/>
                </w:tcPr>
                <w:p>
                  <w:pPr>
                    <w:jc w:val="center"/>
                    <w:rPr>
                      <w:color w:val="000000"/>
                      <w:kern w:val="0"/>
                      <w:szCs w:val="21"/>
                    </w:rPr>
                  </w:pPr>
                  <w:r>
                    <w:rPr>
                      <w:rFonts w:hint="eastAsia"/>
                      <w:color w:val="000000"/>
                      <w:kern w:val="0"/>
                      <w:szCs w:val="21"/>
                    </w:rPr>
                    <w:t>/</w:t>
                  </w:r>
                </w:p>
              </w:tc>
              <w:tc>
                <w:tcPr>
                  <w:tcW w:w="1297" w:type="dxa"/>
                  <w:noWrap w:val="0"/>
                  <w:vAlign w:val="center"/>
                </w:tcPr>
                <w:p>
                  <w:pPr>
                    <w:jc w:val="center"/>
                    <w:rPr>
                      <w:rFonts w:hint="eastAsia"/>
                      <w:color w:val="000000"/>
                      <w:kern w:val="0"/>
                      <w:szCs w:val="21"/>
                    </w:rPr>
                  </w:pPr>
                  <w:r>
                    <w:rPr>
                      <w:rFonts w:hint="eastAsia"/>
                      <w:color w:val="000000"/>
                      <w:kern w:val="0"/>
                      <w:szCs w:val="21"/>
                    </w:rPr>
                    <w:t>/</w:t>
                  </w:r>
                </w:p>
              </w:tc>
              <w:tc>
                <w:tcPr>
                  <w:tcW w:w="1214" w:type="dxa"/>
                  <w:noWrap w:val="0"/>
                  <w:vAlign w:val="center"/>
                </w:tcPr>
                <w:p>
                  <w:pPr>
                    <w:jc w:val="center"/>
                    <w:rPr>
                      <w:rFonts w:hint="eastAsia"/>
                      <w:color w:val="000000"/>
                      <w:kern w:val="0"/>
                      <w:szCs w:val="21"/>
                    </w:rPr>
                  </w:pPr>
                  <w:r>
                    <w:rPr>
                      <w:rFonts w:hint="eastAsia"/>
                      <w:color w:val="000000"/>
                      <w:kern w:val="0"/>
                      <w:szCs w:val="21"/>
                    </w:rPr>
                    <w:t>/</w:t>
                  </w:r>
                </w:p>
              </w:tc>
              <w:tc>
                <w:tcPr>
                  <w:tcW w:w="1738" w:type="dxa"/>
                  <w:noWrap w:val="0"/>
                  <w:vAlign w:val="center"/>
                </w:tcPr>
                <w:p>
                  <w:pPr>
                    <w:jc w:val="center"/>
                    <w:rPr>
                      <w:rFonts w:hint="eastAsia"/>
                      <w:color w:val="000000"/>
                      <w:kern w:val="0"/>
                      <w:szCs w:val="21"/>
                    </w:rPr>
                  </w:pPr>
                  <w:r>
                    <w:rPr>
                      <w:rFonts w:hint="eastAsia"/>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89" w:type="dxa"/>
                  <w:noWrap w:val="0"/>
                  <w:vAlign w:val="center"/>
                </w:tcPr>
                <w:p>
                  <w:pPr>
                    <w:jc w:val="center"/>
                    <w:rPr>
                      <w:rFonts w:hint="eastAsia"/>
                      <w:color w:val="000000"/>
                      <w:kern w:val="0"/>
                      <w:szCs w:val="21"/>
                    </w:rPr>
                  </w:pPr>
                  <w:r>
                    <w:rPr>
                      <w:rFonts w:hint="eastAsia"/>
                      <w:color w:val="000000"/>
                      <w:kern w:val="0"/>
                      <w:szCs w:val="21"/>
                    </w:rPr>
                    <w:t>大气污染物</w:t>
                  </w:r>
                </w:p>
              </w:tc>
              <w:tc>
                <w:tcPr>
                  <w:tcW w:w="1941" w:type="dxa"/>
                  <w:noWrap w:val="0"/>
                  <w:vAlign w:val="center"/>
                </w:tcPr>
                <w:p>
                  <w:pPr>
                    <w:jc w:val="center"/>
                    <w:rPr>
                      <w:rFonts w:hint="eastAsia"/>
                      <w:color w:val="000000"/>
                      <w:kern w:val="0"/>
                      <w:szCs w:val="21"/>
                    </w:rPr>
                  </w:pPr>
                  <w:r>
                    <w:rPr>
                      <w:rFonts w:hint="eastAsia"/>
                      <w:color w:val="000000"/>
                      <w:kern w:val="0"/>
                      <w:szCs w:val="21"/>
                    </w:rPr>
                    <w:t>运营期不涉及大气污染物</w:t>
                  </w:r>
                </w:p>
              </w:tc>
              <w:tc>
                <w:tcPr>
                  <w:tcW w:w="1057" w:type="dxa"/>
                  <w:noWrap w:val="0"/>
                  <w:vAlign w:val="center"/>
                </w:tcPr>
                <w:p>
                  <w:pPr>
                    <w:jc w:val="center"/>
                    <w:rPr>
                      <w:rFonts w:hint="eastAsia"/>
                      <w:color w:val="000000"/>
                      <w:kern w:val="0"/>
                      <w:szCs w:val="21"/>
                    </w:rPr>
                  </w:pPr>
                  <w:r>
                    <w:rPr>
                      <w:rFonts w:hint="eastAsia"/>
                      <w:color w:val="000000"/>
                      <w:kern w:val="0"/>
                      <w:szCs w:val="21"/>
                    </w:rPr>
                    <w:t>/</w:t>
                  </w:r>
                </w:p>
              </w:tc>
              <w:tc>
                <w:tcPr>
                  <w:tcW w:w="1297" w:type="dxa"/>
                  <w:noWrap w:val="0"/>
                  <w:vAlign w:val="center"/>
                </w:tcPr>
                <w:p>
                  <w:pPr>
                    <w:jc w:val="center"/>
                    <w:rPr>
                      <w:rFonts w:hint="eastAsia"/>
                      <w:color w:val="000000"/>
                      <w:kern w:val="0"/>
                      <w:szCs w:val="21"/>
                    </w:rPr>
                  </w:pPr>
                  <w:r>
                    <w:rPr>
                      <w:rFonts w:hint="eastAsia"/>
                      <w:color w:val="000000"/>
                      <w:kern w:val="0"/>
                      <w:szCs w:val="21"/>
                    </w:rPr>
                    <w:t>/</w:t>
                  </w:r>
                </w:p>
              </w:tc>
              <w:tc>
                <w:tcPr>
                  <w:tcW w:w="1214" w:type="dxa"/>
                  <w:noWrap w:val="0"/>
                  <w:vAlign w:val="center"/>
                </w:tcPr>
                <w:p>
                  <w:pPr>
                    <w:jc w:val="center"/>
                    <w:rPr>
                      <w:rFonts w:hint="eastAsia"/>
                      <w:color w:val="000000"/>
                      <w:kern w:val="0"/>
                      <w:szCs w:val="21"/>
                    </w:rPr>
                  </w:pPr>
                  <w:r>
                    <w:rPr>
                      <w:rFonts w:hint="eastAsia"/>
                      <w:color w:val="000000"/>
                      <w:kern w:val="0"/>
                      <w:szCs w:val="21"/>
                    </w:rPr>
                    <w:t>/</w:t>
                  </w:r>
                </w:p>
              </w:tc>
              <w:tc>
                <w:tcPr>
                  <w:tcW w:w="1738" w:type="dxa"/>
                  <w:noWrap w:val="0"/>
                  <w:vAlign w:val="center"/>
                </w:tcPr>
                <w:p>
                  <w:pPr>
                    <w:jc w:val="center"/>
                    <w:rPr>
                      <w:rFonts w:hint="eastAsia"/>
                      <w:color w:val="000000"/>
                      <w:kern w:val="0"/>
                      <w:szCs w:val="21"/>
                    </w:rPr>
                  </w:pPr>
                  <w:r>
                    <w:rPr>
                      <w:rFonts w:hint="eastAsia"/>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889" w:type="dxa"/>
                  <w:noWrap w:val="0"/>
                  <w:vAlign w:val="center"/>
                </w:tcPr>
                <w:p>
                  <w:pPr>
                    <w:jc w:val="center"/>
                    <w:rPr>
                      <w:rFonts w:hint="eastAsia"/>
                      <w:color w:val="000000"/>
                      <w:kern w:val="0"/>
                      <w:szCs w:val="21"/>
                    </w:rPr>
                  </w:pPr>
                  <w:r>
                    <w:rPr>
                      <w:rFonts w:hint="eastAsia"/>
                      <w:color w:val="000000"/>
                      <w:kern w:val="0"/>
                      <w:szCs w:val="21"/>
                    </w:rPr>
                    <w:t>噪声</w:t>
                  </w:r>
                </w:p>
              </w:tc>
              <w:tc>
                <w:tcPr>
                  <w:tcW w:w="1941" w:type="dxa"/>
                  <w:noWrap w:val="0"/>
                  <w:vAlign w:val="center"/>
                </w:tcPr>
                <w:p>
                  <w:pPr>
                    <w:jc w:val="center"/>
                    <w:rPr>
                      <w:rFonts w:hint="eastAsia"/>
                      <w:color w:val="000000"/>
                      <w:kern w:val="0"/>
                      <w:szCs w:val="21"/>
                    </w:rPr>
                  </w:pPr>
                  <w:r>
                    <w:rPr>
                      <w:rFonts w:hint="eastAsia"/>
                      <w:color w:val="000000"/>
                      <w:kern w:val="0"/>
                      <w:szCs w:val="21"/>
                    </w:rPr>
                    <w:t>运营期不涉及噪声</w:t>
                  </w:r>
                </w:p>
              </w:tc>
              <w:tc>
                <w:tcPr>
                  <w:tcW w:w="1057" w:type="dxa"/>
                  <w:noWrap w:val="0"/>
                  <w:vAlign w:val="center"/>
                </w:tcPr>
                <w:p>
                  <w:pPr>
                    <w:jc w:val="center"/>
                    <w:rPr>
                      <w:rFonts w:hint="eastAsia"/>
                      <w:color w:val="000000"/>
                      <w:kern w:val="0"/>
                      <w:szCs w:val="21"/>
                    </w:rPr>
                  </w:pPr>
                  <w:r>
                    <w:rPr>
                      <w:rFonts w:hint="eastAsia"/>
                      <w:color w:val="000000"/>
                      <w:kern w:val="0"/>
                      <w:szCs w:val="21"/>
                    </w:rPr>
                    <w:t>/</w:t>
                  </w:r>
                </w:p>
              </w:tc>
              <w:tc>
                <w:tcPr>
                  <w:tcW w:w="1297" w:type="dxa"/>
                  <w:noWrap w:val="0"/>
                  <w:vAlign w:val="center"/>
                </w:tcPr>
                <w:p>
                  <w:pPr>
                    <w:jc w:val="center"/>
                    <w:rPr>
                      <w:rFonts w:hint="eastAsia"/>
                      <w:color w:val="000000"/>
                      <w:kern w:val="0"/>
                      <w:szCs w:val="21"/>
                    </w:rPr>
                  </w:pPr>
                  <w:r>
                    <w:rPr>
                      <w:rFonts w:hint="eastAsia"/>
                      <w:color w:val="000000"/>
                      <w:kern w:val="0"/>
                      <w:szCs w:val="21"/>
                    </w:rPr>
                    <w:t>/</w:t>
                  </w:r>
                </w:p>
              </w:tc>
              <w:tc>
                <w:tcPr>
                  <w:tcW w:w="1214" w:type="dxa"/>
                  <w:noWrap w:val="0"/>
                  <w:vAlign w:val="center"/>
                </w:tcPr>
                <w:p>
                  <w:pPr>
                    <w:jc w:val="center"/>
                    <w:rPr>
                      <w:rFonts w:hint="eastAsia"/>
                      <w:color w:val="000000"/>
                      <w:kern w:val="0"/>
                      <w:szCs w:val="21"/>
                    </w:rPr>
                  </w:pPr>
                  <w:r>
                    <w:rPr>
                      <w:rFonts w:hint="eastAsia"/>
                      <w:color w:val="000000"/>
                      <w:kern w:val="0"/>
                      <w:szCs w:val="21"/>
                    </w:rPr>
                    <w:t>/</w:t>
                  </w:r>
                </w:p>
              </w:tc>
              <w:tc>
                <w:tcPr>
                  <w:tcW w:w="1738" w:type="dxa"/>
                  <w:noWrap w:val="0"/>
                  <w:vAlign w:val="center"/>
                </w:tcPr>
                <w:p>
                  <w:pPr>
                    <w:jc w:val="center"/>
                    <w:rPr>
                      <w:rFonts w:hint="eastAsia"/>
                      <w:color w:val="000000"/>
                      <w:kern w:val="0"/>
                      <w:szCs w:val="21"/>
                    </w:rPr>
                  </w:pPr>
                  <w:r>
                    <w:rPr>
                      <w:rFonts w:hint="eastAsia"/>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0" w:hRule="atLeast"/>
              </w:trPr>
              <w:tc>
                <w:tcPr>
                  <w:tcW w:w="889" w:type="dxa"/>
                  <w:noWrap w:val="0"/>
                  <w:vAlign w:val="center"/>
                </w:tcPr>
                <w:p>
                  <w:pPr>
                    <w:jc w:val="center"/>
                    <w:rPr>
                      <w:rFonts w:hint="eastAsia"/>
                      <w:color w:val="000000"/>
                      <w:kern w:val="0"/>
                      <w:szCs w:val="21"/>
                    </w:rPr>
                  </w:pPr>
                  <w:r>
                    <w:rPr>
                      <w:rFonts w:hint="eastAsia"/>
                      <w:color w:val="000000"/>
                      <w:kern w:val="0"/>
                      <w:szCs w:val="21"/>
                    </w:rPr>
                    <w:t>固体废物</w:t>
                  </w:r>
                </w:p>
              </w:tc>
              <w:tc>
                <w:tcPr>
                  <w:tcW w:w="1941" w:type="dxa"/>
                  <w:noWrap w:val="0"/>
                  <w:vAlign w:val="center"/>
                </w:tcPr>
                <w:p>
                  <w:pPr>
                    <w:jc w:val="center"/>
                    <w:rPr>
                      <w:rFonts w:hint="eastAsia"/>
                      <w:color w:val="000000"/>
                      <w:kern w:val="0"/>
                      <w:szCs w:val="21"/>
                    </w:rPr>
                  </w:pPr>
                  <w:r>
                    <w:rPr>
                      <w:rFonts w:hint="eastAsia"/>
                      <w:color w:val="000000"/>
                      <w:kern w:val="0"/>
                      <w:szCs w:val="21"/>
                    </w:rPr>
                    <w:t>运营期不涉及固废</w:t>
                  </w:r>
                </w:p>
              </w:tc>
              <w:tc>
                <w:tcPr>
                  <w:tcW w:w="1057" w:type="dxa"/>
                  <w:noWrap w:val="0"/>
                  <w:vAlign w:val="center"/>
                </w:tcPr>
                <w:p>
                  <w:pPr>
                    <w:jc w:val="center"/>
                    <w:rPr>
                      <w:rFonts w:hint="eastAsia"/>
                      <w:color w:val="000000"/>
                      <w:kern w:val="0"/>
                      <w:szCs w:val="21"/>
                    </w:rPr>
                  </w:pPr>
                  <w:r>
                    <w:rPr>
                      <w:rFonts w:hint="eastAsia"/>
                      <w:color w:val="000000"/>
                      <w:kern w:val="0"/>
                      <w:szCs w:val="21"/>
                    </w:rPr>
                    <w:t>/</w:t>
                  </w:r>
                </w:p>
              </w:tc>
              <w:tc>
                <w:tcPr>
                  <w:tcW w:w="1297" w:type="dxa"/>
                  <w:noWrap w:val="0"/>
                  <w:vAlign w:val="center"/>
                </w:tcPr>
                <w:p>
                  <w:pPr>
                    <w:jc w:val="center"/>
                    <w:rPr>
                      <w:rFonts w:hint="eastAsia"/>
                      <w:color w:val="000000"/>
                      <w:kern w:val="0"/>
                      <w:szCs w:val="21"/>
                    </w:rPr>
                  </w:pPr>
                  <w:r>
                    <w:rPr>
                      <w:rFonts w:hint="eastAsia"/>
                      <w:color w:val="000000"/>
                      <w:kern w:val="0"/>
                      <w:szCs w:val="21"/>
                    </w:rPr>
                    <w:t>/</w:t>
                  </w:r>
                </w:p>
              </w:tc>
              <w:tc>
                <w:tcPr>
                  <w:tcW w:w="1214" w:type="dxa"/>
                  <w:noWrap w:val="0"/>
                  <w:vAlign w:val="center"/>
                </w:tcPr>
                <w:p>
                  <w:pPr>
                    <w:jc w:val="center"/>
                    <w:rPr>
                      <w:rFonts w:hint="eastAsia"/>
                      <w:color w:val="000000"/>
                      <w:kern w:val="0"/>
                      <w:szCs w:val="21"/>
                    </w:rPr>
                  </w:pPr>
                  <w:r>
                    <w:rPr>
                      <w:rFonts w:hint="eastAsia"/>
                      <w:color w:val="000000"/>
                      <w:kern w:val="0"/>
                      <w:szCs w:val="21"/>
                    </w:rPr>
                    <w:t>/</w:t>
                  </w:r>
                </w:p>
              </w:tc>
              <w:tc>
                <w:tcPr>
                  <w:tcW w:w="1738" w:type="dxa"/>
                  <w:noWrap w:val="0"/>
                  <w:vAlign w:val="center"/>
                </w:tcPr>
                <w:p>
                  <w:pPr>
                    <w:jc w:val="center"/>
                    <w:rPr>
                      <w:rFonts w:hint="eastAsia"/>
                      <w:color w:val="000000"/>
                      <w:kern w:val="0"/>
                      <w:szCs w:val="21"/>
                    </w:rPr>
                  </w:pPr>
                  <w:r>
                    <w:rPr>
                      <w:rFonts w:hint="eastAsia"/>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889" w:type="dxa"/>
                  <w:noWrap w:val="0"/>
                  <w:vAlign w:val="center"/>
                </w:tcPr>
                <w:p>
                  <w:pPr>
                    <w:jc w:val="center"/>
                    <w:rPr>
                      <w:rFonts w:hint="eastAsia"/>
                      <w:color w:val="000000"/>
                      <w:kern w:val="0"/>
                      <w:szCs w:val="21"/>
                    </w:rPr>
                  </w:pPr>
                  <w:r>
                    <w:rPr>
                      <w:rFonts w:hint="eastAsia"/>
                      <w:color w:val="000000"/>
                      <w:kern w:val="0"/>
                      <w:szCs w:val="21"/>
                    </w:rPr>
                    <w:t>生态恢复</w:t>
                  </w:r>
                </w:p>
              </w:tc>
              <w:tc>
                <w:tcPr>
                  <w:tcW w:w="1941" w:type="dxa"/>
                  <w:noWrap w:val="0"/>
                  <w:vAlign w:val="center"/>
                </w:tcPr>
                <w:p>
                  <w:pPr>
                    <w:jc w:val="center"/>
                    <w:rPr>
                      <w:rFonts w:hint="eastAsia"/>
                      <w:color w:val="000000"/>
                      <w:kern w:val="0"/>
                      <w:szCs w:val="21"/>
                    </w:rPr>
                  </w:pPr>
                  <w:r>
                    <w:rPr>
                      <w:rFonts w:hint="eastAsia"/>
                      <w:color w:val="000000"/>
                      <w:kern w:val="0"/>
                      <w:szCs w:val="21"/>
                    </w:rPr>
                    <w:t>临时工程生态恢复措施</w:t>
                  </w:r>
                </w:p>
              </w:tc>
              <w:tc>
                <w:tcPr>
                  <w:tcW w:w="1057" w:type="dxa"/>
                  <w:noWrap w:val="0"/>
                  <w:vAlign w:val="center"/>
                </w:tcPr>
                <w:p>
                  <w:pPr>
                    <w:jc w:val="center"/>
                    <w:rPr>
                      <w:rFonts w:hint="eastAsia"/>
                      <w:color w:val="000000"/>
                      <w:kern w:val="0"/>
                      <w:szCs w:val="21"/>
                    </w:rPr>
                  </w:pPr>
                  <w:r>
                    <w:rPr>
                      <w:rFonts w:hint="eastAsia"/>
                      <w:color w:val="000000"/>
                      <w:kern w:val="0"/>
                      <w:szCs w:val="21"/>
                    </w:rPr>
                    <w:t>临时工程恢复措施</w:t>
                  </w:r>
                </w:p>
              </w:tc>
              <w:tc>
                <w:tcPr>
                  <w:tcW w:w="1297" w:type="dxa"/>
                  <w:noWrap w:val="0"/>
                  <w:vAlign w:val="center"/>
                </w:tcPr>
                <w:p>
                  <w:pPr>
                    <w:jc w:val="center"/>
                    <w:rPr>
                      <w:rFonts w:hint="eastAsia"/>
                      <w:color w:val="000000"/>
                      <w:kern w:val="0"/>
                      <w:szCs w:val="21"/>
                    </w:rPr>
                  </w:pPr>
                  <w:r>
                    <w:rPr>
                      <w:rFonts w:hint="eastAsia"/>
                      <w:color w:val="000000"/>
                      <w:kern w:val="0"/>
                      <w:szCs w:val="21"/>
                    </w:rPr>
                    <w:t>施工区、施工道路等</w:t>
                  </w:r>
                </w:p>
              </w:tc>
              <w:tc>
                <w:tcPr>
                  <w:tcW w:w="1214" w:type="dxa"/>
                  <w:noWrap w:val="0"/>
                  <w:vAlign w:val="center"/>
                </w:tcPr>
                <w:p>
                  <w:pPr>
                    <w:jc w:val="center"/>
                    <w:rPr>
                      <w:rFonts w:hint="eastAsia"/>
                      <w:color w:val="000000"/>
                      <w:kern w:val="0"/>
                      <w:szCs w:val="21"/>
                    </w:rPr>
                  </w:pPr>
                  <w:r>
                    <w:rPr>
                      <w:rFonts w:hint="eastAsia"/>
                      <w:color w:val="000000"/>
                      <w:kern w:val="0"/>
                      <w:szCs w:val="21"/>
                    </w:rPr>
                    <w:t>植被恢复效果</w:t>
                  </w:r>
                </w:p>
              </w:tc>
              <w:tc>
                <w:tcPr>
                  <w:tcW w:w="1738" w:type="dxa"/>
                  <w:noWrap w:val="0"/>
                  <w:vAlign w:val="center"/>
                </w:tcPr>
                <w:p>
                  <w:pPr>
                    <w:jc w:val="center"/>
                    <w:rPr>
                      <w:rFonts w:hint="eastAsia"/>
                      <w:color w:val="000000"/>
                      <w:kern w:val="0"/>
                      <w:szCs w:val="21"/>
                    </w:rPr>
                  </w:pPr>
                  <w:r>
                    <w:rPr>
                      <w:rFonts w:hint="eastAsia"/>
                      <w:color w:val="000000"/>
                      <w:kern w:val="0"/>
                      <w:szCs w:val="21"/>
                    </w:rPr>
                    <w:t>满足水土保持要求和生态环境管理要求</w:t>
                  </w:r>
                </w:p>
              </w:tc>
            </w:tr>
          </w:tbl>
          <w:p>
            <w:pPr>
              <w:spacing w:line="360" w:lineRule="auto"/>
              <w:rPr>
                <w:rFonts w:hint="eastAsia"/>
                <w:color w:val="000000"/>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6" w:hRule="atLeast"/>
          <w:jc w:val="center"/>
        </w:trPr>
        <w:tc>
          <w:tcPr>
            <w:tcW w:w="753" w:type="dxa"/>
            <w:noWrap w:val="0"/>
            <w:vAlign w:val="center"/>
          </w:tcPr>
          <w:p>
            <w:pPr>
              <w:adjustRightInd w:val="0"/>
              <w:snapToGrid w:val="0"/>
              <w:jc w:val="center"/>
              <w:rPr>
                <w:rFonts w:ascii="宋体" w:hAnsi="宋体" w:cs="宋体"/>
                <w:bCs/>
                <w:color w:val="000000"/>
                <w:spacing w:val="10"/>
                <w:sz w:val="24"/>
              </w:rPr>
            </w:pPr>
            <w:r>
              <w:rPr>
                <w:rFonts w:hint="eastAsia" w:ascii="宋体" w:hAnsi="宋体"/>
                <w:bCs/>
                <w:color w:val="000000"/>
                <w:sz w:val="24"/>
              </w:rPr>
              <w:t>环保投资</w:t>
            </w:r>
          </w:p>
        </w:tc>
        <w:tc>
          <w:tcPr>
            <w:tcW w:w="8457" w:type="dxa"/>
            <w:noWrap w:val="0"/>
            <w:vAlign w:val="top"/>
          </w:tcPr>
          <w:p>
            <w:pPr>
              <w:pStyle w:val="138"/>
              <w:rPr>
                <w:rFonts w:hint="eastAsia"/>
                <w:color w:val="000000"/>
              </w:rPr>
            </w:pPr>
            <w:r>
              <w:rPr>
                <w:rFonts w:hint="eastAsia"/>
                <w:color w:val="000000"/>
              </w:rPr>
              <w:t>本项目总投资6253.62万元，其中环保投资13</w:t>
            </w:r>
            <w:r>
              <w:rPr>
                <w:rFonts w:hint="eastAsia"/>
                <w:color w:val="000000"/>
                <w:lang w:val="en-US" w:eastAsia="zh-CN"/>
              </w:rPr>
              <w:t>9</w:t>
            </w:r>
            <w:r>
              <w:rPr>
                <w:rFonts w:hint="eastAsia"/>
                <w:color w:val="000000"/>
              </w:rPr>
              <w:t>万元，占工程总投资2.</w:t>
            </w:r>
            <w:r>
              <w:rPr>
                <w:rFonts w:hint="eastAsia"/>
                <w:color w:val="000000"/>
                <w:lang w:val="en-US" w:eastAsia="zh-CN"/>
              </w:rPr>
              <w:t>22</w:t>
            </w:r>
            <w:r>
              <w:rPr>
                <w:rFonts w:hint="eastAsia"/>
                <w:color w:val="000000"/>
              </w:rPr>
              <w:t>%，环境保护措施与投资估算见表5-3。</w:t>
            </w:r>
          </w:p>
          <w:p>
            <w:pPr>
              <w:pStyle w:val="138"/>
              <w:ind w:firstLine="422"/>
              <w:jc w:val="center"/>
              <w:rPr>
                <w:rFonts w:hint="eastAsia"/>
                <w:b/>
                <w:color w:val="000000"/>
                <w:sz w:val="21"/>
                <w:szCs w:val="21"/>
              </w:rPr>
            </w:pPr>
            <w:r>
              <w:rPr>
                <w:rFonts w:hint="eastAsia"/>
                <w:b/>
                <w:color w:val="000000"/>
                <w:sz w:val="21"/>
                <w:szCs w:val="21"/>
              </w:rPr>
              <w:t>表5-3  项目环境保护工程投资估算一览表</w:t>
            </w:r>
          </w:p>
          <w:tbl>
            <w:tblPr>
              <w:tblStyle w:val="39"/>
              <w:tblW w:w="8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435"/>
              <w:gridCol w:w="1504"/>
              <w:gridCol w:w="4434"/>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noWrap w:val="0"/>
                  <w:vAlign w:val="center"/>
                </w:tcPr>
                <w:p>
                  <w:pPr>
                    <w:pStyle w:val="91"/>
                    <w:spacing w:before="24" w:after="24" w:line="240" w:lineRule="auto"/>
                    <w:ind w:left="0" w:leftChars="0" w:firstLine="0" w:firstLineChars="0"/>
                    <w:rPr>
                      <w:rFonts w:ascii="Times New Roman" w:hAnsi="Times New Roman"/>
                      <w:b/>
                      <w:color w:val="000000"/>
                      <w:szCs w:val="21"/>
                    </w:rPr>
                  </w:pPr>
                  <w:r>
                    <w:rPr>
                      <w:rFonts w:ascii="Times New Roman" w:hAnsi="Times New Roman"/>
                      <w:b/>
                      <w:color w:val="000000"/>
                      <w:szCs w:val="21"/>
                    </w:rPr>
                    <w:t>项目</w:t>
                  </w:r>
                </w:p>
              </w:tc>
              <w:tc>
                <w:tcPr>
                  <w:tcW w:w="1939" w:type="dxa"/>
                  <w:gridSpan w:val="2"/>
                  <w:noWrap w:val="0"/>
                  <w:vAlign w:val="center"/>
                </w:tcPr>
                <w:p>
                  <w:pPr>
                    <w:pStyle w:val="91"/>
                    <w:spacing w:before="24" w:after="24" w:line="240" w:lineRule="auto"/>
                    <w:ind w:left="482" w:leftChars="0" w:hanging="422"/>
                    <w:rPr>
                      <w:rFonts w:ascii="Times New Roman" w:hAnsi="Times New Roman"/>
                      <w:b/>
                      <w:color w:val="000000"/>
                      <w:szCs w:val="21"/>
                    </w:rPr>
                  </w:pPr>
                  <w:r>
                    <w:rPr>
                      <w:rFonts w:ascii="Times New Roman" w:hAnsi="Times New Roman"/>
                      <w:b/>
                      <w:color w:val="000000"/>
                      <w:szCs w:val="21"/>
                    </w:rPr>
                    <w:t>内容</w:t>
                  </w:r>
                </w:p>
              </w:tc>
              <w:tc>
                <w:tcPr>
                  <w:tcW w:w="4434" w:type="dxa"/>
                  <w:noWrap w:val="0"/>
                  <w:vAlign w:val="center"/>
                </w:tcPr>
                <w:p>
                  <w:pPr>
                    <w:pStyle w:val="91"/>
                    <w:spacing w:before="24" w:after="24" w:line="240" w:lineRule="auto"/>
                    <w:ind w:left="482" w:leftChars="0" w:hanging="422"/>
                    <w:rPr>
                      <w:rFonts w:ascii="Times New Roman" w:hAnsi="Times New Roman"/>
                      <w:b/>
                      <w:color w:val="000000"/>
                      <w:szCs w:val="21"/>
                    </w:rPr>
                  </w:pPr>
                  <w:r>
                    <w:rPr>
                      <w:rFonts w:ascii="Times New Roman" w:hAnsi="Times New Roman"/>
                      <w:b/>
                      <w:color w:val="000000"/>
                      <w:szCs w:val="21"/>
                    </w:rPr>
                    <w:t>防治措施</w:t>
                  </w:r>
                </w:p>
              </w:tc>
              <w:tc>
                <w:tcPr>
                  <w:tcW w:w="1065" w:type="dxa"/>
                  <w:noWrap w:val="0"/>
                  <w:vAlign w:val="center"/>
                </w:tcPr>
                <w:p>
                  <w:pPr>
                    <w:pStyle w:val="91"/>
                    <w:spacing w:before="24" w:after="24" w:line="240" w:lineRule="auto"/>
                    <w:ind w:left="0" w:leftChars="0" w:firstLine="0" w:firstLineChars="0"/>
                    <w:rPr>
                      <w:rFonts w:ascii="Times New Roman" w:hAnsi="Times New Roman"/>
                      <w:b/>
                      <w:color w:val="000000"/>
                      <w:szCs w:val="21"/>
                    </w:rPr>
                  </w:pPr>
                  <w:r>
                    <w:rPr>
                      <w:rFonts w:ascii="Times New Roman" w:hAnsi="Times New Roman"/>
                      <w:b/>
                      <w:color w:val="000000"/>
                      <w:szCs w:val="21"/>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restart"/>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水污染防治</w:t>
                  </w:r>
                </w:p>
              </w:tc>
              <w:tc>
                <w:tcPr>
                  <w:tcW w:w="435" w:type="dxa"/>
                  <w:vMerge w:val="restart"/>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施工期</w:t>
                  </w:r>
                </w:p>
              </w:tc>
              <w:tc>
                <w:tcPr>
                  <w:tcW w:w="1504" w:type="dxa"/>
                  <w:noWrap w:val="0"/>
                  <w:vAlign w:val="center"/>
                </w:tcPr>
                <w:p>
                  <w:pPr>
                    <w:pStyle w:val="140"/>
                    <w:rPr>
                      <w:rFonts w:ascii="Times New Roman" w:hAnsi="Times New Roman"/>
                      <w:color w:val="000000"/>
                    </w:rPr>
                  </w:pPr>
                  <w:r>
                    <w:rPr>
                      <w:rFonts w:ascii="Times New Roman" w:hAnsi="Times New Roman"/>
                      <w:color w:val="000000"/>
                    </w:rPr>
                    <w:t>砼砂浆拌和系统和砼养护冲洗废水</w:t>
                  </w:r>
                </w:p>
              </w:tc>
              <w:tc>
                <w:tcPr>
                  <w:tcW w:w="4434" w:type="dxa"/>
                  <w:noWrap w:val="0"/>
                  <w:vAlign w:val="center"/>
                </w:tcPr>
                <w:p>
                  <w:pPr>
                    <w:pStyle w:val="140"/>
                    <w:rPr>
                      <w:rFonts w:ascii="Times New Roman" w:hAnsi="Times New Roman"/>
                      <w:color w:val="000000"/>
                    </w:rPr>
                  </w:pPr>
                  <w:r>
                    <w:rPr>
                      <w:rFonts w:ascii="Times New Roman" w:hAnsi="Times New Roman"/>
                      <w:color w:val="000000"/>
                    </w:rPr>
                    <w:t>利用主体工程开挖的排水沟、集水沟汇集生产废水，采取自然坑储澄清处理生产废水，经沉淀后，清水用于砼砂浆拌和机用水</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continue"/>
                  <w:noWrap w:val="0"/>
                  <w:vAlign w:val="center"/>
                </w:tcPr>
                <w:p>
                  <w:pPr>
                    <w:pStyle w:val="91"/>
                    <w:spacing w:before="24" w:after="24" w:line="240" w:lineRule="auto"/>
                    <w:ind w:left="0" w:leftChars="0" w:firstLine="0" w:firstLineChars="0"/>
                    <w:rPr>
                      <w:rFonts w:ascii="Times New Roman" w:hAnsi="Times New Roman"/>
                      <w:color w:val="000000"/>
                      <w:szCs w:val="21"/>
                    </w:rPr>
                  </w:pPr>
                </w:p>
              </w:tc>
              <w:tc>
                <w:tcPr>
                  <w:tcW w:w="435" w:type="dxa"/>
                  <w:vMerge w:val="continue"/>
                  <w:noWrap w:val="0"/>
                  <w:vAlign w:val="center"/>
                </w:tcPr>
                <w:p>
                  <w:pPr>
                    <w:pStyle w:val="91"/>
                    <w:spacing w:before="24" w:after="24"/>
                    <w:ind w:left="840" w:hanging="420"/>
                    <w:rPr>
                      <w:rFonts w:ascii="Times New Roman" w:hAnsi="Times New Roman"/>
                      <w:color w:val="000000"/>
                      <w:szCs w:val="21"/>
                    </w:rPr>
                  </w:pPr>
                </w:p>
              </w:tc>
              <w:tc>
                <w:tcPr>
                  <w:tcW w:w="1504" w:type="dxa"/>
                  <w:noWrap w:val="0"/>
                  <w:vAlign w:val="center"/>
                </w:tcPr>
                <w:p>
                  <w:pPr>
                    <w:pStyle w:val="140"/>
                    <w:rPr>
                      <w:rFonts w:ascii="Times New Roman" w:hAnsi="Times New Roman"/>
                      <w:color w:val="000000"/>
                    </w:rPr>
                  </w:pPr>
                  <w:r>
                    <w:rPr>
                      <w:rFonts w:ascii="Times New Roman" w:hAnsi="Times New Roman"/>
                      <w:color w:val="000000"/>
                    </w:rPr>
                    <w:t>生活污水</w:t>
                  </w:r>
                </w:p>
              </w:tc>
              <w:tc>
                <w:tcPr>
                  <w:tcW w:w="4434" w:type="dxa"/>
                  <w:noWrap w:val="0"/>
                  <w:vAlign w:val="center"/>
                </w:tcPr>
                <w:p>
                  <w:pPr>
                    <w:pStyle w:val="140"/>
                    <w:rPr>
                      <w:rFonts w:ascii="Times New Roman" w:hAnsi="Times New Roman"/>
                      <w:color w:val="000000"/>
                    </w:rPr>
                  </w:pPr>
                  <w:r>
                    <w:rPr>
                      <w:rFonts w:hint="eastAsia"/>
                    </w:rPr>
                    <w:t>依托周边既有生活污水处理设施处理</w:t>
                  </w:r>
                  <w:r>
                    <w:rPr>
                      <w:rFonts w:ascii="Times New Roman" w:hAnsi="Times New Roman"/>
                      <w:bCs/>
                      <w:color w:val="000000"/>
                      <w:kern w:val="0"/>
                      <w:sz w:val="24"/>
                    </w:rPr>
                    <w:t>，</w:t>
                  </w:r>
                  <w:r>
                    <w:rPr>
                      <w:rFonts w:ascii="Times New Roman" w:hAnsi="Times New Roman"/>
                      <w:bCs/>
                      <w:color w:val="000000"/>
                      <w:kern w:val="0"/>
                      <w:sz w:val="21"/>
                      <w:szCs w:val="21"/>
                    </w:rPr>
                    <w:t>不外排</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hint="eastAsia" w:ascii="Times New Roman" w:hAnsi="Times New Roman"/>
                      <w:color w:val="000000"/>
                      <w:szCs w:val="21"/>
                    </w:rPr>
                    <w:t>5</w:t>
                  </w:r>
                  <w:r>
                    <w:rPr>
                      <w:rFonts w:ascii="Times New Roman" w:hAnsi="Times New Roman"/>
                      <w:color w:val="00000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restart"/>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大气污染物防治</w:t>
                  </w:r>
                </w:p>
              </w:tc>
              <w:tc>
                <w:tcPr>
                  <w:tcW w:w="435" w:type="dxa"/>
                  <w:vMerge w:val="continue"/>
                  <w:noWrap w:val="0"/>
                  <w:vAlign w:val="center"/>
                </w:tcPr>
                <w:p>
                  <w:pPr>
                    <w:pStyle w:val="91"/>
                    <w:spacing w:before="24" w:after="24"/>
                    <w:ind w:left="840" w:hanging="420"/>
                    <w:rPr>
                      <w:rFonts w:ascii="Times New Roman" w:hAnsi="Times New Roman"/>
                      <w:color w:val="000000"/>
                      <w:szCs w:val="21"/>
                    </w:rPr>
                  </w:pPr>
                </w:p>
              </w:tc>
              <w:tc>
                <w:tcPr>
                  <w:tcW w:w="1504" w:type="dxa"/>
                  <w:noWrap w:val="0"/>
                  <w:vAlign w:val="center"/>
                </w:tcPr>
                <w:p>
                  <w:pPr>
                    <w:pStyle w:val="140"/>
                    <w:rPr>
                      <w:rFonts w:ascii="Times New Roman" w:hAnsi="Times New Roman"/>
                      <w:color w:val="000000"/>
                    </w:rPr>
                  </w:pPr>
                  <w:r>
                    <w:rPr>
                      <w:rFonts w:ascii="Times New Roman" w:hAnsi="Times New Roman"/>
                      <w:color w:val="000000"/>
                    </w:rPr>
                    <w:t>施工及道路扬尘</w:t>
                  </w:r>
                </w:p>
              </w:tc>
              <w:tc>
                <w:tcPr>
                  <w:tcW w:w="4434" w:type="dxa"/>
                  <w:noWrap w:val="0"/>
                  <w:vAlign w:val="center"/>
                </w:tcPr>
                <w:p>
                  <w:pPr>
                    <w:pStyle w:val="140"/>
                    <w:rPr>
                      <w:rFonts w:ascii="Times New Roman" w:hAnsi="Times New Roman"/>
                      <w:color w:val="000000"/>
                    </w:rPr>
                  </w:pPr>
                  <w:r>
                    <w:rPr>
                      <w:rFonts w:ascii="Times New Roman" w:hAnsi="Times New Roman"/>
                      <w:color w:val="000000"/>
                    </w:rPr>
                    <w:t>施工场地周围设置围挡、定期对地面洒水，及时清除路面的渣土，运输车辆限速、加盖篷布、对主要运输道路定时洒水</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continue"/>
                  <w:noWrap w:val="0"/>
                  <w:vAlign w:val="center"/>
                </w:tcPr>
                <w:p>
                  <w:pPr>
                    <w:pStyle w:val="91"/>
                    <w:spacing w:before="24" w:after="24" w:line="240" w:lineRule="auto"/>
                    <w:ind w:left="0" w:leftChars="0" w:firstLine="0" w:firstLineChars="0"/>
                    <w:rPr>
                      <w:rFonts w:ascii="Times New Roman" w:hAnsi="Times New Roman"/>
                      <w:color w:val="000000"/>
                      <w:szCs w:val="21"/>
                    </w:rPr>
                  </w:pPr>
                </w:p>
              </w:tc>
              <w:tc>
                <w:tcPr>
                  <w:tcW w:w="435" w:type="dxa"/>
                  <w:vMerge w:val="continue"/>
                  <w:noWrap w:val="0"/>
                  <w:vAlign w:val="center"/>
                </w:tcPr>
                <w:p>
                  <w:pPr>
                    <w:pStyle w:val="91"/>
                    <w:spacing w:before="24" w:after="24"/>
                    <w:ind w:left="840" w:hanging="420"/>
                    <w:rPr>
                      <w:rFonts w:ascii="Times New Roman" w:hAnsi="Times New Roman"/>
                      <w:color w:val="000000"/>
                      <w:szCs w:val="21"/>
                    </w:rPr>
                  </w:pPr>
                </w:p>
              </w:tc>
              <w:tc>
                <w:tcPr>
                  <w:tcW w:w="1504" w:type="dxa"/>
                  <w:noWrap w:val="0"/>
                  <w:vAlign w:val="center"/>
                </w:tcPr>
                <w:p>
                  <w:pPr>
                    <w:pStyle w:val="70"/>
                    <w:spacing w:line="240" w:lineRule="auto"/>
                    <w:rPr>
                      <w:rFonts w:ascii="Times New Roman" w:hAnsi="Times New Roman"/>
                      <w:color w:val="000000"/>
                      <w:szCs w:val="21"/>
                    </w:rPr>
                  </w:pPr>
                  <w:r>
                    <w:rPr>
                      <w:rFonts w:ascii="Times New Roman" w:hAnsi="Times New Roman"/>
                      <w:color w:val="000000"/>
                      <w:szCs w:val="21"/>
                    </w:rPr>
                    <w:t>拌和点粉尘</w:t>
                  </w:r>
                </w:p>
              </w:tc>
              <w:tc>
                <w:tcPr>
                  <w:tcW w:w="4434" w:type="dxa"/>
                  <w:noWrap w:val="0"/>
                  <w:vAlign w:val="center"/>
                </w:tcPr>
                <w:p>
                  <w:pPr>
                    <w:pStyle w:val="70"/>
                    <w:spacing w:line="240" w:lineRule="auto"/>
                    <w:rPr>
                      <w:rFonts w:ascii="Times New Roman" w:hAnsi="Times New Roman"/>
                      <w:color w:val="000000"/>
                      <w:szCs w:val="21"/>
                    </w:rPr>
                  </w:pPr>
                  <w:r>
                    <w:rPr>
                      <w:rFonts w:ascii="Times New Roman" w:hAnsi="Times New Roman"/>
                      <w:color w:val="000000"/>
                      <w:szCs w:val="21"/>
                    </w:rPr>
                    <w:t>拌和点配套洒水降尘设施，施工完成后应进行迹地恢复，立即植树绿化</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continue"/>
                  <w:noWrap w:val="0"/>
                  <w:vAlign w:val="center"/>
                </w:tcPr>
                <w:p>
                  <w:pPr>
                    <w:pStyle w:val="91"/>
                    <w:spacing w:before="24" w:after="24" w:line="240" w:lineRule="auto"/>
                    <w:ind w:left="0" w:leftChars="0" w:firstLine="0" w:firstLineChars="0"/>
                    <w:rPr>
                      <w:rFonts w:ascii="Times New Roman" w:hAnsi="Times New Roman"/>
                      <w:color w:val="000000"/>
                      <w:szCs w:val="21"/>
                    </w:rPr>
                  </w:pPr>
                </w:p>
              </w:tc>
              <w:tc>
                <w:tcPr>
                  <w:tcW w:w="435" w:type="dxa"/>
                  <w:vMerge w:val="continue"/>
                  <w:noWrap w:val="0"/>
                  <w:vAlign w:val="center"/>
                </w:tcPr>
                <w:p>
                  <w:pPr>
                    <w:pStyle w:val="91"/>
                    <w:spacing w:before="24" w:after="24"/>
                    <w:ind w:left="840" w:hanging="420"/>
                    <w:rPr>
                      <w:rFonts w:ascii="Times New Roman" w:hAnsi="Times New Roman"/>
                      <w:color w:val="000000"/>
                      <w:szCs w:val="21"/>
                    </w:rPr>
                  </w:pPr>
                </w:p>
              </w:tc>
              <w:tc>
                <w:tcPr>
                  <w:tcW w:w="1504" w:type="dxa"/>
                  <w:noWrap w:val="0"/>
                  <w:vAlign w:val="center"/>
                </w:tcPr>
                <w:p>
                  <w:pPr>
                    <w:pStyle w:val="70"/>
                    <w:spacing w:line="240" w:lineRule="auto"/>
                    <w:rPr>
                      <w:rFonts w:hint="eastAsia" w:ascii="Times New Roman" w:hAnsi="Times New Roman" w:eastAsia="宋体"/>
                      <w:color w:val="000000"/>
                      <w:szCs w:val="21"/>
                      <w:lang w:eastAsia="zh-CN"/>
                    </w:rPr>
                  </w:pPr>
                  <w:r>
                    <w:rPr>
                      <w:rFonts w:hint="eastAsia" w:ascii="Times New Roman" w:hAnsi="Times New Roman"/>
                      <w:color w:val="000000"/>
                      <w:szCs w:val="21"/>
                      <w:lang w:eastAsia="zh-CN"/>
                    </w:rPr>
                    <w:t>沥青烟</w:t>
                  </w:r>
                </w:p>
              </w:tc>
              <w:tc>
                <w:tcPr>
                  <w:tcW w:w="4434" w:type="dxa"/>
                  <w:noWrap w:val="0"/>
                  <w:vAlign w:val="center"/>
                </w:tcPr>
                <w:p>
                  <w:pPr>
                    <w:pStyle w:val="70"/>
                    <w:spacing w:line="240" w:lineRule="auto"/>
                    <w:rPr>
                      <w:rFonts w:hint="eastAsia" w:ascii="Times New Roman" w:hAnsi="Times New Roman" w:eastAsia="宋体"/>
                      <w:color w:val="000000"/>
                      <w:szCs w:val="21"/>
                      <w:lang w:eastAsia="zh-CN"/>
                    </w:rPr>
                  </w:pPr>
                  <w:r>
                    <w:rPr>
                      <w:rFonts w:ascii="宋体" w:hAnsi="宋体"/>
                      <w:bCs/>
                    </w:rPr>
                    <w:t>本项目不设沥青拌和站，项目所需的沥青均在当地购买商品沥青</w:t>
                  </w:r>
                  <w:r>
                    <w:rPr>
                      <w:rFonts w:hint="eastAsia" w:ascii="宋体" w:hAnsi="宋体"/>
                      <w:bCs/>
                      <w:lang w:eastAsia="zh-CN"/>
                    </w:rPr>
                    <w:t>，</w:t>
                  </w:r>
                  <w:r>
                    <w:rPr>
                      <w:rFonts w:ascii="宋体" w:hAnsi="宋体"/>
                      <w:bCs/>
                    </w:rPr>
                    <w:t>运送沥青均采用罐装沥青专用车辆装运，以防止沿程撒落污染环境</w:t>
                  </w:r>
                </w:p>
              </w:tc>
              <w:tc>
                <w:tcPr>
                  <w:tcW w:w="1065" w:type="dxa"/>
                  <w:noWrap w:val="0"/>
                  <w:vAlign w:val="center"/>
                </w:tcPr>
                <w:p>
                  <w:pPr>
                    <w:pStyle w:val="91"/>
                    <w:spacing w:before="24" w:after="24" w:line="240" w:lineRule="auto"/>
                    <w:ind w:left="0" w:leftChars="0" w:firstLine="0" w:firstLineChars="0"/>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噪声防治</w:t>
                  </w:r>
                </w:p>
              </w:tc>
              <w:tc>
                <w:tcPr>
                  <w:tcW w:w="435" w:type="dxa"/>
                  <w:vMerge w:val="continue"/>
                  <w:noWrap w:val="0"/>
                  <w:vAlign w:val="center"/>
                </w:tcPr>
                <w:p>
                  <w:pPr>
                    <w:pStyle w:val="91"/>
                    <w:spacing w:before="24" w:after="24"/>
                    <w:ind w:left="840" w:hanging="420"/>
                    <w:rPr>
                      <w:rFonts w:ascii="Times New Roman" w:hAnsi="Times New Roman"/>
                      <w:color w:val="000000"/>
                      <w:szCs w:val="21"/>
                    </w:rPr>
                  </w:pPr>
                </w:p>
              </w:tc>
              <w:tc>
                <w:tcPr>
                  <w:tcW w:w="1504" w:type="dxa"/>
                  <w:noWrap w:val="0"/>
                  <w:vAlign w:val="center"/>
                </w:tcPr>
                <w:p>
                  <w:pPr>
                    <w:pStyle w:val="140"/>
                    <w:rPr>
                      <w:rFonts w:ascii="Times New Roman" w:hAnsi="Times New Roman"/>
                      <w:color w:val="000000"/>
                    </w:rPr>
                  </w:pPr>
                  <w:r>
                    <w:rPr>
                      <w:rFonts w:ascii="Times New Roman" w:hAnsi="Times New Roman"/>
                      <w:color w:val="000000"/>
                    </w:rPr>
                    <w:t>机械及施工噪声</w:t>
                  </w:r>
                </w:p>
              </w:tc>
              <w:tc>
                <w:tcPr>
                  <w:tcW w:w="4434" w:type="dxa"/>
                  <w:noWrap w:val="0"/>
                  <w:vAlign w:val="center"/>
                </w:tcPr>
                <w:p>
                  <w:pPr>
                    <w:widowControl/>
                    <w:jc w:val="left"/>
                    <w:rPr>
                      <w:rFonts w:ascii="Times New Roman" w:hAnsi="Times New Roman"/>
                      <w:color w:val="000000"/>
                      <w:szCs w:val="21"/>
                    </w:rPr>
                  </w:pPr>
                  <w:r>
                    <w:rPr>
                      <w:rFonts w:ascii="Times New Roman" w:hAnsi="Times New Roman"/>
                      <w:bCs/>
                      <w:color w:val="000000"/>
                      <w:szCs w:val="21"/>
                    </w:rPr>
                    <w:t>①移动噪声源如空压机等应尽可能屏蔽，在可能的条件下应尽量远离噪声敏感区，以减少噪声对周围地区的影响；②加强设备的维修和保养，保持机械润滑，降低运行噪声；震动较大的机械设备应使用减震机座降低噪声</w:t>
                  </w:r>
                  <w:r>
                    <w:rPr>
                      <w:rFonts w:hint="eastAsia" w:ascii="Times New Roman" w:hAnsi="Times New Roman"/>
                      <w:bCs/>
                      <w:color w:val="000000"/>
                      <w:szCs w:val="21"/>
                    </w:rPr>
                    <w:t>；</w:t>
                  </w:r>
                  <w:r>
                    <w:rPr>
                      <w:rFonts w:ascii="Times New Roman" w:hAnsi="Times New Roman"/>
                      <w:bCs/>
                      <w:color w:val="000000"/>
                      <w:szCs w:val="21"/>
                    </w:rPr>
                    <w:t>③中高考期间、夜间及午休时间禁止施工、钢筋加工及运输；④车辆在经过环境敏感区时减速行驶，禁止鸣笛，同时定期对车辆进行维修，保证其正常运行。⑤</w:t>
                  </w:r>
                  <w:r>
                    <w:rPr>
                      <w:rFonts w:hint="eastAsia" w:ascii="Times New Roman" w:hAnsi="Times New Roman"/>
                      <w:color w:val="000000"/>
                      <w:kern w:val="0"/>
                      <w:szCs w:val="21"/>
                      <w:lang w:bidi="ar"/>
                    </w:rPr>
                    <w:t>文明施工</w:t>
                  </w:r>
                  <w:r>
                    <w:rPr>
                      <w:rFonts w:ascii="Times New Roman" w:hAnsi="Times New Roman"/>
                      <w:color w:val="000000"/>
                      <w:kern w:val="0"/>
                      <w:szCs w:val="21"/>
                      <w:lang w:bidi="ar"/>
                    </w:rPr>
                    <w:t>。</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restart"/>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固废</w:t>
                  </w:r>
                  <w:r>
                    <w:rPr>
                      <w:rFonts w:hint="eastAsia" w:ascii="Times New Roman" w:hAnsi="Times New Roman"/>
                      <w:color w:val="000000"/>
                      <w:szCs w:val="21"/>
                    </w:rPr>
                    <w:t>防治</w:t>
                  </w:r>
                </w:p>
              </w:tc>
              <w:tc>
                <w:tcPr>
                  <w:tcW w:w="435" w:type="dxa"/>
                  <w:vMerge w:val="continue"/>
                  <w:noWrap w:val="0"/>
                  <w:vAlign w:val="center"/>
                </w:tcPr>
                <w:p>
                  <w:pPr>
                    <w:pStyle w:val="91"/>
                    <w:spacing w:before="24" w:after="24" w:line="240" w:lineRule="auto"/>
                    <w:ind w:left="0" w:leftChars="0" w:firstLine="0" w:firstLineChars="0"/>
                    <w:rPr>
                      <w:rFonts w:ascii="Times New Roman" w:hAnsi="Times New Roman"/>
                      <w:color w:val="000000"/>
                      <w:szCs w:val="21"/>
                    </w:rPr>
                  </w:pPr>
                </w:p>
              </w:tc>
              <w:tc>
                <w:tcPr>
                  <w:tcW w:w="1504"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弃渣</w:t>
                  </w:r>
                </w:p>
              </w:tc>
              <w:tc>
                <w:tcPr>
                  <w:tcW w:w="4434"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kern w:val="0"/>
                      <w:lang w:val="zh-CN"/>
                    </w:rPr>
                    <w:t>总弃渣量</w:t>
                  </w:r>
                  <w:r>
                    <w:rPr>
                      <w:rFonts w:ascii="Times New Roman" w:hAnsi="Times New Roman"/>
                      <w:kern w:val="0"/>
                    </w:rPr>
                    <w:t>1.50</w:t>
                  </w:r>
                  <w:r>
                    <w:rPr>
                      <w:rFonts w:ascii="Times New Roman" w:hAnsi="Times New Roman"/>
                      <w:kern w:val="0"/>
                      <w:lang w:val="zh-CN"/>
                    </w:rPr>
                    <w:t>万m</w:t>
                  </w:r>
                  <w:r>
                    <w:rPr>
                      <w:rFonts w:ascii="Times New Roman" w:hAnsi="Times New Roman"/>
                      <w:kern w:val="0"/>
                      <w:vertAlign w:val="superscript"/>
                      <w:lang w:val="zh-CN"/>
                    </w:rPr>
                    <w:t>3</w:t>
                  </w:r>
                  <w:r>
                    <w:rPr>
                      <w:rFonts w:ascii="Times New Roman" w:hAnsi="Times New Roman"/>
                      <w:kern w:val="0"/>
                      <w:lang w:val="zh-CN"/>
                    </w:rPr>
                    <w:t>（自然方），</w:t>
                  </w:r>
                  <w:r>
                    <w:rPr>
                      <w:rFonts w:hint="eastAsia" w:ascii="Times New Roman" w:hAnsi="Times New Roman"/>
                      <w:kern w:val="0"/>
                      <w:lang w:val="zh-CN"/>
                    </w:rPr>
                    <w:t>其中1.30万m</w:t>
                  </w:r>
                  <w:r>
                    <w:rPr>
                      <w:rFonts w:hint="eastAsia" w:ascii="Times New Roman" w:hAnsi="Times New Roman"/>
                      <w:kern w:val="0"/>
                      <w:vertAlign w:val="superscript"/>
                      <w:lang w:val="zh-CN"/>
                    </w:rPr>
                    <w:t>3</w:t>
                  </w:r>
                  <w:r>
                    <w:rPr>
                      <w:rFonts w:hint="eastAsia" w:ascii="Times New Roman" w:hAnsi="Times New Roman"/>
                      <w:kern w:val="0"/>
                      <w:lang w:val="zh-CN"/>
                    </w:rPr>
                    <w:t>（自然方）弃渣因弃渣量较小，且较分散，拟全部沿渠在渠道施工作业带范围内堆放，另外0.20万m</w:t>
                  </w:r>
                  <w:r>
                    <w:rPr>
                      <w:rFonts w:hint="eastAsia" w:ascii="Times New Roman" w:hAnsi="Times New Roman"/>
                      <w:kern w:val="0"/>
                      <w:vertAlign w:val="superscript"/>
                      <w:lang w:val="zh-CN"/>
                    </w:rPr>
                    <w:t>3</w:t>
                  </w:r>
                  <w:r>
                    <w:rPr>
                      <w:rFonts w:hint="eastAsia" w:ascii="Times New Roman" w:hAnsi="Times New Roman"/>
                      <w:kern w:val="0"/>
                      <w:lang w:val="zh-CN" w:eastAsia="zh-CN"/>
                    </w:rPr>
                    <w:t>回填渠道低洼地带，</w:t>
                  </w:r>
                  <w:r>
                    <w:rPr>
                      <w:rFonts w:hint="eastAsia" w:ascii="Times New Roman" w:hAnsi="Times New Roman"/>
                      <w:kern w:val="0"/>
                      <w:lang w:val="zh-CN"/>
                    </w:rPr>
                    <w:t>不设置集中弃渣场</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hint="eastAsia" w:ascii="Times New Roman" w:hAnsi="Times New Roman"/>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vMerge w:val="continue"/>
                  <w:noWrap w:val="0"/>
                  <w:vAlign w:val="center"/>
                </w:tcPr>
                <w:p>
                  <w:pPr>
                    <w:pStyle w:val="91"/>
                    <w:spacing w:before="24" w:after="24" w:line="240" w:lineRule="auto"/>
                    <w:ind w:left="0" w:leftChars="0" w:firstLine="0" w:firstLineChars="0"/>
                    <w:rPr>
                      <w:rFonts w:ascii="Times New Roman" w:hAnsi="Times New Roman"/>
                      <w:color w:val="000000"/>
                      <w:szCs w:val="21"/>
                    </w:rPr>
                  </w:pPr>
                </w:p>
              </w:tc>
              <w:tc>
                <w:tcPr>
                  <w:tcW w:w="435" w:type="dxa"/>
                  <w:vMerge w:val="continue"/>
                  <w:noWrap w:val="0"/>
                  <w:vAlign w:val="center"/>
                </w:tcPr>
                <w:p>
                  <w:pPr>
                    <w:pStyle w:val="91"/>
                    <w:spacing w:before="24" w:after="24" w:line="240" w:lineRule="auto"/>
                    <w:ind w:left="480" w:leftChars="0" w:hanging="420"/>
                    <w:rPr>
                      <w:rFonts w:ascii="Times New Roman" w:hAnsi="Times New Roman"/>
                      <w:color w:val="000000"/>
                      <w:szCs w:val="21"/>
                    </w:rPr>
                  </w:pPr>
                </w:p>
              </w:tc>
              <w:tc>
                <w:tcPr>
                  <w:tcW w:w="1504"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生活垃圾</w:t>
                  </w:r>
                </w:p>
              </w:tc>
              <w:tc>
                <w:tcPr>
                  <w:tcW w:w="4434" w:type="dxa"/>
                  <w:noWrap w:val="0"/>
                  <w:vAlign w:val="center"/>
                </w:tcPr>
                <w:p>
                  <w:pPr>
                    <w:widowControl/>
                    <w:adjustRightInd w:val="0"/>
                    <w:snapToGrid w:val="0"/>
                    <w:jc w:val="center"/>
                    <w:rPr>
                      <w:rFonts w:ascii="Times New Roman" w:hAnsi="Times New Roman"/>
                      <w:color w:val="000000"/>
                      <w:szCs w:val="21"/>
                    </w:rPr>
                  </w:pPr>
                  <w:r>
                    <w:rPr>
                      <w:rFonts w:hint="eastAsia" w:ascii="Times New Roman" w:hAnsi="Times New Roman"/>
                      <w:color w:val="000000"/>
                      <w:szCs w:val="21"/>
                      <w:lang w:eastAsia="zh-CN"/>
                    </w:rPr>
                    <w:t>施工期的生活垃圾统一收集交由当地环卫部门</w:t>
                  </w:r>
                  <w:r>
                    <w:rPr>
                      <w:rFonts w:hint="eastAsia" w:ascii="Times New Roman" w:hAnsi="Times New Roman"/>
                      <w:color w:val="000000"/>
                      <w:szCs w:val="21"/>
                    </w:rPr>
                    <w:t>进行清运，消毒处理</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0"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风险</w:t>
                  </w:r>
                  <w:r>
                    <w:rPr>
                      <w:rFonts w:hint="eastAsia" w:ascii="Times New Roman" w:hAnsi="Times New Roman"/>
                      <w:color w:val="000000"/>
                      <w:szCs w:val="21"/>
                    </w:rPr>
                    <w:t>防范</w:t>
                  </w:r>
                </w:p>
              </w:tc>
              <w:tc>
                <w:tcPr>
                  <w:tcW w:w="435" w:type="dxa"/>
                  <w:vMerge w:val="continue"/>
                  <w:noWrap w:val="0"/>
                  <w:vAlign w:val="center"/>
                </w:tcPr>
                <w:p>
                  <w:pPr>
                    <w:pStyle w:val="91"/>
                    <w:spacing w:before="24" w:after="24" w:line="240" w:lineRule="auto"/>
                    <w:ind w:left="480" w:leftChars="0" w:hanging="420"/>
                    <w:rPr>
                      <w:rFonts w:ascii="Times New Roman" w:hAnsi="Times New Roman"/>
                      <w:color w:val="000000"/>
                      <w:szCs w:val="21"/>
                    </w:rPr>
                  </w:pPr>
                </w:p>
              </w:tc>
              <w:tc>
                <w:tcPr>
                  <w:tcW w:w="1504" w:type="dxa"/>
                  <w:noWrap w:val="0"/>
                  <w:vAlign w:val="center"/>
                </w:tcPr>
                <w:p>
                  <w:pPr>
                    <w:widowControl/>
                    <w:adjustRightInd w:val="0"/>
                    <w:snapToGrid w:val="0"/>
                    <w:jc w:val="center"/>
                    <w:rPr>
                      <w:rFonts w:ascii="Times New Roman" w:hAnsi="Times New Roman"/>
                      <w:color w:val="000000"/>
                      <w:kern w:val="0"/>
                      <w:szCs w:val="21"/>
                    </w:rPr>
                  </w:pPr>
                  <w:r>
                    <w:rPr>
                      <w:rFonts w:ascii="Times New Roman" w:hAnsi="Times New Roman"/>
                      <w:color w:val="000000"/>
                      <w:kern w:val="0"/>
                      <w:szCs w:val="21"/>
                    </w:rPr>
                    <w:t>油类物质事故泄露</w:t>
                  </w:r>
                </w:p>
              </w:tc>
              <w:tc>
                <w:tcPr>
                  <w:tcW w:w="4434" w:type="dxa"/>
                  <w:noWrap w:val="0"/>
                  <w:vAlign w:val="center"/>
                </w:tcPr>
                <w:p>
                  <w:pPr>
                    <w:jc w:val="center"/>
                    <w:rPr>
                      <w:rFonts w:ascii="Times New Roman" w:hAnsi="Times New Roman"/>
                      <w:color w:val="000000"/>
                      <w:kern w:val="0"/>
                      <w:szCs w:val="21"/>
                    </w:rPr>
                  </w:pPr>
                  <w:r>
                    <w:rPr>
                      <w:rFonts w:ascii="Times New Roman" w:hAnsi="Times New Roman"/>
                      <w:snapToGrid w:val="0"/>
                      <w:color w:val="000000"/>
                      <w:kern w:val="0"/>
                      <w:szCs w:val="21"/>
                    </w:rPr>
                    <w:t>（1）所有机械维修及加油服务均不在施工区域进行，全部委外在修理站及加油站进行；（2）按操作规程施工，禁止野蛮施工；（3）加强机械车辆维护保养，确保能够正常使用；（4）一旦发生泄露事故，应立即停止施工，并采取相应应急措施，减缓对外环境的影响。</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ascii="Times New Roman" w:hAnsi="Times New Roman"/>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99" w:type="dxa"/>
                  <w:gridSpan w:val="3"/>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水土保持、植被恢复等生态保护措施</w:t>
                  </w:r>
                </w:p>
              </w:tc>
              <w:tc>
                <w:tcPr>
                  <w:tcW w:w="4434" w:type="dxa"/>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kern w:val="0"/>
                      <w:szCs w:val="21"/>
                      <w:lang w:bidi="ar"/>
                    </w:rPr>
                    <w:t>主体工程防治区主要采取在沿岸种植植被；施工工区设置临时排水沟及</w:t>
                  </w:r>
                  <w:r>
                    <w:rPr>
                      <w:rFonts w:hint="eastAsia" w:ascii="Times New Roman" w:hAnsi="Times New Roman"/>
                      <w:color w:val="000000"/>
                      <w:kern w:val="0"/>
                      <w:szCs w:val="21"/>
                      <w:lang w:bidi="ar"/>
                    </w:rPr>
                    <w:t>澄清</w:t>
                  </w:r>
                  <w:r>
                    <w:rPr>
                      <w:rFonts w:ascii="Times New Roman" w:hAnsi="Times New Roman"/>
                      <w:color w:val="000000"/>
                      <w:kern w:val="0"/>
                      <w:szCs w:val="21"/>
                      <w:lang w:bidi="ar"/>
                    </w:rPr>
                    <w:t>池；同时在施工结束后，地表停止扰动，拆除施工期临时建筑，</w:t>
                  </w:r>
                  <w:r>
                    <w:rPr>
                      <w:rFonts w:ascii="Times New Roman" w:hAnsi="Times New Roman"/>
                      <w:color w:val="000000"/>
                      <w:szCs w:val="21"/>
                    </w:rPr>
                    <w:t>并进行迹地恢复，采取相应的绿化措施</w:t>
                  </w:r>
                </w:p>
              </w:tc>
              <w:tc>
                <w:tcPr>
                  <w:tcW w:w="1065" w:type="dxa"/>
                  <w:noWrap w:val="0"/>
                  <w:vAlign w:val="center"/>
                </w:tcPr>
                <w:p>
                  <w:pPr>
                    <w:pStyle w:val="91"/>
                    <w:spacing w:before="24" w:after="24" w:line="240" w:lineRule="auto"/>
                    <w:ind w:left="0" w:leftChars="0" w:firstLine="0" w:firstLineChars="0"/>
                    <w:rPr>
                      <w:rFonts w:ascii="Times New Roman" w:hAnsi="Times New Roman"/>
                      <w:color w:val="000000"/>
                      <w:szCs w:val="21"/>
                    </w:rPr>
                  </w:pPr>
                  <w:r>
                    <w:rPr>
                      <w:rFonts w:hint="eastAsia" w:ascii="Times New Roman" w:hAnsi="Times New Roman"/>
                      <w:color w:val="000000"/>
                      <w:szCs w:val="21"/>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99" w:type="dxa"/>
                  <w:gridSpan w:val="3"/>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合计</w:t>
                  </w:r>
                </w:p>
              </w:tc>
              <w:tc>
                <w:tcPr>
                  <w:tcW w:w="5499" w:type="dxa"/>
                  <w:gridSpan w:val="2"/>
                  <w:noWrap w:val="0"/>
                  <w:vAlign w:val="center"/>
                </w:tcPr>
                <w:p>
                  <w:pPr>
                    <w:pStyle w:val="91"/>
                    <w:spacing w:before="24" w:after="24" w:line="240" w:lineRule="auto"/>
                    <w:ind w:left="0" w:leftChars="0" w:firstLine="0" w:firstLineChars="0"/>
                    <w:rPr>
                      <w:rFonts w:hint="eastAsia" w:ascii="Times New Roman" w:hAnsi="Times New Roman" w:eastAsia="宋体"/>
                      <w:color w:val="000000"/>
                      <w:szCs w:val="21"/>
                      <w:lang w:eastAsia="zh-CN"/>
                    </w:rPr>
                  </w:pPr>
                  <w:r>
                    <w:rPr>
                      <w:rFonts w:ascii="Times New Roman" w:hAnsi="Times New Roman"/>
                      <w:color w:val="000000"/>
                      <w:szCs w:val="21"/>
                    </w:rPr>
                    <w:t>1</w:t>
                  </w:r>
                  <w:r>
                    <w:rPr>
                      <w:rFonts w:hint="eastAsia" w:ascii="Times New Roman" w:hAnsi="Times New Roman"/>
                      <w:color w:val="000000"/>
                      <w:szCs w:val="21"/>
                    </w:rPr>
                    <w:t>3</w:t>
                  </w:r>
                  <w:r>
                    <w:rPr>
                      <w:rFonts w:hint="eastAsia" w:ascii="Times New Roman" w:hAnsi="Times New Roman"/>
                      <w:color w:val="000000"/>
                      <w:szCs w:val="21"/>
                      <w:lang w:val="en-US" w:eastAsia="zh-CN"/>
                    </w:rPr>
                    <w:t>9</w:t>
                  </w:r>
                </w:p>
              </w:tc>
            </w:tr>
          </w:tbl>
          <w:p>
            <w:pPr>
              <w:adjustRightInd w:val="0"/>
              <w:snapToGrid w:val="0"/>
              <w:rPr>
                <w:rFonts w:ascii="宋体" w:hAnsi="宋体" w:cs="宋体"/>
                <w:bCs/>
                <w:color w:val="000000"/>
                <w:spacing w:val="10"/>
                <w:sz w:val="24"/>
              </w:rPr>
            </w:pPr>
          </w:p>
        </w:tc>
      </w:tr>
    </w:tbl>
    <w:p>
      <w:pPr>
        <w:rPr>
          <w:color w:val="000000"/>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pPr>
        <w:pStyle w:val="3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六、生态环境保护措施监督检查清单</w:t>
      </w:r>
    </w:p>
    <w:tbl>
      <w:tblPr>
        <w:tblStyle w:val="3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6105"/>
        <w:gridCol w:w="2379"/>
        <w:gridCol w:w="2515"/>
        <w:gridCol w:w="18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74" w:type="pct"/>
            <w:vMerge w:val="restart"/>
            <w:tcBorders>
              <w:tl2br w:val="single" w:color="auto" w:sz="4" w:space="0"/>
            </w:tcBorders>
            <w:noWrap w:val="0"/>
            <w:vAlign w:val="top"/>
          </w:tcPr>
          <w:p>
            <w:pPr>
              <w:pStyle w:val="34"/>
              <w:adjustRightInd w:val="0"/>
              <w:snapToGrid w:val="0"/>
              <w:spacing w:before="72" w:beforeLines="3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 xml:space="preserve"> 内容</w:t>
            </w:r>
          </w:p>
          <w:p>
            <w:pPr>
              <w:pStyle w:val="34"/>
              <w:adjustRightInd w:val="0"/>
              <w:snapToGrid w:val="0"/>
              <w:spacing w:before="72" w:beforeLines="30" w:beforeAutospacing="0" w:after="0" w:afterAutospacing="0"/>
              <w:jc w:val="both"/>
              <w:outlineLvl w:val="0"/>
              <w:rPr>
                <w:rFonts w:ascii="Times New Roman" w:hAnsi="Times New Roman"/>
                <w:b/>
                <w:bCs/>
                <w:color w:val="000000"/>
                <w:kern w:val="2"/>
                <w:sz w:val="21"/>
                <w:szCs w:val="21"/>
              </w:rPr>
            </w:pPr>
            <w:r>
              <w:rPr>
                <w:rFonts w:ascii="Times New Roman" w:hAnsi="Times New Roman"/>
                <w:b/>
                <w:bCs/>
                <w:color w:val="000000"/>
                <w:kern w:val="2"/>
                <w:sz w:val="21"/>
                <w:szCs w:val="21"/>
              </w:rPr>
              <w:t xml:space="preserve">           </w:t>
            </w:r>
          </w:p>
          <w:p>
            <w:pPr>
              <w:pStyle w:val="34"/>
              <w:adjustRightInd w:val="0"/>
              <w:snapToGrid w:val="0"/>
              <w:spacing w:before="0" w:beforeAutospacing="0" w:after="0" w:afterAutospacing="0" w:line="14" w:lineRule="auto"/>
              <w:outlineLvl w:val="0"/>
              <w:rPr>
                <w:rFonts w:ascii="Times New Roman" w:hAnsi="Times New Roman"/>
                <w:b/>
                <w:bCs/>
                <w:color w:val="000000"/>
                <w:kern w:val="2"/>
                <w:sz w:val="21"/>
                <w:szCs w:val="21"/>
              </w:rPr>
            </w:pPr>
            <w:r>
              <w:rPr>
                <w:rFonts w:ascii="Times New Roman" w:hAnsi="Times New Roman"/>
                <w:b/>
                <w:bCs/>
                <w:color w:val="000000"/>
                <w:kern w:val="2"/>
                <w:sz w:val="21"/>
                <w:szCs w:val="21"/>
              </w:rPr>
              <w:t xml:space="preserve">  </w:t>
            </w:r>
          </w:p>
          <w:p>
            <w:pPr>
              <w:pStyle w:val="34"/>
              <w:adjustRightInd w:val="0"/>
              <w:snapToGrid w:val="0"/>
              <w:spacing w:before="0" w:beforeAutospacing="0" w:after="0" w:afterAutospacing="0"/>
              <w:outlineLvl w:val="0"/>
              <w:rPr>
                <w:rFonts w:ascii="Times New Roman" w:hAnsi="Times New Roman"/>
                <w:b/>
                <w:bCs/>
                <w:color w:val="000000"/>
                <w:kern w:val="2"/>
                <w:sz w:val="21"/>
                <w:szCs w:val="21"/>
              </w:rPr>
            </w:pPr>
            <w:r>
              <w:rPr>
                <w:rFonts w:ascii="Times New Roman" w:hAnsi="Times New Roman"/>
                <w:b/>
                <w:bCs/>
                <w:color w:val="000000"/>
                <w:kern w:val="2"/>
                <w:sz w:val="21"/>
                <w:szCs w:val="21"/>
              </w:rPr>
              <w:t>要素</w:t>
            </w:r>
          </w:p>
        </w:tc>
        <w:tc>
          <w:tcPr>
            <w:tcW w:w="2992" w:type="pct"/>
            <w:gridSpan w:val="2"/>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施工期</w:t>
            </w:r>
          </w:p>
        </w:tc>
        <w:tc>
          <w:tcPr>
            <w:tcW w:w="1533" w:type="pct"/>
            <w:gridSpan w:val="2"/>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74" w:type="pct"/>
            <w:vMerge w:val="continue"/>
            <w:noWrap w:val="0"/>
            <w:vAlign w:val="top"/>
          </w:tcPr>
          <w:p>
            <w:pPr>
              <w:pStyle w:val="34"/>
              <w:adjustRightInd w:val="0"/>
              <w:snapToGrid w:val="0"/>
              <w:spacing w:before="0" w:beforeAutospacing="0" w:after="0" w:afterAutospacing="0"/>
              <w:ind w:firstLine="840"/>
              <w:jc w:val="center"/>
              <w:outlineLvl w:val="0"/>
              <w:rPr>
                <w:rFonts w:ascii="Times New Roman" w:hAnsi="Times New Roman"/>
                <w:b/>
                <w:bCs/>
                <w:color w:val="000000"/>
                <w:kern w:val="2"/>
                <w:sz w:val="21"/>
                <w:szCs w:val="21"/>
              </w:rPr>
            </w:pPr>
          </w:p>
        </w:tc>
        <w:tc>
          <w:tcPr>
            <w:tcW w:w="2153" w:type="pct"/>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环境保护措施</w:t>
            </w:r>
          </w:p>
        </w:tc>
        <w:tc>
          <w:tcPr>
            <w:tcW w:w="839" w:type="pct"/>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验收要求</w:t>
            </w:r>
          </w:p>
        </w:tc>
        <w:tc>
          <w:tcPr>
            <w:tcW w:w="887" w:type="pct"/>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环境保护措施</w:t>
            </w:r>
          </w:p>
        </w:tc>
        <w:tc>
          <w:tcPr>
            <w:tcW w:w="645" w:type="pct"/>
            <w:noWrap w:val="0"/>
            <w:vAlign w:val="center"/>
          </w:tcPr>
          <w:p>
            <w:pPr>
              <w:pStyle w:val="34"/>
              <w:adjustRightInd w:val="0"/>
              <w:snapToGrid w:val="0"/>
              <w:spacing w:before="0" w:beforeAutospacing="0" w:after="0" w:afterAutospacing="0"/>
              <w:jc w:val="center"/>
              <w:outlineLvl w:val="0"/>
              <w:rPr>
                <w:rFonts w:ascii="Times New Roman" w:hAnsi="Times New Roman"/>
                <w:b/>
                <w:bCs/>
                <w:color w:val="000000"/>
                <w:kern w:val="2"/>
                <w:sz w:val="21"/>
                <w:szCs w:val="21"/>
              </w:rPr>
            </w:pPr>
            <w:r>
              <w:rPr>
                <w:rFonts w:ascii="Times New Roman" w:hAnsi="Times New Roman"/>
                <w:b/>
                <w:bCs/>
                <w:color w:val="000000"/>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陆生生态</w:t>
            </w:r>
          </w:p>
        </w:tc>
        <w:tc>
          <w:tcPr>
            <w:tcW w:w="2153" w:type="pct"/>
            <w:noWrap w:val="0"/>
            <w:vAlign w:val="center"/>
          </w:tcPr>
          <w:p>
            <w:pPr>
              <w:adjustRightInd w:val="0"/>
              <w:snapToGrid w:val="0"/>
              <w:rPr>
                <w:rFonts w:ascii="Times New Roman" w:hAnsi="Times New Roman"/>
                <w:color w:val="000000"/>
                <w:szCs w:val="21"/>
              </w:rPr>
            </w:pPr>
            <w:r>
              <w:rPr>
                <w:rFonts w:ascii="Times New Roman" w:hAnsi="Times New Roman"/>
                <w:color w:val="000000"/>
                <w:szCs w:val="21"/>
              </w:rPr>
              <w:t>①合理规划设计，尽量利用现有道路</w:t>
            </w:r>
          </w:p>
          <w:p>
            <w:pPr>
              <w:adjustRightInd w:val="0"/>
              <w:snapToGrid w:val="0"/>
              <w:rPr>
                <w:rFonts w:ascii="Times New Roman" w:hAnsi="Times New Roman"/>
                <w:color w:val="000000"/>
                <w:szCs w:val="21"/>
              </w:rPr>
            </w:pPr>
            <w:r>
              <w:rPr>
                <w:rFonts w:ascii="Times New Roman" w:hAnsi="Times New Roman"/>
                <w:color w:val="000000"/>
                <w:szCs w:val="21"/>
              </w:rPr>
              <w:t>②施工结束后及时清除施工垃圾和平整侵占区域，对压实的表土进行深翻处理，恢复植被、宜林植林、宜草种草</w:t>
            </w:r>
          </w:p>
          <w:p>
            <w:pPr>
              <w:widowControl/>
              <w:rPr>
                <w:rFonts w:ascii="Times New Roman" w:hAnsi="Times New Roman"/>
                <w:color w:val="000000"/>
                <w:szCs w:val="21"/>
              </w:rPr>
            </w:pPr>
            <w:r>
              <w:rPr>
                <w:rFonts w:ascii="Times New Roman" w:hAnsi="Times New Roman"/>
                <w:color w:val="000000"/>
                <w:szCs w:val="21"/>
              </w:rPr>
              <w:t>③做好施工时施工人员践踏处的绿化工作，尽快恢复原土地利用类型，保持水土，优化生态环境。</w:t>
            </w:r>
          </w:p>
        </w:tc>
        <w:tc>
          <w:tcPr>
            <w:tcW w:w="839" w:type="pct"/>
            <w:noWrap w:val="0"/>
            <w:vAlign w:val="center"/>
          </w:tcPr>
          <w:p>
            <w:pPr>
              <w:widowControl/>
              <w:rPr>
                <w:rFonts w:ascii="Times New Roman" w:hAnsi="Times New Roman"/>
                <w:color w:val="000000"/>
                <w:szCs w:val="21"/>
              </w:rPr>
            </w:pPr>
            <w:r>
              <w:rPr>
                <w:rFonts w:ascii="Times New Roman" w:hAnsi="Times New Roman"/>
                <w:color w:val="000000"/>
                <w:kern w:val="0"/>
                <w:szCs w:val="21"/>
                <w:lang w:bidi="ar"/>
              </w:rPr>
              <w:t>不会对周边陆生生态环境造成明显影响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恢复绿化，涉及临时占用耕地施工完成后应急时复垦</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不会对周边陆生生态环境造成明显影响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水生生态</w:t>
            </w:r>
          </w:p>
        </w:tc>
        <w:tc>
          <w:tcPr>
            <w:tcW w:w="2153" w:type="pct"/>
            <w:noWrap w:val="0"/>
            <w:vAlign w:val="center"/>
          </w:tcPr>
          <w:p>
            <w:pPr>
              <w:adjustRightInd w:val="0"/>
              <w:snapToGrid w:val="0"/>
              <w:rPr>
                <w:rFonts w:ascii="Times New Roman" w:hAnsi="Times New Roman"/>
                <w:color w:val="000000"/>
                <w:szCs w:val="21"/>
              </w:rPr>
            </w:pPr>
            <w:r>
              <w:rPr>
                <w:rFonts w:ascii="Times New Roman" w:hAnsi="Times New Roman"/>
                <w:color w:val="000000"/>
                <w:szCs w:val="21"/>
              </w:rPr>
              <w:t>①减少涉水施工，尽量在枯水期施工，并避开雨季，采取围堰施工方式；</w:t>
            </w:r>
          </w:p>
          <w:p>
            <w:pPr>
              <w:widowControl/>
              <w:rPr>
                <w:rFonts w:ascii="Times New Roman" w:hAnsi="Times New Roman"/>
                <w:color w:val="000000"/>
                <w:szCs w:val="21"/>
              </w:rPr>
            </w:pPr>
            <w:r>
              <w:rPr>
                <w:rFonts w:ascii="Times New Roman" w:hAnsi="Times New Roman"/>
                <w:color w:val="000000"/>
                <w:szCs w:val="21"/>
              </w:rPr>
              <w:t>②对施工人员进行生态环境保护宣传教育，提高施工人员生态环境保护意识，禁止捕捞鱼类。</w:t>
            </w:r>
          </w:p>
        </w:tc>
        <w:tc>
          <w:tcPr>
            <w:tcW w:w="839" w:type="pct"/>
            <w:noWrap w:val="0"/>
            <w:vAlign w:val="center"/>
          </w:tcPr>
          <w:p>
            <w:pPr>
              <w:widowControl/>
              <w:jc w:val="center"/>
              <w:rPr>
                <w:rFonts w:ascii="Times New Roman" w:hAnsi="Times New Roman"/>
                <w:color w:val="000000"/>
                <w:szCs w:val="21"/>
              </w:rPr>
            </w:pPr>
            <w:r>
              <w:rPr>
                <w:rFonts w:ascii="Times New Roman" w:hAnsi="Times New Roman"/>
                <w:color w:val="000000"/>
                <w:szCs w:val="21"/>
              </w:rPr>
              <w:t>不会对周边水生生态环境造成明显影响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地表水环境</w:t>
            </w:r>
          </w:p>
        </w:tc>
        <w:tc>
          <w:tcPr>
            <w:tcW w:w="2153" w:type="pct"/>
            <w:noWrap w:val="0"/>
            <w:vAlign w:val="center"/>
          </w:tcPr>
          <w:p>
            <w:pPr>
              <w:adjustRightInd w:val="0"/>
              <w:snapToGrid w:val="0"/>
              <w:rPr>
                <w:rFonts w:ascii="Times New Roman" w:hAnsi="Times New Roman"/>
                <w:color w:val="000000"/>
                <w:szCs w:val="21"/>
              </w:rPr>
            </w:pPr>
            <w:r>
              <w:rPr>
                <w:rFonts w:ascii="Times New Roman" w:hAnsi="Times New Roman"/>
                <w:color w:val="000000"/>
                <w:szCs w:val="21"/>
              </w:rPr>
              <w:t>①砼砂浆拌和系统和砼养护冲洗废水经澄清池沉淀后循环使用；</w:t>
            </w:r>
          </w:p>
          <w:p>
            <w:pPr>
              <w:adjustRightInd w:val="0"/>
              <w:snapToGrid w:val="0"/>
              <w:rPr>
                <w:rFonts w:hint="eastAsia" w:ascii="Times New Roman" w:hAnsi="Times New Roman" w:eastAsia="宋体"/>
                <w:color w:val="000000"/>
                <w:szCs w:val="21"/>
                <w:lang w:eastAsia="zh-CN"/>
              </w:rPr>
            </w:pPr>
            <w:r>
              <w:rPr>
                <w:rFonts w:ascii="Times New Roman" w:hAnsi="Times New Roman"/>
                <w:color w:val="000000"/>
                <w:szCs w:val="21"/>
              </w:rPr>
              <w:t>②</w:t>
            </w:r>
            <w:r>
              <w:rPr>
                <w:rFonts w:hint="eastAsia" w:ascii="Times New Roman" w:hAnsi="Times New Roman"/>
                <w:color w:val="000000"/>
                <w:szCs w:val="21"/>
              </w:rPr>
              <w:t>依托周边既有生活污水处理设施处理，不外排</w:t>
            </w:r>
            <w:r>
              <w:rPr>
                <w:rFonts w:hint="eastAsia" w:ascii="Times New Roman" w:hAnsi="Times New Roman"/>
                <w:color w:val="000000"/>
                <w:szCs w:val="21"/>
                <w:lang w:eastAsia="zh-CN"/>
              </w:rPr>
              <w:t>。</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不会对周边地表水环境造成明显影响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地下水及土壤环境</w:t>
            </w:r>
          </w:p>
        </w:tc>
        <w:tc>
          <w:tcPr>
            <w:tcW w:w="2153" w:type="pct"/>
            <w:noWrap w:val="0"/>
            <w:vAlign w:val="center"/>
          </w:tcPr>
          <w:p>
            <w:pPr>
              <w:adjustRightInd w:val="0"/>
              <w:snapToGrid w:val="0"/>
              <w:jc w:val="both"/>
              <w:rPr>
                <w:rFonts w:hint="eastAsia" w:ascii="Times New Roman" w:hAnsi="Times New Roman" w:eastAsia="宋体"/>
                <w:color w:val="000000"/>
                <w:szCs w:val="21"/>
                <w:lang w:eastAsia="zh-CN"/>
              </w:rPr>
            </w:pPr>
            <w:r>
              <w:rPr>
                <w:rFonts w:ascii="Times New Roman" w:hAnsi="Times New Roman"/>
                <w:color w:val="000000"/>
                <w:szCs w:val="21"/>
              </w:rPr>
              <w:t>尽量避开雨季施工，杜绝施工机械燃油跑、冒、滴、漏的情况出现，防止对地下水造成污染影响</w:t>
            </w:r>
            <w:r>
              <w:rPr>
                <w:rFonts w:hint="eastAsia" w:ascii="Times New Roman" w:hAnsi="Times New Roman"/>
                <w:color w:val="000000"/>
                <w:szCs w:val="21"/>
                <w:lang w:eastAsia="zh-CN"/>
              </w:rPr>
              <w:t>。</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不会对周边地下水环境造成明显影响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落实各项废水治理措施防止对地下水造成污染影响</w:t>
            </w:r>
          </w:p>
        </w:tc>
        <w:tc>
          <w:tcPr>
            <w:tcW w:w="645" w:type="pct"/>
            <w:noWrap w:val="0"/>
            <w:vAlign w:val="center"/>
          </w:tcPr>
          <w:p>
            <w:pPr>
              <w:widowControl/>
              <w:jc w:val="left"/>
              <w:rPr>
                <w:rFonts w:ascii="Times New Roman" w:hAnsi="Times New Roman"/>
                <w:color w:val="000000"/>
                <w:szCs w:val="21"/>
              </w:rPr>
            </w:pPr>
            <w:r>
              <w:rPr>
                <w:rFonts w:ascii="Times New Roman" w:hAnsi="Times New Roman"/>
                <w:color w:val="000000"/>
                <w:kern w:val="0"/>
                <w:szCs w:val="21"/>
                <w:lang w:bidi="ar"/>
              </w:rPr>
              <w:t>不会对周边地下水环境造成明显影响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声环境</w:t>
            </w:r>
          </w:p>
        </w:tc>
        <w:tc>
          <w:tcPr>
            <w:tcW w:w="2153" w:type="pct"/>
            <w:noWrap w:val="0"/>
            <w:vAlign w:val="center"/>
          </w:tcPr>
          <w:p>
            <w:pPr>
              <w:adjustRightInd w:val="0"/>
              <w:snapToGrid w:val="0"/>
              <w:rPr>
                <w:rFonts w:ascii="Times New Roman" w:hAnsi="Times New Roman"/>
                <w:color w:val="000000"/>
                <w:szCs w:val="21"/>
              </w:rPr>
            </w:pPr>
            <w:r>
              <w:rPr>
                <w:rFonts w:ascii="Times New Roman" w:hAnsi="Times New Roman"/>
                <w:bCs/>
                <w:color w:val="000000"/>
                <w:szCs w:val="21"/>
              </w:rPr>
              <w:t>①移动噪声源如空压机等应尽可能屏蔽，在可能的条件下应尽量远离噪声敏感区，以减少噪声对周围地区的影响；②加强设备的维修和保养，保持机械润滑，降低运行噪声；震动较大的机械设备应使用减震机座降低噪声</w:t>
            </w:r>
            <w:r>
              <w:rPr>
                <w:rFonts w:hint="eastAsia" w:ascii="Times New Roman" w:hAnsi="Times New Roman"/>
                <w:bCs/>
                <w:color w:val="000000"/>
                <w:szCs w:val="21"/>
              </w:rPr>
              <w:t>；</w:t>
            </w:r>
            <w:r>
              <w:rPr>
                <w:rFonts w:ascii="Times New Roman" w:hAnsi="Times New Roman"/>
                <w:bCs/>
                <w:color w:val="000000"/>
                <w:szCs w:val="21"/>
              </w:rPr>
              <w:t>③中高考期间、夜间及午休时间禁止施工、钢筋加工及运输；④车辆在经过环境敏感区时减速行驶，禁止鸣笛，同时定期对车辆进行维修，保证其正常运行</w:t>
            </w:r>
            <w:r>
              <w:rPr>
                <w:rFonts w:hint="eastAsia" w:ascii="Times New Roman" w:hAnsi="Times New Roman"/>
                <w:bCs/>
                <w:color w:val="000000"/>
                <w:szCs w:val="21"/>
              </w:rPr>
              <w:t>；</w:t>
            </w:r>
            <w:r>
              <w:rPr>
                <w:rFonts w:ascii="Times New Roman" w:hAnsi="Times New Roman"/>
                <w:bCs/>
                <w:color w:val="000000"/>
                <w:szCs w:val="21"/>
              </w:rPr>
              <w:t>⑤</w:t>
            </w:r>
            <w:r>
              <w:rPr>
                <w:rFonts w:hint="eastAsia" w:ascii="Times New Roman" w:hAnsi="Times New Roman"/>
                <w:color w:val="000000"/>
                <w:kern w:val="0"/>
                <w:szCs w:val="21"/>
                <w:lang w:bidi="ar"/>
              </w:rPr>
              <w:t>文明施工</w:t>
            </w:r>
            <w:r>
              <w:rPr>
                <w:rFonts w:ascii="Times New Roman" w:hAnsi="Times New Roman"/>
                <w:color w:val="000000"/>
                <w:kern w:val="0"/>
                <w:szCs w:val="21"/>
                <w:lang w:bidi="ar"/>
              </w:rPr>
              <w:t>。</w:t>
            </w:r>
          </w:p>
        </w:tc>
        <w:tc>
          <w:tcPr>
            <w:tcW w:w="839" w:type="pct"/>
            <w:noWrap w:val="0"/>
            <w:vAlign w:val="center"/>
          </w:tcPr>
          <w:p>
            <w:pPr>
              <w:widowControl/>
              <w:rPr>
                <w:rFonts w:ascii="Times New Roman" w:hAnsi="Times New Roman"/>
                <w:color w:val="000000"/>
                <w:szCs w:val="21"/>
              </w:rPr>
            </w:pPr>
            <w:r>
              <w:rPr>
                <w:rFonts w:ascii="Times New Roman" w:hAnsi="Times New Roman"/>
                <w:color w:val="000000"/>
                <w:kern w:val="0"/>
                <w:szCs w:val="21"/>
                <w:lang w:bidi="ar"/>
              </w:rPr>
              <w:t>不受到噪声相关的环境投诉</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振动</w:t>
            </w:r>
          </w:p>
        </w:tc>
        <w:tc>
          <w:tcPr>
            <w:tcW w:w="2153"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大气环境</w:t>
            </w:r>
          </w:p>
        </w:tc>
        <w:tc>
          <w:tcPr>
            <w:tcW w:w="2153" w:type="pct"/>
            <w:noWrap w:val="0"/>
            <w:vAlign w:val="center"/>
          </w:tcPr>
          <w:p>
            <w:pPr>
              <w:widowControl/>
              <w:jc w:val="left"/>
              <w:rPr>
                <w:rFonts w:hint="eastAsia" w:ascii="Times New Roman" w:hAnsi="Times New Roman" w:eastAsia="宋体"/>
                <w:color w:val="000000"/>
                <w:szCs w:val="21"/>
                <w:lang w:eastAsia="zh-CN"/>
              </w:rPr>
            </w:pPr>
            <w:r>
              <w:rPr>
                <w:rFonts w:ascii="Times New Roman" w:hAnsi="Times New Roman"/>
                <w:bCs/>
                <w:snapToGrid w:val="0"/>
                <w:color w:val="000000"/>
                <w:kern w:val="0"/>
                <w:szCs w:val="21"/>
              </w:rPr>
              <w:t>施工场地周围设置围挡、定期对地面洒水，及时清除路面的渣土，运输车辆限速、加盖篷布、对主要运输道路定时洒水</w:t>
            </w:r>
            <w:r>
              <w:rPr>
                <w:rFonts w:hint="eastAsia" w:ascii="Times New Roman" w:hAnsi="Times New Roman"/>
                <w:bCs/>
                <w:snapToGrid w:val="0"/>
                <w:color w:val="000000"/>
                <w:kern w:val="0"/>
                <w:szCs w:val="21"/>
              </w:rPr>
              <w:t>；</w:t>
            </w:r>
            <w:r>
              <w:rPr>
                <w:rFonts w:ascii="Times New Roman" w:hAnsi="Times New Roman"/>
                <w:color w:val="000000"/>
                <w:szCs w:val="21"/>
              </w:rPr>
              <w:t>拌和点配套洒水降尘设施，施工完成后应进行迹地恢复，立即植树绿化</w:t>
            </w:r>
            <w:r>
              <w:rPr>
                <w:rFonts w:hint="eastAsia" w:ascii="Times New Roman" w:hAnsi="Times New Roman"/>
                <w:color w:val="000000"/>
                <w:szCs w:val="21"/>
                <w:lang w:eastAsia="zh-CN"/>
              </w:rPr>
              <w:t>；本项目不设沥青拌和站，项目所需的沥青均在当地购买商品沥青，运送沥青均采用罐装沥青专用车辆装运，以防止沿程撒落污染环境</w:t>
            </w:r>
          </w:p>
        </w:tc>
        <w:tc>
          <w:tcPr>
            <w:tcW w:w="839" w:type="pct"/>
            <w:noWrap w:val="0"/>
            <w:vAlign w:val="center"/>
          </w:tcPr>
          <w:p>
            <w:pPr>
              <w:widowControl/>
              <w:jc w:val="center"/>
              <w:rPr>
                <w:rFonts w:ascii="Times New Roman" w:hAnsi="Times New Roman"/>
                <w:color w:val="000000"/>
                <w:szCs w:val="21"/>
              </w:rPr>
            </w:pPr>
            <w:r>
              <w:rPr>
                <w:rFonts w:ascii="Times New Roman" w:hAnsi="Times New Roman"/>
                <w:color w:val="000000"/>
                <w:szCs w:val="21"/>
              </w:rPr>
              <w:t>不会对周围环境造成明显不良影响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固体废物</w:t>
            </w:r>
          </w:p>
        </w:tc>
        <w:tc>
          <w:tcPr>
            <w:tcW w:w="2153" w:type="pct"/>
            <w:noWrap w:val="0"/>
            <w:vAlign w:val="center"/>
          </w:tcPr>
          <w:p>
            <w:pPr>
              <w:adjustRightInd w:val="0"/>
              <w:snapToGrid w:val="0"/>
              <w:rPr>
                <w:rFonts w:hint="eastAsia" w:ascii="Times New Roman" w:hAnsi="Times New Roman" w:eastAsia="宋体"/>
                <w:color w:val="000000"/>
                <w:szCs w:val="21"/>
                <w:lang w:eastAsia="zh-CN"/>
              </w:rPr>
            </w:pPr>
            <w:r>
              <w:rPr>
                <w:rFonts w:ascii="Times New Roman" w:hAnsi="Times New Roman"/>
                <w:color w:val="000000"/>
                <w:kern w:val="0"/>
                <w:szCs w:val="21"/>
                <w:lang w:bidi="ar"/>
              </w:rPr>
              <w:t>①</w:t>
            </w:r>
            <w:r>
              <w:rPr>
                <w:rFonts w:ascii="Times New Roman" w:hAnsi="Times New Roman"/>
                <w:kern w:val="0"/>
                <w:lang w:val="zh-CN"/>
              </w:rPr>
              <w:t>总弃渣量</w:t>
            </w:r>
            <w:r>
              <w:rPr>
                <w:rFonts w:ascii="Times New Roman" w:hAnsi="Times New Roman"/>
                <w:kern w:val="0"/>
              </w:rPr>
              <w:t>1.50</w:t>
            </w:r>
            <w:r>
              <w:rPr>
                <w:rFonts w:ascii="Times New Roman" w:hAnsi="Times New Roman"/>
                <w:kern w:val="0"/>
                <w:lang w:val="zh-CN"/>
              </w:rPr>
              <w:t>万m</w:t>
            </w:r>
            <w:r>
              <w:rPr>
                <w:rFonts w:ascii="Times New Roman" w:hAnsi="Times New Roman"/>
                <w:kern w:val="0"/>
                <w:vertAlign w:val="superscript"/>
                <w:lang w:val="zh-CN"/>
              </w:rPr>
              <w:t>3</w:t>
            </w:r>
            <w:r>
              <w:rPr>
                <w:rFonts w:ascii="Times New Roman" w:hAnsi="Times New Roman"/>
                <w:kern w:val="0"/>
                <w:lang w:val="zh-CN"/>
              </w:rPr>
              <w:t>（自然方）</w:t>
            </w:r>
            <w:r>
              <w:rPr>
                <w:rFonts w:hint="eastAsia" w:ascii="Times New Roman" w:hAnsi="Times New Roman"/>
                <w:kern w:val="0"/>
                <w:lang w:val="zh-CN"/>
              </w:rPr>
              <w:t>，其中1.30万m</w:t>
            </w:r>
            <w:r>
              <w:rPr>
                <w:rFonts w:hint="eastAsia" w:ascii="Times New Roman" w:hAnsi="Times New Roman"/>
                <w:kern w:val="0"/>
                <w:vertAlign w:val="superscript"/>
                <w:lang w:val="zh-CN"/>
              </w:rPr>
              <w:t>3</w:t>
            </w:r>
            <w:r>
              <w:rPr>
                <w:rFonts w:hint="eastAsia" w:ascii="Times New Roman" w:hAnsi="Times New Roman"/>
                <w:kern w:val="0"/>
                <w:lang w:val="zh-CN"/>
              </w:rPr>
              <w:t>（自然方）弃渣因弃渣量较小，且较分散，拟全部沿渠在渠道施工作业带范围内堆放，另外0.20万m</w:t>
            </w:r>
            <w:r>
              <w:rPr>
                <w:rFonts w:hint="eastAsia" w:ascii="Times New Roman" w:hAnsi="Times New Roman"/>
                <w:kern w:val="0"/>
                <w:vertAlign w:val="superscript"/>
                <w:lang w:val="zh-CN"/>
              </w:rPr>
              <w:t>3</w:t>
            </w:r>
            <w:r>
              <w:rPr>
                <w:rFonts w:hint="eastAsia" w:ascii="Times New Roman" w:hAnsi="Times New Roman"/>
                <w:kern w:val="0"/>
                <w:lang w:val="zh-CN" w:eastAsia="zh-CN"/>
              </w:rPr>
              <w:t>回填渠道低洼地带，</w:t>
            </w:r>
            <w:r>
              <w:rPr>
                <w:rFonts w:hint="eastAsia" w:ascii="Times New Roman" w:hAnsi="Times New Roman"/>
                <w:kern w:val="0"/>
                <w:lang w:val="zh-CN"/>
              </w:rPr>
              <w:t>不设置集中弃渣场</w:t>
            </w:r>
            <w:r>
              <w:rPr>
                <w:rFonts w:ascii="Times New Roman" w:hAnsi="Times New Roman"/>
                <w:snapToGrid w:val="0"/>
                <w:color w:val="000000"/>
                <w:kern w:val="0"/>
                <w:szCs w:val="21"/>
                <w:highlight w:val="none"/>
                <w:shd w:val="clear" w:color="auto" w:fill="auto"/>
              </w:rPr>
              <w:t>②</w:t>
            </w:r>
            <w:r>
              <w:rPr>
                <w:rFonts w:hint="eastAsia" w:ascii="Times New Roman" w:hAnsi="Times New Roman"/>
                <w:color w:val="000000"/>
                <w:szCs w:val="21"/>
                <w:lang w:eastAsia="zh-CN"/>
              </w:rPr>
              <w:t>施工期的生活垃圾统一收集交由当地环卫部门</w:t>
            </w:r>
            <w:r>
              <w:rPr>
                <w:rFonts w:hint="eastAsia" w:ascii="Times New Roman" w:hAnsi="Times New Roman"/>
                <w:color w:val="000000"/>
                <w:szCs w:val="21"/>
              </w:rPr>
              <w:t>进行清运，消毒处理</w:t>
            </w:r>
            <w:r>
              <w:rPr>
                <w:rFonts w:hint="eastAsia" w:ascii="Times New Roman" w:hAnsi="Times New Roman"/>
                <w:color w:val="000000"/>
                <w:szCs w:val="21"/>
                <w:lang w:eastAsia="zh-CN"/>
              </w:rPr>
              <w:t>。</w:t>
            </w:r>
          </w:p>
        </w:tc>
        <w:tc>
          <w:tcPr>
            <w:tcW w:w="839" w:type="pct"/>
            <w:noWrap w:val="0"/>
            <w:vAlign w:val="center"/>
          </w:tcPr>
          <w:p>
            <w:pPr>
              <w:adjustRightInd w:val="0"/>
              <w:snapToGrid w:val="0"/>
              <w:rPr>
                <w:rFonts w:ascii="Times New Roman" w:hAnsi="Times New Roman"/>
                <w:color w:val="000000"/>
                <w:szCs w:val="21"/>
              </w:rPr>
            </w:pPr>
            <w:r>
              <w:rPr>
                <w:rFonts w:ascii="Times New Roman" w:hAnsi="Times New Roman"/>
                <w:color w:val="000000"/>
                <w:szCs w:val="21"/>
              </w:rPr>
              <w:t>处理合理，去向明确</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电磁环境</w:t>
            </w:r>
          </w:p>
        </w:tc>
        <w:tc>
          <w:tcPr>
            <w:tcW w:w="2153"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环境风险</w:t>
            </w:r>
          </w:p>
        </w:tc>
        <w:tc>
          <w:tcPr>
            <w:tcW w:w="2153" w:type="pct"/>
            <w:noWrap w:val="0"/>
            <w:vAlign w:val="center"/>
          </w:tcPr>
          <w:p>
            <w:pPr>
              <w:widowControl/>
              <w:jc w:val="left"/>
              <w:rPr>
                <w:rFonts w:ascii="Times New Roman" w:hAnsi="Times New Roman"/>
                <w:color w:val="000000"/>
                <w:szCs w:val="21"/>
              </w:rPr>
            </w:pPr>
            <w:r>
              <w:rPr>
                <w:rFonts w:hint="eastAsia" w:ascii="Times New Roman" w:hAnsi="Times New Roman"/>
                <w:color w:val="000000"/>
                <w:szCs w:val="21"/>
              </w:rPr>
              <w:t>（1）所有机械维修及加油服务均不在施工区域进行，全部委外在修理站及加油站进行；（2）按操作规程施工，禁止野蛮施工；（3）加强机械车辆维护保养，确保能够正常使用；（4）一旦发生泄露事故，应立即停止施工，并采取相应应急措施，减缓对外环境的影响。</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未发生环境风险事故</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环境监测</w:t>
            </w:r>
          </w:p>
        </w:tc>
        <w:tc>
          <w:tcPr>
            <w:tcW w:w="2153"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4"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水土保持等</w:t>
            </w:r>
          </w:p>
        </w:tc>
        <w:tc>
          <w:tcPr>
            <w:tcW w:w="2153" w:type="pct"/>
            <w:noWrap w:val="0"/>
            <w:vAlign w:val="center"/>
          </w:tcPr>
          <w:p>
            <w:pPr>
              <w:adjustRightInd w:val="0"/>
              <w:snapToGrid w:val="0"/>
              <w:rPr>
                <w:rFonts w:ascii="Times New Roman" w:hAnsi="Times New Roman"/>
                <w:color w:val="000000"/>
                <w:szCs w:val="21"/>
              </w:rPr>
            </w:pPr>
            <w:r>
              <w:rPr>
                <w:rFonts w:ascii="Times New Roman" w:hAnsi="Times New Roman"/>
                <w:color w:val="000000"/>
                <w:kern w:val="0"/>
                <w:szCs w:val="21"/>
                <w:lang w:bidi="ar"/>
              </w:rPr>
              <w:t>施工工区设置排水沟及</w:t>
            </w:r>
            <w:r>
              <w:rPr>
                <w:rFonts w:hint="eastAsia" w:ascii="Times New Roman" w:hAnsi="Times New Roman"/>
                <w:color w:val="000000"/>
                <w:kern w:val="0"/>
                <w:szCs w:val="21"/>
                <w:lang w:bidi="ar"/>
              </w:rPr>
              <w:t>澄清</w:t>
            </w:r>
            <w:r>
              <w:rPr>
                <w:rFonts w:ascii="Times New Roman" w:hAnsi="Times New Roman"/>
                <w:color w:val="000000"/>
                <w:kern w:val="0"/>
                <w:szCs w:val="21"/>
                <w:lang w:bidi="ar"/>
              </w:rPr>
              <w:t>池；同时在施工结束后，地表停止扰动，拆除施工期临时建筑，并进行相应的绿化，进行复耕。</w:t>
            </w:r>
          </w:p>
        </w:tc>
        <w:tc>
          <w:tcPr>
            <w:tcW w:w="839"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施工迹地得到恢复</w:t>
            </w:r>
          </w:p>
        </w:tc>
        <w:tc>
          <w:tcPr>
            <w:tcW w:w="887"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c>
          <w:tcPr>
            <w:tcW w:w="645" w:type="pct"/>
            <w:noWrap w:val="0"/>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w:t>
            </w:r>
          </w:p>
        </w:tc>
      </w:tr>
    </w:tbl>
    <w:p>
      <w:pPr>
        <w:pStyle w:val="34"/>
        <w:jc w:val="center"/>
        <w:rPr>
          <w:rFonts w:ascii="黑体" w:hAnsi="黑体" w:eastAsia="黑体"/>
          <w:snapToGrid w:val="0"/>
          <w:color w:val="000000"/>
          <w:sz w:val="30"/>
          <w:szCs w:val="30"/>
        </w:rPr>
      </w:pPr>
    </w:p>
    <w:p>
      <w:pPr>
        <w:pStyle w:val="34"/>
        <w:spacing w:before="0" w:beforeAutospacing="0" w:line="14" w:lineRule="auto"/>
        <w:jc w:val="center"/>
        <w:rPr>
          <w:rFonts w:hint="eastAsia" w:ascii="黑体" w:hAnsi="黑体" w:eastAsia="黑体"/>
          <w:snapToGrid w:val="0"/>
          <w:color w:val="000000"/>
          <w:sz w:val="30"/>
          <w:szCs w:val="30"/>
        </w:rPr>
      </w:pPr>
      <w:r>
        <w:rPr>
          <w:rFonts w:ascii="黑体" w:hAnsi="黑体" w:eastAsia="黑体"/>
          <w:snapToGrid w:val="0"/>
          <w:color w:val="000000"/>
          <w:sz w:val="30"/>
          <w:szCs w:val="30"/>
        </w:rPr>
        <w:br w:type="page"/>
      </w:r>
    </w:p>
    <w:p>
      <w:pPr>
        <w:pStyle w:val="34"/>
        <w:spacing w:before="192" w:beforeLines="80" w:beforeAutospacing="0"/>
        <w:jc w:val="center"/>
        <w:outlineLvl w:val="0"/>
        <w:rPr>
          <w:rFonts w:hint="eastAsia" w:ascii="黑体" w:hAnsi="黑体" w:eastAsia="黑体"/>
          <w:snapToGrid w:val="0"/>
          <w:color w:val="000000"/>
          <w:sz w:val="30"/>
          <w:szCs w:val="30"/>
        </w:rPr>
      </w:pPr>
      <w:r>
        <w:rPr>
          <w:rFonts w:hint="eastAsia" w:ascii="黑体" w:hAnsi="黑体" w:eastAsia="黑体"/>
          <w:snapToGrid w:val="0"/>
          <w:color w:val="000000"/>
          <w:sz w:val="30"/>
          <w:szCs w:val="30"/>
        </w:rPr>
        <w:t>七、结论与建议</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noWrap w:val="0"/>
            <w:vAlign w:val="top"/>
          </w:tcPr>
          <w:p>
            <w:pPr>
              <w:spacing w:line="360" w:lineRule="auto"/>
              <w:rPr>
                <w:rFonts w:hint="eastAsia" w:ascii="黑体" w:hAnsi="黑体" w:eastAsia="黑体" w:cs="黑体"/>
                <w:color w:val="000000"/>
                <w:sz w:val="28"/>
                <w:szCs w:val="28"/>
              </w:rPr>
            </w:pPr>
            <w:r>
              <w:rPr>
                <w:rFonts w:hint="eastAsia" w:ascii="黑体" w:hAnsi="黑体" w:eastAsia="黑体" w:cs="黑体"/>
                <w:color w:val="000000"/>
                <w:sz w:val="28"/>
                <w:szCs w:val="28"/>
              </w:rPr>
              <w:t>一、综合结论</w:t>
            </w:r>
          </w:p>
          <w:p>
            <w:pPr>
              <w:spacing w:line="360" w:lineRule="auto"/>
              <w:ind w:firstLine="480" w:firstLineChars="200"/>
              <w:rPr>
                <w:rFonts w:hint="eastAsia"/>
                <w:color w:val="000000"/>
                <w:sz w:val="24"/>
              </w:rPr>
            </w:pPr>
            <w:r>
              <w:rPr>
                <w:rFonts w:hint="eastAsia" w:ascii="Times New Roman" w:hAnsi="Times New Roman"/>
                <w:sz w:val="24"/>
                <w:lang w:eastAsia="zh-CN"/>
              </w:rPr>
              <w:t>乐山市市中区引水工程建设项目（二期工程）—高中水库灌区2023-2025年续建配套与节水改造项目</w:t>
            </w:r>
            <w:r>
              <w:rPr>
                <w:color w:val="000000"/>
                <w:sz w:val="24"/>
              </w:rPr>
              <w:t>符合国家产业政策，选址符合当地相关规划。项目建成后</w:t>
            </w:r>
            <w:r>
              <w:rPr>
                <w:rFonts w:ascii="Times New Roman" w:hAnsi="Times New Roman"/>
                <w:sz w:val="24"/>
              </w:rPr>
              <w:t>高中水库灌区将恢复灌面0.8538万亩，改善灌面0.224万亩</w:t>
            </w:r>
            <w:r>
              <w:rPr>
                <w:rFonts w:hint="eastAsia" w:ascii="Times New Roman" w:hAnsi="Times New Roman"/>
                <w:sz w:val="24"/>
              </w:rPr>
              <w:t>，</w:t>
            </w:r>
            <w:r>
              <w:rPr>
                <w:rFonts w:ascii="Times New Roman" w:hAnsi="Times New Roman"/>
                <w:sz w:val="24"/>
              </w:rPr>
              <w:t>年节水量248万m</w:t>
            </w:r>
            <w:r>
              <w:rPr>
                <w:rFonts w:ascii="Times New Roman" w:hAnsi="Times New Roman"/>
                <w:sz w:val="24"/>
                <w:vertAlign w:val="superscript"/>
              </w:rPr>
              <w:t>3</w:t>
            </w:r>
            <w:r>
              <w:rPr>
                <w:rFonts w:ascii="Times New Roman" w:hAnsi="Times New Roman"/>
                <w:sz w:val="24"/>
              </w:rPr>
              <w:t>，渠系水利用系数提高至0.660，粮食增产457万kg，经济作物增产438万kg，能进一步夯实农业生产能力基础，为实施乡村振兴战略，推进农业水价综合改革，提高粮食综合生产能力、确保粮食安全，实施乐山市现代农业“一区六带”发展，缓解水资源供需矛盾，确保供水安全</w:t>
            </w:r>
            <w:r>
              <w:rPr>
                <w:color w:val="000000"/>
                <w:sz w:val="24"/>
              </w:rPr>
              <w:t>。项目对区域的大气、地表水、声环境及生态环境的影响小，不会导致</w:t>
            </w:r>
            <w:r>
              <w:rPr>
                <w:rFonts w:hint="eastAsia"/>
                <w:color w:val="000000"/>
                <w:sz w:val="24"/>
              </w:rPr>
              <w:t>渠道</w:t>
            </w:r>
            <w:r>
              <w:rPr>
                <w:color w:val="000000"/>
                <w:sz w:val="24"/>
              </w:rPr>
              <w:t>沿线环境功能改变，只要完全落实本报告提出的环境保护措施，项目建设所产生的不利影响可以得到减缓或消除。本次</w:t>
            </w:r>
            <w:r>
              <w:rPr>
                <w:rFonts w:hint="eastAsia"/>
                <w:color w:val="000000"/>
                <w:sz w:val="24"/>
              </w:rPr>
              <w:t>评价</w:t>
            </w:r>
            <w:r>
              <w:rPr>
                <w:color w:val="000000"/>
                <w:sz w:val="24"/>
              </w:rPr>
              <w:t>认为，拟建项目从环保角度论证是可行的。</w:t>
            </w:r>
          </w:p>
          <w:p>
            <w:pPr>
              <w:spacing w:line="360" w:lineRule="auto"/>
              <w:rPr>
                <w:rFonts w:hint="eastAsia" w:ascii="黑体" w:hAnsi="黑体" w:eastAsia="黑体" w:cs="黑体"/>
                <w:color w:val="000000"/>
                <w:sz w:val="28"/>
                <w:szCs w:val="28"/>
              </w:rPr>
            </w:pPr>
            <w:r>
              <w:rPr>
                <w:rFonts w:hint="eastAsia" w:ascii="黑体" w:hAnsi="黑体" w:eastAsia="黑体" w:cs="黑体"/>
                <w:color w:val="000000"/>
                <w:sz w:val="28"/>
                <w:szCs w:val="28"/>
              </w:rPr>
              <w:t>二、建议及要求</w:t>
            </w:r>
          </w:p>
          <w:p>
            <w:pPr>
              <w:spacing w:line="360" w:lineRule="auto"/>
              <w:ind w:firstLine="480" w:firstLineChars="200"/>
              <w:rPr>
                <w:color w:val="000000"/>
                <w:sz w:val="24"/>
              </w:rPr>
            </w:pPr>
            <w:r>
              <w:rPr>
                <w:color w:val="000000"/>
                <w:sz w:val="24"/>
              </w:rPr>
              <w:t>1</w:t>
            </w:r>
            <w:r>
              <w:rPr>
                <w:rFonts w:hint="eastAsia"/>
                <w:color w:val="000000"/>
                <w:sz w:val="24"/>
              </w:rPr>
              <w:t>、严格执行环境保护的“三同时”制度，使防治环境污染和破坏的环保工程</w:t>
            </w:r>
            <w:r>
              <w:rPr>
                <w:color w:val="000000"/>
                <w:sz w:val="24"/>
              </w:rPr>
              <w:t>(</w:t>
            </w:r>
            <w:r>
              <w:rPr>
                <w:rFonts w:hint="eastAsia"/>
                <w:color w:val="000000"/>
                <w:sz w:val="24"/>
              </w:rPr>
              <w:t>措施</w:t>
            </w:r>
            <w:r>
              <w:rPr>
                <w:color w:val="000000"/>
                <w:sz w:val="24"/>
              </w:rPr>
              <w:t>)</w:t>
            </w:r>
            <w:r>
              <w:rPr>
                <w:rFonts w:hint="eastAsia"/>
                <w:color w:val="000000"/>
                <w:sz w:val="24"/>
              </w:rPr>
              <w:t>与主体工程同时竣工运行。</w:t>
            </w:r>
          </w:p>
          <w:p>
            <w:pPr>
              <w:spacing w:line="360" w:lineRule="auto"/>
              <w:ind w:firstLine="480" w:firstLineChars="200"/>
              <w:rPr>
                <w:rFonts w:hint="eastAsia"/>
                <w:color w:val="000000"/>
                <w:sz w:val="24"/>
              </w:rPr>
            </w:pPr>
            <w:r>
              <w:rPr>
                <w:color w:val="000000"/>
                <w:sz w:val="24"/>
              </w:rPr>
              <w:t>2</w:t>
            </w:r>
            <w:r>
              <w:rPr>
                <w:rFonts w:hint="eastAsia"/>
                <w:color w:val="000000"/>
                <w:sz w:val="24"/>
              </w:rPr>
              <w:t>、建议在施工期建立环境监测制度，施工期主要监测施工扬尘、施工噪声和水土流失；禁止将废水、固废排入河道。</w:t>
            </w:r>
          </w:p>
          <w:p>
            <w:pPr>
              <w:spacing w:line="360" w:lineRule="auto"/>
              <w:ind w:firstLine="480" w:firstLineChars="200"/>
              <w:rPr>
                <w:rFonts w:hint="eastAsia"/>
                <w:bCs/>
                <w:color w:val="000000"/>
              </w:rPr>
            </w:pPr>
            <w:r>
              <w:rPr>
                <w:color w:val="000000"/>
                <w:sz w:val="24"/>
              </w:rPr>
              <w:t>3</w:t>
            </w:r>
            <w:r>
              <w:rPr>
                <w:rFonts w:hint="eastAsia"/>
                <w:color w:val="000000"/>
                <w:sz w:val="24"/>
              </w:rPr>
              <w:t>、工程完毕后及时清理施工场地。对施工工区、临时占地等及时进行清理，并采取生态恢复措施。</w:t>
            </w:r>
          </w:p>
          <w:p>
            <w:pPr>
              <w:pStyle w:val="18"/>
              <w:ind w:firstLine="480"/>
              <w:rPr>
                <w:rFonts w:hint="eastAsia"/>
                <w:bCs/>
                <w:color w:val="000000"/>
              </w:rPr>
            </w:pPr>
          </w:p>
          <w:p>
            <w:pPr>
              <w:pStyle w:val="18"/>
              <w:ind w:firstLine="480"/>
              <w:rPr>
                <w:rFonts w:hint="eastAsia"/>
                <w:bCs/>
                <w:color w:val="000000"/>
              </w:rPr>
            </w:pPr>
          </w:p>
          <w:p>
            <w:pPr>
              <w:pStyle w:val="18"/>
              <w:ind w:firstLine="480"/>
              <w:rPr>
                <w:rFonts w:hint="eastAsia"/>
                <w:bCs/>
                <w:color w:val="000000"/>
              </w:rPr>
            </w:pPr>
          </w:p>
          <w:p>
            <w:pPr>
              <w:pStyle w:val="18"/>
              <w:ind w:firstLine="0" w:firstLineChars="0"/>
              <w:rPr>
                <w:rFonts w:hint="eastAsia"/>
                <w:bCs/>
                <w:color w:val="000000"/>
              </w:rPr>
            </w:pPr>
          </w:p>
          <w:p>
            <w:pPr>
              <w:pStyle w:val="18"/>
              <w:ind w:firstLine="0" w:firstLineChars="0"/>
              <w:rPr>
                <w:rFonts w:hint="eastAsia"/>
                <w:bCs/>
                <w:color w:val="000000"/>
              </w:rPr>
            </w:pPr>
          </w:p>
          <w:p>
            <w:pPr>
              <w:pStyle w:val="18"/>
              <w:ind w:firstLine="0" w:firstLineChars="0"/>
              <w:rPr>
                <w:rFonts w:hint="eastAsia"/>
                <w:bCs/>
                <w:color w:val="000000"/>
              </w:rPr>
            </w:pPr>
          </w:p>
        </w:tc>
      </w:tr>
    </w:tbl>
    <w:p>
      <w:pPr>
        <w:widowControl/>
        <w:adjustRightInd w:val="0"/>
        <w:snapToGrid w:val="0"/>
        <w:spacing w:before="192" w:beforeLines="80"/>
        <w:jc w:val="left"/>
        <w:rPr>
          <w:rFonts w:ascii="宋体"/>
          <w:color w:val="000000"/>
        </w:rPr>
      </w:pPr>
    </w:p>
    <w:p>
      <w:pPr>
        <w:pStyle w:val="4"/>
        <w:rPr>
          <w:rFonts w:hint="eastAsia"/>
        </w:rPr>
      </w:pPr>
      <w:bookmarkStart w:id="27" w:name="_GoBack"/>
      <w:bookmarkEnd w:id="27"/>
    </w:p>
    <w:sectPr>
      <w:footerReference r:id="rId9" w:type="default"/>
      <w:pgSz w:w="16838" w:h="11906" w:orient="landscape"/>
      <w:pgMar w:top="1797" w:right="1440" w:bottom="1797" w:left="1440"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幼圆">
    <w:panose1 w:val="0201050906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roman"/>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宋?">
    <w:altName w:val="宋体"/>
    <w:panose1 w:val="00000000000000000000"/>
    <w:charset w:val="81"/>
    <w:family w:val="auto"/>
    <w:pitch w:val="default"/>
    <w:sig w:usb0="00000000" w:usb1="00000000" w:usb2="00000010" w:usb3="00000000" w:csb0="00080000" w:csb1="00000000"/>
  </w:font>
  <w:font w:name="MingLiU">
    <w:panose1 w:val="02020509000000000000"/>
    <w:charset w:val="88"/>
    <w:family w:val="modern"/>
    <w:pitch w:val="default"/>
    <w:sig w:usb0="A00002FF" w:usb1="28CFFCFA" w:usb2="00000016" w:usb3="00000000" w:csb0="00100001"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Arial Unicode MS">
    <w:panose1 w:val="020B0604020202020204"/>
    <w:charset w:val="86"/>
    <w:family w:val="swiss"/>
    <w:pitch w:val="default"/>
    <w:sig w:usb0="FFFFFFFF" w:usb1="E9FFFFFF" w:usb2="0000003F" w:usb3="00000000" w:csb0="603F01FF" w:csb1="FFFF0000"/>
  </w:font>
  <w:font w:name="Wingdings 2">
    <w:panose1 w:val="05020102010507070707"/>
    <w:charset w:val="00"/>
    <w:family w:val="auto"/>
    <w:pitch w:val="default"/>
    <w:sig w:usb0="00000000" w:usb1="00000000" w:usb2="00000000" w:usb3="00000000" w:csb0="80000000" w:csb1="00000000"/>
  </w:font>
  <w:font w:name="方正小标宋_GBK">
    <w:altName w:val="微软雅黑"/>
    <w:panose1 w:val="02000000000000000000"/>
    <w:charset w:val="86"/>
    <w:family w:val="roman"/>
    <w:pitch w:val="default"/>
    <w:sig w:usb0="00000000" w:usb1="00000000" w:usb2="00082016" w:usb3="00000000" w:csb0="00040001"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roman"/>
    <w:pitch w:val="default"/>
    <w:sig w:usb0="00000000" w:usb1="00000000" w:usb2="00000000" w:usb3="00000000" w:csb0="80000000" w:csb1="00000000"/>
  </w:font>
  <w:font w:name="System">
    <w:altName w:val="宋体"/>
    <w:panose1 w:val="00000000000000000000"/>
    <w:charset w:val="86"/>
    <w:family w:val="auto"/>
    <w:pitch w:val="default"/>
    <w:sig w:usb0="00000000" w:usb1="00000000" w:usb2="00000010" w:usb3="00000000" w:csb0="00040000" w:csb1="00000000"/>
  </w:font>
  <w:font w:name="TimesNewRomanPSMT">
    <w:altName w:val="Times New Roman"/>
    <w:panose1 w:val="00000000000000000000"/>
    <w:charset w:val="80"/>
    <w:family w:val="auto"/>
    <w:pitch w:val="default"/>
    <w:sig w:usb0="00000000" w:usb1="00000000" w:usb2="00000010" w:usb3="00000000" w:csb0="00020000" w:csb1="00000000"/>
  </w:font>
  <w:font w:name="Tms Rmn">
    <w:altName w:val="Segoe Print"/>
    <w:panose1 w:val="02020603040505020304"/>
    <w:charset w:val="00"/>
    <w:family w:val="roman"/>
    <w:pitch w:val="default"/>
    <w:sig w:usb0="00000000" w:usb1="00000000" w:usb2="00000000" w:usb3="00000000" w:csb0="00000001" w:csb1="00000000"/>
  </w:font>
  <w:font w:name="Dotum">
    <w:panose1 w:val="020B0600000101010101"/>
    <w:charset w:val="81"/>
    <w:family w:val="modern"/>
    <w:pitch w:val="default"/>
    <w:sig w:usb0="B00002AF" w:usb1="69D77CFB" w:usb2="00000030" w:usb3="00000000" w:csb0="4008009F" w:csb1="DFD70000"/>
  </w:font>
  <w:font w:name="汉仪书宋二S">
    <w:altName w:val="微软雅黑"/>
    <w:panose1 w:val="00020600040101010101"/>
    <w:charset w:val="86"/>
    <w:family w:val="auto"/>
    <w:pitch w:val="default"/>
    <w:sig w:usb0="00000000" w:usb1="00000000" w:usb2="00000016"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center" w:y="1"/>
      <w:rPr>
        <w:rStyle w:val="43"/>
      </w:rPr>
    </w:pPr>
    <w:r>
      <w:fldChar w:fldCharType="begin"/>
    </w:r>
    <w:r>
      <w:rPr>
        <w:rStyle w:val="43"/>
      </w:rPr>
      <w:instrText xml:space="preserve">PAGE  </w:instrText>
    </w:r>
    <w:r>
      <w:fldChar w:fldCharType="end"/>
    </w:r>
  </w:p>
  <w:p>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right"/>
    </w:pPr>
    <w:r>
      <w:fldChar w:fldCharType="begin"/>
    </w:r>
    <w:r>
      <w:instrText xml:space="preserve"> PAGE   \* MERGEFORMAT </w:instrText>
    </w:r>
    <w:r>
      <w:fldChar w:fldCharType="separate"/>
    </w:r>
    <w:r>
      <w:rPr>
        <w:lang w:val="zh-CN"/>
      </w:rPr>
      <w:t>8</w:t>
    </w:r>
    <w:r>
      <w:fldChar w:fldCharType="end"/>
    </w:r>
  </w:p>
  <w:p>
    <w:pPr>
      <w:pStyle w:val="22"/>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rPr>
        <w:rStyle w:val="43"/>
      </w:rPr>
    </w:pPr>
    <w:r>
      <w:rPr>
        <w:rStyle w:val="43"/>
      </w:rPr>
      <w:fldChar w:fldCharType="begin"/>
    </w:r>
    <w:r>
      <w:rPr>
        <w:rStyle w:val="43"/>
      </w:rPr>
      <w:instrText xml:space="preserve">PAGE  </w:instrText>
    </w:r>
    <w:r>
      <w:rPr>
        <w:rStyle w:val="43"/>
      </w:rPr>
      <w:fldChar w:fldCharType="end"/>
    </w:r>
  </w:p>
  <w:p>
    <w:pPr>
      <w:pStyle w:val="22"/>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rPr>
        <w:rStyle w:val="43"/>
        <w:rFonts w:ascii="宋体" w:hAnsi="宋体"/>
        <w:sz w:val="28"/>
        <w:szCs w:val="28"/>
      </w:rPr>
    </w:pPr>
    <w:r>
      <w:rPr>
        <w:rStyle w:val="43"/>
        <w:rFonts w:hint="eastAsia" w:ascii="宋体" w:hAnsi="宋体"/>
        <w:sz w:val="28"/>
        <w:szCs w:val="28"/>
      </w:rPr>
      <w:t>—</w:t>
    </w:r>
    <w:r>
      <w:rPr>
        <w:rStyle w:val="43"/>
        <w:rFonts w:hint="eastAsia" w:ascii="宋体" w:hAnsi="宋体"/>
        <w:sz w:val="20"/>
        <w:szCs w:val="20"/>
      </w:rPr>
      <w:t xml:space="preserve">  </w:t>
    </w:r>
    <w:r>
      <w:rPr>
        <w:rStyle w:val="43"/>
        <w:rFonts w:ascii="宋体" w:hAnsi="宋体"/>
        <w:sz w:val="26"/>
        <w:szCs w:val="26"/>
      </w:rPr>
      <w:fldChar w:fldCharType="begin"/>
    </w:r>
    <w:r>
      <w:rPr>
        <w:rStyle w:val="43"/>
        <w:rFonts w:ascii="宋体" w:hAnsi="宋体"/>
        <w:sz w:val="26"/>
        <w:szCs w:val="26"/>
      </w:rPr>
      <w:instrText xml:space="preserve">PAGE  </w:instrText>
    </w:r>
    <w:r>
      <w:rPr>
        <w:rStyle w:val="43"/>
        <w:rFonts w:ascii="宋体" w:hAnsi="宋体"/>
        <w:sz w:val="26"/>
        <w:szCs w:val="26"/>
      </w:rPr>
      <w:fldChar w:fldCharType="separate"/>
    </w:r>
    <w:r>
      <w:rPr>
        <w:rStyle w:val="43"/>
        <w:rFonts w:ascii="宋体" w:hAnsi="宋体"/>
        <w:sz w:val="26"/>
        <w:szCs w:val="26"/>
      </w:rPr>
      <w:t>75</w:t>
    </w:r>
    <w:r>
      <w:rPr>
        <w:rStyle w:val="43"/>
        <w:rFonts w:ascii="宋体" w:hAnsi="宋体"/>
        <w:sz w:val="26"/>
        <w:szCs w:val="26"/>
      </w:rPr>
      <w:fldChar w:fldCharType="end"/>
    </w:r>
    <w:r>
      <w:rPr>
        <w:rStyle w:val="43"/>
        <w:rFonts w:hint="eastAsia" w:ascii="宋体" w:hAnsi="宋体"/>
        <w:sz w:val="20"/>
        <w:szCs w:val="20"/>
      </w:rPr>
      <w:t xml:space="preserve">  </w:t>
    </w:r>
    <w:r>
      <w:rPr>
        <w:rStyle w:val="43"/>
        <w:rFonts w:hint="eastAsia" w:ascii="宋体" w:hAnsi="宋体"/>
        <w:sz w:val="28"/>
        <w:szCs w:val="28"/>
      </w:rPr>
      <w:t>—</w:t>
    </w:r>
  </w:p>
  <w:p>
    <w:pPr>
      <w:pStyle w:val="22"/>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right"/>
    </w:pPr>
    <w:r>
      <w:fldChar w:fldCharType="begin"/>
    </w:r>
    <w:r>
      <w:instrText xml:space="preserve"> PAGE   \* MERGEFORMAT </w:instrText>
    </w:r>
    <w:r>
      <w:fldChar w:fldCharType="separate"/>
    </w:r>
    <w:r>
      <w:rPr>
        <w:lang w:val="zh-CN"/>
      </w:rPr>
      <w:t>51</w:t>
    </w:r>
    <w:r>
      <w:fldChar w:fldCharType="end"/>
    </w:r>
  </w:p>
  <w:p>
    <w:pPr>
      <w:pStyle w:val="22"/>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ABCF72"/>
    <w:multiLevelType w:val="singleLevel"/>
    <w:tmpl w:val="93ABCF72"/>
    <w:lvl w:ilvl="0" w:tentative="0">
      <w:start w:val="1"/>
      <w:numFmt w:val="decimal"/>
      <w:suff w:val="nothing"/>
      <w:lvlText w:val="%1、"/>
      <w:lvlJc w:val="left"/>
    </w:lvl>
  </w:abstractNum>
  <w:abstractNum w:abstractNumId="1">
    <w:nsid w:val="ED1B83AB"/>
    <w:multiLevelType w:val="singleLevel"/>
    <w:tmpl w:val="ED1B83AB"/>
    <w:lvl w:ilvl="0" w:tentative="0">
      <w:start w:val="1"/>
      <w:numFmt w:val="decimal"/>
      <w:suff w:val="nothing"/>
      <w:lvlText w:val="（%1）"/>
      <w:lvlJc w:val="left"/>
    </w:lvl>
  </w:abstractNum>
  <w:abstractNum w:abstractNumId="2">
    <w:nsid w:val="F72A0643"/>
    <w:multiLevelType w:val="singleLevel"/>
    <w:tmpl w:val="F72A0643"/>
    <w:lvl w:ilvl="0" w:tentative="0">
      <w:start w:val="1"/>
      <w:numFmt w:val="decimal"/>
      <w:suff w:val="nothing"/>
      <w:lvlText w:val="%1、"/>
      <w:lvlJc w:val="left"/>
    </w:lvl>
  </w:abstractNum>
  <w:abstractNum w:abstractNumId="3">
    <w:nsid w:val="FFFEE06D"/>
    <w:multiLevelType w:val="singleLevel"/>
    <w:tmpl w:val="FFFEE06D"/>
    <w:lvl w:ilvl="0" w:tentative="0">
      <w:start w:val="1"/>
      <w:numFmt w:val="decimal"/>
      <w:suff w:val="nothing"/>
      <w:lvlText w:val="（%1）"/>
      <w:lvlJc w:val="left"/>
    </w:lvl>
  </w:abstractNum>
  <w:abstractNum w:abstractNumId="4">
    <w:nsid w:val="0000000F"/>
    <w:multiLevelType w:val="multilevel"/>
    <w:tmpl w:val="0000000F"/>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5"/>
      <w:lvlText w:val="%1.%2.%3.%4"/>
      <w:lvlJc w:val="left"/>
      <w:pPr>
        <w:tabs>
          <w:tab w:val="left" w:pos="864"/>
        </w:tabs>
        <w:ind w:left="864" w:hanging="864"/>
      </w:pPr>
      <w:rPr>
        <w:rFonts w:hint="eastAsia"/>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1A8050FE"/>
    <w:multiLevelType w:val="multilevel"/>
    <w:tmpl w:val="1A8050FE"/>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35587506"/>
    <w:multiLevelType w:val="singleLevel"/>
    <w:tmpl w:val="35587506"/>
    <w:lvl w:ilvl="0" w:tentative="0">
      <w:start w:val="1"/>
      <w:numFmt w:val="decimal"/>
      <w:suff w:val="nothing"/>
      <w:lvlText w:val="（%1）"/>
      <w:lvlJc w:val="left"/>
    </w:lvl>
  </w:abstractNum>
  <w:abstractNum w:abstractNumId="7">
    <w:nsid w:val="48273669"/>
    <w:multiLevelType w:val="multilevel"/>
    <w:tmpl w:val="48273669"/>
    <w:lvl w:ilvl="0" w:tentative="0">
      <w:start w:val="1"/>
      <w:numFmt w:val="decimal"/>
      <w:pStyle w:val="234"/>
      <w:suff w:val="nothing"/>
      <w:lvlText w:val="%1、"/>
      <w:lvlJc w:val="left"/>
      <w:pPr>
        <w:ind w:left="2121" w:hanging="420"/>
      </w:pPr>
      <w:rPr>
        <w:rFonts w:hint="default"/>
        <w:b/>
        <w:bC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
    <w:nsid w:val="57696EA0"/>
    <w:multiLevelType w:val="singleLevel"/>
    <w:tmpl w:val="57696EA0"/>
    <w:lvl w:ilvl="0" w:tentative="0">
      <w:start w:val="2"/>
      <w:numFmt w:val="decimal"/>
      <w:suff w:val="nothing"/>
      <w:lvlText w:val="（%1）"/>
      <w:lvlJc w:val="left"/>
    </w:lvl>
  </w:abstractNum>
  <w:abstractNum w:abstractNumId="9">
    <w:nsid w:val="590C3712"/>
    <w:multiLevelType w:val="multilevel"/>
    <w:tmpl w:val="590C3712"/>
    <w:lvl w:ilvl="0" w:tentative="0">
      <w:start w:val="0"/>
      <w:numFmt w:val="none"/>
      <w:pStyle w:val="265"/>
      <w:lvlText w:val=""/>
      <w:lvlJc w:val="left"/>
      <w:pPr>
        <w:tabs>
          <w:tab w:val="left" w:pos="360"/>
        </w:tabs>
      </w:pPr>
    </w:lvl>
    <w:lvl w:ilvl="1" w:tentative="0">
      <w:start w:val="1"/>
      <w:numFmt w:val="lowerLetter"/>
      <w:lvlText w:val="%2)"/>
      <w:lvlJc w:val="left"/>
      <w:pPr>
        <w:ind w:left="840" w:hanging="420"/>
      </w:pPr>
      <w:rPr>
        <w:rFonts w:hint="default" w:ascii="宋体" w:hAnsi="宋体" w:eastAsia="宋体" w:cs="宋体"/>
      </w:rPr>
    </w:lvl>
    <w:lvl w:ilvl="2" w:tentative="0">
      <w:start w:val="1"/>
      <w:numFmt w:val="decimal"/>
      <w:lvlText w:val="%3."/>
      <w:lvlJc w:val="right"/>
      <w:pPr>
        <w:ind w:left="1260" w:hanging="420"/>
      </w:pPr>
      <w:rPr>
        <w:rFonts w:hint="default" w:ascii="宋体" w:hAnsi="宋体" w:eastAsia="宋体" w:cs="宋体"/>
      </w:rPr>
    </w:lvl>
    <w:lvl w:ilvl="3" w:tentative="0">
      <w:start w:val="1"/>
      <w:numFmt w:val="decimal"/>
      <w:lvlText w:val="%4."/>
      <w:lvlJc w:val="left"/>
      <w:pPr>
        <w:ind w:left="1680" w:hanging="420"/>
      </w:pPr>
      <w:rPr>
        <w:rFonts w:hint="default" w:ascii="宋体" w:hAnsi="宋体" w:eastAsia="宋体" w:cs="宋体"/>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
    <w:nsid w:val="69262894"/>
    <w:multiLevelType w:val="singleLevel"/>
    <w:tmpl w:val="69262894"/>
    <w:lvl w:ilvl="0" w:tentative="0">
      <w:start w:val="1"/>
      <w:numFmt w:val="decimal"/>
      <w:suff w:val="nothing"/>
      <w:lvlText w:val="%1、"/>
      <w:lvlJc w:val="left"/>
    </w:lvl>
  </w:abstractNum>
  <w:abstractNum w:abstractNumId="11">
    <w:nsid w:val="7ED14685"/>
    <w:multiLevelType w:val="singleLevel"/>
    <w:tmpl w:val="7ED14685"/>
    <w:lvl w:ilvl="0" w:tentative="0">
      <w:start w:val="1"/>
      <w:numFmt w:val="bullet"/>
      <w:pStyle w:val="19"/>
      <w:lvlText w:val=""/>
      <w:lvlJc w:val="left"/>
      <w:pPr>
        <w:tabs>
          <w:tab w:val="left" w:pos="2040"/>
        </w:tabs>
        <w:ind w:left="2040" w:hanging="360"/>
      </w:pPr>
      <w:rPr>
        <w:rFonts w:hint="default" w:ascii="Wingdings" w:hAnsi="Wingdings"/>
      </w:rPr>
    </w:lvl>
  </w:abstractNum>
  <w:num w:numId="1">
    <w:abstractNumId w:val="4"/>
  </w:num>
  <w:num w:numId="2">
    <w:abstractNumId w:val="11"/>
  </w:num>
  <w:num w:numId="3">
    <w:abstractNumId w:val="7"/>
  </w:num>
  <w:num w:numId="4">
    <w:abstractNumId w:val="9"/>
  </w:num>
  <w:num w:numId="5">
    <w:abstractNumId w:val="5"/>
  </w:num>
  <w:num w:numId="6">
    <w:abstractNumId w:val="6"/>
  </w:num>
  <w:num w:numId="7">
    <w:abstractNumId w:val="2"/>
  </w:num>
  <w:num w:numId="8">
    <w:abstractNumId w:val="10"/>
  </w:num>
  <w:num w:numId="9">
    <w:abstractNumId w:val="8"/>
  </w:num>
  <w:num w:numId="10">
    <w:abstractNumId w:val="3"/>
  </w:num>
  <w:num w:numId="11">
    <w:abstractNumId w:val="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endnotePr>
    <w:numFmt w:val="decimal"/>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CC51681"/>
    <w:rsid w:val="00143723"/>
    <w:rsid w:val="00150902"/>
    <w:rsid w:val="0025035E"/>
    <w:rsid w:val="006A2EAD"/>
    <w:rsid w:val="00854F9C"/>
    <w:rsid w:val="00955394"/>
    <w:rsid w:val="00B4697A"/>
    <w:rsid w:val="00CE1CF4"/>
    <w:rsid w:val="00D34727"/>
    <w:rsid w:val="00EA480F"/>
    <w:rsid w:val="00F53CD5"/>
    <w:rsid w:val="01392CC3"/>
    <w:rsid w:val="01594742"/>
    <w:rsid w:val="015E0AA1"/>
    <w:rsid w:val="01962E2B"/>
    <w:rsid w:val="01C74BCA"/>
    <w:rsid w:val="01D62705"/>
    <w:rsid w:val="021F4145"/>
    <w:rsid w:val="024E3BCD"/>
    <w:rsid w:val="02805672"/>
    <w:rsid w:val="02D87096"/>
    <w:rsid w:val="02E2183C"/>
    <w:rsid w:val="0307687D"/>
    <w:rsid w:val="035D21FD"/>
    <w:rsid w:val="03DF2239"/>
    <w:rsid w:val="045D3736"/>
    <w:rsid w:val="04AE0DC8"/>
    <w:rsid w:val="04B97B11"/>
    <w:rsid w:val="04C55C41"/>
    <w:rsid w:val="04E747C2"/>
    <w:rsid w:val="050A70B6"/>
    <w:rsid w:val="05180283"/>
    <w:rsid w:val="05804E48"/>
    <w:rsid w:val="059C7B24"/>
    <w:rsid w:val="06614682"/>
    <w:rsid w:val="067512AC"/>
    <w:rsid w:val="0779268E"/>
    <w:rsid w:val="08195139"/>
    <w:rsid w:val="082D180C"/>
    <w:rsid w:val="08352131"/>
    <w:rsid w:val="083B1DE4"/>
    <w:rsid w:val="084F0D5C"/>
    <w:rsid w:val="08560496"/>
    <w:rsid w:val="08932046"/>
    <w:rsid w:val="08D07CD7"/>
    <w:rsid w:val="08D609C0"/>
    <w:rsid w:val="093D7238"/>
    <w:rsid w:val="09D23B5C"/>
    <w:rsid w:val="0A300F3E"/>
    <w:rsid w:val="0A690A42"/>
    <w:rsid w:val="0ABA277E"/>
    <w:rsid w:val="0AD304EE"/>
    <w:rsid w:val="0B0D5A73"/>
    <w:rsid w:val="0B100C28"/>
    <w:rsid w:val="0B641641"/>
    <w:rsid w:val="0B737DFC"/>
    <w:rsid w:val="0C1E1312"/>
    <w:rsid w:val="0C266E4F"/>
    <w:rsid w:val="0C7F6F4E"/>
    <w:rsid w:val="0C946F6B"/>
    <w:rsid w:val="0CDB0707"/>
    <w:rsid w:val="0DDD7799"/>
    <w:rsid w:val="0DFD3960"/>
    <w:rsid w:val="0E1657E1"/>
    <w:rsid w:val="0EBF382D"/>
    <w:rsid w:val="0EF0007C"/>
    <w:rsid w:val="0F2A6253"/>
    <w:rsid w:val="10D83537"/>
    <w:rsid w:val="10FB3257"/>
    <w:rsid w:val="1116403C"/>
    <w:rsid w:val="11A744E6"/>
    <w:rsid w:val="11CF60C1"/>
    <w:rsid w:val="1208464E"/>
    <w:rsid w:val="12614BA6"/>
    <w:rsid w:val="128B36DF"/>
    <w:rsid w:val="13707CF2"/>
    <w:rsid w:val="13C51721"/>
    <w:rsid w:val="14521FBF"/>
    <w:rsid w:val="14AE4611"/>
    <w:rsid w:val="150E5154"/>
    <w:rsid w:val="154D01F0"/>
    <w:rsid w:val="159A2B43"/>
    <w:rsid w:val="15AA5CF1"/>
    <w:rsid w:val="16223187"/>
    <w:rsid w:val="170718E6"/>
    <w:rsid w:val="175627CE"/>
    <w:rsid w:val="18047AE0"/>
    <w:rsid w:val="18C97015"/>
    <w:rsid w:val="18CA0832"/>
    <w:rsid w:val="192C0E0C"/>
    <w:rsid w:val="194B3136"/>
    <w:rsid w:val="197E6AA6"/>
    <w:rsid w:val="19903300"/>
    <w:rsid w:val="19AB256E"/>
    <w:rsid w:val="19F53607"/>
    <w:rsid w:val="1A1B7E99"/>
    <w:rsid w:val="1A3E41FA"/>
    <w:rsid w:val="1AA1295A"/>
    <w:rsid w:val="1AF12A44"/>
    <w:rsid w:val="1B1A26E2"/>
    <w:rsid w:val="1B306FCF"/>
    <w:rsid w:val="1B3D691D"/>
    <w:rsid w:val="1B4C7724"/>
    <w:rsid w:val="1BED4E39"/>
    <w:rsid w:val="1C1F0578"/>
    <w:rsid w:val="1C28039D"/>
    <w:rsid w:val="1D4650ED"/>
    <w:rsid w:val="1D753DB0"/>
    <w:rsid w:val="1D915310"/>
    <w:rsid w:val="1D962123"/>
    <w:rsid w:val="1DC70DEC"/>
    <w:rsid w:val="1DDF4CD2"/>
    <w:rsid w:val="1E042A1B"/>
    <w:rsid w:val="1E25248A"/>
    <w:rsid w:val="1E3F2025"/>
    <w:rsid w:val="1F9A238D"/>
    <w:rsid w:val="1FDC1987"/>
    <w:rsid w:val="1FDE7D08"/>
    <w:rsid w:val="203F12C3"/>
    <w:rsid w:val="206146C8"/>
    <w:rsid w:val="20645E17"/>
    <w:rsid w:val="20C71CD9"/>
    <w:rsid w:val="21000432"/>
    <w:rsid w:val="211D50C8"/>
    <w:rsid w:val="216A4C05"/>
    <w:rsid w:val="21863D0D"/>
    <w:rsid w:val="2216046A"/>
    <w:rsid w:val="223B4BFE"/>
    <w:rsid w:val="22644AB9"/>
    <w:rsid w:val="22876AFD"/>
    <w:rsid w:val="23163EB2"/>
    <w:rsid w:val="2427107E"/>
    <w:rsid w:val="245A3DCA"/>
    <w:rsid w:val="24B94350"/>
    <w:rsid w:val="253F118A"/>
    <w:rsid w:val="2578310B"/>
    <w:rsid w:val="25D8356A"/>
    <w:rsid w:val="25E71BEC"/>
    <w:rsid w:val="25EC6ED5"/>
    <w:rsid w:val="25F015C5"/>
    <w:rsid w:val="26571D40"/>
    <w:rsid w:val="266F149F"/>
    <w:rsid w:val="27804D47"/>
    <w:rsid w:val="28145128"/>
    <w:rsid w:val="282838DA"/>
    <w:rsid w:val="28571D32"/>
    <w:rsid w:val="294D084D"/>
    <w:rsid w:val="29933722"/>
    <w:rsid w:val="29AA51F0"/>
    <w:rsid w:val="29DA4EBE"/>
    <w:rsid w:val="2A3253DE"/>
    <w:rsid w:val="2A356872"/>
    <w:rsid w:val="2A546059"/>
    <w:rsid w:val="2A5D2D01"/>
    <w:rsid w:val="2AF27BEF"/>
    <w:rsid w:val="2B0077CF"/>
    <w:rsid w:val="2B01741F"/>
    <w:rsid w:val="2B1C040B"/>
    <w:rsid w:val="2B1F6EF2"/>
    <w:rsid w:val="2B71731C"/>
    <w:rsid w:val="2BB0437F"/>
    <w:rsid w:val="2CD261A7"/>
    <w:rsid w:val="2D321CC8"/>
    <w:rsid w:val="2D6477FE"/>
    <w:rsid w:val="2D833FE8"/>
    <w:rsid w:val="2D85397D"/>
    <w:rsid w:val="2DEE303D"/>
    <w:rsid w:val="2DF7769F"/>
    <w:rsid w:val="2DFF55A7"/>
    <w:rsid w:val="2EAE0106"/>
    <w:rsid w:val="2EC652B2"/>
    <w:rsid w:val="2F344423"/>
    <w:rsid w:val="305212CF"/>
    <w:rsid w:val="30CF1B19"/>
    <w:rsid w:val="30FD7924"/>
    <w:rsid w:val="311E24FD"/>
    <w:rsid w:val="315A5151"/>
    <w:rsid w:val="31746F9C"/>
    <w:rsid w:val="31873AFA"/>
    <w:rsid w:val="31E45D99"/>
    <w:rsid w:val="325B6989"/>
    <w:rsid w:val="32B722E3"/>
    <w:rsid w:val="32E55AEF"/>
    <w:rsid w:val="336C325E"/>
    <w:rsid w:val="34C60C67"/>
    <w:rsid w:val="350E0B57"/>
    <w:rsid w:val="353C3345"/>
    <w:rsid w:val="353C3CAC"/>
    <w:rsid w:val="354B7504"/>
    <w:rsid w:val="35A35FAD"/>
    <w:rsid w:val="36106FD5"/>
    <w:rsid w:val="36B01313"/>
    <w:rsid w:val="36B93809"/>
    <w:rsid w:val="36C631E8"/>
    <w:rsid w:val="371F41A4"/>
    <w:rsid w:val="3788036E"/>
    <w:rsid w:val="37A924CB"/>
    <w:rsid w:val="383F1698"/>
    <w:rsid w:val="38534CB7"/>
    <w:rsid w:val="38A56D41"/>
    <w:rsid w:val="38B54033"/>
    <w:rsid w:val="39212C99"/>
    <w:rsid w:val="39740B10"/>
    <w:rsid w:val="398639BF"/>
    <w:rsid w:val="39A26D13"/>
    <w:rsid w:val="39AE25A1"/>
    <w:rsid w:val="39F914CF"/>
    <w:rsid w:val="3A147AAC"/>
    <w:rsid w:val="3AFE72DB"/>
    <w:rsid w:val="3B2565A9"/>
    <w:rsid w:val="3B993EB6"/>
    <w:rsid w:val="3BE15BA1"/>
    <w:rsid w:val="3C1B6DEE"/>
    <w:rsid w:val="3CAD29AD"/>
    <w:rsid w:val="3CCF454A"/>
    <w:rsid w:val="3CE25A6A"/>
    <w:rsid w:val="3D6852CB"/>
    <w:rsid w:val="3D9D1094"/>
    <w:rsid w:val="3E3D6F14"/>
    <w:rsid w:val="3E6A3F16"/>
    <w:rsid w:val="3E7E1783"/>
    <w:rsid w:val="3F0223F3"/>
    <w:rsid w:val="3F281E38"/>
    <w:rsid w:val="3FC6242C"/>
    <w:rsid w:val="3FD35A41"/>
    <w:rsid w:val="3FDC4DBB"/>
    <w:rsid w:val="40061E82"/>
    <w:rsid w:val="405E0770"/>
    <w:rsid w:val="40616FB3"/>
    <w:rsid w:val="40722C94"/>
    <w:rsid w:val="40994365"/>
    <w:rsid w:val="40C8628A"/>
    <w:rsid w:val="40FF6E50"/>
    <w:rsid w:val="41104488"/>
    <w:rsid w:val="4162197F"/>
    <w:rsid w:val="41722AF1"/>
    <w:rsid w:val="41DD508C"/>
    <w:rsid w:val="425303BA"/>
    <w:rsid w:val="428E3330"/>
    <w:rsid w:val="42AB7666"/>
    <w:rsid w:val="42BB005F"/>
    <w:rsid w:val="42BC36B5"/>
    <w:rsid w:val="42C72DDD"/>
    <w:rsid w:val="441F2B8F"/>
    <w:rsid w:val="444B7C62"/>
    <w:rsid w:val="44B5606C"/>
    <w:rsid w:val="456316C1"/>
    <w:rsid w:val="459A4837"/>
    <w:rsid w:val="45F770A4"/>
    <w:rsid w:val="463A687E"/>
    <w:rsid w:val="465E7AF3"/>
    <w:rsid w:val="46756B4D"/>
    <w:rsid w:val="467B7704"/>
    <w:rsid w:val="467E26A2"/>
    <w:rsid w:val="468A57EA"/>
    <w:rsid w:val="46CC0674"/>
    <w:rsid w:val="472C7DB9"/>
    <w:rsid w:val="473B76F4"/>
    <w:rsid w:val="478A6064"/>
    <w:rsid w:val="47DB3EB5"/>
    <w:rsid w:val="47DD5A16"/>
    <w:rsid w:val="47F30BAC"/>
    <w:rsid w:val="489F51E6"/>
    <w:rsid w:val="49033AA7"/>
    <w:rsid w:val="49053025"/>
    <w:rsid w:val="49605F29"/>
    <w:rsid w:val="496A1820"/>
    <w:rsid w:val="49AE2C09"/>
    <w:rsid w:val="49F03E63"/>
    <w:rsid w:val="4A4302F3"/>
    <w:rsid w:val="4A9D7730"/>
    <w:rsid w:val="4A9F4ED2"/>
    <w:rsid w:val="4AEB31A1"/>
    <w:rsid w:val="4B35253D"/>
    <w:rsid w:val="4B3F5B3D"/>
    <w:rsid w:val="4B484E83"/>
    <w:rsid w:val="4BAC2D11"/>
    <w:rsid w:val="4BF55372"/>
    <w:rsid w:val="4C2F4549"/>
    <w:rsid w:val="4C3E3B1C"/>
    <w:rsid w:val="4C4A104E"/>
    <w:rsid w:val="4C756707"/>
    <w:rsid w:val="4CA11C08"/>
    <w:rsid w:val="4CB730C8"/>
    <w:rsid w:val="4CC51681"/>
    <w:rsid w:val="4D886208"/>
    <w:rsid w:val="4DAB0432"/>
    <w:rsid w:val="4DCA4FE5"/>
    <w:rsid w:val="4DCE2983"/>
    <w:rsid w:val="4E0232B1"/>
    <w:rsid w:val="4E9F2A5D"/>
    <w:rsid w:val="4F38594F"/>
    <w:rsid w:val="4F515FE9"/>
    <w:rsid w:val="4F9414B9"/>
    <w:rsid w:val="4FA12AF2"/>
    <w:rsid w:val="4FD16792"/>
    <w:rsid w:val="502425D9"/>
    <w:rsid w:val="50BA4FC9"/>
    <w:rsid w:val="50BC6D86"/>
    <w:rsid w:val="50E02679"/>
    <w:rsid w:val="50FA58BC"/>
    <w:rsid w:val="51382F51"/>
    <w:rsid w:val="51A92E83"/>
    <w:rsid w:val="51C31DA4"/>
    <w:rsid w:val="523650DE"/>
    <w:rsid w:val="52912564"/>
    <w:rsid w:val="52DE77D4"/>
    <w:rsid w:val="52E96F1C"/>
    <w:rsid w:val="52EF4BF8"/>
    <w:rsid w:val="532A43C2"/>
    <w:rsid w:val="533E09D9"/>
    <w:rsid w:val="534A733C"/>
    <w:rsid w:val="53702B43"/>
    <w:rsid w:val="54467018"/>
    <w:rsid w:val="54B92662"/>
    <w:rsid w:val="550D2678"/>
    <w:rsid w:val="5586388A"/>
    <w:rsid w:val="55DA22E2"/>
    <w:rsid w:val="563B3990"/>
    <w:rsid w:val="568360A8"/>
    <w:rsid w:val="568B2EA3"/>
    <w:rsid w:val="56A277AC"/>
    <w:rsid w:val="56C660B4"/>
    <w:rsid w:val="56CB1DE5"/>
    <w:rsid w:val="575D3FBB"/>
    <w:rsid w:val="57C06D11"/>
    <w:rsid w:val="57D263DD"/>
    <w:rsid w:val="58107F8D"/>
    <w:rsid w:val="581C7926"/>
    <w:rsid w:val="584A7F36"/>
    <w:rsid w:val="587A1A63"/>
    <w:rsid w:val="587A54B2"/>
    <w:rsid w:val="59074BA6"/>
    <w:rsid w:val="592D7C8F"/>
    <w:rsid w:val="594D7F0C"/>
    <w:rsid w:val="598835F0"/>
    <w:rsid w:val="59E978B5"/>
    <w:rsid w:val="5AC121E6"/>
    <w:rsid w:val="5AF13DA4"/>
    <w:rsid w:val="5B82786A"/>
    <w:rsid w:val="5B8B5CB2"/>
    <w:rsid w:val="5C3C7AB7"/>
    <w:rsid w:val="5C8F3A65"/>
    <w:rsid w:val="5CF45604"/>
    <w:rsid w:val="5D467400"/>
    <w:rsid w:val="5DDB1CC1"/>
    <w:rsid w:val="5E491B7D"/>
    <w:rsid w:val="5EC1721C"/>
    <w:rsid w:val="5ED04E54"/>
    <w:rsid w:val="5EDF2450"/>
    <w:rsid w:val="5F5373F4"/>
    <w:rsid w:val="5F8B122C"/>
    <w:rsid w:val="5F9D7EB8"/>
    <w:rsid w:val="5FEB54B0"/>
    <w:rsid w:val="60130582"/>
    <w:rsid w:val="60432D29"/>
    <w:rsid w:val="60BA0BE9"/>
    <w:rsid w:val="61157D57"/>
    <w:rsid w:val="616E3CD7"/>
    <w:rsid w:val="61755907"/>
    <w:rsid w:val="61926F26"/>
    <w:rsid w:val="61E20692"/>
    <w:rsid w:val="62995E01"/>
    <w:rsid w:val="62CF0CE3"/>
    <w:rsid w:val="62ED2CC5"/>
    <w:rsid w:val="63334C22"/>
    <w:rsid w:val="636276DD"/>
    <w:rsid w:val="637D16D3"/>
    <w:rsid w:val="639867C6"/>
    <w:rsid w:val="64286496"/>
    <w:rsid w:val="6442109A"/>
    <w:rsid w:val="644F43BE"/>
    <w:rsid w:val="646A5445"/>
    <w:rsid w:val="648C47B0"/>
    <w:rsid w:val="649E470F"/>
    <w:rsid w:val="64A47949"/>
    <w:rsid w:val="64E03700"/>
    <w:rsid w:val="655A2533"/>
    <w:rsid w:val="656761A5"/>
    <w:rsid w:val="65CD7172"/>
    <w:rsid w:val="65D67186"/>
    <w:rsid w:val="66157F1F"/>
    <w:rsid w:val="666A4FEF"/>
    <w:rsid w:val="66A12197"/>
    <w:rsid w:val="671E5E43"/>
    <w:rsid w:val="67AA3780"/>
    <w:rsid w:val="685052AC"/>
    <w:rsid w:val="69BA63AE"/>
    <w:rsid w:val="69F11EE7"/>
    <w:rsid w:val="6A12081F"/>
    <w:rsid w:val="6A1D516C"/>
    <w:rsid w:val="6A4F3A38"/>
    <w:rsid w:val="6A9E1BFD"/>
    <w:rsid w:val="6B8F0760"/>
    <w:rsid w:val="6BD21C54"/>
    <w:rsid w:val="6BEE2099"/>
    <w:rsid w:val="6C25268D"/>
    <w:rsid w:val="6C6A4035"/>
    <w:rsid w:val="6D0C615C"/>
    <w:rsid w:val="6D1E1452"/>
    <w:rsid w:val="6D36105C"/>
    <w:rsid w:val="6E403CB0"/>
    <w:rsid w:val="6E636184"/>
    <w:rsid w:val="6EDB28FB"/>
    <w:rsid w:val="6F186B7B"/>
    <w:rsid w:val="6F5F241C"/>
    <w:rsid w:val="6F931BF6"/>
    <w:rsid w:val="6FBE275D"/>
    <w:rsid w:val="700B3E3B"/>
    <w:rsid w:val="707A0433"/>
    <w:rsid w:val="708E3E12"/>
    <w:rsid w:val="71F73062"/>
    <w:rsid w:val="71FB7042"/>
    <w:rsid w:val="722C4FFE"/>
    <w:rsid w:val="727D3B15"/>
    <w:rsid w:val="728C6699"/>
    <w:rsid w:val="72B2437C"/>
    <w:rsid w:val="73051FF0"/>
    <w:rsid w:val="735A50DF"/>
    <w:rsid w:val="73A05C9A"/>
    <w:rsid w:val="73CB008F"/>
    <w:rsid w:val="748C52D0"/>
    <w:rsid w:val="748D2974"/>
    <w:rsid w:val="74BE4E6C"/>
    <w:rsid w:val="75784937"/>
    <w:rsid w:val="75956B13"/>
    <w:rsid w:val="75F37958"/>
    <w:rsid w:val="76394AFB"/>
    <w:rsid w:val="76A1624D"/>
    <w:rsid w:val="76EF20B0"/>
    <w:rsid w:val="776275E7"/>
    <w:rsid w:val="776F0544"/>
    <w:rsid w:val="7774199C"/>
    <w:rsid w:val="77AF4A80"/>
    <w:rsid w:val="781B2AFE"/>
    <w:rsid w:val="7835040A"/>
    <w:rsid w:val="78692CD8"/>
    <w:rsid w:val="78A2151A"/>
    <w:rsid w:val="790C7AD8"/>
    <w:rsid w:val="79474801"/>
    <w:rsid w:val="79E562A1"/>
    <w:rsid w:val="7AAD61DE"/>
    <w:rsid w:val="7AD711F4"/>
    <w:rsid w:val="7ADA12B7"/>
    <w:rsid w:val="7B603DFE"/>
    <w:rsid w:val="7D397C15"/>
    <w:rsid w:val="7E62389E"/>
    <w:rsid w:val="7E623D4C"/>
    <w:rsid w:val="7E6A5CE2"/>
    <w:rsid w:val="7E942C4C"/>
    <w:rsid w:val="7EAD0578"/>
    <w:rsid w:val="7FF319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85"/>
    <w:qFormat/>
    <w:uiPriority w:val="0"/>
    <w:pPr>
      <w:keepNext/>
      <w:keepLines/>
      <w:adjustRightInd w:val="0"/>
      <w:snapToGrid w:val="0"/>
      <w:spacing w:before="50" w:beforeLines="50" w:after="50" w:afterLines="50" w:line="360" w:lineRule="auto"/>
      <w:jc w:val="center"/>
      <w:outlineLvl w:val="0"/>
    </w:pPr>
    <w:rPr>
      <w:rFonts w:ascii="黑体" w:hAnsi="黑体" w:eastAsia="黑体"/>
      <w:b/>
      <w:snapToGrid w:val="0"/>
      <w:color w:val="000000"/>
      <w:sz w:val="32"/>
    </w:rPr>
  </w:style>
  <w:style w:type="paragraph" w:styleId="2">
    <w:name w:val="heading 2"/>
    <w:basedOn w:val="1"/>
    <w:next w:val="1"/>
    <w:link w:val="181"/>
    <w:qFormat/>
    <w:uiPriority w:val="0"/>
    <w:pPr>
      <w:keepNext/>
      <w:keepLines/>
      <w:adjustRightInd w:val="0"/>
      <w:snapToGrid w:val="0"/>
      <w:spacing w:line="360" w:lineRule="auto"/>
      <w:outlineLvl w:val="1"/>
    </w:pPr>
    <w:rPr>
      <w:rFonts w:ascii="黑体" w:hAnsi="宋体" w:eastAsia="Times New Roman"/>
      <w:b/>
      <w:bCs/>
      <w:snapToGrid w:val="0"/>
      <w:kern w:val="0"/>
      <w:szCs w:val="20"/>
    </w:rPr>
  </w:style>
  <w:style w:type="paragraph" w:styleId="4">
    <w:name w:val="heading 3"/>
    <w:basedOn w:val="1"/>
    <w:next w:val="1"/>
    <w:qFormat/>
    <w:uiPriority w:val="0"/>
    <w:pPr>
      <w:keepNext/>
      <w:keepLines/>
      <w:spacing w:line="360" w:lineRule="auto"/>
      <w:outlineLvl w:val="2"/>
    </w:pPr>
    <w:rPr>
      <w:rFonts w:ascii="黑体" w:hAnsi="宋体" w:eastAsia="Times New Roman"/>
      <w:bCs/>
      <w:snapToGrid w:val="0"/>
      <w:kern w:val="0"/>
      <w:szCs w:val="20"/>
    </w:rPr>
  </w:style>
  <w:style w:type="paragraph" w:styleId="5">
    <w:name w:val="heading 4"/>
    <w:basedOn w:val="1"/>
    <w:next w:val="1"/>
    <w:link w:val="254"/>
    <w:qFormat/>
    <w:uiPriority w:val="0"/>
    <w:pPr>
      <w:keepNext/>
      <w:keepLines/>
      <w:numPr>
        <w:ilvl w:val="3"/>
        <w:numId w:val="1"/>
      </w:numPr>
      <w:snapToGrid w:val="0"/>
      <w:spacing w:line="460" w:lineRule="atLeast"/>
      <w:outlineLvl w:val="3"/>
    </w:pPr>
    <w:rPr>
      <w:b/>
      <w:szCs w:val="20"/>
    </w:rPr>
  </w:style>
  <w:style w:type="paragraph" w:styleId="6">
    <w:name w:val="heading 5"/>
    <w:basedOn w:val="1"/>
    <w:next w:val="1"/>
    <w:link w:val="94"/>
    <w:qFormat/>
    <w:uiPriority w:val="0"/>
    <w:pPr>
      <w:ind w:firstLine="482" w:firstLineChars="0"/>
      <w:jc w:val="center"/>
      <w:outlineLvl w:val="4"/>
    </w:pPr>
    <w:rPr>
      <w:b/>
      <w:bCs/>
      <w:sz w:val="21"/>
      <w:szCs w:val="28"/>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1"/>
    <w:link w:val="71"/>
    <w:qFormat/>
    <w:uiPriority w:val="0"/>
    <w:pPr>
      <w:ind w:firstLine="420"/>
    </w:pPr>
    <w:rPr>
      <w:szCs w:val="20"/>
    </w:rPr>
  </w:style>
  <w:style w:type="paragraph" w:styleId="8">
    <w:name w:val="caption"/>
    <w:basedOn w:val="1"/>
    <w:next w:val="1"/>
    <w:qFormat/>
    <w:uiPriority w:val="0"/>
    <w:pPr>
      <w:adjustRightInd w:val="0"/>
      <w:spacing w:before="152" w:after="160" w:line="240" w:lineRule="exact"/>
      <w:jc w:val="center"/>
      <w:textAlignment w:val="baseline"/>
    </w:pPr>
    <w:rPr>
      <w:kern w:val="0"/>
    </w:rPr>
  </w:style>
  <w:style w:type="paragraph" w:styleId="9">
    <w:name w:val="toa heading"/>
    <w:basedOn w:val="1"/>
    <w:next w:val="1"/>
    <w:qFormat/>
    <w:uiPriority w:val="0"/>
    <w:pPr>
      <w:spacing w:before="120"/>
    </w:pPr>
    <w:rPr>
      <w:rFonts w:ascii="Arial" w:hAnsi="Arial" w:cs="Arial"/>
    </w:rPr>
  </w:style>
  <w:style w:type="paragraph" w:styleId="10">
    <w:name w:val="annotation text"/>
    <w:basedOn w:val="1"/>
    <w:link w:val="80"/>
    <w:qFormat/>
    <w:uiPriority w:val="0"/>
    <w:pPr>
      <w:jc w:val="left"/>
    </w:pPr>
  </w:style>
  <w:style w:type="paragraph" w:styleId="11">
    <w:name w:val="Salutation"/>
    <w:basedOn w:val="1"/>
    <w:next w:val="1"/>
    <w:qFormat/>
    <w:uiPriority w:val="0"/>
    <w:pPr>
      <w:jc w:val="left"/>
    </w:pPr>
    <w:rPr>
      <w:rFonts w:ascii="Times New Roman" w:hAnsi="Times New Roman" w:eastAsia="仿宋_GB2312"/>
      <w:sz w:val="32"/>
    </w:rPr>
  </w:style>
  <w:style w:type="paragraph" w:styleId="12">
    <w:name w:val="Body Text 3"/>
    <w:basedOn w:val="1"/>
    <w:qFormat/>
    <w:uiPriority w:val="0"/>
    <w:pPr>
      <w:spacing w:line="360" w:lineRule="auto"/>
    </w:pPr>
    <w:rPr>
      <w:rFonts w:ascii="仿宋_GB2312" w:eastAsia="仿宋_GB2312"/>
      <w:sz w:val="24"/>
    </w:rPr>
  </w:style>
  <w:style w:type="paragraph" w:styleId="13">
    <w:name w:val="Body Text"/>
    <w:basedOn w:val="1"/>
    <w:next w:val="1"/>
    <w:qFormat/>
    <w:uiPriority w:val="0"/>
    <w:pPr>
      <w:spacing w:after="120"/>
    </w:pPr>
  </w:style>
  <w:style w:type="paragraph" w:styleId="14">
    <w:name w:val="Body Text Indent"/>
    <w:basedOn w:val="1"/>
    <w:next w:val="1"/>
    <w:qFormat/>
    <w:uiPriority w:val="0"/>
    <w:pPr>
      <w:adjustRightInd w:val="0"/>
      <w:snapToGrid w:val="0"/>
      <w:spacing w:line="360" w:lineRule="auto"/>
      <w:ind w:firstLine="480"/>
    </w:pPr>
    <w:rPr>
      <w:bCs/>
      <w:kern w:val="0"/>
    </w:rPr>
  </w:style>
  <w:style w:type="paragraph" w:styleId="15">
    <w:name w:val="Block Text"/>
    <w:basedOn w:val="1"/>
    <w:qFormat/>
    <w:uiPriority w:val="0"/>
    <w:pPr>
      <w:spacing w:after="120"/>
      <w:ind w:left="1440" w:leftChars="700" w:right="700" w:rightChars="700"/>
    </w:pPr>
    <w:rPr>
      <w:rFonts w:ascii="Calibri" w:hAnsi="Calibri"/>
      <w:szCs w:val="20"/>
    </w:rPr>
  </w:style>
  <w:style w:type="paragraph" w:styleId="16">
    <w:name w:val="toc 3"/>
    <w:basedOn w:val="1"/>
    <w:next w:val="1"/>
    <w:qFormat/>
    <w:uiPriority w:val="0"/>
    <w:pPr>
      <w:ind w:left="840" w:leftChars="400"/>
    </w:pPr>
  </w:style>
  <w:style w:type="paragraph" w:styleId="17">
    <w:name w:val="Plain Text"/>
    <w:basedOn w:val="1"/>
    <w:next w:val="18"/>
    <w:qFormat/>
    <w:uiPriority w:val="0"/>
    <w:rPr>
      <w:rFonts w:ascii="宋体" w:hAnsi="Courier New"/>
      <w:szCs w:val="20"/>
    </w:rPr>
  </w:style>
  <w:style w:type="paragraph" w:customStyle="1" w:styleId="18">
    <w:name w:val="正本"/>
    <w:basedOn w:val="1"/>
    <w:qFormat/>
    <w:uiPriority w:val="0"/>
    <w:pPr>
      <w:adjustRightInd w:val="0"/>
      <w:snapToGrid w:val="0"/>
      <w:spacing w:line="360" w:lineRule="auto"/>
      <w:ind w:firstLine="200" w:firstLineChars="200"/>
    </w:pPr>
    <w:rPr>
      <w:kern w:val="2"/>
      <w:sz w:val="24"/>
      <w:szCs w:val="24"/>
      <w:lang w:val="en-US" w:bidi="ar-SA"/>
    </w:rPr>
  </w:style>
  <w:style w:type="paragraph" w:styleId="19">
    <w:name w:val="List Bullet 5"/>
    <w:basedOn w:val="1"/>
    <w:qFormat/>
    <w:uiPriority w:val="0"/>
    <w:pPr>
      <w:numPr>
        <w:ilvl w:val="0"/>
        <w:numId w:val="2"/>
      </w:numPr>
    </w:pPr>
  </w:style>
  <w:style w:type="paragraph" w:styleId="20">
    <w:name w:val="Date"/>
    <w:basedOn w:val="1"/>
    <w:next w:val="1"/>
    <w:qFormat/>
    <w:uiPriority w:val="0"/>
    <w:rPr>
      <w:szCs w:val="20"/>
    </w:rPr>
  </w:style>
  <w:style w:type="paragraph" w:styleId="21">
    <w:name w:val="Body Text Indent 2"/>
    <w:basedOn w:val="1"/>
    <w:next w:val="1"/>
    <w:qFormat/>
    <w:uiPriority w:val="0"/>
    <w:pPr>
      <w:adjustRightInd w:val="0"/>
      <w:snapToGrid w:val="0"/>
      <w:spacing w:line="360" w:lineRule="auto"/>
      <w:ind w:firstLine="480" w:firstLineChars="200"/>
    </w:pPr>
    <w:rPr>
      <w:rFonts w:ascii="宋体" w:hAnsi="宋体"/>
      <w:snapToGrid w:val="0"/>
      <w:color w:val="339966"/>
      <w:kern w:val="0"/>
    </w:rPr>
  </w:style>
  <w:style w:type="paragraph" w:styleId="22">
    <w:name w:val="footer"/>
    <w:basedOn w:val="1"/>
    <w:qFormat/>
    <w:uiPriority w:val="0"/>
    <w:pPr>
      <w:tabs>
        <w:tab w:val="center" w:pos="4153"/>
        <w:tab w:val="right" w:pos="8306"/>
      </w:tabs>
      <w:snapToGrid w:val="0"/>
      <w:jc w:val="left"/>
    </w:pPr>
    <w:rPr>
      <w:sz w:val="18"/>
      <w:szCs w:val="18"/>
    </w:rPr>
  </w:style>
  <w:style w:type="paragraph" w:styleId="23">
    <w:name w:val="header"/>
    <w:basedOn w:val="1"/>
    <w:next w:val="1"/>
    <w:qFormat/>
    <w:uiPriority w:val="0"/>
    <w:pPr>
      <w:pBdr>
        <w:bottom w:val="single" w:color="auto" w:sz="6" w:space="1"/>
      </w:pBdr>
      <w:tabs>
        <w:tab w:val="center" w:pos="4153"/>
        <w:tab w:val="right" w:pos="8306"/>
      </w:tabs>
      <w:snapToGrid w:val="0"/>
      <w:spacing w:line="240" w:lineRule="atLeast"/>
      <w:jc w:val="center"/>
    </w:pPr>
    <w:rPr>
      <w:rFonts w:ascii="幼圆" w:eastAsia="幼圆"/>
      <w:sz w:val="18"/>
      <w:szCs w:val="18"/>
    </w:rPr>
  </w:style>
  <w:style w:type="paragraph" w:styleId="24">
    <w:name w:val="toc 1"/>
    <w:basedOn w:val="1"/>
    <w:next w:val="1"/>
    <w:qFormat/>
    <w:uiPriority w:val="39"/>
    <w:pPr>
      <w:spacing w:before="120" w:after="120"/>
      <w:jc w:val="left"/>
    </w:pPr>
    <w:rPr>
      <w:rFonts w:ascii="Calibri" w:hAnsi="Calibri" w:cs="Calibri"/>
      <w:b/>
      <w:bCs/>
      <w:caps/>
      <w:sz w:val="20"/>
      <w:szCs w:val="20"/>
    </w:rPr>
  </w:style>
  <w:style w:type="paragraph" w:styleId="25">
    <w:name w:val="toc 4"/>
    <w:basedOn w:val="1"/>
    <w:next w:val="1"/>
    <w:qFormat/>
    <w:uiPriority w:val="0"/>
    <w:pPr>
      <w:ind w:left="1260" w:leftChars="600"/>
    </w:pPr>
  </w:style>
  <w:style w:type="paragraph" w:styleId="26">
    <w:name w:val="index heading"/>
    <w:basedOn w:val="1"/>
    <w:next w:val="27"/>
    <w:qFormat/>
    <w:uiPriority w:val="0"/>
    <w:rPr>
      <w:szCs w:val="20"/>
    </w:rPr>
  </w:style>
  <w:style w:type="paragraph" w:styleId="27">
    <w:name w:val="index 1"/>
    <w:basedOn w:val="1"/>
    <w:next w:val="1"/>
    <w:qFormat/>
    <w:uiPriority w:val="0"/>
    <w:pPr>
      <w:adjustRightInd w:val="0"/>
      <w:spacing w:before="60"/>
      <w:textAlignment w:val="baseline"/>
    </w:pPr>
    <w:rPr>
      <w:sz w:val="24"/>
      <w:szCs w:val="20"/>
    </w:rPr>
  </w:style>
  <w:style w:type="paragraph" w:styleId="28">
    <w:name w:val="List"/>
    <w:basedOn w:val="1"/>
    <w:next w:val="1"/>
    <w:qFormat/>
    <w:uiPriority w:val="99"/>
    <w:pPr>
      <w:ind w:left="200" w:hanging="200" w:hangingChars="200"/>
    </w:pPr>
    <w:rPr>
      <w:szCs w:val="20"/>
    </w:rPr>
  </w:style>
  <w:style w:type="paragraph" w:styleId="29">
    <w:name w:val="Body Text Indent 3"/>
    <w:basedOn w:val="1"/>
    <w:qFormat/>
    <w:uiPriority w:val="0"/>
    <w:pPr>
      <w:spacing w:line="360" w:lineRule="auto"/>
      <w:ind w:firstLine="480" w:firstLineChars="200"/>
    </w:pPr>
    <w:rPr>
      <w:rFonts w:ascii="宋体"/>
      <w:sz w:val="24"/>
    </w:rPr>
  </w:style>
  <w:style w:type="paragraph" w:styleId="30">
    <w:name w:val="table of figures"/>
    <w:basedOn w:val="1"/>
    <w:next w:val="1"/>
    <w:semiHidden/>
    <w:qFormat/>
    <w:uiPriority w:val="0"/>
    <w:pPr>
      <w:ind w:left="200" w:leftChars="200" w:hanging="200" w:hangingChars="200"/>
    </w:pPr>
  </w:style>
  <w:style w:type="paragraph" w:styleId="31">
    <w:name w:val="toc 2"/>
    <w:basedOn w:val="1"/>
    <w:next w:val="1"/>
    <w:qFormat/>
    <w:uiPriority w:val="39"/>
    <w:pPr>
      <w:ind w:left="240"/>
      <w:jc w:val="left"/>
    </w:pPr>
    <w:rPr>
      <w:rFonts w:ascii="Calibri" w:hAnsi="Calibri" w:cs="Calibri"/>
      <w:smallCaps/>
      <w:sz w:val="20"/>
      <w:szCs w:val="20"/>
    </w:rPr>
  </w:style>
  <w:style w:type="paragraph" w:styleId="32">
    <w:name w:val="Body Text 2"/>
    <w:basedOn w:val="1"/>
    <w:next w:val="1"/>
    <w:qFormat/>
    <w:uiPriority w:val="0"/>
    <w:pPr>
      <w:spacing w:after="120" w:line="480" w:lineRule="auto"/>
    </w:pPr>
  </w:style>
  <w:style w:type="paragraph" w:styleId="33">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34">
    <w:name w:val="Normal (Web)"/>
    <w:basedOn w:val="1"/>
    <w:qFormat/>
    <w:uiPriority w:val="99"/>
  </w:style>
  <w:style w:type="paragraph" w:styleId="35">
    <w:name w:val="Title"/>
    <w:basedOn w:val="1"/>
    <w:next w:val="1"/>
    <w:qFormat/>
    <w:uiPriority w:val="0"/>
    <w:pPr>
      <w:spacing w:before="240" w:after="60"/>
      <w:jc w:val="center"/>
      <w:outlineLvl w:val="0"/>
    </w:pPr>
    <w:rPr>
      <w:rFonts w:ascii="Cambria" w:hAnsi="Cambria"/>
      <w:b/>
      <w:bCs/>
      <w:sz w:val="32"/>
      <w:szCs w:val="32"/>
    </w:rPr>
  </w:style>
  <w:style w:type="paragraph" w:styleId="36">
    <w:name w:val="annotation subject"/>
    <w:basedOn w:val="10"/>
    <w:next w:val="10"/>
    <w:link w:val="81"/>
    <w:qFormat/>
    <w:uiPriority w:val="0"/>
    <w:rPr>
      <w:b/>
      <w:bCs/>
    </w:rPr>
  </w:style>
  <w:style w:type="paragraph" w:styleId="37">
    <w:name w:val="Body Text First Indent"/>
    <w:basedOn w:val="13"/>
    <w:next w:val="1"/>
    <w:qFormat/>
    <w:uiPriority w:val="0"/>
    <w:pPr>
      <w:ind w:firstLine="420" w:firstLineChars="100"/>
    </w:pPr>
    <w:rPr>
      <w:rFonts w:ascii="黑体" w:hAnsi="黑体"/>
      <w:spacing w:val="10"/>
      <w:sz w:val="21"/>
    </w:rPr>
  </w:style>
  <w:style w:type="paragraph" w:styleId="38">
    <w:name w:val="Body Text First Indent 2"/>
    <w:basedOn w:val="14"/>
    <w:next w:val="37"/>
    <w:qFormat/>
    <w:uiPriority w:val="0"/>
    <w:pPr>
      <w:adjustRightInd/>
      <w:snapToGrid/>
      <w:spacing w:after="120" w:line="240" w:lineRule="auto"/>
      <w:ind w:left="420" w:leftChars="200" w:firstLine="420" w:firstLineChars="200"/>
    </w:pPr>
    <w:rPr>
      <w:bCs w:val="0"/>
      <w:kern w:val="2"/>
      <w:sz w:val="21"/>
    </w:rPr>
  </w:style>
  <w:style w:type="table" w:styleId="40">
    <w:name w:val="Table Grid"/>
    <w:basedOn w:val="3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basedOn w:val="41"/>
    <w:qFormat/>
    <w:uiPriority w:val="0"/>
    <w:rPr>
      <w:b/>
    </w:rPr>
  </w:style>
  <w:style w:type="character" w:styleId="43">
    <w:name w:val="page number"/>
    <w:basedOn w:val="41"/>
    <w:qFormat/>
    <w:uiPriority w:val="0"/>
    <w:rPr>
      <w:rFonts w:ascii="宋体" w:hAnsi="宋体" w:eastAsia="宋体" w:cs="宋体"/>
      <w:kern w:val="2"/>
      <w:sz w:val="24"/>
      <w:szCs w:val="24"/>
      <w:lang w:val="en-US" w:eastAsia="zh-CN" w:bidi="ar-SA"/>
    </w:rPr>
  </w:style>
  <w:style w:type="character" w:styleId="44">
    <w:name w:val="Emphasis"/>
    <w:basedOn w:val="41"/>
    <w:qFormat/>
    <w:uiPriority w:val="0"/>
    <w:rPr>
      <w:i/>
      <w:iCs/>
    </w:rPr>
  </w:style>
  <w:style w:type="character" w:styleId="45">
    <w:name w:val="Hyperlink"/>
    <w:qFormat/>
    <w:uiPriority w:val="99"/>
    <w:rPr>
      <w:rFonts w:ascii="宋体" w:hAnsi="宋体" w:eastAsia="宋体" w:cs="宋体"/>
      <w:color w:val="0000FF"/>
      <w:kern w:val="2"/>
      <w:sz w:val="24"/>
      <w:szCs w:val="24"/>
      <w:u w:val="single"/>
      <w:lang w:val="en-US" w:eastAsia="zh-CN" w:bidi="ar-SA"/>
    </w:rPr>
  </w:style>
  <w:style w:type="character" w:styleId="46">
    <w:name w:val="annotation reference"/>
    <w:basedOn w:val="41"/>
    <w:qFormat/>
    <w:uiPriority w:val="0"/>
    <w:rPr>
      <w:sz w:val="21"/>
      <w:szCs w:val="21"/>
    </w:rPr>
  </w:style>
  <w:style w:type="paragraph" w:customStyle="1" w:styleId="47">
    <w:name w:val="Char4 Char Char Char Char Char Char1"/>
    <w:basedOn w:val="1"/>
    <w:qFormat/>
    <w:uiPriority w:val="0"/>
    <w:pPr>
      <w:spacing w:line="360" w:lineRule="auto"/>
      <w:ind w:firstLine="200" w:firstLineChars="200"/>
    </w:pPr>
    <w:rPr>
      <w:rFonts w:ascii="宋体" w:cs="宋体"/>
      <w:sz w:val="24"/>
    </w:rPr>
  </w:style>
  <w:style w:type="paragraph" w:customStyle="1" w:styleId="48">
    <w:name w:val="简单回函地址"/>
    <w:basedOn w:val="1"/>
    <w:next w:val="49"/>
    <w:qFormat/>
    <w:uiPriority w:val="0"/>
    <w:rPr>
      <w:szCs w:val="20"/>
    </w:rPr>
  </w:style>
  <w:style w:type="paragraph" w:customStyle="1" w:styleId="49">
    <w:name w:val="正文2"/>
    <w:basedOn w:val="1"/>
    <w:qFormat/>
    <w:uiPriority w:val="0"/>
    <w:pPr>
      <w:ind w:firstLine="200"/>
    </w:pPr>
  </w:style>
  <w:style w:type="paragraph" w:customStyle="1" w:styleId="50">
    <w:name w:val="0正文"/>
    <w:basedOn w:val="14"/>
    <w:unhideWhenUsed/>
    <w:qFormat/>
    <w:uiPriority w:val="0"/>
    <w:pPr>
      <w:ind w:firstLine="720"/>
    </w:pPr>
  </w:style>
  <w:style w:type="paragraph" w:customStyle="1" w:styleId="51">
    <w:name w:val="Default"/>
    <w:basedOn w:val="52"/>
    <w:next w:val="1"/>
    <w:link w:val="21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2">
    <w:name w:val="纯文本1"/>
    <w:basedOn w:val="1"/>
    <w:qFormat/>
    <w:uiPriority w:val="0"/>
    <w:rPr>
      <w:rFonts w:ascii="宋体" w:hAnsi="Courier New"/>
      <w:kern w:val="0"/>
      <w:sz w:val="20"/>
      <w:szCs w:val="20"/>
    </w:rPr>
  </w:style>
  <w:style w:type="paragraph" w:customStyle="1" w:styleId="53">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4">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5">
    <w:name w:val="表文"/>
    <w:basedOn w:val="1"/>
    <w:next w:val="1"/>
    <w:qFormat/>
    <w:uiPriority w:val="0"/>
    <w:pPr>
      <w:overflowPunct w:val="0"/>
      <w:topLinePunct/>
      <w:spacing w:line="320" w:lineRule="exact"/>
      <w:jc w:val="center"/>
      <w:outlineLvl w:val="6"/>
    </w:pPr>
    <w:rPr>
      <w:kern w:val="0"/>
      <w:sz w:val="18"/>
      <w:szCs w:val="18"/>
    </w:rPr>
  </w:style>
  <w:style w:type="paragraph" w:customStyle="1" w:styleId="56">
    <w:name w:val="报告"/>
    <w:basedOn w:val="1"/>
    <w:qFormat/>
    <w:uiPriority w:val="0"/>
    <w:pPr>
      <w:adjustRightInd w:val="0"/>
      <w:spacing w:line="360" w:lineRule="auto"/>
      <w:ind w:firstLine="505"/>
      <w:textAlignment w:val="baseline"/>
    </w:pPr>
    <w:rPr>
      <w:kern w:val="0"/>
      <w:szCs w:val="20"/>
    </w:rPr>
  </w:style>
  <w:style w:type="paragraph" w:customStyle="1" w:styleId="57">
    <w:name w:val="主体"/>
    <w:qFormat/>
    <w:uiPriority w:val="0"/>
    <w:pPr>
      <w:widowControl w:val="0"/>
      <w:autoSpaceDE w:val="0"/>
      <w:autoSpaceDN w:val="0"/>
      <w:spacing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58">
    <w:name w:val="fontstyle11"/>
    <w:qFormat/>
    <w:uiPriority w:val="0"/>
    <w:rPr>
      <w:rFonts w:ascii="TimesNewRomanPSMT" w:hAnsi="TimesNewRomanPSMT" w:eastAsia="TimesNewRomanPSMT" w:cs="TimesNewRomanPSMT"/>
      <w:color w:val="000000"/>
      <w:kern w:val="0"/>
      <w:sz w:val="24"/>
      <w:szCs w:val="24"/>
    </w:rPr>
  </w:style>
  <w:style w:type="table" w:customStyle="1" w:styleId="59">
    <w:name w:val="报告表格式新建"/>
    <w:basedOn w:val="39"/>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60">
    <w:name w:val="样式 首行缩进:  2 字符"/>
    <w:basedOn w:val="1"/>
    <w:qFormat/>
    <w:uiPriority w:val="0"/>
    <w:pPr>
      <w:ind w:right="11" w:firstLine="480" w:firstLineChars="200"/>
    </w:pPr>
    <w:rPr>
      <w:bCs/>
    </w:rPr>
  </w:style>
  <w:style w:type="paragraph" w:customStyle="1" w:styleId="61">
    <w:name w:val="1文章"/>
    <w:basedOn w:val="1"/>
    <w:qFormat/>
    <w:uiPriority w:val="0"/>
    <w:pPr>
      <w:snapToGrid w:val="0"/>
      <w:spacing w:line="360" w:lineRule="auto"/>
      <w:ind w:firstLine="573"/>
    </w:pPr>
    <w:rPr>
      <w:rFonts w:eastAsia="仿宋_GB2312"/>
      <w:sz w:val="28"/>
    </w:rPr>
  </w:style>
  <w:style w:type="paragraph" w:customStyle="1" w:styleId="62">
    <w:name w:val="报告书"/>
    <w:basedOn w:val="1"/>
    <w:qFormat/>
    <w:uiPriority w:val="0"/>
    <w:pPr>
      <w:autoSpaceDE w:val="0"/>
      <w:autoSpaceDN w:val="0"/>
      <w:adjustRightInd w:val="0"/>
      <w:spacing w:line="360" w:lineRule="auto"/>
      <w:ind w:firstLine="480" w:firstLineChars="200"/>
      <w:textAlignment w:val="bottom"/>
    </w:pPr>
    <w:rPr>
      <w:rFonts w:hAnsi="宋体"/>
      <w:bCs/>
      <w:kern w:val="0"/>
    </w:rPr>
  </w:style>
  <w:style w:type="paragraph" w:customStyle="1" w:styleId="63">
    <w:name w:val="填表内容"/>
    <w:basedOn w:val="1"/>
    <w:qFormat/>
    <w:uiPriority w:val="0"/>
    <w:pPr>
      <w:adjustRightInd w:val="0"/>
      <w:jc w:val="center"/>
    </w:pPr>
    <w:rPr>
      <w:kern w:val="0"/>
      <w:sz w:val="21"/>
      <w:szCs w:val="20"/>
    </w:rPr>
  </w:style>
  <w:style w:type="character" w:customStyle="1" w:styleId="64">
    <w:name w:val="fontstyle01"/>
    <w:basedOn w:val="41"/>
    <w:qFormat/>
    <w:uiPriority w:val="0"/>
    <w:rPr>
      <w:rFonts w:ascii="宋体" w:hAnsi="宋体" w:eastAsia="宋体" w:cs="宋体"/>
      <w:color w:val="000000"/>
      <w:kern w:val="0"/>
      <w:sz w:val="24"/>
      <w:szCs w:val="24"/>
    </w:rPr>
  </w:style>
  <w:style w:type="paragraph" w:customStyle="1" w:styleId="65">
    <w:name w:val="xyb自建正文"/>
    <w:basedOn w:val="1"/>
    <w:qFormat/>
    <w:uiPriority w:val="0"/>
    <w:pPr>
      <w:adjustRightInd w:val="0"/>
      <w:snapToGrid w:val="0"/>
      <w:spacing w:line="360" w:lineRule="auto"/>
      <w:ind w:firstLine="480" w:firstLineChars="200"/>
      <w:textAlignment w:val="baseline"/>
    </w:pPr>
    <w:rPr>
      <w:snapToGrid w:val="0"/>
      <w:kern w:val="0"/>
    </w:rPr>
  </w:style>
  <w:style w:type="paragraph" w:customStyle="1" w:styleId="66">
    <w:name w:val="列表段落1"/>
    <w:basedOn w:val="1"/>
    <w:qFormat/>
    <w:uiPriority w:val="0"/>
    <w:pPr>
      <w:ind w:firstLine="420" w:firstLineChars="200"/>
    </w:pPr>
    <w:rPr>
      <w:rFonts w:ascii="Calibri" w:hAnsi="Calibri"/>
      <w:szCs w:val="22"/>
    </w:rPr>
  </w:style>
  <w:style w:type="paragraph" w:customStyle="1" w:styleId="67">
    <w:name w:val="Zw"/>
    <w:basedOn w:val="1"/>
    <w:next w:val="1"/>
    <w:qFormat/>
    <w:uiPriority w:val="0"/>
    <w:pPr>
      <w:spacing w:line="360" w:lineRule="auto"/>
      <w:ind w:firstLine="200" w:firstLineChars="200"/>
    </w:pPr>
    <w:rPr>
      <w:rFonts w:ascii="宋体" w:hAnsi="宋体" w:cs="宋体"/>
    </w:rPr>
  </w:style>
  <w:style w:type="character" w:customStyle="1" w:styleId="68">
    <w:name w:val="fontstyle21"/>
    <w:basedOn w:val="41"/>
    <w:qFormat/>
    <w:uiPriority w:val="0"/>
    <w:rPr>
      <w:rFonts w:ascii="TimesNewRomanPSMT" w:hAnsi="TimesNewRomanPSMT" w:eastAsia="TimesNewRomanPSMT" w:cs="TimesNewRomanPSMT"/>
      <w:color w:val="000000"/>
      <w:kern w:val="0"/>
      <w:sz w:val="24"/>
      <w:szCs w:val="24"/>
    </w:rPr>
  </w:style>
  <w:style w:type="paragraph" w:customStyle="1" w:styleId="69">
    <w:name w:val="样式2"/>
    <w:basedOn w:val="2"/>
    <w:qFormat/>
    <w:uiPriority w:val="0"/>
    <w:pPr>
      <w:tabs>
        <w:tab w:val="left" w:pos="567"/>
      </w:tabs>
      <w:snapToGrid/>
      <w:spacing w:before="156" w:beforeLines="50" w:line="400" w:lineRule="atLeast"/>
      <w:ind w:left="567" w:hanging="567"/>
      <w:jc w:val="left"/>
      <w:textAlignment w:val="baseline"/>
    </w:pPr>
    <w:rPr>
      <w:rFonts w:ascii="Times New Roman" w:hAnsi="Times New Roman" w:eastAsia="宋体"/>
      <w:b w:val="0"/>
      <w:bCs w:val="0"/>
      <w:snapToGrid/>
      <w:kern w:val="2"/>
      <w:szCs w:val="28"/>
    </w:rPr>
  </w:style>
  <w:style w:type="paragraph" w:customStyle="1" w:styleId="70">
    <w:name w:val="报告表格"/>
    <w:basedOn w:val="1"/>
    <w:qFormat/>
    <w:uiPriority w:val="0"/>
    <w:pPr>
      <w:autoSpaceDE w:val="0"/>
      <w:autoSpaceDN w:val="0"/>
      <w:adjustRightInd w:val="0"/>
      <w:spacing w:before="40" w:after="40"/>
      <w:jc w:val="center"/>
      <w:textAlignment w:val="bottom"/>
    </w:pPr>
    <w:rPr>
      <w:kern w:val="0"/>
      <w:sz w:val="21"/>
      <w:szCs w:val="20"/>
    </w:rPr>
  </w:style>
  <w:style w:type="character" w:customStyle="1" w:styleId="71">
    <w:name w:val="正文缩进 字符"/>
    <w:link w:val="7"/>
    <w:qFormat/>
    <w:uiPriority w:val="0"/>
    <w:rPr>
      <w:szCs w:val="20"/>
    </w:rPr>
  </w:style>
  <w:style w:type="paragraph" w:customStyle="1" w:styleId="72">
    <w:name w:val="表格标题"/>
    <w:basedOn w:val="73"/>
    <w:next w:val="1"/>
    <w:qFormat/>
    <w:uiPriority w:val="0"/>
    <w:pPr>
      <w:spacing w:before="120"/>
    </w:pPr>
    <w:rPr>
      <w:rFonts w:eastAsia="仿宋_GB2312"/>
    </w:rPr>
  </w:style>
  <w:style w:type="paragraph" w:customStyle="1" w:styleId="73">
    <w:name w:val="表格内容"/>
    <w:basedOn w:val="7"/>
    <w:next w:val="7"/>
    <w:link w:val="263"/>
    <w:qFormat/>
    <w:uiPriority w:val="0"/>
    <w:pPr>
      <w:spacing w:line="360" w:lineRule="auto"/>
      <w:jc w:val="center"/>
    </w:pPr>
    <w:rPr>
      <w:color w:val="000000"/>
    </w:rPr>
  </w:style>
  <w:style w:type="paragraph" w:customStyle="1" w:styleId="74">
    <w:name w:val="表格文字2"/>
    <w:basedOn w:val="75"/>
    <w:qFormat/>
    <w:uiPriority w:val="0"/>
    <w:pPr>
      <w:tabs>
        <w:tab w:val="left" w:pos="7590"/>
      </w:tabs>
      <w:spacing w:before="60"/>
    </w:pPr>
  </w:style>
  <w:style w:type="paragraph" w:customStyle="1" w:styleId="75">
    <w:name w:val="表格文字"/>
    <w:basedOn w:val="1"/>
    <w:next w:val="1"/>
    <w:qFormat/>
    <w:uiPriority w:val="99"/>
    <w:pPr>
      <w:tabs>
        <w:tab w:val="left" w:pos="7590"/>
      </w:tabs>
      <w:snapToGrid w:val="0"/>
      <w:jc w:val="center"/>
    </w:pPr>
    <w:rPr>
      <w:sz w:val="21"/>
      <w:lang w:val="zh-CN"/>
    </w:rPr>
  </w:style>
  <w:style w:type="paragraph" w:customStyle="1" w:styleId="76">
    <w:name w:val="标题1"/>
    <w:basedOn w:val="1"/>
    <w:next w:val="1"/>
    <w:qFormat/>
    <w:uiPriority w:val="0"/>
    <w:pPr>
      <w:spacing w:line="500" w:lineRule="exact"/>
    </w:pPr>
    <w:rPr>
      <w:rFonts w:eastAsia="楷体_GB2312"/>
      <w:b/>
      <w:color w:val="000000"/>
      <w:spacing w:val="10"/>
      <w:sz w:val="28"/>
    </w:rPr>
  </w:style>
  <w:style w:type="paragraph" w:customStyle="1" w:styleId="77">
    <w:name w:val="正文-蓝色"/>
    <w:basedOn w:val="78"/>
    <w:qFormat/>
    <w:uiPriority w:val="0"/>
    <w:pPr>
      <w:ind w:firstLine="480"/>
    </w:pPr>
    <w:rPr>
      <w:color w:val="0000FF"/>
    </w:rPr>
  </w:style>
  <w:style w:type="paragraph" w:customStyle="1" w:styleId="78">
    <w:name w:val="正文-欣欣"/>
    <w:basedOn w:val="1"/>
    <w:next w:val="1"/>
    <w:qFormat/>
    <w:uiPriority w:val="0"/>
    <w:pPr>
      <w:ind w:firstLine="200" w:firstLineChars="200"/>
    </w:pPr>
    <w:rPr>
      <w:rFonts w:cs="Courier New"/>
      <w:szCs w:val="21"/>
    </w:rPr>
  </w:style>
  <w:style w:type="paragraph" w:customStyle="1" w:styleId="79">
    <w:name w:val="表格中文字"/>
    <w:basedOn w:val="1"/>
    <w:qFormat/>
    <w:uiPriority w:val="0"/>
    <w:pPr>
      <w:adjustRightInd w:val="0"/>
      <w:snapToGrid w:val="0"/>
      <w:spacing w:line="360" w:lineRule="atLeast"/>
      <w:jc w:val="center"/>
      <w:textAlignment w:val="baseline"/>
    </w:pPr>
    <w:rPr>
      <w:kern w:val="18"/>
      <w:sz w:val="21"/>
    </w:rPr>
  </w:style>
  <w:style w:type="character" w:customStyle="1" w:styleId="80">
    <w:name w:val="批注文字 字符"/>
    <w:basedOn w:val="41"/>
    <w:link w:val="10"/>
    <w:qFormat/>
    <w:uiPriority w:val="0"/>
    <w:rPr>
      <w:kern w:val="2"/>
      <w:sz w:val="24"/>
      <w:szCs w:val="24"/>
    </w:rPr>
  </w:style>
  <w:style w:type="character" w:customStyle="1" w:styleId="81">
    <w:name w:val="批注主题 字符"/>
    <w:basedOn w:val="80"/>
    <w:link w:val="36"/>
    <w:qFormat/>
    <w:uiPriority w:val="0"/>
    <w:rPr>
      <w:b/>
      <w:bCs/>
      <w:kern w:val="2"/>
      <w:sz w:val="24"/>
      <w:szCs w:val="24"/>
    </w:rPr>
  </w:style>
  <w:style w:type="paragraph" w:customStyle="1" w:styleId="82">
    <w:name w:val="WPSOffice手动目录 1"/>
    <w:qFormat/>
    <w:uiPriority w:val="0"/>
    <w:pPr>
      <w:ind w:leftChars="0"/>
    </w:pPr>
    <w:rPr>
      <w:rFonts w:ascii="Times New Roman" w:hAnsi="Times New Roman" w:eastAsia="宋体" w:cs="Times New Roman"/>
      <w:sz w:val="20"/>
      <w:szCs w:val="20"/>
    </w:rPr>
  </w:style>
  <w:style w:type="paragraph" w:customStyle="1" w:styleId="83">
    <w:name w:val="WPSOffice手动目录 2"/>
    <w:qFormat/>
    <w:uiPriority w:val="0"/>
    <w:pPr>
      <w:ind w:leftChars="200"/>
    </w:pPr>
    <w:rPr>
      <w:rFonts w:ascii="Times New Roman" w:hAnsi="Times New Roman" w:eastAsia="宋体" w:cs="Times New Roman"/>
      <w:sz w:val="20"/>
      <w:szCs w:val="20"/>
    </w:rPr>
  </w:style>
  <w:style w:type="paragraph" w:customStyle="1" w:styleId="84">
    <w:name w:val="正文文本缩进1"/>
    <w:basedOn w:val="1"/>
    <w:qFormat/>
    <w:uiPriority w:val="0"/>
    <w:pPr>
      <w:spacing w:after="120"/>
      <w:ind w:left="420" w:leftChars="200"/>
    </w:pPr>
    <w:rPr>
      <w:kern w:val="0"/>
      <w:sz w:val="20"/>
    </w:rPr>
  </w:style>
  <w:style w:type="character" w:customStyle="1" w:styleId="85">
    <w:name w:val="标题 1 Char"/>
    <w:link w:val="3"/>
    <w:qFormat/>
    <w:uiPriority w:val="0"/>
    <w:rPr>
      <w:rFonts w:ascii="黑体" w:hAnsi="黑体" w:eastAsia="黑体"/>
      <w:b/>
      <w:snapToGrid w:val="0"/>
      <w:color w:val="000000"/>
      <w:sz w:val="32"/>
    </w:rPr>
  </w:style>
  <w:style w:type="paragraph" w:customStyle="1" w:styleId="86">
    <w:name w:val="No Spacing1"/>
    <w:qFormat/>
    <w:uiPriority w:val="0"/>
    <w:pPr>
      <w:widowControl w:val="0"/>
      <w:contextualSpacing/>
      <w:jc w:val="center"/>
    </w:pPr>
    <w:rPr>
      <w:rFonts w:ascii="Times New Roman" w:hAnsi="Times New Roman" w:eastAsia="宋体" w:cs="Times New Roman"/>
      <w:sz w:val="21"/>
      <w:szCs w:val="24"/>
      <w:lang w:val="en-US" w:eastAsia="zh-CN" w:bidi="ar-SA"/>
    </w:rPr>
  </w:style>
  <w:style w:type="paragraph" w:styleId="87">
    <w:name w:val="No Spacing"/>
    <w:basedOn w:val="12"/>
    <w:next w:val="17"/>
    <w:qFormat/>
    <w:uiPriority w:val="1"/>
    <w:pPr>
      <w:widowControl w:val="0"/>
      <w:spacing w:line="340" w:lineRule="exact"/>
      <w:jc w:val="center"/>
    </w:pPr>
    <w:rPr>
      <w:rFonts w:ascii="Times New Roman" w:hAnsi="Times New Roman" w:eastAsia="宋体" w:cs="Times New Roman"/>
      <w:kern w:val="2"/>
      <w:sz w:val="21"/>
      <w:szCs w:val="24"/>
      <w:lang w:val="en-US" w:eastAsia="zh-CN" w:bidi="ar-SA"/>
    </w:rPr>
  </w:style>
  <w:style w:type="paragraph" w:customStyle="1" w:styleId="88">
    <w:name w:val="书正文"/>
    <w:basedOn w:val="1"/>
    <w:qFormat/>
    <w:uiPriority w:val="0"/>
    <w:pPr>
      <w:ind w:firstLine="480"/>
      <w:jc w:val="both"/>
    </w:pPr>
    <w:rPr>
      <w:rFonts w:ascii="Times New Roman" w:hAnsi="Times New Roman" w:eastAsia="宋体"/>
      <w:color w:val="000000"/>
      <w:sz w:val="24"/>
      <w:szCs w:val="22"/>
      <w:shd w:val="clear" w:color="auto" w:fill="FFFFFF"/>
    </w:rPr>
  </w:style>
  <w:style w:type="character" w:customStyle="1" w:styleId="89">
    <w:name w:val="font61"/>
    <w:basedOn w:val="41"/>
    <w:qFormat/>
    <w:uiPriority w:val="0"/>
    <w:rPr>
      <w:rFonts w:hint="eastAsia" w:ascii="宋体" w:hAnsi="宋体" w:eastAsia="宋体" w:cs="宋体"/>
      <w:color w:val="000000"/>
      <w:sz w:val="20"/>
      <w:szCs w:val="20"/>
      <w:u w:val="none"/>
    </w:rPr>
  </w:style>
  <w:style w:type="paragraph" w:customStyle="1" w:styleId="90">
    <w:name w:val="表头"/>
    <w:basedOn w:val="91"/>
    <w:next w:val="91"/>
    <w:qFormat/>
    <w:uiPriority w:val="0"/>
    <w:pPr>
      <w:widowControl/>
      <w:ind w:firstLine="0" w:firstLineChars="0"/>
      <w:jc w:val="center"/>
    </w:pPr>
    <w:rPr>
      <w:b/>
      <w:kern w:val="0"/>
      <w:sz w:val="20"/>
      <w:szCs w:val="20"/>
    </w:rPr>
  </w:style>
  <w:style w:type="paragraph" w:customStyle="1" w:styleId="91">
    <w:name w:val="表格"/>
    <w:basedOn w:val="30"/>
    <w:next w:val="1"/>
    <w:qFormat/>
    <w:uiPriority w:val="0"/>
    <w:pPr>
      <w:autoSpaceDE w:val="0"/>
      <w:autoSpaceDN w:val="0"/>
      <w:adjustRightInd w:val="0"/>
      <w:snapToGrid w:val="0"/>
      <w:spacing w:line="280" w:lineRule="exact"/>
      <w:jc w:val="center"/>
    </w:pPr>
    <w:rPr>
      <w:rFonts w:ascii="仿宋_GB2312" w:eastAsia="仿宋_GB2312"/>
      <w:kern w:val="0"/>
      <w:szCs w:val="20"/>
    </w:rPr>
  </w:style>
  <w:style w:type="paragraph" w:customStyle="1" w:styleId="92">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93">
    <w:name w:val="0表格"/>
    <w:basedOn w:val="1"/>
    <w:qFormat/>
    <w:uiPriority w:val="0"/>
    <w:pPr>
      <w:widowControl/>
      <w:jc w:val="center"/>
    </w:pPr>
    <w:rPr>
      <w:kern w:val="0"/>
      <w:szCs w:val="21"/>
    </w:rPr>
  </w:style>
  <w:style w:type="character" w:customStyle="1" w:styleId="94">
    <w:name w:val="标题 5 Char"/>
    <w:link w:val="6"/>
    <w:qFormat/>
    <w:uiPriority w:val="0"/>
    <w:rPr>
      <w:b/>
      <w:bCs/>
      <w:sz w:val="21"/>
      <w:szCs w:val="28"/>
    </w:rPr>
  </w:style>
  <w:style w:type="paragraph" w:customStyle="1" w:styleId="95">
    <w:name w:val="【表头】"/>
    <w:basedOn w:val="1"/>
    <w:qFormat/>
    <w:uiPriority w:val="0"/>
    <w:pPr>
      <w:snapToGrid w:val="0"/>
      <w:jc w:val="center"/>
    </w:pPr>
    <w:rPr>
      <w:rFonts w:ascii="Times New Roman" w:hAnsi="Times New Roman" w:eastAsia="黑体"/>
      <w:b/>
      <w:spacing w:val="4"/>
      <w:kern w:val="0"/>
      <w:sz w:val="24"/>
      <w:szCs w:val="24"/>
      <w:lang w:val="zh-CN"/>
    </w:rPr>
  </w:style>
  <w:style w:type="paragraph" w:customStyle="1" w:styleId="96">
    <w:name w:val="【表中文字】"/>
    <w:basedOn w:val="1"/>
    <w:qFormat/>
    <w:uiPriority w:val="0"/>
    <w:pPr>
      <w:adjustRightInd w:val="0"/>
      <w:snapToGrid w:val="0"/>
      <w:jc w:val="center"/>
    </w:pPr>
    <w:rPr>
      <w:kern w:val="0"/>
      <w:sz w:val="20"/>
      <w:szCs w:val="20"/>
    </w:rPr>
  </w:style>
  <w:style w:type="paragraph" w:customStyle="1" w:styleId="97">
    <w:name w:val="报告表正文"/>
    <w:basedOn w:val="1"/>
    <w:qFormat/>
    <w:uiPriority w:val="0"/>
    <w:pPr>
      <w:adjustRightInd w:val="0"/>
      <w:spacing w:line="312" w:lineRule="auto"/>
      <w:ind w:left="113" w:right="113" w:firstLine="482"/>
      <w:jc w:val="left"/>
      <w:textAlignment w:val="baseline"/>
    </w:pPr>
    <w:rPr>
      <w:kern w:val="0"/>
      <w:szCs w:val="20"/>
    </w:rPr>
  </w:style>
  <w:style w:type="paragraph" w:customStyle="1" w:styleId="98">
    <w:name w:val="p0"/>
    <w:basedOn w:val="1"/>
    <w:qFormat/>
    <w:uiPriority w:val="0"/>
    <w:pPr>
      <w:widowControl/>
      <w:spacing w:before="100" w:beforeAutospacing="1" w:after="100" w:afterAutospacing="1"/>
      <w:jc w:val="left"/>
    </w:pPr>
    <w:rPr>
      <w:rFonts w:ascii="宋体" w:hAnsi="宋体" w:cs="宋体"/>
      <w:kern w:val="0"/>
    </w:rPr>
  </w:style>
  <w:style w:type="paragraph" w:customStyle="1" w:styleId="99">
    <w:name w:val="表头样式"/>
    <w:basedOn w:val="1"/>
    <w:qFormat/>
    <w:uiPriority w:val="0"/>
    <w:pPr>
      <w:spacing w:beforeLines="50" w:afterLines="50"/>
      <w:jc w:val="center"/>
    </w:pPr>
    <w:rPr>
      <w:b/>
      <w:szCs w:val="21"/>
    </w:rPr>
  </w:style>
  <w:style w:type="paragraph" w:customStyle="1" w:styleId="100">
    <w:name w:val="正文01"/>
    <w:basedOn w:val="1"/>
    <w:link w:val="125"/>
    <w:qFormat/>
    <w:uiPriority w:val="0"/>
    <w:pPr>
      <w:ind w:firstLine="482"/>
    </w:pPr>
    <w:rPr>
      <w:szCs w:val="20"/>
    </w:rPr>
  </w:style>
  <w:style w:type="paragraph" w:customStyle="1" w:styleId="101">
    <w:name w:val="【正文】"/>
    <w:basedOn w:val="1"/>
    <w:qFormat/>
    <w:uiPriority w:val="0"/>
    <w:pPr>
      <w:spacing w:line="440" w:lineRule="exact"/>
      <w:ind w:firstLine="544" w:firstLineChars="200"/>
    </w:pPr>
    <w:rPr>
      <w:sz w:val="24"/>
      <w:szCs w:val="20"/>
    </w:rPr>
  </w:style>
  <w:style w:type="paragraph" w:customStyle="1" w:styleId="102">
    <w:name w:val="fcc正文"/>
    <w:basedOn w:val="1"/>
    <w:qFormat/>
    <w:uiPriority w:val="0"/>
    <w:pPr>
      <w:ind w:firstLine="200" w:firstLineChars="200"/>
    </w:pPr>
    <w:rPr>
      <w:rFonts w:ascii="Calibri" w:hAnsi="Calibri" w:cs="Times New Roman"/>
      <w:szCs w:val="20"/>
      <w:lang w:val="zh-CN"/>
    </w:rPr>
  </w:style>
  <w:style w:type="character" w:customStyle="1" w:styleId="103">
    <w:name w:val="页码1"/>
    <w:basedOn w:val="41"/>
    <w:qFormat/>
    <w:uiPriority w:val="0"/>
  </w:style>
  <w:style w:type="paragraph" w:customStyle="1" w:styleId="104">
    <w:name w:val="样式 样式 (西文) 宋体 (中文) 仿宋_GB2312 小四 + 首行缩进:  2 字符 行距: 最小值 12 磅"/>
    <w:basedOn w:val="1"/>
    <w:qFormat/>
    <w:uiPriority w:val="0"/>
    <w:pPr>
      <w:spacing w:line="240" w:lineRule="atLeast"/>
      <w:ind w:firstLine="640" w:firstLineChars="200"/>
      <w:jc w:val="left"/>
    </w:pPr>
    <w:rPr>
      <w:rFonts w:ascii="仿宋_GB2312" w:eastAsia="仿宋_GB2312"/>
      <w:b/>
      <w:color w:val="000000"/>
      <w:sz w:val="30"/>
      <w:szCs w:val="28"/>
    </w:rPr>
  </w:style>
  <w:style w:type="paragraph" w:customStyle="1" w:styleId="105">
    <w:name w:val="Normal (Web)"/>
    <w:basedOn w:val="1"/>
    <w:qFormat/>
    <w:uiPriority w:val="0"/>
    <w:pPr>
      <w:spacing w:before="100" w:beforeAutospacing="1" w:after="100" w:afterAutospacing="1"/>
    </w:pPr>
    <w:rPr>
      <w:rFonts w:ascii="宋体" w:hAnsi="宋体" w:cs="宋体"/>
      <w:sz w:val="24"/>
    </w:rPr>
  </w:style>
  <w:style w:type="paragraph" w:customStyle="1" w:styleId="106">
    <w:name w:val="List Paragraph"/>
    <w:basedOn w:val="1"/>
    <w:next w:val="1"/>
    <w:qFormat/>
    <w:uiPriority w:val="0"/>
    <w:pPr>
      <w:autoSpaceDE w:val="0"/>
      <w:autoSpaceDN w:val="0"/>
      <w:jc w:val="center"/>
    </w:pPr>
    <w:rPr>
      <w:szCs w:val="20"/>
    </w:rPr>
  </w:style>
  <w:style w:type="paragraph" w:customStyle="1" w:styleId="107">
    <w:name w:val="样式3"/>
    <w:basedOn w:val="7"/>
    <w:qFormat/>
    <w:uiPriority w:val="0"/>
    <w:pPr>
      <w:snapToGrid/>
      <w:spacing w:line="520" w:lineRule="atLeast"/>
      <w:ind w:firstLine="560"/>
      <w:jc w:val="left"/>
    </w:pPr>
    <w:rPr>
      <w:kern w:val="0"/>
      <w:sz w:val="28"/>
    </w:rPr>
  </w:style>
  <w:style w:type="paragraph" w:customStyle="1" w:styleId="108">
    <w:name w:val="正文-1"/>
    <w:link w:val="180"/>
    <w:qFormat/>
    <w:uiPriority w:val="0"/>
    <w:pPr>
      <w:spacing w:line="480" w:lineRule="exact"/>
      <w:ind w:firstLine="200" w:firstLineChars="200"/>
      <w:jc w:val="both"/>
    </w:pPr>
    <w:rPr>
      <w:rFonts w:ascii="Times New Roman" w:hAnsi="Times New Roman" w:eastAsia="宋体" w:cs="宋体"/>
      <w:kern w:val="2"/>
      <w:sz w:val="24"/>
      <w:lang w:val="en-US" w:eastAsia="zh-CN" w:bidi="ar-SA"/>
    </w:rPr>
  </w:style>
  <w:style w:type="paragraph" w:customStyle="1" w:styleId="109">
    <w:name w:val="表题"/>
    <w:basedOn w:val="28"/>
    <w:next w:val="1"/>
    <w:link w:val="177"/>
    <w:qFormat/>
    <w:uiPriority w:val="0"/>
    <w:pPr>
      <w:spacing w:line="480" w:lineRule="exact"/>
      <w:jc w:val="center"/>
    </w:pPr>
    <w:rPr>
      <w:rFonts w:ascii="Times New Roman" w:hAnsi="宋体" w:eastAsia="宋体" w:cs="Times New Roman"/>
      <w:b/>
      <w:kern w:val="2"/>
      <w:sz w:val="21"/>
      <w:szCs w:val="24"/>
      <w:lang w:val="en-US" w:eastAsia="zh-CN" w:bidi="ar-SA"/>
    </w:rPr>
  </w:style>
  <w:style w:type="paragraph" w:customStyle="1" w:styleId="110">
    <w:name w:val="-正文"/>
    <w:basedOn w:val="1"/>
    <w:link w:val="178"/>
    <w:qFormat/>
    <w:uiPriority w:val="0"/>
    <w:pPr>
      <w:widowControl w:val="0"/>
      <w:spacing w:line="480" w:lineRule="exact"/>
      <w:ind w:firstLine="200" w:firstLineChars="200"/>
      <w:jc w:val="both"/>
    </w:pPr>
    <w:rPr>
      <w:rFonts w:cs="宋体"/>
      <w:kern w:val="2"/>
      <w:sz w:val="24"/>
    </w:rPr>
  </w:style>
  <w:style w:type="paragraph" w:customStyle="1" w:styleId="111">
    <w:name w:val="-表格"/>
    <w:basedOn w:val="91"/>
    <w:next w:val="1"/>
    <w:qFormat/>
    <w:uiPriority w:val="0"/>
    <w:pPr>
      <w:widowControl/>
      <w:tabs>
        <w:tab w:val="left" w:pos="3696"/>
      </w:tabs>
      <w:jc w:val="center"/>
    </w:pPr>
    <w:rPr>
      <w:rFonts w:ascii="宋体" w:hAnsi="宋体" w:cs="宋体"/>
      <w:snapToGrid w:val="0"/>
      <w:szCs w:val="20"/>
    </w:rPr>
  </w:style>
  <w:style w:type="paragraph" w:customStyle="1" w:styleId="112">
    <w:name w:val="GTR报告书表头"/>
    <w:basedOn w:val="1"/>
    <w:qFormat/>
    <w:uiPriority w:val="0"/>
    <w:pPr>
      <w:spacing w:line="500" w:lineRule="exact"/>
      <w:jc w:val="center"/>
    </w:pPr>
    <w:rPr>
      <w:rFonts w:eastAsia="黑体"/>
    </w:rPr>
  </w:style>
  <w:style w:type="paragraph" w:customStyle="1" w:styleId="113">
    <w:name w:val="GTR表格内容"/>
    <w:basedOn w:val="112"/>
    <w:qFormat/>
    <w:uiPriority w:val="0"/>
    <w:pPr>
      <w:spacing w:line="240" w:lineRule="auto"/>
    </w:pPr>
    <w:rPr>
      <w:rFonts w:eastAsia="宋体"/>
    </w:rPr>
  </w:style>
  <w:style w:type="paragraph" w:customStyle="1" w:styleId="114">
    <w:name w:val="小四正文格式"/>
    <w:basedOn w:val="1"/>
    <w:qFormat/>
    <w:uiPriority w:val="0"/>
    <w:pPr>
      <w:spacing w:line="360" w:lineRule="auto"/>
      <w:ind w:firstLine="200" w:firstLineChars="200"/>
    </w:pPr>
    <w:rPr>
      <w:rFonts w:ascii="宋体" w:hAnsi="宋体"/>
      <w:sz w:val="24"/>
    </w:rPr>
  </w:style>
  <w:style w:type="paragraph" w:customStyle="1" w:styleId="115">
    <w:name w:val="表中正文居中"/>
    <w:semiHidden/>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116">
    <w:name w:val="表标题"/>
    <w:basedOn w:val="1"/>
    <w:next w:val="1"/>
    <w:semiHidden/>
    <w:qFormat/>
    <w:uiPriority w:val="0"/>
    <w:pPr>
      <w:adjustRightInd w:val="0"/>
      <w:jc w:val="center"/>
      <w:textAlignment w:val="baseline"/>
    </w:pPr>
    <w:rPr>
      <w:b/>
      <w:bCs/>
      <w:sz w:val="24"/>
      <w:szCs w:val="20"/>
    </w:rPr>
  </w:style>
  <w:style w:type="paragraph" w:customStyle="1" w:styleId="117">
    <w:name w:val="表格式"/>
    <w:qFormat/>
    <w:uiPriority w:val="0"/>
    <w:pPr>
      <w:spacing w:before="156" w:beforeLines="50" w:after="156" w:afterLines="50" w:line="240" w:lineRule="exact"/>
      <w:jc w:val="center"/>
    </w:pPr>
    <w:rPr>
      <w:rFonts w:ascii="Times New Roman" w:hAnsi="Times New Roman" w:eastAsia="宋体" w:cs="Times New Roman"/>
      <w:lang w:val="en-US" w:eastAsia="zh-CN" w:bidi="ar-SA"/>
    </w:rPr>
  </w:style>
  <w:style w:type="paragraph" w:customStyle="1" w:styleId="118">
    <w:name w:val=" Char Char Char Char Char Char Char Char Char1 Char Char Char Char"/>
    <w:basedOn w:val="1"/>
    <w:qFormat/>
    <w:uiPriority w:val="0"/>
    <w:rPr>
      <w:sz w:val="24"/>
    </w:rPr>
  </w:style>
  <w:style w:type="paragraph" w:customStyle="1" w:styleId="119">
    <w:name w:val="报告正文"/>
    <w:basedOn w:val="1"/>
    <w:link w:val="134"/>
    <w:semiHidden/>
    <w:qFormat/>
    <w:uiPriority w:val="0"/>
    <w:pPr>
      <w:adjustRightInd w:val="0"/>
      <w:snapToGrid w:val="0"/>
      <w:spacing w:line="480" w:lineRule="exact"/>
      <w:ind w:firstLine="560" w:firstLineChars="200"/>
    </w:pPr>
    <w:rPr>
      <w:sz w:val="28"/>
    </w:rPr>
  </w:style>
  <w:style w:type="paragraph" w:customStyle="1" w:styleId="120">
    <w:name w:val="常用正文样式"/>
    <w:basedOn w:val="1"/>
    <w:qFormat/>
    <w:uiPriority w:val="0"/>
    <w:pPr>
      <w:spacing w:line="360" w:lineRule="auto"/>
      <w:ind w:firstLine="480" w:firstLineChars="200"/>
    </w:pPr>
    <w:rPr>
      <w:rFonts w:ascii="宋体" w:hAnsi="宋体" w:eastAsia="仿宋_GB2312" w:cs="宋体"/>
      <w:bCs/>
      <w:kern w:val="28"/>
      <w:sz w:val="24"/>
    </w:rPr>
  </w:style>
  <w:style w:type="paragraph" w:customStyle="1" w:styleId="121">
    <w:name w:val="样式4"/>
    <w:basedOn w:val="1"/>
    <w:next w:val="1"/>
    <w:qFormat/>
    <w:uiPriority w:val="0"/>
    <w:pPr>
      <w:spacing w:line="440" w:lineRule="exact"/>
    </w:pPr>
    <w:rPr>
      <w:sz w:val="24"/>
      <w:szCs w:val="20"/>
    </w:rPr>
  </w:style>
  <w:style w:type="paragraph" w:customStyle="1" w:styleId="122">
    <w:name w:val="表格头"/>
    <w:basedOn w:val="1"/>
    <w:qFormat/>
    <w:uiPriority w:val="0"/>
    <w:pPr>
      <w:widowControl w:val="0"/>
      <w:jc w:val="center"/>
    </w:pPr>
    <w:rPr>
      <w:rFonts w:ascii="黑体" w:hAnsi="黑体"/>
      <w:b/>
      <w:sz w:val="21"/>
      <w:szCs w:val="24"/>
    </w:rPr>
  </w:style>
  <w:style w:type="paragraph" w:customStyle="1" w:styleId="123">
    <w:name w:val="-表题"/>
    <w:next w:val="110"/>
    <w:qFormat/>
    <w:uiPriority w:val="0"/>
    <w:pPr>
      <w:spacing w:line="480" w:lineRule="exact"/>
      <w:jc w:val="center"/>
    </w:pPr>
    <w:rPr>
      <w:rFonts w:ascii="Times New Roman" w:hAnsi="Times New Roman" w:eastAsia="宋体" w:cs="Times New Roman"/>
      <w:b/>
      <w:kern w:val="2"/>
      <w:sz w:val="21"/>
      <w:szCs w:val="24"/>
      <w:lang w:val="en-US" w:eastAsia="zh-CN" w:bidi="ar-SA"/>
    </w:rPr>
  </w:style>
  <w:style w:type="paragraph" w:customStyle="1" w:styleId="124">
    <w:name w:val="表中文字"/>
    <w:basedOn w:val="1"/>
    <w:qFormat/>
    <w:uiPriority w:val="0"/>
    <w:pPr>
      <w:widowControl w:val="0"/>
      <w:spacing w:line="300" w:lineRule="exact"/>
      <w:jc w:val="center"/>
    </w:pPr>
    <w:rPr>
      <w:color w:val="000000"/>
      <w:kern w:val="2"/>
      <w:sz w:val="21"/>
      <w:szCs w:val="24"/>
    </w:rPr>
  </w:style>
  <w:style w:type="character" w:customStyle="1" w:styleId="125">
    <w:name w:val="正文01 Char"/>
    <w:link w:val="100"/>
    <w:qFormat/>
    <w:uiPriority w:val="0"/>
    <w:rPr>
      <w:szCs w:val="20"/>
    </w:rPr>
  </w:style>
  <w:style w:type="paragraph" w:customStyle="1" w:styleId="126">
    <w:name w:val="表内容"/>
    <w:basedOn w:val="1"/>
    <w:next w:val="110"/>
    <w:qFormat/>
    <w:uiPriority w:val="0"/>
    <w:pPr>
      <w:jc w:val="center"/>
    </w:pPr>
    <w:rPr>
      <w:sz w:val="21"/>
      <w:szCs w:val="21"/>
    </w:rPr>
  </w:style>
  <w:style w:type="paragraph" w:customStyle="1" w:styleId="127">
    <w:name w:val="表格文字内容"/>
    <w:basedOn w:val="1"/>
    <w:qFormat/>
    <w:uiPriority w:val="0"/>
    <w:pPr>
      <w:spacing w:line="240" w:lineRule="exact"/>
      <w:jc w:val="center"/>
    </w:pPr>
    <w:rPr>
      <w:rFonts w:hAnsi="宋体"/>
      <w:sz w:val="18"/>
    </w:rPr>
  </w:style>
  <w:style w:type="paragraph" w:customStyle="1" w:styleId="128">
    <w:name w:val="报告正文scu"/>
    <w:qFormat/>
    <w:uiPriority w:val="0"/>
    <w:pPr>
      <w:widowControl w:val="0"/>
      <w:adjustRightInd w:val="0"/>
      <w:snapToGrid w:val="0"/>
      <w:spacing w:line="500" w:lineRule="exact"/>
      <w:ind w:firstLine="200" w:firstLineChars="200"/>
      <w:jc w:val="both"/>
    </w:pPr>
    <w:rPr>
      <w:rFonts w:ascii="Times New Roman" w:hAnsi="Times New Roman" w:eastAsia="宋体" w:cs="Times New Roman"/>
      <w:sz w:val="24"/>
      <w:szCs w:val="24"/>
      <w:lang w:val="en-US" w:eastAsia="zh-CN" w:bidi="ar-SA"/>
    </w:rPr>
  </w:style>
  <w:style w:type="paragraph" w:customStyle="1" w:styleId="129">
    <w:name w:val="_Style 1"/>
    <w:qFormat/>
    <w:uiPriority w:val="99"/>
    <w:pPr>
      <w:widowControl w:val="0"/>
      <w:jc w:val="both"/>
    </w:pPr>
    <w:rPr>
      <w:rFonts w:ascii="Times New Roman" w:hAnsi="Times New Roman" w:eastAsia="宋体" w:cs="Times New Roman"/>
      <w:bCs/>
      <w:sz w:val="24"/>
      <w:szCs w:val="24"/>
      <w:lang w:val="en-US" w:eastAsia="zh-CN" w:bidi="ar-SA"/>
    </w:rPr>
  </w:style>
  <w:style w:type="paragraph" w:customStyle="1" w:styleId="130">
    <w:name w:val="CM13"/>
    <w:basedOn w:val="51"/>
    <w:qFormat/>
    <w:uiPriority w:val="0"/>
    <w:rPr>
      <w:color w:val="auto"/>
    </w:rPr>
  </w:style>
  <w:style w:type="paragraph" w:customStyle="1" w:styleId="131">
    <w:name w:val="表格字体"/>
    <w:qFormat/>
    <w:uiPriority w:val="0"/>
    <w:pPr>
      <w:keepNext/>
      <w:keepLines/>
      <w:jc w:val="center"/>
    </w:pPr>
    <w:rPr>
      <w:rFonts w:ascii="Times New Roman" w:hAnsi="Times New Roman" w:eastAsia="宋体" w:cs="Times New Roman"/>
      <w:kern w:val="2"/>
      <w:sz w:val="21"/>
      <w:szCs w:val="24"/>
      <w:lang w:val="en-US" w:eastAsia="zh-CN" w:bidi="ar-SA"/>
    </w:rPr>
  </w:style>
  <w:style w:type="paragraph" w:customStyle="1" w:styleId="132">
    <w:name w:val="4"/>
    <w:basedOn w:val="1"/>
    <w:next w:val="14"/>
    <w:qFormat/>
    <w:uiPriority w:val="0"/>
    <w:pPr>
      <w:ind w:firstLine="540"/>
    </w:pPr>
    <w:rPr>
      <w:rFonts w:ascii="宋体"/>
      <w:sz w:val="28"/>
      <w:szCs w:val="20"/>
    </w:rPr>
  </w:style>
  <w:style w:type="paragraph" w:customStyle="1" w:styleId="133">
    <w:name w:val="CM3"/>
    <w:qFormat/>
    <w:uiPriority w:val="0"/>
    <w:pPr>
      <w:widowControl w:val="0"/>
      <w:autoSpaceDE w:val="0"/>
      <w:autoSpaceDN w:val="0"/>
      <w:adjustRightInd w:val="0"/>
      <w:spacing w:line="500" w:lineRule="atLeast"/>
    </w:pPr>
    <w:rPr>
      <w:rFonts w:hint="eastAsia" w:ascii="宋体" w:hAnsi="Calibri" w:eastAsia="宋体" w:cs="Times New Roman"/>
      <w:sz w:val="24"/>
      <w:szCs w:val="24"/>
      <w:lang w:val="en-US" w:eastAsia="zh-CN" w:bidi="ar-SA"/>
    </w:rPr>
  </w:style>
  <w:style w:type="character" w:customStyle="1" w:styleId="134">
    <w:name w:val="报告正文 Char"/>
    <w:link w:val="119"/>
    <w:qFormat/>
    <w:uiPriority w:val="0"/>
    <w:rPr>
      <w:sz w:val="28"/>
    </w:rPr>
  </w:style>
  <w:style w:type="paragraph" w:customStyle="1" w:styleId="135">
    <w:name w:val="正文文本报告（报告）"/>
    <w:basedOn w:val="1"/>
    <w:qFormat/>
    <w:uiPriority w:val="0"/>
    <w:pPr>
      <w:spacing w:line="440" w:lineRule="exact"/>
      <w:ind w:firstLine="200" w:firstLineChars="200"/>
    </w:pPr>
    <w:rPr>
      <w:sz w:val="24"/>
    </w:rPr>
  </w:style>
  <w:style w:type="character" w:customStyle="1" w:styleId="136">
    <w:name w:val="font21"/>
    <w:basedOn w:val="41"/>
    <w:qFormat/>
    <w:uiPriority w:val="0"/>
    <w:rPr>
      <w:rFonts w:hint="eastAsia" w:ascii="宋体" w:hAnsi="宋体" w:eastAsia="宋体" w:cs="宋体"/>
      <w:color w:val="000000"/>
      <w:sz w:val="22"/>
      <w:szCs w:val="22"/>
      <w:u w:val="none"/>
    </w:rPr>
  </w:style>
  <w:style w:type="paragraph" w:customStyle="1" w:styleId="137">
    <w:name w:val="章节目录"/>
    <w:basedOn w:val="1"/>
    <w:qFormat/>
    <w:uiPriority w:val="0"/>
    <w:pPr>
      <w:spacing w:line="360" w:lineRule="auto"/>
      <w:outlineLvl w:val="0"/>
    </w:pPr>
    <w:rPr>
      <w:b/>
      <w:sz w:val="28"/>
      <w:szCs w:val="28"/>
    </w:rPr>
  </w:style>
  <w:style w:type="paragraph" w:customStyle="1" w:styleId="138">
    <w:name w:val="报告表"/>
    <w:basedOn w:val="1"/>
    <w:qFormat/>
    <w:uiPriority w:val="0"/>
    <w:pPr>
      <w:autoSpaceDE w:val="0"/>
      <w:autoSpaceDN w:val="0"/>
      <w:spacing w:line="360" w:lineRule="auto"/>
      <w:ind w:firstLine="480" w:firstLineChars="200"/>
    </w:pPr>
    <w:rPr>
      <w:kern w:val="0"/>
      <w:sz w:val="24"/>
      <w:lang w:bidi="zh-CN"/>
    </w:rPr>
  </w:style>
  <w:style w:type="paragraph" w:customStyle="1" w:styleId="139">
    <w:name w:val="Default1"/>
    <w:qFormat/>
    <w:uiPriority w:val="0"/>
    <w:pPr>
      <w:widowControl w:val="0"/>
      <w:autoSpaceDE w:val="0"/>
      <w:autoSpaceDN w:val="0"/>
      <w:adjustRightInd w:val="0"/>
      <w:jc w:val="center"/>
    </w:pPr>
    <w:rPr>
      <w:rFonts w:ascii="Times New Roman" w:hAnsi="Times New Roman" w:eastAsia="宋体" w:cs="宋体"/>
      <w:b/>
      <w:color w:val="000000"/>
      <w:sz w:val="21"/>
      <w:szCs w:val="24"/>
      <w:lang w:val="en-US" w:eastAsia="zh-CN" w:bidi="ar-SA"/>
    </w:rPr>
  </w:style>
  <w:style w:type="paragraph" w:customStyle="1" w:styleId="140">
    <w:name w:val="01表格"/>
    <w:basedOn w:val="1"/>
    <w:next w:val="1"/>
    <w:qFormat/>
    <w:uiPriority w:val="0"/>
    <w:pPr>
      <w:overflowPunct w:val="0"/>
      <w:topLinePunct/>
      <w:adjustRightInd w:val="0"/>
      <w:snapToGrid w:val="0"/>
      <w:spacing w:line="240" w:lineRule="auto"/>
      <w:jc w:val="center"/>
    </w:pPr>
    <w:rPr>
      <w:snapToGrid w:val="0"/>
      <w:kern w:val="0"/>
      <w:sz w:val="21"/>
      <w:szCs w:val="21"/>
    </w:rPr>
  </w:style>
  <w:style w:type="paragraph" w:customStyle="1" w:styleId="141">
    <w:name w:val="表字"/>
    <w:basedOn w:val="1"/>
    <w:qFormat/>
    <w:uiPriority w:val="0"/>
    <w:pPr>
      <w:spacing w:line="240" w:lineRule="auto"/>
      <w:jc w:val="center"/>
    </w:pPr>
    <w:rPr>
      <w:sz w:val="21"/>
      <w:szCs w:val="20"/>
    </w:rPr>
  </w:style>
  <w:style w:type="paragraph" w:customStyle="1" w:styleId="142">
    <w:name w:val="正文格式"/>
    <w:next w:val="1"/>
    <w:qFormat/>
    <w:uiPriority w:val="0"/>
    <w:pPr>
      <w:spacing w:before="156" w:beforeLines="50" w:line="440" w:lineRule="exact"/>
      <w:ind w:firstLine="560" w:firstLineChars="200"/>
    </w:pPr>
    <w:rPr>
      <w:rFonts w:ascii="Times New Roman" w:hAnsi="Times New Roman" w:eastAsia="仿宋_GB2312" w:cs="Times New Roman"/>
      <w:kern w:val="2"/>
      <w:sz w:val="28"/>
      <w:szCs w:val="28"/>
      <w:lang w:val="en-US" w:eastAsia="zh-CN" w:bidi="ar-SA"/>
    </w:rPr>
  </w:style>
  <w:style w:type="paragraph" w:customStyle="1" w:styleId="143">
    <w:name w:val="样式 小四 首行缩进:  0.85 厘米 行距: 1.5 倍行距"/>
    <w:basedOn w:val="1"/>
    <w:qFormat/>
    <w:uiPriority w:val="0"/>
    <w:pPr>
      <w:adjustRightInd w:val="0"/>
      <w:spacing w:line="360" w:lineRule="auto"/>
      <w:ind w:firstLine="480"/>
      <w:textAlignment w:val="baseline"/>
    </w:pPr>
    <w:rPr>
      <w:sz w:val="24"/>
    </w:rPr>
  </w:style>
  <w:style w:type="paragraph" w:customStyle="1" w:styleId="144">
    <w:name w:val="3"/>
    <w:basedOn w:val="145"/>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黑体" w:cs="Times New Roman"/>
      <w:kern w:val="2"/>
      <w:sz w:val="24"/>
      <w:szCs w:val="24"/>
      <w:lang w:val="en-US" w:eastAsia="zh-CN" w:bidi="ar"/>
    </w:rPr>
  </w:style>
  <w:style w:type="paragraph" w:customStyle="1" w:styleId="145">
    <w:name w:val="正正"/>
    <w:basedOn w:val="1"/>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宋体" w:cs="Times New Roman"/>
      <w:kern w:val="2"/>
      <w:sz w:val="24"/>
      <w:szCs w:val="24"/>
      <w:lang w:val="en-US" w:eastAsia="zh-CN" w:bidi="ar"/>
    </w:rPr>
  </w:style>
  <w:style w:type="paragraph" w:customStyle="1" w:styleId="146">
    <w:name w:val="样式 样式 样式 表头 + 段前: 0.5 行 段后: 0.5 行 + 段后: 0.5 行 + 段前: 0.5 行"/>
    <w:basedOn w:val="1"/>
    <w:qFormat/>
    <w:uiPriority w:val="0"/>
    <w:pPr>
      <w:keepNext w:val="0"/>
      <w:keepLines w:val="0"/>
      <w:widowControl w:val="0"/>
      <w:suppressLineNumbers w:val="0"/>
      <w:adjustRightInd w:val="0"/>
      <w:snapToGrid w:val="0"/>
      <w:spacing w:before="120" w:beforeAutospacing="0" w:after="0" w:afterAutospacing="0" w:line="312" w:lineRule="auto"/>
      <w:ind w:left="0" w:right="0" w:firstLine="200" w:firstLineChars="200"/>
      <w:jc w:val="center"/>
    </w:pPr>
    <w:rPr>
      <w:rFonts w:hint="default" w:ascii="Times New Roman" w:hAnsi="Times New Roman" w:eastAsia="宋体" w:cs="宋体"/>
      <w:b/>
      <w:kern w:val="2"/>
      <w:sz w:val="24"/>
      <w:szCs w:val="20"/>
      <w:lang w:val="en-US" w:eastAsia="zh-CN" w:bidi="ar"/>
    </w:rPr>
  </w:style>
  <w:style w:type="paragraph" w:customStyle="1" w:styleId="147">
    <w:name w:val="单晶硅项目正文"/>
    <w:basedOn w:val="1"/>
    <w:qFormat/>
    <w:uiPriority w:val="0"/>
    <w:pPr>
      <w:keepNext w:val="0"/>
      <w:keepLines w:val="0"/>
      <w:widowControl w:val="0"/>
      <w:suppressLineNumbers w:val="0"/>
      <w:spacing w:before="0" w:beforeAutospacing="0" w:after="0" w:afterAutospacing="0" w:line="560" w:lineRule="exact"/>
      <w:ind w:left="0" w:right="0" w:firstLine="480" w:firstLineChars="200"/>
      <w:jc w:val="both"/>
    </w:pPr>
    <w:rPr>
      <w:rFonts w:hint="eastAsia" w:ascii="宋体" w:hAnsi="宋体" w:eastAsia="宋体" w:cs="Times New Roman"/>
      <w:color w:val="000000"/>
      <w:kern w:val="0"/>
      <w:sz w:val="24"/>
      <w:szCs w:val="24"/>
      <w:lang w:val="en-US" w:eastAsia="zh-CN" w:bidi="ar"/>
    </w:rPr>
  </w:style>
  <w:style w:type="paragraph" w:customStyle="1" w:styleId="148">
    <w:name w:val="p"/>
    <w:basedOn w:val="149"/>
    <w:link w:val="224"/>
    <w:qFormat/>
    <w:uiPriority w:val="0"/>
    <w:pPr>
      <w:adjustRightInd w:val="0"/>
      <w:snapToGrid w:val="0"/>
      <w:spacing w:line="360" w:lineRule="auto"/>
      <w:ind w:firstLine="1446" w:firstLineChars="200"/>
      <w:jc w:val="left"/>
    </w:pPr>
    <w:rPr>
      <w:kern w:val="0"/>
      <w:sz w:val="20"/>
      <w:szCs w:val="20"/>
    </w:rPr>
  </w:style>
  <w:style w:type="paragraph" w:customStyle="1" w:styleId="149">
    <w:name w:val="样式1"/>
    <w:basedOn w:val="1"/>
    <w:next w:val="15"/>
    <w:qFormat/>
    <w:uiPriority w:val="0"/>
    <w:pPr>
      <w:ind w:left="90" w:leftChars="32"/>
    </w:pPr>
    <w:rPr>
      <w:rFonts w:ascii="宋体" w:hAnsi="宋体"/>
      <w:sz w:val="23"/>
      <w:szCs w:val="20"/>
    </w:rPr>
  </w:style>
  <w:style w:type="paragraph" w:customStyle="1" w:styleId="150">
    <w:name w:val="样式 行距: 固定值 24 磅 首行缩进:  2 字符"/>
    <w:basedOn w:val="1"/>
    <w:qFormat/>
    <w:uiPriority w:val="0"/>
    <w:pPr>
      <w:spacing w:line="480" w:lineRule="exact"/>
      <w:ind w:firstLine="480" w:firstLineChars="200"/>
    </w:pPr>
    <w:rPr>
      <w:sz w:val="24"/>
      <w:szCs w:val="20"/>
    </w:rPr>
  </w:style>
  <w:style w:type="paragraph" w:customStyle="1" w:styleId="151">
    <w:name w:val="正文样式"/>
    <w:basedOn w:val="1"/>
    <w:qFormat/>
    <w:uiPriority w:val="0"/>
    <w:pPr>
      <w:adjustRightInd w:val="0"/>
      <w:snapToGrid w:val="0"/>
      <w:spacing w:line="360" w:lineRule="auto"/>
      <w:ind w:firstLine="200" w:firstLineChars="200"/>
      <w:jc w:val="left"/>
    </w:pPr>
    <w:rPr>
      <w:rFonts w:cs="宋体"/>
      <w:sz w:val="24"/>
    </w:rPr>
  </w:style>
  <w:style w:type="table" w:customStyle="1" w:styleId="152">
    <w:name w:val="网格型1"/>
    <w:basedOn w:val="39"/>
    <w:unhideWhenUsed/>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3">
    <w:name w:val="p17"/>
    <w:basedOn w:val="1"/>
    <w:qFormat/>
    <w:uiPriority w:val="0"/>
    <w:pPr>
      <w:widowControl/>
      <w:spacing w:line="360" w:lineRule="auto"/>
      <w:ind w:firstLine="420"/>
    </w:pPr>
    <w:rPr>
      <w:rFonts w:ascii="宋体" w:hAnsi="宋体" w:cs="宋体"/>
      <w:color w:val="FF0000"/>
      <w:kern w:val="0"/>
      <w:sz w:val="24"/>
    </w:rPr>
  </w:style>
  <w:style w:type="paragraph" w:customStyle="1" w:styleId="154">
    <w:name w:val="p16"/>
    <w:basedOn w:val="1"/>
    <w:qFormat/>
    <w:uiPriority w:val="0"/>
    <w:pPr>
      <w:widowControl/>
      <w:snapToGrid w:val="0"/>
      <w:spacing w:line="360" w:lineRule="auto"/>
      <w:ind w:firstLine="420"/>
    </w:pPr>
    <w:rPr>
      <w:kern w:val="0"/>
      <w:sz w:val="24"/>
    </w:rPr>
  </w:style>
  <w:style w:type="paragraph" w:customStyle="1" w:styleId="155">
    <w:name w:val="正本文字"/>
    <w:basedOn w:val="1"/>
    <w:qFormat/>
    <w:uiPriority w:val="0"/>
    <w:pPr>
      <w:widowControl/>
      <w:adjustRightInd w:val="0"/>
      <w:snapToGrid w:val="0"/>
      <w:spacing w:line="360" w:lineRule="auto"/>
      <w:ind w:firstLine="480" w:firstLineChars="200"/>
      <w:jc w:val="left"/>
    </w:pPr>
    <w:rPr>
      <w:rFonts w:ascii="Calibri" w:hAnsi="Courier" w:eastAsia="PMingLiU" w:cs="宋体"/>
      <w:kern w:val="18"/>
      <w:sz w:val="24"/>
      <w:szCs w:val="20"/>
      <w:lang w:eastAsia="zh-TW"/>
    </w:rPr>
  </w:style>
  <w:style w:type="paragraph" w:customStyle="1" w:styleId="156">
    <w:name w:val="Table Paragraph"/>
    <w:basedOn w:val="1"/>
    <w:qFormat/>
    <w:uiPriority w:val="1"/>
    <w:pPr>
      <w:widowControl/>
      <w:jc w:val="left"/>
    </w:pPr>
    <w:rPr>
      <w:rFonts w:ascii="Calibri" w:hAnsi="Calibri" w:cs="宋体"/>
      <w:kern w:val="0"/>
      <w:sz w:val="22"/>
      <w:szCs w:val="22"/>
    </w:rPr>
  </w:style>
  <w:style w:type="paragraph" w:customStyle="1" w:styleId="157">
    <w:name w:val="1表格"/>
    <w:basedOn w:val="1"/>
    <w:qFormat/>
    <w:uiPriority w:val="0"/>
    <w:pPr>
      <w:snapToGrid w:val="0"/>
      <w:spacing w:line="160" w:lineRule="atLeast"/>
      <w:jc w:val="center"/>
    </w:pPr>
    <w:rPr>
      <w:rFonts w:eastAsia="仿宋_GB2312"/>
      <w:szCs w:val="20"/>
    </w:rPr>
  </w:style>
  <w:style w:type="paragraph" w:customStyle="1" w:styleId="158">
    <w:name w:val="标题 41"/>
    <w:basedOn w:val="1"/>
    <w:qFormat/>
    <w:uiPriority w:val="99"/>
    <w:pPr>
      <w:autoSpaceDE w:val="0"/>
      <w:autoSpaceDN w:val="0"/>
      <w:spacing w:before="2"/>
      <w:ind w:left="920"/>
      <w:jc w:val="left"/>
      <w:outlineLvl w:val="4"/>
    </w:pPr>
    <w:rPr>
      <w:rFonts w:ascii="宋体" w:hAnsi="宋体" w:cs="宋体"/>
      <w:b/>
      <w:bCs/>
      <w:kern w:val="0"/>
      <w:sz w:val="24"/>
      <w:lang w:val="zh-CN"/>
    </w:rPr>
  </w:style>
  <w:style w:type="paragraph" w:customStyle="1" w:styleId="159">
    <w:name w:val="标题 11"/>
    <w:basedOn w:val="1"/>
    <w:qFormat/>
    <w:uiPriority w:val="99"/>
    <w:pPr>
      <w:autoSpaceDE w:val="0"/>
      <w:autoSpaceDN w:val="0"/>
      <w:spacing w:before="49"/>
      <w:ind w:left="455"/>
      <w:jc w:val="center"/>
      <w:outlineLvl w:val="1"/>
    </w:pPr>
    <w:rPr>
      <w:rFonts w:ascii="宋体" w:hAnsi="宋体" w:cs="宋体"/>
      <w:b/>
      <w:bCs/>
      <w:kern w:val="0"/>
      <w:sz w:val="36"/>
      <w:szCs w:val="36"/>
      <w:lang w:val="zh-CN"/>
    </w:rPr>
  </w:style>
  <w:style w:type="paragraph" w:customStyle="1" w:styleId="160">
    <w:name w:val="正文粗"/>
    <w:basedOn w:val="1"/>
    <w:next w:val="88"/>
    <w:qFormat/>
    <w:uiPriority w:val="0"/>
    <w:pPr>
      <w:ind w:firstLine="482"/>
      <w:jc w:val="both"/>
    </w:pPr>
    <w:rPr>
      <w:rFonts w:ascii="Times New Roman" w:hAnsi="Times New Roman" w:eastAsia="宋体"/>
      <w:b/>
      <w:color w:val="000000"/>
      <w:sz w:val="24"/>
      <w:szCs w:val="20"/>
    </w:rPr>
  </w:style>
  <w:style w:type="paragraph" w:customStyle="1" w:styleId="161">
    <w:name w:val="表格粗"/>
    <w:basedOn w:val="88"/>
    <w:qFormat/>
    <w:uiPriority w:val="0"/>
    <w:pPr>
      <w:adjustRightInd w:val="0"/>
      <w:snapToGrid w:val="0"/>
      <w:spacing w:line="240" w:lineRule="auto"/>
      <w:ind w:firstLine="0" w:firstLineChars="0"/>
      <w:jc w:val="center"/>
    </w:pPr>
    <w:rPr>
      <w:b/>
      <w:sz w:val="21"/>
      <w:shd w:val="clear" w:color="auto" w:fill="auto"/>
    </w:rPr>
  </w:style>
  <w:style w:type="paragraph" w:customStyle="1" w:styleId="162">
    <w:name w:val="_Style 10"/>
    <w:basedOn w:val="1"/>
    <w:qFormat/>
    <w:uiPriority w:val="0"/>
    <w:rPr>
      <w:szCs w:val="20"/>
    </w:rPr>
  </w:style>
  <w:style w:type="paragraph" w:customStyle="1" w:styleId="163">
    <w:name w:val="表格1"/>
    <w:basedOn w:val="1"/>
    <w:qFormat/>
    <w:uiPriority w:val="99"/>
    <w:pPr>
      <w:spacing w:line="360" w:lineRule="exact"/>
    </w:pPr>
    <w:rPr>
      <w:rFonts w:hAnsi="宋?"/>
    </w:rPr>
  </w:style>
  <w:style w:type="paragraph" w:customStyle="1" w:styleId="164">
    <w:name w:val="zly-图表"/>
    <w:basedOn w:val="7"/>
    <w:qFormat/>
    <w:uiPriority w:val="0"/>
    <w:pPr>
      <w:jc w:val="center"/>
    </w:pPr>
    <w:rPr>
      <w:rFonts w:ascii="Calibri" w:hAnsi="Calibri"/>
    </w:rPr>
  </w:style>
  <w:style w:type="paragraph" w:customStyle="1" w:styleId="165">
    <w:name w:val="zly-正文"/>
    <w:basedOn w:val="1"/>
    <w:qFormat/>
    <w:uiPriority w:val="99"/>
    <w:pPr>
      <w:spacing w:line="360" w:lineRule="auto"/>
      <w:ind w:firstLine="200" w:firstLineChars="200"/>
    </w:pPr>
    <w:rPr>
      <w:rFonts w:ascii="Calibri" w:hAnsi="Calibri"/>
      <w:kern w:val="0"/>
      <w:sz w:val="24"/>
    </w:rPr>
  </w:style>
  <w:style w:type="paragraph" w:customStyle="1" w:styleId="166">
    <w:name w:val="正文文本 (2)"/>
    <w:basedOn w:val="1"/>
    <w:qFormat/>
    <w:uiPriority w:val="0"/>
    <w:pPr>
      <w:shd w:val="clear" w:color="auto" w:fill="FFFFFF"/>
      <w:spacing w:line="466" w:lineRule="exact"/>
      <w:ind w:hanging="520"/>
      <w:jc w:val="distribute"/>
    </w:pPr>
    <w:rPr>
      <w:rFonts w:ascii="MingLiU" w:hAnsi="MingLiU" w:eastAsia="MingLiU"/>
      <w:kern w:val="0"/>
      <w:sz w:val="22"/>
      <w:szCs w:val="22"/>
    </w:rPr>
  </w:style>
  <w:style w:type="paragraph" w:customStyle="1" w:styleId="167">
    <w:name w:val="妇幼正文"/>
    <w:basedOn w:val="1"/>
    <w:qFormat/>
    <w:uiPriority w:val="0"/>
    <w:pPr>
      <w:adjustRightInd w:val="0"/>
      <w:spacing w:line="360" w:lineRule="auto"/>
      <w:ind w:firstLine="480" w:firstLineChars="200"/>
    </w:pPr>
    <w:rPr>
      <w:color w:val="000000"/>
      <w:sz w:val="24"/>
    </w:rPr>
  </w:style>
  <w:style w:type="paragraph" w:customStyle="1" w:styleId="168">
    <w:name w:val="样式 小四 首行缩进:  0.95 厘米 行距: 多倍行距 1.25 字行"/>
    <w:basedOn w:val="1"/>
    <w:qFormat/>
    <w:uiPriority w:val="0"/>
    <w:pPr>
      <w:spacing w:line="360" w:lineRule="auto"/>
      <w:ind w:firstLine="539"/>
    </w:pPr>
    <w:rPr>
      <w:rFonts w:ascii="Times New Roman" w:hAnsi="Times New Roman" w:cs="宋体"/>
      <w:sz w:val="24"/>
      <w:szCs w:val="20"/>
      <w:lang w:bidi="ar-SA"/>
    </w:rPr>
  </w:style>
  <w:style w:type="paragraph" w:customStyle="1" w:styleId="169">
    <w:name w:val="文本正文3"/>
    <w:qFormat/>
    <w:uiPriority w:val="0"/>
    <w:pPr>
      <w:spacing w:line="360" w:lineRule="auto"/>
      <w:ind w:firstLine="177" w:firstLineChars="177"/>
    </w:pPr>
    <w:rPr>
      <w:rFonts w:ascii="Calibri" w:hAnsi="Calibri" w:eastAsia="宋体" w:cs="Times New Roman"/>
      <w:kern w:val="2"/>
      <w:sz w:val="24"/>
      <w:szCs w:val="21"/>
      <w:lang w:val="en-US" w:eastAsia="zh-CN" w:bidi="ar-SA"/>
    </w:rPr>
  </w:style>
  <w:style w:type="paragraph" w:customStyle="1" w:styleId="170">
    <w:name w:val="样式7"/>
    <w:basedOn w:val="121"/>
    <w:qFormat/>
    <w:uiPriority w:val="0"/>
    <w:pPr>
      <w:spacing w:before="0" w:beforeLines="0" w:after="0" w:afterLines="0"/>
      <w:ind w:firstLine="420" w:firstLineChars="200"/>
    </w:pPr>
    <w:rPr>
      <w:rFonts w:ascii="Times New Roman" w:eastAsia="华文中宋"/>
      <w:sz w:val="21"/>
      <w:szCs w:val="21"/>
    </w:rPr>
  </w:style>
  <w:style w:type="character" w:customStyle="1" w:styleId="171">
    <w:name w:val="font31"/>
    <w:basedOn w:val="41"/>
    <w:qFormat/>
    <w:uiPriority w:val="0"/>
    <w:rPr>
      <w:rFonts w:hint="default" w:ascii="Times New Roman" w:hAnsi="Times New Roman" w:cs="Times New Roman"/>
      <w:color w:val="000000"/>
      <w:sz w:val="21"/>
      <w:szCs w:val="21"/>
      <w:u w:val="none"/>
    </w:rPr>
  </w:style>
  <w:style w:type="character" w:customStyle="1" w:styleId="172">
    <w:name w:val="font11"/>
    <w:basedOn w:val="41"/>
    <w:qFormat/>
    <w:uiPriority w:val="0"/>
    <w:rPr>
      <w:rFonts w:hint="default" w:ascii="Calibri" w:hAnsi="Calibri" w:cs="Calibri"/>
      <w:color w:val="000000"/>
      <w:sz w:val="21"/>
      <w:szCs w:val="21"/>
      <w:u w:val="none"/>
    </w:rPr>
  </w:style>
  <w:style w:type="paragraph" w:customStyle="1" w:styleId="173">
    <w:name w:val="正文文本1"/>
    <w:basedOn w:val="1"/>
    <w:qFormat/>
    <w:uiPriority w:val="0"/>
    <w:pPr>
      <w:spacing w:line="480" w:lineRule="exact"/>
      <w:ind w:firstLine="200" w:firstLineChars="200"/>
    </w:pPr>
    <w:rPr>
      <w:color w:val="000000"/>
      <w:sz w:val="24"/>
    </w:rPr>
  </w:style>
  <w:style w:type="paragraph" w:customStyle="1" w:styleId="174">
    <w:name w:val="Char4 Char Char Char"/>
    <w:basedOn w:val="1"/>
    <w:qFormat/>
    <w:uiPriority w:val="0"/>
    <w:pPr>
      <w:adjustRightInd w:val="0"/>
      <w:snapToGrid w:val="0"/>
      <w:spacing w:line="360" w:lineRule="auto"/>
      <w:ind w:firstLine="200" w:firstLineChars="200"/>
    </w:pPr>
    <w:rPr>
      <w:sz w:val="24"/>
      <w:szCs w:val="20"/>
    </w:rPr>
  </w:style>
  <w:style w:type="paragraph" w:customStyle="1" w:styleId="175">
    <w:name w:val="大标题"/>
    <w:basedOn w:val="1"/>
    <w:qFormat/>
    <w:uiPriority w:val="0"/>
    <w:pPr>
      <w:spacing w:line="360" w:lineRule="auto"/>
    </w:pPr>
    <w:rPr>
      <w:rFonts w:ascii="宋体" w:hAnsi="宋体"/>
      <w:b/>
      <w:sz w:val="30"/>
      <w:szCs w:val="24"/>
    </w:rPr>
  </w:style>
  <w:style w:type="paragraph" w:customStyle="1" w:styleId="176">
    <w:name w:val="表格01"/>
    <w:qFormat/>
    <w:uiPriority w:val="0"/>
    <w:pPr>
      <w:jc w:val="center"/>
    </w:pPr>
    <w:rPr>
      <w:rFonts w:ascii="Times New Roman" w:hAnsi="Times New Roman" w:eastAsia="宋体" w:cs="宋体"/>
      <w:kern w:val="2"/>
      <w:sz w:val="21"/>
      <w:szCs w:val="21"/>
      <w:lang w:val="en-US" w:eastAsia="zh-CN" w:bidi="ar-SA"/>
    </w:rPr>
  </w:style>
  <w:style w:type="character" w:customStyle="1" w:styleId="177">
    <w:name w:val="表题 Char"/>
    <w:link w:val="109"/>
    <w:qFormat/>
    <w:uiPriority w:val="0"/>
    <w:rPr>
      <w:rFonts w:ascii="Times New Roman" w:hAnsi="宋体" w:eastAsia="宋体" w:cs="Times New Roman"/>
      <w:b/>
      <w:kern w:val="2"/>
      <w:sz w:val="21"/>
      <w:szCs w:val="24"/>
      <w:lang w:val="en-US" w:eastAsia="zh-CN" w:bidi="ar-SA"/>
    </w:rPr>
  </w:style>
  <w:style w:type="character" w:customStyle="1" w:styleId="178">
    <w:name w:val="-正文 Char"/>
    <w:link w:val="110"/>
    <w:qFormat/>
    <w:uiPriority w:val="0"/>
    <w:rPr>
      <w:rFonts w:cs="宋体"/>
      <w:kern w:val="2"/>
      <w:sz w:val="24"/>
    </w:rPr>
  </w:style>
  <w:style w:type="paragraph" w:customStyle="1" w:styleId="179">
    <w:name w:val="标题-3"/>
    <w:basedOn w:val="1"/>
    <w:qFormat/>
    <w:uiPriority w:val="0"/>
    <w:pPr>
      <w:spacing w:line="480" w:lineRule="exact"/>
      <w:ind w:firstLine="482" w:firstLineChars="200"/>
    </w:pPr>
    <w:rPr>
      <w:rFonts w:cs="宋体"/>
      <w:b/>
      <w:bCs/>
      <w:sz w:val="24"/>
      <w:szCs w:val="20"/>
    </w:rPr>
  </w:style>
  <w:style w:type="character" w:customStyle="1" w:styleId="180">
    <w:name w:val="正文-1 Char"/>
    <w:link w:val="108"/>
    <w:qFormat/>
    <w:uiPriority w:val="0"/>
    <w:rPr>
      <w:rFonts w:ascii="Times New Roman" w:hAnsi="Times New Roman" w:eastAsia="宋体" w:cs="宋体"/>
      <w:kern w:val="2"/>
      <w:sz w:val="24"/>
      <w:lang w:val="en-US" w:eastAsia="zh-CN" w:bidi="ar-SA"/>
    </w:rPr>
  </w:style>
  <w:style w:type="character" w:customStyle="1" w:styleId="181">
    <w:name w:val="标题 2 Char"/>
    <w:link w:val="2"/>
    <w:qFormat/>
    <w:uiPriority w:val="0"/>
    <w:rPr>
      <w:rFonts w:ascii="黑体" w:hAnsi="宋体" w:eastAsia="Times New Roman"/>
      <w:b/>
      <w:bCs/>
      <w:snapToGrid w:val="0"/>
      <w:kern w:val="0"/>
      <w:szCs w:val="20"/>
    </w:rPr>
  </w:style>
  <w:style w:type="paragraph" w:customStyle="1" w:styleId="182">
    <w:name w:val="13"/>
    <w:basedOn w:val="1"/>
    <w:qFormat/>
    <w:uiPriority w:val="0"/>
    <w:pPr>
      <w:wordWrap w:val="0"/>
      <w:autoSpaceDE w:val="0"/>
      <w:autoSpaceDN w:val="0"/>
      <w:adjustRightInd w:val="0"/>
      <w:jc w:val="center"/>
    </w:pPr>
    <w:rPr>
      <w:rFonts w:ascii="Calibri" w:hAnsi="Calibri" w:eastAsia="宋体" w:cs="Times New Roman"/>
      <w:kern w:val="0"/>
      <w:szCs w:val="21"/>
    </w:rPr>
  </w:style>
  <w:style w:type="paragraph" w:customStyle="1" w:styleId="183">
    <w:name w:val="12"/>
    <w:basedOn w:val="1"/>
    <w:link w:val="186"/>
    <w:qFormat/>
    <w:uiPriority w:val="0"/>
    <w:pPr>
      <w:wordWrap w:val="0"/>
      <w:topLinePunct/>
      <w:adjustRightInd w:val="0"/>
      <w:snapToGrid w:val="0"/>
      <w:spacing w:line="360" w:lineRule="auto"/>
      <w:ind w:firstLine="200" w:firstLineChars="200"/>
      <w:jc w:val="left"/>
    </w:pPr>
    <w:rPr>
      <w:sz w:val="24"/>
    </w:rPr>
  </w:style>
  <w:style w:type="paragraph" w:customStyle="1" w:styleId="184">
    <w:name w:val="14"/>
    <w:basedOn w:val="1"/>
    <w:qFormat/>
    <w:uiPriority w:val="0"/>
    <w:pPr>
      <w:tabs>
        <w:tab w:val="right" w:pos="8306"/>
      </w:tabs>
      <w:spacing w:line="360" w:lineRule="auto"/>
      <w:jc w:val="center"/>
    </w:pPr>
    <w:rPr>
      <w:b/>
      <w:bCs/>
      <w:color w:val="000000"/>
      <w:szCs w:val="21"/>
    </w:rPr>
  </w:style>
  <w:style w:type="paragraph" w:customStyle="1" w:styleId="185">
    <w:name w:val="表格内容-龙池"/>
    <w:basedOn w:val="1"/>
    <w:qFormat/>
    <w:uiPriority w:val="0"/>
    <w:pPr>
      <w:autoSpaceDE w:val="0"/>
      <w:autoSpaceDN w:val="0"/>
      <w:adjustRightInd w:val="0"/>
      <w:contextualSpacing/>
      <w:jc w:val="center"/>
    </w:pPr>
    <w:rPr>
      <w:kern w:val="0"/>
      <w:szCs w:val="21"/>
    </w:rPr>
  </w:style>
  <w:style w:type="character" w:customStyle="1" w:styleId="186">
    <w:name w:val="12 Char"/>
    <w:basedOn w:val="41"/>
    <w:link w:val="183"/>
    <w:qFormat/>
    <w:uiPriority w:val="0"/>
    <w:rPr>
      <w:sz w:val="24"/>
    </w:rPr>
  </w:style>
  <w:style w:type="paragraph" w:customStyle="1" w:styleId="187">
    <w:name w:val="正文-龙池"/>
    <w:basedOn w:val="1"/>
    <w:qFormat/>
    <w:uiPriority w:val="0"/>
    <w:pPr>
      <w:autoSpaceDE w:val="0"/>
      <w:autoSpaceDN w:val="0"/>
      <w:adjustRightInd w:val="0"/>
      <w:spacing w:line="360" w:lineRule="auto"/>
      <w:ind w:firstLine="480" w:firstLineChars="200"/>
      <w:contextualSpacing/>
    </w:pPr>
    <w:rPr>
      <w:kern w:val="0"/>
      <w:sz w:val="24"/>
    </w:rPr>
  </w:style>
  <w:style w:type="paragraph" w:customStyle="1" w:styleId="188">
    <w:name w:val="标题-龙池"/>
    <w:basedOn w:val="1"/>
    <w:qFormat/>
    <w:uiPriority w:val="0"/>
    <w:pPr>
      <w:tabs>
        <w:tab w:val="left" w:pos="841"/>
      </w:tabs>
      <w:kinsoku w:val="0"/>
      <w:overflowPunct w:val="0"/>
      <w:autoSpaceDE w:val="0"/>
      <w:autoSpaceDN w:val="0"/>
      <w:adjustRightInd w:val="0"/>
      <w:spacing w:line="360" w:lineRule="auto"/>
      <w:contextualSpacing/>
      <w:jc w:val="center"/>
    </w:pPr>
    <w:rPr>
      <w:b/>
      <w:kern w:val="0"/>
      <w:szCs w:val="21"/>
    </w:rPr>
  </w:style>
  <w:style w:type="paragraph" w:customStyle="1" w:styleId="189">
    <w:name w:val="Body Text Indent"/>
    <w:basedOn w:val="1"/>
    <w:qFormat/>
    <w:uiPriority w:val="0"/>
    <w:pPr>
      <w:spacing w:line="360" w:lineRule="auto"/>
      <w:ind w:firstLine="480"/>
    </w:pPr>
    <w:rPr>
      <w:rFonts w:ascii="宋体"/>
      <w:sz w:val="24"/>
    </w:rPr>
  </w:style>
  <w:style w:type="paragraph" w:customStyle="1" w:styleId="190">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character" w:customStyle="1" w:styleId="191">
    <w:name w:val="font01"/>
    <w:basedOn w:val="41"/>
    <w:qFormat/>
    <w:uiPriority w:val="0"/>
    <w:rPr>
      <w:rFonts w:hint="eastAsia" w:ascii="宋体" w:hAnsi="宋体" w:eastAsia="宋体" w:cs="宋体"/>
      <w:color w:val="000000"/>
      <w:sz w:val="24"/>
      <w:szCs w:val="24"/>
      <w:u w:val="none"/>
      <w:vertAlign w:val="superscript"/>
    </w:rPr>
  </w:style>
  <w:style w:type="paragraph" w:customStyle="1" w:styleId="192">
    <w:name w:val="表格题目"/>
    <w:basedOn w:val="8"/>
    <w:next w:val="193"/>
    <w:qFormat/>
    <w:uiPriority w:val="0"/>
    <w:pPr>
      <w:keepNext/>
    </w:pPr>
    <w:rPr>
      <w:rFonts w:ascii="黑体" w:hAnsi="黑体" w:eastAsia="黑体"/>
      <w:szCs w:val="24"/>
    </w:rPr>
  </w:style>
  <w:style w:type="paragraph" w:customStyle="1" w:styleId="193">
    <w:name w:val="表名、图名"/>
    <w:basedOn w:val="1"/>
    <w:next w:val="1"/>
    <w:qFormat/>
    <w:uiPriority w:val="0"/>
    <w:pPr>
      <w:ind w:firstLine="0" w:firstLineChars="0"/>
      <w:jc w:val="center"/>
    </w:pPr>
    <w:rPr>
      <w:rFonts w:eastAsia="黑体"/>
    </w:rPr>
  </w:style>
  <w:style w:type="character" w:customStyle="1" w:styleId="194">
    <w:name w:val="font51"/>
    <w:basedOn w:val="41"/>
    <w:qFormat/>
    <w:uiPriority w:val="0"/>
    <w:rPr>
      <w:rFonts w:hint="default" w:ascii="Times New Roman" w:hAnsi="Times New Roman" w:cs="Times New Roman"/>
      <w:color w:val="000000"/>
      <w:sz w:val="21"/>
      <w:szCs w:val="21"/>
      <w:u w:val="none"/>
      <w:vertAlign w:val="superscript"/>
    </w:rPr>
  </w:style>
  <w:style w:type="character" w:customStyle="1" w:styleId="195">
    <w:name w:val="font71"/>
    <w:qFormat/>
    <w:uiPriority w:val="0"/>
    <w:rPr>
      <w:rFonts w:hint="eastAsia" w:ascii="宋体" w:hAnsi="宋体" w:eastAsia="宋体" w:cs="宋体"/>
      <w:b/>
      <w:color w:val="000000"/>
      <w:sz w:val="21"/>
      <w:szCs w:val="21"/>
      <w:u w:val="none"/>
    </w:rPr>
  </w:style>
  <w:style w:type="character" w:customStyle="1" w:styleId="196">
    <w:name w:val="font41"/>
    <w:qFormat/>
    <w:uiPriority w:val="0"/>
    <w:rPr>
      <w:rFonts w:hint="eastAsia" w:ascii="宋体" w:hAnsi="宋体" w:eastAsia="宋体" w:cs="宋体"/>
      <w:color w:val="000000"/>
      <w:sz w:val="21"/>
      <w:szCs w:val="21"/>
      <w:u w:val="none"/>
    </w:rPr>
  </w:style>
  <w:style w:type="character" w:customStyle="1" w:styleId="197">
    <w:name w:val="font81"/>
    <w:basedOn w:val="41"/>
    <w:qFormat/>
    <w:uiPriority w:val="0"/>
    <w:rPr>
      <w:rFonts w:hint="eastAsia" w:ascii="宋体" w:hAnsi="宋体" w:eastAsia="宋体" w:cs="宋体"/>
      <w:color w:val="000000"/>
      <w:sz w:val="24"/>
      <w:szCs w:val="24"/>
      <w:u w:val="none"/>
    </w:rPr>
  </w:style>
  <w:style w:type="character" w:customStyle="1" w:styleId="198">
    <w:name w:val="font101"/>
    <w:basedOn w:val="41"/>
    <w:qFormat/>
    <w:uiPriority w:val="0"/>
    <w:rPr>
      <w:rFonts w:hint="default" w:ascii="Times New Roman" w:hAnsi="Times New Roman" w:cs="Times New Roman"/>
      <w:color w:val="000000"/>
      <w:sz w:val="21"/>
      <w:szCs w:val="21"/>
      <w:u w:val="none"/>
      <w:vertAlign w:val="superscript"/>
    </w:rPr>
  </w:style>
  <w:style w:type="paragraph" w:customStyle="1" w:styleId="199">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bidi="ar-SA"/>
    </w:rPr>
  </w:style>
  <w:style w:type="table" w:customStyle="1" w:styleId="200">
    <w:name w:val="Table Grid_0"/>
    <w:basedOn w:val="39"/>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1">
    <w:name w:val="正文(首行缩进)宋旭峰"/>
    <w:basedOn w:val="7"/>
    <w:qFormat/>
    <w:uiPriority w:val="0"/>
    <w:pPr>
      <w:spacing w:line="360" w:lineRule="auto"/>
      <w:ind w:firstLine="480" w:firstLineChars="200"/>
    </w:pPr>
    <w:rPr>
      <w:snapToGrid w:val="0"/>
      <w:color w:val="0000FF"/>
      <w:kern w:val="0"/>
      <w:sz w:val="24"/>
      <w:szCs w:val="24"/>
    </w:rPr>
  </w:style>
  <w:style w:type="paragraph" w:customStyle="1" w:styleId="202">
    <w:name w:val="content"/>
    <w:basedOn w:val="1"/>
    <w:qFormat/>
    <w:uiPriority w:val="0"/>
    <w:pPr>
      <w:widowControl/>
      <w:spacing w:before="100" w:beforeAutospacing="1" w:after="100" w:afterAutospacing="1" w:line="360" w:lineRule="auto"/>
    </w:pPr>
    <w:rPr>
      <w:rFonts w:ascii="宋体" w:hAnsi="宋体"/>
      <w:kern w:val="0"/>
      <w:sz w:val="18"/>
      <w:szCs w:val="18"/>
    </w:rPr>
  </w:style>
  <w:style w:type="paragraph" w:customStyle="1" w:styleId="203">
    <w:name w:val="a正文"/>
    <w:basedOn w:val="1"/>
    <w:qFormat/>
    <w:uiPriority w:val="0"/>
    <w:pPr>
      <w:spacing w:line="360" w:lineRule="auto"/>
      <w:ind w:firstLine="200" w:firstLineChars="200"/>
    </w:pPr>
    <w:rPr>
      <w:rFonts w:ascii="Times New Roman" w:hAnsi="Times New Roman"/>
      <w:sz w:val="24"/>
      <w:szCs w:val="28"/>
    </w:rPr>
  </w:style>
  <w:style w:type="character" w:customStyle="1" w:styleId="204">
    <w:name w:val="nr1"/>
    <w:qFormat/>
    <w:uiPriority w:val="0"/>
    <w:rPr>
      <w:rFonts w:hint="default" w:ascii="ˎ̥" w:hAnsi="ˎ̥"/>
      <w:color w:val="000000"/>
      <w:sz w:val="21"/>
      <w:szCs w:val="21"/>
      <w:u w:val="none"/>
    </w:rPr>
  </w:style>
  <w:style w:type="paragraph" w:customStyle="1" w:styleId="205">
    <w:name w:val="1表内字"/>
    <w:next w:val="1"/>
    <w:qFormat/>
    <w:uiPriority w:val="0"/>
    <w:pPr>
      <w:shd w:val="clear" w:color="auto" w:fill="FFFFFF"/>
      <w:jc w:val="center"/>
    </w:pPr>
    <w:rPr>
      <w:rFonts w:ascii="Times New Roman" w:hAnsi="Times New Roman" w:eastAsia="宋体" w:cs="Times New Roman"/>
      <w:bCs/>
      <w:color w:val="000000"/>
      <w:kern w:val="2"/>
      <w:sz w:val="21"/>
      <w:szCs w:val="21"/>
      <w:lang w:val="en-US" w:eastAsia="zh-CN" w:bidi="ar-SA"/>
    </w:rPr>
  </w:style>
  <w:style w:type="paragraph" w:customStyle="1" w:styleId="206">
    <w:name w:val="TOC Heading"/>
    <w:basedOn w:val="3"/>
    <w:next w:val="1"/>
    <w:semiHidden/>
    <w:unhideWhenUsed/>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rPr>
  </w:style>
  <w:style w:type="paragraph" w:customStyle="1" w:styleId="207">
    <w:name w:val="真·正文"/>
    <w:basedOn w:val="1"/>
    <w:next w:val="1"/>
    <w:qFormat/>
    <w:uiPriority w:val="0"/>
    <w:pPr>
      <w:ind w:firstLine="200"/>
    </w:pPr>
    <w:rPr>
      <w:rFonts w:ascii="Calibri"/>
      <w:sz w:val="24"/>
    </w:rPr>
  </w:style>
  <w:style w:type="paragraph" w:customStyle="1" w:styleId="208">
    <w:name w:val="正文A"/>
    <w:basedOn w:val="1"/>
    <w:qFormat/>
    <w:uiPriority w:val="0"/>
    <w:pPr>
      <w:spacing w:line="500" w:lineRule="exact"/>
      <w:ind w:firstLine="480" w:firstLineChars="200"/>
    </w:pPr>
    <w:rPr>
      <w:rFonts w:eastAsia="华文仿宋" w:cs="华文仿宋"/>
      <w:kern w:val="0"/>
      <w:sz w:val="24"/>
    </w:rPr>
  </w:style>
  <w:style w:type="paragraph" w:customStyle="1" w:styleId="209">
    <w:name w:val="表格正文(康健城)"/>
    <w:basedOn w:val="1"/>
    <w:qFormat/>
    <w:uiPriority w:val="0"/>
    <w:pPr>
      <w:adjustRightInd w:val="0"/>
      <w:snapToGrid w:val="0"/>
      <w:jc w:val="center"/>
    </w:pPr>
    <w:rPr>
      <w:szCs w:val="21"/>
    </w:rPr>
  </w:style>
  <w:style w:type="paragraph" w:customStyle="1" w:styleId="210">
    <w:name w:val="图件标题"/>
    <w:basedOn w:val="1"/>
    <w:qFormat/>
    <w:uiPriority w:val="0"/>
    <w:pPr>
      <w:ind w:firstLine="0" w:firstLineChars="0"/>
      <w:jc w:val="center"/>
    </w:pPr>
    <w:rPr>
      <w:rFonts w:ascii="Times New Roman" w:hAnsi="Times New Roman" w:eastAsia="宋体"/>
      <w:b/>
    </w:rPr>
  </w:style>
  <w:style w:type="character" w:customStyle="1" w:styleId="211">
    <w:name w:val="Default 字符"/>
    <w:link w:val="51"/>
    <w:qFormat/>
    <w:uiPriority w:val="0"/>
    <w:rPr>
      <w:rFonts w:ascii="宋体" w:hAnsi="Times New Roman" w:eastAsia="宋体" w:cs="宋体"/>
      <w:color w:val="000000"/>
      <w:sz w:val="24"/>
      <w:szCs w:val="24"/>
      <w:lang w:val="en-US" w:eastAsia="zh-CN" w:bidi="ar-SA"/>
    </w:rPr>
  </w:style>
  <w:style w:type="paragraph" w:customStyle="1" w:styleId="212">
    <w:name w:val="图表标题"/>
    <w:basedOn w:val="1"/>
    <w:qFormat/>
    <w:uiPriority w:val="0"/>
    <w:pPr>
      <w:jc w:val="center"/>
    </w:pPr>
    <w:rPr>
      <w:b/>
      <w:color w:val="000000"/>
      <w:szCs w:val="21"/>
    </w:rPr>
  </w:style>
  <w:style w:type="paragraph" w:customStyle="1" w:styleId="213">
    <w:name w:val="W正文"/>
    <w:basedOn w:val="1"/>
    <w:qFormat/>
    <w:uiPriority w:val="0"/>
    <w:pPr>
      <w:adjustRightInd w:val="0"/>
      <w:snapToGrid w:val="0"/>
      <w:spacing w:line="360" w:lineRule="auto"/>
      <w:ind w:firstLine="200" w:firstLineChars="200"/>
    </w:pPr>
    <w:rPr>
      <w:kern w:val="0"/>
      <w:sz w:val="24"/>
      <w:szCs w:val="20"/>
    </w:rPr>
  </w:style>
  <w:style w:type="paragraph" w:customStyle="1" w:styleId="214">
    <w:name w:val="标题3"/>
    <w:basedOn w:val="4"/>
    <w:qFormat/>
    <w:uiPriority w:val="0"/>
    <w:pPr>
      <w:keepLines w:val="0"/>
      <w:widowControl/>
      <w:ind w:firstLine="200" w:firstLineChars="200"/>
      <w:jc w:val="center"/>
    </w:pPr>
    <w:rPr>
      <w:bCs w:val="0"/>
      <w:color w:val="000000"/>
      <w:szCs w:val="28"/>
    </w:rPr>
  </w:style>
  <w:style w:type="paragraph" w:customStyle="1" w:styleId="215">
    <w:name w:val="！表格中"/>
    <w:basedOn w:val="1"/>
    <w:next w:val="1"/>
    <w:qFormat/>
    <w:uiPriority w:val="0"/>
    <w:pPr>
      <w:spacing w:line="240" w:lineRule="auto"/>
      <w:ind w:firstLine="0" w:firstLineChars="0"/>
      <w:jc w:val="center"/>
    </w:pPr>
    <w:rPr>
      <w:sz w:val="18"/>
    </w:rPr>
  </w:style>
  <w:style w:type="character" w:customStyle="1" w:styleId="216">
    <w:name w:val="font91"/>
    <w:qFormat/>
    <w:uiPriority w:val="0"/>
    <w:rPr>
      <w:rFonts w:hint="eastAsia" w:ascii="宋体" w:hAnsi="宋体" w:eastAsia="宋体" w:cs="宋体"/>
      <w:b/>
      <w:color w:val="000000"/>
      <w:sz w:val="21"/>
      <w:szCs w:val="21"/>
      <w:u w:val="none"/>
    </w:rPr>
  </w:style>
  <w:style w:type="character" w:customStyle="1" w:styleId="217">
    <w:name w:val="font12"/>
    <w:qFormat/>
    <w:uiPriority w:val="0"/>
    <w:rPr>
      <w:rFonts w:hint="default" w:ascii="Times New Roman" w:hAnsi="Times New Roman" w:cs="Times New Roman"/>
      <w:b/>
      <w:color w:val="000000"/>
      <w:sz w:val="21"/>
      <w:szCs w:val="21"/>
      <w:u w:val="none"/>
    </w:rPr>
  </w:style>
  <w:style w:type="character" w:customStyle="1" w:styleId="218">
    <w:name w:val="font111"/>
    <w:qFormat/>
    <w:uiPriority w:val="0"/>
    <w:rPr>
      <w:rFonts w:hint="default" w:ascii="Times New Roman" w:hAnsi="Times New Roman" w:cs="Times New Roman"/>
      <w:color w:val="000000"/>
      <w:sz w:val="21"/>
      <w:szCs w:val="21"/>
      <w:u w:val="none"/>
    </w:rPr>
  </w:style>
  <w:style w:type="paragraph" w:customStyle="1" w:styleId="219">
    <w:name w:val="样式 正文"/>
    <w:basedOn w:val="1"/>
    <w:next w:val="1"/>
    <w:qFormat/>
    <w:uiPriority w:val="0"/>
    <w:pPr>
      <w:spacing w:line="360" w:lineRule="auto"/>
      <w:ind w:firstLine="200" w:firstLineChars="200"/>
    </w:pPr>
    <w:rPr>
      <w:rFonts w:eastAsia="宋体"/>
      <w:kern w:val="2"/>
      <w:sz w:val="24"/>
      <w:szCs w:val="32"/>
      <w:lang w:val="en-US" w:eastAsia="zh-CN" w:bidi="ar-SA"/>
    </w:rPr>
  </w:style>
  <w:style w:type="paragraph" w:customStyle="1" w:styleId="220">
    <w:name w:val="正文样式-yu"/>
    <w:basedOn w:val="1"/>
    <w:qFormat/>
    <w:uiPriority w:val="0"/>
    <w:pPr>
      <w:spacing w:line="360" w:lineRule="auto"/>
    </w:pPr>
    <w:rPr>
      <w:rFonts w:ascii="宋体" w:hAnsi="宋体"/>
      <w:kern w:val="0"/>
      <w:sz w:val="28"/>
      <w:szCs w:val="20"/>
      <w:lang w:val="zh-CN"/>
    </w:rPr>
  </w:style>
  <w:style w:type="paragraph" w:customStyle="1" w:styleId="221">
    <w:name w:val="缩进"/>
    <w:basedOn w:val="1"/>
    <w:qFormat/>
    <w:uiPriority w:val="99"/>
    <w:pPr>
      <w:widowControl/>
      <w:autoSpaceDE w:val="0"/>
      <w:autoSpaceDN w:val="0"/>
      <w:adjustRightInd w:val="0"/>
      <w:spacing w:line="400" w:lineRule="atLeast"/>
      <w:ind w:firstLine="425"/>
      <w:jc w:val="left"/>
    </w:pPr>
    <w:rPr>
      <w:kern w:val="0"/>
      <w:sz w:val="24"/>
      <w:szCs w:val="20"/>
    </w:rPr>
  </w:style>
  <w:style w:type="paragraph" w:customStyle="1" w:styleId="222">
    <w:name w:val="xz标题4"/>
    <w:basedOn w:val="5"/>
    <w:qFormat/>
    <w:uiPriority w:val="0"/>
    <w:pPr>
      <w:numPr>
        <w:ilvl w:val="0"/>
        <w:numId w:val="0"/>
      </w:numPr>
      <w:tabs>
        <w:tab w:val="left" w:pos="360"/>
      </w:tabs>
      <w:adjustRightInd/>
      <w:spacing w:before="0" w:after="0" w:line="360" w:lineRule="auto"/>
      <w:textAlignment w:val="auto"/>
    </w:pPr>
    <w:rPr>
      <w:rFonts w:eastAsia="宋体"/>
      <w:bCs/>
      <w:kern w:val="2"/>
      <w:sz w:val="28"/>
      <w:szCs w:val="28"/>
    </w:rPr>
  </w:style>
  <w:style w:type="paragraph" w:customStyle="1" w:styleId="223">
    <w:name w:val="样式5"/>
    <w:basedOn w:val="1"/>
    <w:link w:val="268"/>
    <w:qFormat/>
    <w:uiPriority w:val="0"/>
    <w:pPr>
      <w:spacing w:line="360" w:lineRule="auto"/>
      <w:ind w:firstLine="1446" w:firstLineChars="200"/>
      <w:jc w:val="both"/>
    </w:pPr>
    <w:rPr>
      <w:sz w:val="24"/>
    </w:rPr>
  </w:style>
  <w:style w:type="character" w:customStyle="1" w:styleId="224">
    <w:name w:val="p Char"/>
    <w:link w:val="148"/>
    <w:qFormat/>
    <w:uiPriority w:val="0"/>
    <w:rPr>
      <w:kern w:val="0"/>
      <w:sz w:val="20"/>
      <w:szCs w:val="20"/>
    </w:rPr>
  </w:style>
  <w:style w:type="paragraph" w:customStyle="1" w:styleId="225">
    <w:name w:val="大表格正文"/>
    <w:basedOn w:val="1"/>
    <w:qFormat/>
    <w:uiPriority w:val="0"/>
    <w:pPr>
      <w:spacing w:line="240" w:lineRule="auto"/>
      <w:ind w:firstLine="0" w:firstLineChars="0"/>
      <w:jc w:val="center"/>
    </w:pPr>
  </w:style>
  <w:style w:type="paragraph" w:customStyle="1" w:styleId="226">
    <w:name w:val="标准正文"/>
    <w:basedOn w:val="1"/>
    <w:qFormat/>
    <w:uiPriority w:val="0"/>
    <w:pPr>
      <w:spacing w:line="360" w:lineRule="auto"/>
      <w:ind w:firstLine="200" w:firstLineChars="200"/>
      <w:jc w:val="both"/>
    </w:pPr>
    <w:rPr>
      <w:sz w:val="24"/>
      <w:szCs w:val="22"/>
    </w:rPr>
  </w:style>
  <w:style w:type="paragraph" w:customStyle="1" w:styleId="227">
    <w:name w:val="样式 正文缩进 + 宋体 行距: 固定值 22 磅"/>
    <w:basedOn w:val="7"/>
    <w:qFormat/>
    <w:uiPriority w:val="0"/>
    <w:pPr>
      <w:ind w:firstLine="0" w:firstLineChars="0"/>
    </w:pPr>
    <w:rPr>
      <w:rFonts w:ascii="Arial Unicode MS" w:hAnsi="Arial Unicode MS" w:cs="宋体"/>
      <w:szCs w:val="20"/>
    </w:rPr>
  </w:style>
  <w:style w:type="paragraph" w:customStyle="1" w:styleId="228">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229">
    <w:name w:val="正文-环评"/>
    <w:basedOn w:val="7"/>
    <w:qFormat/>
    <w:uiPriority w:val="0"/>
    <w:pPr>
      <w:spacing w:line="480" w:lineRule="exact"/>
      <w:ind w:firstLineChars="0"/>
    </w:pPr>
    <w:rPr>
      <w:rFonts w:eastAsia="仿宋"/>
      <w:bCs/>
      <w:sz w:val="28"/>
      <w:szCs w:val="28"/>
    </w:rPr>
  </w:style>
  <w:style w:type="paragraph" w:customStyle="1" w:styleId="230">
    <w:name w:val="环评正文"/>
    <w:basedOn w:val="1"/>
    <w:qFormat/>
    <w:uiPriority w:val="0"/>
    <w:pPr>
      <w:spacing w:line="500" w:lineRule="exact"/>
      <w:ind w:firstLine="200" w:firstLineChars="200"/>
      <w:jc w:val="left"/>
    </w:pPr>
    <w:rPr>
      <w:kern w:val="0"/>
      <w:sz w:val="24"/>
      <w:szCs w:val="20"/>
    </w:rPr>
  </w:style>
  <w:style w:type="paragraph" w:customStyle="1" w:styleId="231">
    <w:name w:val="_正文格式"/>
    <w:basedOn w:val="1"/>
    <w:qFormat/>
    <w:uiPriority w:val="0"/>
    <w:pPr>
      <w:spacing w:line="500" w:lineRule="exact"/>
      <w:ind w:firstLine="567"/>
      <w:jc w:val="left"/>
    </w:pPr>
    <w:rPr>
      <w:sz w:val="24"/>
    </w:rPr>
  </w:style>
  <w:style w:type="paragraph" w:customStyle="1" w:styleId="232">
    <w:name w:val="表格内"/>
    <w:basedOn w:val="1"/>
    <w:qFormat/>
    <w:uiPriority w:val="0"/>
    <w:pPr>
      <w:spacing w:line="360" w:lineRule="exact"/>
      <w:jc w:val="center"/>
    </w:pPr>
    <w:rPr>
      <w:rFonts w:ascii="Times New Roman" w:hAnsi="Times New Roman" w:cs="Times New Roman"/>
      <w:snapToGrid w:val="0"/>
      <w:szCs w:val="21"/>
    </w:rPr>
  </w:style>
  <w:style w:type="paragraph" w:customStyle="1" w:styleId="233">
    <w:name w:val="报告书正文"/>
    <w:basedOn w:val="1"/>
    <w:qFormat/>
    <w:uiPriority w:val="0"/>
    <w:pPr>
      <w:spacing w:line="360" w:lineRule="auto"/>
      <w:ind w:firstLine="480" w:firstLineChars="200"/>
    </w:pPr>
    <w:rPr>
      <w:rFonts w:ascii="Calibri" w:hAnsi="Calibri"/>
      <w:sz w:val="24"/>
    </w:rPr>
  </w:style>
  <w:style w:type="paragraph" w:customStyle="1" w:styleId="234">
    <w:name w:val="小标题"/>
    <w:basedOn w:val="92"/>
    <w:qFormat/>
    <w:uiPriority w:val="0"/>
    <w:pPr>
      <w:numPr>
        <w:ilvl w:val="0"/>
        <w:numId w:val="3"/>
      </w:numPr>
      <w:ind w:left="0" w:firstLine="200"/>
    </w:pPr>
    <w:rPr>
      <w:rFonts w:cs="Times New Roman"/>
      <w:b/>
    </w:rPr>
  </w:style>
  <w:style w:type="paragraph" w:customStyle="1" w:styleId="235">
    <w:name w:val="文本"/>
    <w:basedOn w:val="1"/>
    <w:qFormat/>
    <w:uiPriority w:val="0"/>
    <w:pPr>
      <w:adjustRightInd w:val="0"/>
      <w:snapToGrid w:val="0"/>
      <w:spacing w:line="360" w:lineRule="auto"/>
      <w:ind w:firstLine="480" w:firstLineChars="200"/>
      <w:jc w:val="left"/>
    </w:pPr>
    <w:rPr>
      <w:sz w:val="24"/>
      <w:szCs w:val="24"/>
    </w:rPr>
  </w:style>
  <w:style w:type="paragraph" w:customStyle="1" w:styleId="236">
    <w:name w:val="正文(首行缩进)"/>
    <w:basedOn w:val="1"/>
    <w:next w:val="1"/>
    <w:qFormat/>
    <w:uiPriority w:val="0"/>
    <w:pPr>
      <w:adjustRightInd w:val="0"/>
      <w:spacing w:line="360" w:lineRule="auto"/>
      <w:ind w:firstLine="540" w:firstLineChars="225"/>
      <w:textAlignment w:val="baseline"/>
    </w:pPr>
    <w:rPr>
      <w:color w:val="000000"/>
      <w:sz w:val="24"/>
    </w:rPr>
  </w:style>
  <w:style w:type="paragraph" w:customStyle="1" w:styleId="237">
    <w:name w:val="我"/>
    <w:basedOn w:val="1"/>
    <w:qFormat/>
    <w:uiPriority w:val="0"/>
    <w:pPr>
      <w:spacing w:line="360" w:lineRule="auto"/>
      <w:ind w:firstLine="640" w:firstLineChars="200"/>
    </w:pPr>
    <w:rPr>
      <w:kern w:val="0"/>
      <w:sz w:val="24"/>
      <w:szCs w:val="20"/>
    </w:rPr>
  </w:style>
  <w:style w:type="paragraph" w:customStyle="1" w:styleId="238">
    <w:name w:val="！正文"/>
    <w:basedOn w:val="1"/>
    <w:qFormat/>
    <w:uiPriority w:val="0"/>
    <w:pPr>
      <w:spacing w:line="460" w:lineRule="exact"/>
      <w:ind w:firstLine="200" w:firstLineChars="200"/>
    </w:pPr>
    <w:rPr>
      <w:spacing w:val="-2"/>
      <w:kern w:val="0"/>
      <w:sz w:val="24"/>
      <w:szCs w:val="20"/>
    </w:rPr>
  </w:style>
  <w:style w:type="paragraph" w:customStyle="1" w:styleId="239">
    <w:name w:val="rpt_表项"/>
    <w:basedOn w:val="1"/>
    <w:qFormat/>
    <w:uiPriority w:val="0"/>
    <w:pPr>
      <w:spacing w:before="60" w:after="60"/>
      <w:jc w:val="center"/>
    </w:pPr>
    <w:rPr>
      <w:rFonts w:cs="宋体"/>
      <w:sz w:val="22"/>
      <w:szCs w:val="20"/>
    </w:rPr>
  </w:style>
  <w:style w:type="paragraph" w:customStyle="1" w:styleId="240">
    <w:name w:val="表题注"/>
    <w:basedOn w:val="8"/>
    <w:qFormat/>
    <w:uiPriority w:val="0"/>
    <w:pPr>
      <w:jc w:val="center"/>
    </w:pPr>
    <w:rPr>
      <w:rFonts w:ascii="宋体" w:hAnsi="宋体" w:eastAsia="宋体" w:cs="宋体"/>
      <w:bCs/>
      <w:sz w:val="24"/>
    </w:rPr>
  </w:style>
  <w:style w:type="paragraph" w:customStyle="1" w:styleId="241">
    <w:name w:val="样式 样式 表格内文字 + 宋体 + Times New Roman"/>
    <w:basedOn w:val="1"/>
    <w:qFormat/>
    <w:uiPriority w:val="0"/>
    <w:pPr>
      <w:adjustRightInd w:val="0"/>
      <w:snapToGrid w:val="0"/>
      <w:spacing w:line="320" w:lineRule="exact"/>
      <w:jc w:val="center"/>
    </w:pPr>
    <w:rPr>
      <w:b/>
    </w:rPr>
  </w:style>
  <w:style w:type="paragraph" w:customStyle="1" w:styleId="242">
    <w:name w:val="表头标题格式"/>
    <w:basedOn w:val="1"/>
    <w:qFormat/>
    <w:uiPriority w:val="0"/>
    <w:pPr>
      <w:tabs>
        <w:tab w:val="left" w:pos="360"/>
        <w:tab w:val="left" w:pos="1620"/>
      </w:tabs>
      <w:ind w:firstLine="0" w:firstLineChars="0"/>
      <w:jc w:val="center"/>
    </w:pPr>
    <w:rPr>
      <w:rFonts w:ascii="黑体" w:hAnsi="黑体" w:eastAsia="黑体"/>
      <w:b/>
      <w:bCs/>
      <w:sz w:val="21"/>
      <w:szCs w:val="24"/>
    </w:rPr>
  </w:style>
  <w:style w:type="paragraph" w:customStyle="1" w:styleId="243">
    <w:name w:val="无间隔1"/>
    <w:next w:val="1"/>
    <w:qFormat/>
    <w:uiPriority w:val="1"/>
    <w:pPr>
      <w:widowControl w:val="0"/>
      <w:spacing w:line="240" w:lineRule="exact"/>
      <w:jc w:val="center"/>
    </w:pPr>
    <w:rPr>
      <w:rFonts w:ascii="Arial Unicode MS" w:hAnsi="Arial Unicode MS" w:eastAsia="宋体" w:cs="Times New Roman"/>
      <w:kern w:val="2"/>
      <w:sz w:val="21"/>
      <w:szCs w:val="24"/>
      <w:lang w:val="en-US" w:eastAsia="zh-CN" w:bidi="ar-SA"/>
    </w:rPr>
  </w:style>
  <w:style w:type="paragraph" w:customStyle="1" w:styleId="244">
    <w:name w:val="样式 正文 行距: 固定值 25 磅"/>
    <w:qFormat/>
    <w:uiPriority w:val="0"/>
    <w:pPr>
      <w:widowControl w:val="0"/>
      <w:adjustRightInd w:val="0"/>
      <w:spacing w:line="500" w:lineRule="exact"/>
      <w:ind w:firstLine="200" w:firstLineChars="200"/>
      <w:jc w:val="both"/>
    </w:pPr>
    <w:rPr>
      <w:rFonts w:ascii="Times New Roman" w:hAnsi="Times New Roman" w:eastAsia="宋体" w:cs="宋体"/>
      <w:kern w:val="2"/>
      <w:sz w:val="24"/>
      <w:szCs w:val="24"/>
      <w:lang w:val="en-US" w:eastAsia="zh-CN" w:bidi="ar-SA"/>
    </w:rPr>
  </w:style>
  <w:style w:type="paragraph" w:customStyle="1" w:styleId="245">
    <w:name w:val="三级"/>
    <w:basedOn w:val="1"/>
    <w:qFormat/>
    <w:uiPriority w:val="0"/>
    <w:pPr>
      <w:adjustRightInd w:val="0"/>
      <w:snapToGrid w:val="0"/>
      <w:spacing w:line="360" w:lineRule="auto"/>
      <w:jc w:val="left"/>
      <w:outlineLvl w:val="2"/>
    </w:pPr>
    <w:rPr>
      <w:b/>
      <w:kern w:val="0"/>
      <w:szCs w:val="24"/>
    </w:rPr>
  </w:style>
  <w:style w:type="paragraph" w:customStyle="1" w:styleId="246">
    <w:name w:val="王 表格文字"/>
    <w:basedOn w:val="1"/>
    <w:qFormat/>
    <w:uiPriority w:val="0"/>
    <w:pPr>
      <w:jc w:val="center"/>
    </w:pPr>
    <w:rPr>
      <w:rFonts w:eastAsia="仿宋_GB2312"/>
      <w:snapToGrid w:val="0"/>
    </w:rPr>
  </w:style>
  <w:style w:type="paragraph" w:customStyle="1" w:styleId="247">
    <w:name w:val="Char Char Char Char Char Char Char Char Char Char Char Char Char Char Char Char Char Char1 Char Char Char Char Char Char Char"/>
    <w:basedOn w:val="1"/>
    <w:qFormat/>
    <w:uiPriority w:val="0"/>
  </w:style>
  <w:style w:type="paragraph" w:customStyle="1" w:styleId="248">
    <w:name w:val="表格5号字"/>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249">
    <w:name w:val="表"/>
    <w:basedOn w:val="1"/>
    <w:qFormat/>
    <w:uiPriority w:val="0"/>
    <w:pPr>
      <w:widowControl/>
      <w:jc w:val="center"/>
    </w:pPr>
    <w:rPr>
      <w:bCs/>
      <w:kern w:val="0"/>
      <w:sz w:val="21"/>
      <w:szCs w:val="21"/>
    </w:rPr>
  </w:style>
  <w:style w:type="paragraph" w:customStyle="1" w:styleId="250">
    <w:name w:val="x正文"/>
    <w:basedOn w:val="1"/>
    <w:qFormat/>
    <w:uiPriority w:val="0"/>
    <w:pPr>
      <w:adjustRightInd/>
      <w:spacing w:line="360" w:lineRule="auto"/>
      <w:ind w:firstLine="480" w:firstLineChars="200"/>
      <w:jc w:val="both"/>
      <w:textAlignment w:val="auto"/>
    </w:pPr>
    <w:rPr>
      <w:kern w:val="2"/>
      <w:sz w:val="24"/>
      <w:szCs w:val="24"/>
    </w:rPr>
  </w:style>
  <w:style w:type="table" w:customStyle="1" w:styleId="251">
    <w:name w:val="Table Normal"/>
    <w:basedOn w:val="39"/>
    <w:unhideWhenUsed/>
    <w:qFormat/>
    <w:uiPriority w:val="0"/>
    <w:tblPr>
      <w:tblCellMar>
        <w:top w:w="0" w:type="dxa"/>
        <w:left w:w="0" w:type="dxa"/>
        <w:bottom w:w="0" w:type="dxa"/>
        <w:right w:w="0" w:type="dxa"/>
      </w:tblCellMar>
    </w:tblPr>
  </w:style>
  <w:style w:type="character" w:customStyle="1" w:styleId="252">
    <w:name w:val="10"/>
    <w:basedOn w:val="41"/>
    <w:qFormat/>
    <w:uiPriority w:val="0"/>
    <w:rPr>
      <w:rFonts w:hint="default" w:ascii="Calibri" w:hAnsi="Calibri" w:cs="Calibri"/>
    </w:rPr>
  </w:style>
  <w:style w:type="character" w:customStyle="1" w:styleId="253">
    <w:name w:val="15"/>
    <w:basedOn w:val="41"/>
    <w:qFormat/>
    <w:uiPriority w:val="0"/>
    <w:rPr>
      <w:rFonts w:hint="default" w:ascii="Calibri" w:hAnsi="Calibri" w:cs="Calibri"/>
    </w:rPr>
  </w:style>
  <w:style w:type="character" w:customStyle="1" w:styleId="254">
    <w:name w:val=" Char Char26"/>
    <w:link w:val="5"/>
    <w:qFormat/>
    <w:uiPriority w:val="0"/>
    <w:rPr>
      <w:b/>
      <w:szCs w:val="20"/>
    </w:rPr>
  </w:style>
  <w:style w:type="paragraph" w:customStyle="1" w:styleId="255">
    <w:name w:val="表名2"/>
    <w:basedOn w:val="7"/>
    <w:qFormat/>
    <w:uiPriority w:val="0"/>
    <w:pPr>
      <w:tabs>
        <w:tab w:val="left" w:pos="4144"/>
      </w:tabs>
      <w:autoSpaceDE/>
      <w:autoSpaceDN/>
      <w:snapToGrid w:val="0"/>
      <w:ind w:firstLine="0" w:firstLineChars="0"/>
      <w:jc w:val="center"/>
      <w:textAlignment w:val="auto"/>
    </w:pPr>
    <w:rPr>
      <w:rFonts w:eastAsia="黑体"/>
      <w:kern w:val="10"/>
      <w:sz w:val="21"/>
      <w:szCs w:val="24"/>
    </w:rPr>
  </w:style>
  <w:style w:type="paragraph" w:customStyle="1" w:styleId="256">
    <w:name w:val="小表文居中"/>
    <w:basedOn w:val="257"/>
    <w:qFormat/>
    <w:uiPriority w:val="0"/>
    <w:pPr>
      <w:jc w:val="center"/>
    </w:pPr>
  </w:style>
  <w:style w:type="paragraph" w:customStyle="1" w:styleId="257">
    <w:name w:val="小表文"/>
    <w:basedOn w:val="1"/>
    <w:qFormat/>
    <w:uiPriority w:val="0"/>
    <w:pPr>
      <w:spacing w:before="20" w:line="240" w:lineRule="auto"/>
      <w:ind w:firstLine="0"/>
    </w:pPr>
    <w:rPr>
      <w:sz w:val="18"/>
    </w:rPr>
  </w:style>
  <w:style w:type="paragraph" w:customStyle="1" w:styleId="258">
    <w:name w:val="表格文字（内）"/>
    <w:basedOn w:val="1"/>
    <w:qFormat/>
    <w:uiPriority w:val="0"/>
    <w:pPr>
      <w:adjustRightInd w:val="0"/>
      <w:snapToGrid w:val="0"/>
      <w:jc w:val="center"/>
    </w:pPr>
    <w:rPr>
      <w:snapToGrid w:val="0"/>
      <w:szCs w:val="21"/>
    </w:rPr>
  </w:style>
  <w:style w:type="paragraph" w:customStyle="1" w:styleId="259">
    <w:name w:val="文本111"/>
    <w:basedOn w:val="1"/>
    <w:qFormat/>
    <w:uiPriority w:val="0"/>
    <w:pPr>
      <w:wordWrap w:val="0"/>
      <w:adjustRightInd w:val="0"/>
      <w:snapToGrid w:val="0"/>
      <w:spacing w:line="360" w:lineRule="auto"/>
      <w:ind w:firstLine="480" w:firstLineChars="200"/>
      <w:jc w:val="left"/>
    </w:pPr>
    <w:rPr>
      <w:color w:val="000000"/>
      <w:sz w:val="24"/>
    </w:rPr>
  </w:style>
  <w:style w:type="paragraph" w:customStyle="1" w:styleId="260">
    <w:name w:val="图标标题"/>
    <w:basedOn w:val="1"/>
    <w:qFormat/>
    <w:uiPriority w:val="0"/>
    <w:pPr>
      <w:jc w:val="center"/>
    </w:pPr>
    <w:rPr>
      <w:b/>
      <w:szCs w:val="21"/>
    </w:rPr>
  </w:style>
  <w:style w:type="paragraph" w:customStyle="1" w:styleId="261">
    <w:name w:val="表头-s"/>
    <w:basedOn w:val="1"/>
    <w:qFormat/>
    <w:uiPriority w:val="0"/>
    <w:pPr>
      <w:spacing w:beforeLines="50"/>
      <w:jc w:val="center"/>
    </w:pPr>
    <w:rPr>
      <w:rFonts w:ascii="宋体" w:hAnsi="宋体"/>
      <w:b/>
      <w:sz w:val="24"/>
    </w:rPr>
  </w:style>
  <w:style w:type="paragraph" w:customStyle="1" w:styleId="262">
    <w:name w:val="6表格内容"/>
    <w:basedOn w:val="1"/>
    <w:next w:val="1"/>
    <w:qFormat/>
    <w:uiPriority w:val="0"/>
    <w:pPr>
      <w:jc w:val="center"/>
    </w:pPr>
    <w:rPr>
      <w:rFonts w:eastAsia="宋体"/>
      <w:szCs w:val="24"/>
    </w:rPr>
  </w:style>
  <w:style w:type="character" w:customStyle="1" w:styleId="263">
    <w:name w:val="表格内容 字符"/>
    <w:link w:val="73"/>
    <w:qFormat/>
    <w:uiPriority w:val="0"/>
    <w:rPr>
      <w:color w:val="000000"/>
    </w:rPr>
  </w:style>
  <w:style w:type="paragraph" w:customStyle="1" w:styleId="264">
    <w:name w:val="0报告正文"/>
    <w:basedOn w:val="1"/>
    <w:qFormat/>
    <w:uiPriority w:val="0"/>
    <w:pPr>
      <w:spacing w:line="360" w:lineRule="auto"/>
      <w:ind w:firstLine="200" w:firstLineChars="200"/>
    </w:pPr>
    <w:rPr>
      <w:rFonts w:ascii="Times New Roman" w:hAnsi="Times New Roman"/>
      <w:sz w:val="24"/>
      <w:szCs w:val="22"/>
    </w:rPr>
  </w:style>
  <w:style w:type="paragraph" w:customStyle="1" w:styleId="265">
    <w:name w:val="表2.3-1"/>
    <w:basedOn w:val="1"/>
    <w:qFormat/>
    <w:uiPriority w:val="0"/>
    <w:pPr>
      <w:numPr>
        <w:ilvl w:val="0"/>
        <w:numId w:val="4"/>
      </w:numPr>
      <w:adjustRightInd w:val="0"/>
      <w:snapToGrid w:val="0"/>
      <w:spacing w:line="320" w:lineRule="exact"/>
      <w:ind w:firstLine="420" w:firstLineChars="200"/>
      <w:jc w:val="center"/>
      <w:outlineLvl w:val="4"/>
    </w:pPr>
    <w:rPr>
      <w:rFonts w:ascii="Arial" w:hAnsi="Arial"/>
      <w:sz w:val="24"/>
      <w:szCs w:val="21"/>
    </w:rPr>
  </w:style>
  <w:style w:type="paragraph" w:customStyle="1" w:styleId="266">
    <w:name w:val="表名"/>
    <w:basedOn w:val="267"/>
    <w:next w:val="1"/>
    <w:qFormat/>
    <w:uiPriority w:val="0"/>
    <w:pPr>
      <w:numPr>
        <w:ilvl w:val="0"/>
        <w:numId w:val="0"/>
      </w:numPr>
      <w:tabs>
        <w:tab w:val="left" w:pos="0"/>
        <w:tab w:val="left" w:pos="420"/>
      </w:tabs>
      <w:spacing w:before="20" w:beforeLines="20"/>
      <w:ind w:firstLine="567"/>
      <w:jc w:val="left"/>
      <w:outlineLvl w:val="6"/>
    </w:pPr>
    <w:rPr>
      <w:rFonts w:ascii="Times New Roman" w:hAnsi="Times New Roman"/>
    </w:rPr>
  </w:style>
  <w:style w:type="paragraph" w:customStyle="1" w:styleId="267">
    <w:name w:val="图名"/>
    <w:basedOn w:val="1"/>
    <w:next w:val="1"/>
    <w:qFormat/>
    <w:uiPriority w:val="0"/>
    <w:pPr>
      <w:tabs>
        <w:tab w:val="left" w:pos="0"/>
      </w:tabs>
      <w:adjustRightInd w:val="0"/>
      <w:snapToGrid w:val="0"/>
      <w:spacing w:after="20" w:afterLines="20"/>
      <w:jc w:val="center"/>
      <w:outlineLvl w:val="7"/>
    </w:pPr>
    <w:rPr>
      <w:rFonts w:ascii="黑体" w:hAnsi="黑体"/>
      <w:b/>
      <w:sz w:val="24"/>
    </w:rPr>
  </w:style>
  <w:style w:type="character" w:customStyle="1" w:styleId="268">
    <w:name w:val="样式5 Char"/>
    <w:link w:val="223"/>
    <w:uiPriority w:val="0"/>
    <w:rPr>
      <w:sz w:val="24"/>
    </w:rPr>
  </w:style>
  <w:style w:type="paragraph" w:customStyle="1" w:styleId="269">
    <w:name w:val="表格内容1"/>
    <w:basedOn w:val="1"/>
    <w:qFormat/>
    <w:uiPriority w:val="0"/>
    <w:pPr>
      <w:jc w:val="center"/>
    </w:pPr>
    <w:rPr>
      <w:rFonts w:ascii="Times New Roman" w:hAnsi="Times New Roman" w:eastAsia="宋体"/>
      <w:color w:val="000000"/>
      <w:kern w:val="0"/>
      <w:szCs w:val="21"/>
    </w:rPr>
  </w:style>
  <w:style w:type="paragraph" w:customStyle="1" w:styleId="270">
    <w:name w:val="表格标题1"/>
    <w:basedOn w:val="1"/>
    <w:qFormat/>
    <w:uiPriority w:val="0"/>
    <w:pPr>
      <w:autoSpaceDE w:val="0"/>
      <w:autoSpaceDN w:val="0"/>
      <w:adjustRightInd w:val="0"/>
      <w:jc w:val="center"/>
    </w:pPr>
    <w:rPr>
      <w:rFonts w:cs="宋体"/>
      <w:b/>
      <w:color w:val="000000"/>
    </w:rPr>
  </w:style>
  <w:style w:type="paragraph" w:customStyle="1" w:styleId="271">
    <w:name w:val="样式6"/>
    <w:next w:val="223"/>
    <w:qFormat/>
    <w:uiPriority w:val="0"/>
    <w:pPr>
      <w:adjustRightInd w:val="0"/>
      <w:snapToGrid w:val="0"/>
      <w:spacing w:line="240" w:lineRule="auto"/>
      <w:ind w:left="0" w:leftChars="0" w:firstLine="0" w:firstLineChars="0"/>
      <w:jc w:val="center"/>
    </w:pPr>
    <w:rPr>
      <w:rFonts w:ascii="宋体" w:hAnsi="宋体" w:eastAsia="宋体" w:cs="Times New Roman"/>
      <w:kern w:val="0"/>
      <w:sz w:val="21"/>
      <w:szCs w:val="20"/>
    </w:rPr>
  </w:style>
  <w:style w:type="paragraph" w:customStyle="1" w:styleId="272">
    <w:name w:val="表格样式"/>
    <w:basedOn w:val="1"/>
    <w:qFormat/>
    <w:uiPriority w:val="0"/>
    <w:pPr>
      <w:adjustRightInd w:val="0"/>
      <w:snapToGrid w:val="0"/>
      <w:jc w:val="center"/>
      <w:textAlignment w:val="center"/>
    </w:pPr>
    <w:rPr>
      <w:sz w:val="28"/>
    </w:rPr>
  </w:style>
  <w:style w:type="paragraph" w:customStyle="1" w:styleId="273">
    <w:name w:val="正文文字1"/>
    <w:basedOn w:val="1"/>
    <w:qFormat/>
    <w:uiPriority w:val="0"/>
    <w:pPr>
      <w:adjustRightInd w:val="0"/>
      <w:snapToGrid w:val="0"/>
      <w:spacing w:line="360" w:lineRule="auto"/>
      <w:ind w:firstLine="472" w:firstLineChars="200"/>
      <w:jc w:val="left"/>
    </w:pPr>
    <w:rPr>
      <w:spacing w:val="-2"/>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2.wmf"/><Relationship Id="rId57" Type="http://schemas.openxmlformats.org/officeDocument/2006/relationships/oleObject" Target="embeddings/oleObject6.bin"/><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footer" Target="footer3.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pn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er" Target="footer1.xml"/><Relationship Id="rId29" Type="http://schemas.openxmlformats.org/officeDocument/2006/relationships/image" Target="media/image14.wmf"/><Relationship Id="rId28" Type="http://schemas.openxmlformats.org/officeDocument/2006/relationships/oleObject" Target="embeddings/oleObject5.bin"/><Relationship Id="rId27" Type="http://schemas.openxmlformats.org/officeDocument/2006/relationships/image" Target="media/image13.wmf"/><Relationship Id="rId26" Type="http://schemas.openxmlformats.org/officeDocument/2006/relationships/image" Target="media/image12.wmf"/><Relationship Id="rId25" Type="http://schemas.openxmlformats.org/officeDocument/2006/relationships/oleObject" Target="embeddings/oleObject4.bin"/><Relationship Id="rId24" Type="http://schemas.openxmlformats.org/officeDocument/2006/relationships/image" Target="media/image11.wmf"/><Relationship Id="rId23" Type="http://schemas.openxmlformats.org/officeDocument/2006/relationships/oleObject" Target="embeddings/oleObject3.bin"/><Relationship Id="rId22" Type="http://schemas.openxmlformats.org/officeDocument/2006/relationships/image" Target="media/image10.wmf"/><Relationship Id="rId21" Type="http://schemas.openxmlformats.org/officeDocument/2006/relationships/oleObject" Target="embeddings/oleObject2.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emf"/><Relationship Id="rId14" Type="http://schemas.openxmlformats.org/officeDocument/2006/relationships/oleObject" Target="embeddings/oleObject1.bin"/><Relationship Id="rId13" Type="http://schemas.openxmlformats.org/officeDocument/2006/relationships/image" Target="media/image3.emf"/><Relationship Id="rId12" Type="http://schemas.openxmlformats.org/officeDocument/2006/relationships/image" Target="media/image2.emf"/><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168</Pages>
  <Words>21262</Words>
  <Characters>121195</Characters>
  <Lines>1009</Lines>
  <Paragraphs>284</Paragraphs>
  <TotalTime>1</TotalTime>
  <ScaleCrop>false</ScaleCrop>
  <LinksUpToDate>false</LinksUpToDate>
  <CharactersWithSpaces>142173</CharactersWithSpaces>
  <Application>WPS Office_11.8.2.10393_F1E327BC-269C-435d-A152-05C5408002CA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2010-12-31T19:18:00Z</dcterms:created>
  <dc:creator>黑桃A</dc:creator>
  <cp:lastModifiedBy>Administrator</cp:lastModifiedBy>
  <dcterms:modified xsi:type="dcterms:W3CDTF">2022-11-21T01:46:23Z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2052-11.8.2.10393</vt:lpwstr>
  </property>
  <property fmtid="{D5CDD505-2E9C-101B-9397-08002B2CF9AE}" pid="3" name="ICV">
    <vt:lpwstr>B576C2D9AB664531991FDE20E0830230</vt:lpwstr>
  </property>
</Properties>
</file>