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黑体"/>
          <w:b/>
          <w:sz w:val="36"/>
          <w:szCs w:val="36"/>
          <w:lang w:eastAsia="zh-CN"/>
        </w:rPr>
      </w:pPr>
      <w:r>
        <w:rPr>
          <w:rFonts w:eastAsia="黑体"/>
          <w:b/>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eastAsia="黑体"/>
          <w:b/>
          <w:sz w:val="36"/>
          <w:szCs w:val="36"/>
          <w:lang w:eastAsia="zh-CN"/>
        </w:rPr>
        <w:instrText xml:space="preserve">ADDIN CNKISM.UserStyle</w:instrText>
      </w:r>
      <w:r>
        <w:rPr>
          <w:rFonts w:eastAsia="黑体"/>
          <w:b/>
          <w:sz w:val="36"/>
          <w:szCs w:val="36"/>
        </w:rPr>
        <w:fldChar w:fldCharType="separate"/>
      </w:r>
      <w:r>
        <w:rPr>
          <w:rFonts w:eastAsia="黑体"/>
          <w:b/>
          <w:sz w:val="36"/>
          <w:szCs w:val="36"/>
        </w:rPr>
        <w:fldChar w:fldCharType="end"/>
      </w:r>
    </w:p>
    <w:p>
      <w:pPr>
        <w:jc w:val="center"/>
        <w:rPr>
          <w:rFonts w:eastAsia="黑体"/>
          <w:b/>
          <w:sz w:val="36"/>
          <w:szCs w:val="36"/>
        </w:rPr>
      </w:pPr>
    </w:p>
    <w:p>
      <w:pPr>
        <w:jc w:val="center"/>
        <w:rPr>
          <w:rFonts w:eastAsia="黑体"/>
          <w:b/>
          <w:sz w:val="36"/>
          <w:szCs w:val="36"/>
        </w:rPr>
      </w:pPr>
    </w:p>
    <w:p>
      <w:pPr>
        <w:jc w:val="center"/>
        <w:rPr>
          <w:rFonts w:eastAsia="黑体"/>
          <w:b/>
          <w:sz w:val="36"/>
          <w:szCs w:val="36"/>
        </w:rPr>
      </w:pPr>
    </w:p>
    <w:p>
      <w:pPr>
        <w:jc w:val="center"/>
        <w:rPr>
          <w:rFonts w:ascii="Times New Roman" w:hAnsi="Times New Roman" w:eastAsia="黑体"/>
          <w:b/>
          <w:sz w:val="36"/>
          <w:szCs w:val="36"/>
        </w:rPr>
      </w:pPr>
      <w:r>
        <w:rPr>
          <w:rFonts w:ascii="Times New Roman" w:hAnsi="Times New Roman" w:eastAsia="黑体"/>
          <w:b/>
          <w:sz w:val="36"/>
          <w:szCs w:val="36"/>
        </w:rPr>
        <w:t>乐山市市中区“十四五”畜禽养殖污染防治规划 (2021-2025年)</w:t>
      </w:r>
    </w:p>
    <w:p>
      <w:pPr>
        <w:spacing w:line="700" w:lineRule="exact"/>
        <w:jc w:val="center"/>
        <w:rPr>
          <w:rFonts w:ascii="Times New Roman" w:hAnsi="Times New Roman" w:eastAsia="楷体_GB2312"/>
          <w:sz w:val="32"/>
          <w:szCs w:val="32"/>
        </w:rPr>
      </w:pPr>
    </w:p>
    <w:p>
      <w:pPr>
        <w:spacing w:line="700" w:lineRule="exact"/>
        <w:jc w:val="center"/>
        <w:rPr>
          <w:rFonts w:ascii="Times New Roman" w:hAnsi="Times New Roman" w:eastAsia="楷体_GB2312"/>
          <w:sz w:val="32"/>
          <w:szCs w:val="32"/>
        </w:rPr>
      </w:pPr>
    </w:p>
    <w:p>
      <w:pPr>
        <w:pStyle w:val="8"/>
        <w:rPr>
          <w:rFonts w:ascii="Times New Roman" w:hAnsi="Times New Roman" w:eastAsia="楷体_GB2312"/>
          <w:sz w:val="32"/>
          <w:szCs w:val="32"/>
        </w:rPr>
      </w:pPr>
    </w:p>
    <w:p>
      <w:pPr>
        <w:rPr>
          <w:rFonts w:ascii="Times New Roman" w:hAnsi="Times New Roman" w:eastAsia="楷体_GB2312"/>
          <w:sz w:val="32"/>
          <w:szCs w:val="32"/>
        </w:rPr>
      </w:pPr>
    </w:p>
    <w:p>
      <w:pPr>
        <w:pStyle w:val="8"/>
        <w:rPr>
          <w:rFonts w:ascii="Times New Roman" w:hAnsi="Times New Roman" w:eastAsia="楷体_GB2312"/>
          <w:sz w:val="32"/>
          <w:szCs w:val="32"/>
        </w:rPr>
      </w:pPr>
    </w:p>
    <w:p>
      <w:pPr>
        <w:rPr>
          <w:rFonts w:ascii="Times New Roman" w:hAnsi="Times New Roman" w:eastAsia="楷体_GB2312"/>
          <w:sz w:val="32"/>
          <w:szCs w:val="32"/>
        </w:rPr>
      </w:pPr>
    </w:p>
    <w:p>
      <w:pPr>
        <w:pStyle w:val="8"/>
        <w:rPr>
          <w:rFonts w:ascii="Times New Roman" w:hAnsi="Times New Roman" w:eastAsia="楷体_GB2312"/>
          <w:sz w:val="32"/>
          <w:szCs w:val="32"/>
        </w:rPr>
      </w:pPr>
    </w:p>
    <w:p>
      <w:pPr>
        <w:rPr>
          <w:rFonts w:ascii="Times New Roman" w:hAnsi="Times New Roman" w:eastAsia="楷体_GB2312"/>
          <w:sz w:val="32"/>
          <w:szCs w:val="32"/>
        </w:rPr>
      </w:pPr>
    </w:p>
    <w:p>
      <w:pPr>
        <w:pStyle w:val="8"/>
        <w:rPr>
          <w:rFonts w:ascii="Times New Roman" w:hAnsi="Times New Roman"/>
        </w:rPr>
      </w:pPr>
    </w:p>
    <w:p>
      <w:pPr>
        <w:spacing w:line="700" w:lineRule="exact"/>
        <w:jc w:val="center"/>
        <w:rPr>
          <w:rFonts w:ascii="Times New Roman" w:hAnsi="Times New Roman" w:eastAsia="楷体_GB2312"/>
          <w:sz w:val="32"/>
          <w:szCs w:val="32"/>
        </w:rPr>
      </w:pPr>
    </w:p>
    <w:p>
      <w:pPr>
        <w:spacing w:line="700" w:lineRule="exact"/>
        <w:jc w:val="center"/>
        <w:rPr>
          <w:rFonts w:ascii="Times New Roman" w:hAnsi="Times New Roman" w:eastAsia="楷体_GB2312"/>
          <w:sz w:val="32"/>
          <w:szCs w:val="32"/>
        </w:rPr>
      </w:pPr>
    </w:p>
    <w:p>
      <w:pPr>
        <w:pStyle w:val="8"/>
      </w:pPr>
    </w:p>
    <w:p>
      <w:pPr>
        <w:pStyle w:val="8"/>
        <w:rPr>
          <w:rFonts w:ascii="Times New Roman" w:hAnsi="Times New Roman"/>
        </w:rPr>
      </w:pPr>
    </w:p>
    <w:p>
      <w:pPr>
        <w:adjustRightInd w:val="0"/>
        <w:snapToGrid w:val="0"/>
        <w:jc w:val="center"/>
        <w:rPr>
          <w:rFonts w:ascii="Times New Roman" w:hAnsi="Times New Roman" w:eastAsia="楷体"/>
          <w:b/>
          <w:bCs/>
          <w:sz w:val="36"/>
          <w:szCs w:val="36"/>
        </w:rPr>
      </w:pPr>
      <w:r>
        <w:rPr>
          <w:rFonts w:ascii="Times New Roman" w:hAnsi="Times New Roman" w:eastAsia="楷体"/>
          <w:b/>
          <w:bCs/>
          <w:sz w:val="36"/>
          <w:szCs w:val="36"/>
        </w:rPr>
        <w:t>乐山市市中区生态环境局</w:t>
      </w:r>
    </w:p>
    <w:p>
      <w:pPr>
        <w:jc w:val="center"/>
        <w:rPr>
          <w:rFonts w:ascii="Times New Roman" w:hAnsi="Times New Roman" w:eastAsia="楷体"/>
          <w:b/>
          <w:bCs/>
          <w:spacing w:val="6"/>
          <w:sz w:val="36"/>
          <w:szCs w:val="36"/>
        </w:rPr>
      </w:pPr>
      <w:r>
        <w:rPr>
          <w:rFonts w:ascii="Times New Roman" w:hAnsi="Times New Roman" w:eastAsia="楷体"/>
          <w:b/>
          <w:bCs/>
          <w:sz w:val="36"/>
          <w:szCs w:val="36"/>
        </w:rPr>
        <w:t>二O二一年十一月</w:t>
      </w:r>
    </w:p>
    <w:p>
      <w:pPr>
        <w:pStyle w:val="16"/>
        <w:tabs>
          <w:tab w:val="right" w:leader="dot" w:pos="8494"/>
        </w:tabs>
        <w:spacing w:line="240" w:lineRule="auto"/>
        <w:rPr>
          <w:rFonts w:ascii="Times New Roman" w:hAnsi="Times New Roman"/>
          <w:b/>
          <w:sz w:val="30"/>
          <w:szCs w:val="30"/>
        </w:rPr>
        <w:sectPr>
          <w:footerReference r:id="rId5" w:type="default"/>
          <w:pgSz w:w="11906" w:h="16838"/>
          <w:pgMar w:top="1440" w:right="1800" w:bottom="1440" w:left="1800" w:header="851" w:footer="992" w:gutter="0"/>
          <w:cols w:space="720" w:num="1"/>
          <w:docGrid w:type="lines" w:linePitch="312" w:charSpace="0"/>
        </w:sectPr>
      </w:pPr>
    </w:p>
    <w:p>
      <w:pPr>
        <w:pStyle w:val="34"/>
        <w:jc w:val="center"/>
        <w:rPr>
          <w:rFonts w:ascii="黑体" w:hAnsi="黑体" w:eastAsia="黑体"/>
          <w:color w:val="000000"/>
          <w:sz w:val="32"/>
          <w:szCs w:val="32"/>
        </w:rPr>
      </w:pPr>
      <w:r>
        <w:rPr>
          <w:rFonts w:hint="eastAsia"/>
        </w:rPr>
        <w:t xml:space="preserve">  </w:t>
      </w:r>
      <w:r>
        <w:rPr>
          <w:rFonts w:ascii="黑体" w:hAnsi="黑体" w:eastAsia="黑体"/>
          <w:color w:val="000000"/>
          <w:sz w:val="32"/>
          <w:szCs w:val="32"/>
          <w:lang w:val="zh-CN"/>
        </w:rPr>
        <w:t>目</w:t>
      </w:r>
      <w:r>
        <w:rPr>
          <w:rFonts w:hint="eastAsia" w:ascii="黑体" w:hAnsi="黑体" w:eastAsia="黑体"/>
          <w:color w:val="000000"/>
          <w:sz w:val="32"/>
          <w:szCs w:val="32"/>
          <w:lang w:val="zh-CN"/>
        </w:rPr>
        <w:t xml:space="preserve"> </w:t>
      </w:r>
      <w:r>
        <w:rPr>
          <w:rFonts w:ascii="黑体" w:hAnsi="黑体" w:eastAsia="黑体"/>
          <w:color w:val="000000"/>
          <w:sz w:val="32"/>
          <w:szCs w:val="32"/>
          <w:lang w:val="zh-CN"/>
        </w:rPr>
        <w:t>录</w:t>
      </w:r>
    </w:p>
    <w:p>
      <w:pPr>
        <w:pStyle w:val="16"/>
        <w:tabs>
          <w:tab w:val="right" w:leader="dot" w:pos="8296"/>
        </w:tabs>
        <w:rPr>
          <w:rFonts w:ascii="Times New Roman" w:hAnsi="Times New Roman" w:eastAsiaTheme="minorEastAsia"/>
          <w:sz w:val="24"/>
        </w:rPr>
      </w:pPr>
      <w:r>
        <w:fldChar w:fldCharType="begin"/>
      </w:r>
      <w:r>
        <w:instrText xml:space="preserve"> TOC \o "1-3" \h \z \u </w:instrText>
      </w:r>
      <w:r>
        <w:fldChar w:fldCharType="separate"/>
      </w:r>
      <w:r>
        <w:fldChar w:fldCharType="begin"/>
      </w:r>
      <w:r>
        <w:instrText xml:space="preserve"> HYPERLINK \l "_Toc117868682" </w:instrText>
      </w:r>
      <w:r>
        <w:fldChar w:fldCharType="separate"/>
      </w:r>
      <w:r>
        <w:rPr>
          <w:rStyle w:val="29"/>
          <w:rFonts w:ascii="Times New Roman" w:hAnsi="Times New Roman" w:eastAsia="黑体"/>
          <w:sz w:val="24"/>
        </w:rPr>
        <w:t>前  言</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_Toc117868682 \h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"_Toc117868683" </w:instrText>
      </w:r>
      <w:r>
        <w:fldChar w:fldCharType="separate"/>
      </w:r>
      <w:r>
        <w:rPr>
          <w:rStyle w:val="29"/>
          <w:rFonts w:ascii="Times New Roman" w:hAnsi="Times New Roman" w:eastAsia="黑体"/>
          <w:sz w:val="24"/>
        </w:rPr>
        <w:t>第1章  总 则</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_Toc117868683 \h </w:instrText>
      </w:r>
      <w:r>
        <w:rPr>
          <w:rFonts w:ascii="Times New Roman" w:hAnsi="Times New Roman"/>
          <w:sz w:val="24"/>
        </w:rPr>
        <w:fldChar w:fldCharType="separate"/>
      </w:r>
      <w:r>
        <w:rPr>
          <w:rFonts w:ascii="Times New Roman" w:hAnsi="Times New Roman"/>
          <w:sz w:val="24"/>
        </w:rPr>
        <w:t>2</w:t>
      </w:r>
      <w:r>
        <w:rPr>
          <w:rFonts w:ascii="Times New Roman" w:hAnsi="Times New Roman"/>
          <w:sz w:val="24"/>
        </w:rPr>
        <w:fldChar w:fldCharType="end"/>
      </w:r>
      <w:r>
        <w:rPr>
          <w:rFonts w:ascii="Times New Roman" w:hAnsi="Times New Roman"/>
          <w:sz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"_Toc117868684" </w:instrText>
      </w:r>
      <w:r>
        <w:fldChar w:fldCharType="separate"/>
      </w:r>
      <w:r>
        <w:rPr>
          <w:rStyle w:val="29"/>
          <w:rFonts w:ascii="Times New Roman" w:hAnsi="Times New Roman"/>
          <w:sz w:val="24"/>
        </w:rPr>
        <w:t>1.1</w:t>
      </w:r>
      <w:r>
        <w:rPr>
          <w:rFonts w:ascii="Times New Roman" w:hAnsi="Times New Roman" w:eastAsiaTheme="minorEastAsia"/>
          <w:sz w:val="24"/>
        </w:rPr>
        <w:tab/>
      </w:r>
      <w:r>
        <w:rPr>
          <w:rStyle w:val="29"/>
          <w:rFonts w:ascii="Times New Roman" w:hAnsi="Times New Roman"/>
          <w:sz w:val="24"/>
        </w:rPr>
        <w:t>指导思想</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_Toc117868684 \h </w:instrText>
      </w:r>
      <w:r>
        <w:rPr>
          <w:rFonts w:ascii="Times New Roman" w:hAnsi="Times New Roman"/>
          <w:sz w:val="24"/>
        </w:rPr>
        <w:fldChar w:fldCharType="separate"/>
      </w:r>
      <w:r>
        <w:rPr>
          <w:rFonts w:ascii="Times New Roman" w:hAnsi="Times New Roman"/>
          <w:sz w:val="24"/>
        </w:rPr>
        <w:t>2</w:t>
      </w:r>
      <w:r>
        <w:rPr>
          <w:rFonts w:ascii="Times New Roman" w:hAnsi="Times New Roman"/>
          <w:sz w:val="24"/>
        </w:rPr>
        <w:fldChar w:fldCharType="end"/>
      </w:r>
      <w:r>
        <w:rPr>
          <w:rFonts w:ascii="Times New Roman" w:hAnsi="Times New Roman"/>
          <w:sz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"_Toc117868685" </w:instrText>
      </w:r>
      <w:r>
        <w:fldChar w:fldCharType="separate"/>
      </w:r>
      <w:r>
        <w:rPr>
          <w:rStyle w:val="29"/>
          <w:rFonts w:ascii="Times New Roman" w:hAnsi="Times New Roman"/>
          <w:sz w:val="24"/>
        </w:rPr>
        <w:t>1.2</w:t>
      </w:r>
      <w:r>
        <w:rPr>
          <w:rFonts w:ascii="Times New Roman" w:hAnsi="Times New Roman" w:eastAsiaTheme="minorEastAsia"/>
          <w:sz w:val="24"/>
        </w:rPr>
        <w:tab/>
      </w:r>
      <w:r>
        <w:rPr>
          <w:rStyle w:val="29"/>
          <w:rFonts w:ascii="Times New Roman" w:hAnsi="Times New Roman"/>
          <w:sz w:val="24"/>
        </w:rPr>
        <w:t>规划依据和标准</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_Toc117868685 \h </w:instrText>
      </w:r>
      <w:r>
        <w:rPr>
          <w:rFonts w:ascii="Times New Roman" w:hAnsi="Times New Roman"/>
          <w:sz w:val="24"/>
        </w:rPr>
        <w:fldChar w:fldCharType="separate"/>
      </w:r>
      <w:r>
        <w:rPr>
          <w:rFonts w:ascii="Times New Roman" w:hAnsi="Times New Roman"/>
          <w:sz w:val="24"/>
        </w:rPr>
        <w:t>2</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"_Toc117868686" </w:instrText>
      </w:r>
      <w:r>
        <w:fldChar w:fldCharType="separate"/>
      </w:r>
      <w:r>
        <w:rPr>
          <w:rStyle w:val="29"/>
          <w:rFonts w:ascii="Times New Roman" w:hAnsi="Times New Roman"/>
          <w:sz w:val="24"/>
          <w:szCs w:val="24"/>
        </w:rPr>
        <w:t>1.2.1法律和法规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_Toc117868686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"_Toc117868687" </w:instrText>
      </w:r>
      <w:r>
        <w:fldChar w:fldCharType="separate"/>
      </w:r>
      <w:r>
        <w:rPr>
          <w:rStyle w:val="29"/>
          <w:rFonts w:ascii="Times New Roman" w:hAnsi="Times New Roman"/>
          <w:sz w:val="24"/>
          <w:szCs w:val="24"/>
        </w:rPr>
        <w:t>1.2.2 政策和文件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_Toc117868687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"_Toc117868688" </w:instrText>
      </w:r>
      <w:r>
        <w:fldChar w:fldCharType="separate"/>
      </w:r>
      <w:r>
        <w:rPr>
          <w:rStyle w:val="29"/>
          <w:rFonts w:ascii="Times New Roman" w:hAnsi="Times New Roman"/>
          <w:sz w:val="24"/>
          <w:szCs w:val="24"/>
        </w:rPr>
        <w:t>1.2.3 标准和技术规范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_Toc117868688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"_Toc117868689" </w:instrText>
      </w:r>
      <w:r>
        <w:fldChar w:fldCharType="separate"/>
      </w:r>
      <w:r>
        <w:rPr>
          <w:rStyle w:val="29"/>
          <w:rFonts w:ascii="Times New Roman" w:hAnsi="Times New Roman"/>
          <w:sz w:val="24"/>
          <w:szCs w:val="24"/>
        </w:rPr>
        <w:t>1.2.4 其他资料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_Toc117868689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"_Toc117868690" </w:instrText>
      </w:r>
      <w:r>
        <w:fldChar w:fldCharType="separate"/>
      </w:r>
      <w:r>
        <w:rPr>
          <w:rStyle w:val="29"/>
          <w:rFonts w:ascii="Times New Roman" w:hAnsi="Times New Roman"/>
          <w:sz w:val="24"/>
        </w:rPr>
        <w:t>1.3</w:t>
      </w:r>
      <w:r>
        <w:rPr>
          <w:rFonts w:ascii="Times New Roman" w:hAnsi="Times New Roman" w:eastAsiaTheme="minorEastAsia"/>
          <w:sz w:val="24"/>
        </w:rPr>
        <w:tab/>
      </w:r>
      <w:r>
        <w:rPr>
          <w:rStyle w:val="29"/>
          <w:rFonts w:ascii="Times New Roman" w:hAnsi="Times New Roman"/>
          <w:sz w:val="24"/>
        </w:rPr>
        <w:t>规划范围和年限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_Toc117868690 \h </w:instrText>
      </w:r>
      <w:r>
        <w:rPr>
          <w:rFonts w:ascii="Times New Roman" w:hAnsi="Times New Roman"/>
          <w:sz w:val="24"/>
        </w:rPr>
        <w:fldChar w:fldCharType="separate"/>
      </w:r>
      <w:r>
        <w:rPr>
          <w:rFonts w:ascii="Times New Roman" w:hAnsi="Times New Roman"/>
          <w:sz w:val="24"/>
        </w:rPr>
        <w:t>4</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"_Toc117868691" </w:instrText>
      </w:r>
      <w:r>
        <w:fldChar w:fldCharType="separate"/>
      </w:r>
      <w:r>
        <w:rPr>
          <w:rStyle w:val="29"/>
          <w:rFonts w:ascii="Times New Roman" w:hAnsi="Times New Roman"/>
          <w:sz w:val="24"/>
          <w:szCs w:val="24"/>
        </w:rPr>
        <w:t>1.3.1规划范围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_Toc117868691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"_Toc117868692" </w:instrText>
      </w:r>
      <w:r>
        <w:fldChar w:fldCharType="separate"/>
      </w:r>
      <w:r>
        <w:rPr>
          <w:rStyle w:val="29"/>
          <w:rFonts w:ascii="Times New Roman" w:hAnsi="Times New Roman"/>
          <w:sz w:val="24"/>
          <w:szCs w:val="24"/>
        </w:rPr>
        <w:t>1.3.2规划年限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_Toc117868692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"_Toc117868693" </w:instrText>
      </w:r>
      <w:r>
        <w:fldChar w:fldCharType="separate"/>
      </w:r>
      <w:r>
        <w:rPr>
          <w:rStyle w:val="29"/>
          <w:rFonts w:ascii="Times New Roman" w:hAnsi="Times New Roman"/>
          <w:sz w:val="24"/>
        </w:rPr>
        <w:t>1.4</w:t>
      </w:r>
      <w:r>
        <w:rPr>
          <w:rFonts w:ascii="Times New Roman" w:hAnsi="Times New Roman" w:eastAsiaTheme="minorEastAsia"/>
          <w:sz w:val="24"/>
        </w:rPr>
        <w:tab/>
      </w:r>
      <w:r>
        <w:rPr>
          <w:rStyle w:val="29"/>
          <w:rFonts w:ascii="Times New Roman" w:hAnsi="Times New Roman"/>
          <w:sz w:val="24"/>
        </w:rPr>
        <w:t>规划原则</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_Toc117868693 \h </w:instrText>
      </w:r>
      <w:r>
        <w:rPr>
          <w:rFonts w:ascii="Times New Roman" w:hAnsi="Times New Roman"/>
          <w:sz w:val="24"/>
        </w:rPr>
        <w:fldChar w:fldCharType="separate"/>
      </w:r>
      <w:r>
        <w:rPr>
          <w:rFonts w:ascii="Times New Roman" w:hAnsi="Times New Roman"/>
          <w:sz w:val="24"/>
        </w:rPr>
        <w:t>5</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"_Toc117868694" </w:instrText>
      </w:r>
      <w:r>
        <w:fldChar w:fldCharType="separate"/>
      </w:r>
      <w:r>
        <w:rPr>
          <w:rStyle w:val="29"/>
          <w:rFonts w:ascii="Times New Roman" w:hAnsi="Times New Roman"/>
          <w:sz w:val="24"/>
          <w:szCs w:val="24"/>
        </w:rPr>
        <w:t>1.4.1统筹兼顾，重点突出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_Toc117868694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"_Toc117868695" </w:instrText>
      </w:r>
      <w:r>
        <w:fldChar w:fldCharType="separate"/>
      </w:r>
      <w:r>
        <w:rPr>
          <w:rStyle w:val="29"/>
          <w:rFonts w:ascii="Times New Roman" w:hAnsi="Times New Roman"/>
          <w:sz w:val="24"/>
          <w:szCs w:val="24"/>
        </w:rPr>
        <w:t>1.4.2 种养结合，农牧循环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_Toc117868695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"_Toc117868696" </w:instrText>
      </w:r>
      <w:r>
        <w:fldChar w:fldCharType="separate"/>
      </w:r>
      <w:r>
        <w:rPr>
          <w:rStyle w:val="29"/>
          <w:rFonts w:ascii="Times New Roman" w:hAnsi="Times New Roman"/>
          <w:sz w:val="24"/>
          <w:szCs w:val="24"/>
        </w:rPr>
        <w:t>1.4.3分类管控，分步实施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_Toc117868696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"_Toc117868697" </w:instrText>
      </w:r>
      <w:r>
        <w:fldChar w:fldCharType="separate"/>
      </w:r>
      <w:r>
        <w:rPr>
          <w:rStyle w:val="29"/>
          <w:rFonts w:ascii="Times New Roman" w:hAnsi="Times New Roman"/>
          <w:sz w:val="24"/>
          <w:szCs w:val="24"/>
        </w:rPr>
        <w:t>1.4.4 强化措施，一场一策</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_Toc117868697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"_Toc117868698" </w:instrText>
      </w:r>
      <w:r>
        <w:fldChar w:fldCharType="separate"/>
      </w:r>
      <w:r>
        <w:rPr>
          <w:rStyle w:val="29"/>
          <w:rFonts w:ascii="Times New Roman" w:hAnsi="Times New Roman"/>
          <w:sz w:val="24"/>
          <w:szCs w:val="24"/>
        </w:rPr>
        <w:t>1.4.5 协同共管，政策引导</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_Toc117868698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"_Toc117868699" </w:instrText>
      </w:r>
      <w:r>
        <w:fldChar w:fldCharType="separate"/>
      </w:r>
      <w:r>
        <w:rPr>
          <w:rStyle w:val="29"/>
          <w:rFonts w:ascii="Times New Roman" w:hAnsi="Times New Roman"/>
          <w:sz w:val="24"/>
          <w:szCs w:val="24"/>
        </w:rPr>
        <w:t>1.4.6 加强合作，科技支撑</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_Toc117868699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"_Toc117868700" </w:instrText>
      </w:r>
      <w:r>
        <w:fldChar w:fldCharType="separate"/>
      </w:r>
      <w:r>
        <w:rPr>
          <w:rStyle w:val="29"/>
          <w:rFonts w:ascii="Times New Roman" w:hAnsi="Times New Roman"/>
          <w:sz w:val="24"/>
        </w:rPr>
        <w:t>1.5</w:t>
      </w:r>
      <w:r>
        <w:rPr>
          <w:rFonts w:ascii="Times New Roman" w:hAnsi="Times New Roman" w:eastAsiaTheme="minorEastAsia"/>
          <w:sz w:val="24"/>
        </w:rPr>
        <w:tab/>
      </w:r>
      <w:r>
        <w:rPr>
          <w:rStyle w:val="29"/>
          <w:rFonts w:ascii="Times New Roman" w:hAnsi="Times New Roman"/>
          <w:sz w:val="24"/>
        </w:rPr>
        <w:t>规划目标</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_Toc117868700 \h </w:instrText>
      </w:r>
      <w:r>
        <w:rPr>
          <w:rFonts w:ascii="Times New Roman" w:hAnsi="Times New Roman"/>
          <w:sz w:val="24"/>
        </w:rPr>
        <w:fldChar w:fldCharType="separate"/>
      </w:r>
      <w:r>
        <w:rPr>
          <w:rFonts w:ascii="Times New Roman" w:hAnsi="Times New Roman"/>
          <w:sz w:val="24"/>
        </w:rPr>
        <w:t>6</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"_Toc117868701" </w:instrText>
      </w:r>
      <w:r>
        <w:fldChar w:fldCharType="separate"/>
      </w:r>
      <w:r>
        <w:rPr>
          <w:rStyle w:val="29"/>
          <w:rFonts w:ascii="Times New Roman" w:hAnsi="Times New Roman"/>
          <w:sz w:val="24"/>
          <w:szCs w:val="24"/>
        </w:rPr>
        <w:t>1.5.1 总体目标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_Toc117868701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"_Toc117868702" </w:instrText>
      </w:r>
      <w:r>
        <w:fldChar w:fldCharType="separate"/>
      </w:r>
      <w:r>
        <w:rPr>
          <w:rStyle w:val="29"/>
          <w:rFonts w:ascii="Times New Roman" w:hAnsi="Times New Roman"/>
          <w:sz w:val="24"/>
          <w:szCs w:val="24"/>
        </w:rPr>
        <w:t>1.5.2 具体目标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_Toc117868702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left" w:pos="1260"/>
          <w:tab w:val="right" w:leader="dot" w:pos="8296"/>
        </w:tabs>
        <w:ind w:left="560"/>
        <w:rPr>
          <w:rFonts w:ascii="Times New Roman" w:hAnsi="Times New Roman" w:eastAsiaTheme="minorEastAsia"/>
          <w:sz w:val="24"/>
        </w:rPr>
      </w:pPr>
      <w:r>
        <w:fldChar w:fldCharType="begin"/>
      </w:r>
      <w:r>
        <w:instrText xml:space="preserve"> HYPERLINK \l "_Toc117868703" </w:instrText>
      </w:r>
      <w:r>
        <w:fldChar w:fldCharType="separate"/>
      </w:r>
      <w:r>
        <w:rPr>
          <w:rStyle w:val="29"/>
          <w:rFonts w:ascii="Times New Roman" w:hAnsi="Times New Roman"/>
          <w:sz w:val="24"/>
        </w:rPr>
        <w:t>1.6</w:t>
      </w:r>
      <w:r>
        <w:rPr>
          <w:rFonts w:ascii="Times New Roman" w:hAnsi="Times New Roman" w:eastAsiaTheme="minorEastAsia"/>
          <w:sz w:val="24"/>
        </w:rPr>
        <w:tab/>
      </w:r>
      <w:r>
        <w:rPr>
          <w:rStyle w:val="29"/>
          <w:rFonts w:ascii="Times New Roman" w:hAnsi="Times New Roman"/>
          <w:sz w:val="24"/>
        </w:rPr>
        <w:t>技术路线</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_Toc117868703 \h </w:instrText>
      </w:r>
      <w:r>
        <w:rPr>
          <w:rFonts w:ascii="Times New Roman" w:hAnsi="Times New Roman"/>
          <w:sz w:val="24"/>
        </w:rPr>
        <w:fldChar w:fldCharType="separate"/>
      </w:r>
      <w:r>
        <w:rPr>
          <w:rFonts w:ascii="Times New Roman" w:hAnsi="Times New Roman"/>
          <w:sz w:val="24"/>
        </w:rPr>
        <w:t>8</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"_Toc117868704" </w:instrText>
      </w:r>
      <w:r>
        <w:fldChar w:fldCharType="separate"/>
      </w:r>
      <w:r>
        <w:rPr>
          <w:rStyle w:val="29"/>
          <w:rFonts w:ascii="Times New Roman" w:hAnsi="Times New Roman" w:eastAsia="黑体"/>
          <w:sz w:val="24"/>
        </w:rPr>
        <w:t>第2章  区域基本概况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_Toc117868704 \h </w:instrText>
      </w:r>
      <w:r>
        <w:rPr>
          <w:rFonts w:ascii="Times New Roman" w:hAnsi="Times New Roman"/>
          <w:sz w:val="24"/>
        </w:rPr>
        <w:fldChar w:fldCharType="separate"/>
      </w:r>
      <w:r>
        <w:rPr>
          <w:rFonts w:ascii="Times New Roman" w:hAnsi="Times New Roman"/>
          <w:sz w:val="24"/>
        </w:rPr>
        <w:t>9</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"_Toc117868705" </w:instrText>
      </w:r>
      <w:r>
        <w:fldChar w:fldCharType="separate"/>
      </w:r>
      <w:r>
        <w:rPr>
          <w:rStyle w:val="29"/>
          <w:rFonts w:ascii="Times New Roman" w:hAnsi="Times New Roman"/>
          <w:sz w:val="24"/>
        </w:rPr>
        <w:t>2.1 自然概况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_Toc117868705 \h </w:instrText>
      </w:r>
      <w:r>
        <w:rPr>
          <w:rFonts w:ascii="Times New Roman" w:hAnsi="Times New Roman"/>
          <w:sz w:val="24"/>
        </w:rPr>
        <w:fldChar w:fldCharType="separate"/>
      </w:r>
      <w:r>
        <w:rPr>
          <w:rFonts w:ascii="Times New Roman" w:hAnsi="Times New Roman"/>
          <w:sz w:val="24"/>
        </w:rPr>
        <w:t>9</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"_Toc117868706" </w:instrText>
      </w:r>
      <w:r>
        <w:fldChar w:fldCharType="separate"/>
      </w:r>
      <w:r>
        <w:rPr>
          <w:rStyle w:val="29"/>
          <w:rFonts w:ascii="Times New Roman" w:hAnsi="Times New Roman"/>
          <w:sz w:val="24"/>
          <w:szCs w:val="24"/>
        </w:rPr>
        <w:t>2.1.1 地理位置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_Toc117868706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"_Toc117868707" </w:instrText>
      </w:r>
      <w:r>
        <w:fldChar w:fldCharType="separate"/>
      </w:r>
      <w:r>
        <w:rPr>
          <w:rStyle w:val="29"/>
          <w:rFonts w:ascii="Times New Roman" w:hAnsi="Times New Roman"/>
          <w:sz w:val="24"/>
          <w:szCs w:val="24"/>
        </w:rPr>
        <w:t>2.1.2地形地貌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_Toc117868707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"_Toc117868708" </w:instrText>
      </w:r>
      <w:r>
        <w:fldChar w:fldCharType="separate"/>
      </w:r>
      <w:r>
        <w:rPr>
          <w:rStyle w:val="29"/>
          <w:rFonts w:ascii="Times New Roman" w:hAnsi="Times New Roman"/>
          <w:sz w:val="24"/>
          <w:szCs w:val="24"/>
        </w:rPr>
        <w:t>2.1.3气候气象</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_Toc117868708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"_Toc117868709" </w:instrText>
      </w:r>
      <w:r>
        <w:fldChar w:fldCharType="separate"/>
      </w:r>
      <w:r>
        <w:rPr>
          <w:rStyle w:val="29"/>
          <w:rFonts w:ascii="Times New Roman" w:hAnsi="Times New Roman"/>
          <w:sz w:val="24"/>
          <w:szCs w:val="24"/>
        </w:rPr>
        <w:t>2.1.4水系流域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_Toc117868709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"_Toc117868710" </w:instrText>
      </w:r>
      <w:r>
        <w:fldChar w:fldCharType="separate"/>
      </w:r>
      <w:r>
        <w:rPr>
          <w:rStyle w:val="29"/>
          <w:rFonts w:ascii="Times New Roman" w:hAnsi="Times New Roman"/>
          <w:sz w:val="24"/>
          <w:szCs w:val="24"/>
        </w:rPr>
        <w:t>2.1.5动植物资源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_Toc117868710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"_Toc117868711" </w:instrText>
      </w:r>
      <w:r>
        <w:fldChar w:fldCharType="separate"/>
      </w:r>
      <w:r>
        <w:rPr>
          <w:rStyle w:val="29"/>
          <w:rFonts w:ascii="Times New Roman" w:hAnsi="Times New Roman"/>
          <w:sz w:val="24"/>
        </w:rPr>
        <w:t>2.2 社会经济概况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_Toc117868711 \h </w:instrText>
      </w:r>
      <w:r>
        <w:rPr>
          <w:rFonts w:ascii="Times New Roman" w:hAnsi="Times New Roman"/>
          <w:sz w:val="24"/>
        </w:rPr>
        <w:fldChar w:fldCharType="separate"/>
      </w:r>
      <w:r>
        <w:rPr>
          <w:rFonts w:ascii="Times New Roman" w:hAnsi="Times New Roman"/>
          <w:sz w:val="24"/>
        </w:rPr>
        <w:t>10</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"_Toc117868712" </w:instrText>
      </w:r>
      <w:r>
        <w:fldChar w:fldCharType="separate"/>
      </w:r>
      <w:r>
        <w:rPr>
          <w:rStyle w:val="29"/>
          <w:rFonts w:ascii="Times New Roman" w:hAnsi="Times New Roman"/>
          <w:sz w:val="24"/>
          <w:szCs w:val="24"/>
        </w:rPr>
        <w:t>2.2.1行政区划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_Toc117868712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"_Toc117868713" </w:instrText>
      </w:r>
      <w:r>
        <w:fldChar w:fldCharType="separate"/>
      </w:r>
      <w:r>
        <w:rPr>
          <w:rStyle w:val="29"/>
          <w:rFonts w:ascii="Times New Roman" w:hAnsi="Times New Roman"/>
          <w:sz w:val="24"/>
          <w:szCs w:val="24"/>
        </w:rPr>
        <w:t>2.2.2 产业结构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_Toc117868713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"_Toc117868714" </w:instrText>
      </w:r>
      <w:r>
        <w:fldChar w:fldCharType="separate"/>
      </w:r>
      <w:r>
        <w:rPr>
          <w:rStyle w:val="29"/>
          <w:rFonts w:ascii="Times New Roman" w:hAnsi="Times New Roman"/>
          <w:sz w:val="24"/>
          <w:szCs w:val="24"/>
        </w:rPr>
        <w:t>2.2.3 种养殖业</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_Toc117868714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"_Toc117868715" </w:instrText>
      </w:r>
      <w:r>
        <w:fldChar w:fldCharType="separate"/>
      </w:r>
      <w:r>
        <w:rPr>
          <w:rStyle w:val="29"/>
          <w:rFonts w:ascii="Times New Roman" w:hAnsi="Times New Roman"/>
          <w:sz w:val="24"/>
          <w:szCs w:val="24"/>
        </w:rPr>
        <w:t>2.2.4交通运输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_Toc117868715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"_Toc117868716" </w:instrText>
      </w:r>
      <w:r>
        <w:fldChar w:fldCharType="separate"/>
      </w:r>
      <w:r>
        <w:rPr>
          <w:rStyle w:val="29"/>
          <w:rFonts w:ascii="Times New Roman" w:hAnsi="Times New Roman"/>
          <w:sz w:val="24"/>
        </w:rPr>
        <w:t>2.3环境质量概况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_Toc117868716 \h </w:instrText>
      </w:r>
      <w:r>
        <w:rPr>
          <w:rFonts w:ascii="Times New Roman" w:hAnsi="Times New Roman"/>
          <w:sz w:val="24"/>
        </w:rPr>
        <w:fldChar w:fldCharType="separate"/>
      </w:r>
      <w:r>
        <w:rPr>
          <w:rFonts w:ascii="Times New Roman" w:hAnsi="Times New Roman"/>
          <w:sz w:val="24"/>
        </w:rPr>
        <w:t>11</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"_Toc117868717" </w:instrText>
      </w:r>
      <w:r>
        <w:fldChar w:fldCharType="separate"/>
      </w:r>
      <w:r>
        <w:rPr>
          <w:rStyle w:val="29"/>
          <w:rFonts w:ascii="Times New Roman" w:hAnsi="Times New Roman"/>
          <w:sz w:val="24"/>
          <w:szCs w:val="24"/>
        </w:rPr>
        <w:t>2.3.1空气质量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_Toc117868717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"_Toc117868718" </w:instrText>
      </w:r>
      <w:r>
        <w:fldChar w:fldCharType="separate"/>
      </w:r>
      <w:r>
        <w:rPr>
          <w:rStyle w:val="29"/>
          <w:rFonts w:ascii="Times New Roman" w:hAnsi="Times New Roman"/>
          <w:sz w:val="24"/>
          <w:szCs w:val="24"/>
        </w:rPr>
        <w:t>2.3.2水体环境质量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_Toc117868718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"_Toc117868719" </w:instrText>
      </w:r>
      <w:r>
        <w:fldChar w:fldCharType="separate"/>
      </w:r>
      <w:r>
        <w:rPr>
          <w:rStyle w:val="29"/>
          <w:rFonts w:ascii="Times New Roman" w:hAnsi="Times New Roman"/>
          <w:sz w:val="24"/>
          <w:szCs w:val="24"/>
        </w:rPr>
        <w:t>2.3.3土壤环境质量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_Toc117868719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"_Toc117868720" </w:instrText>
      </w:r>
      <w:r>
        <w:fldChar w:fldCharType="separate"/>
      </w:r>
      <w:r>
        <w:rPr>
          <w:rStyle w:val="29"/>
          <w:rFonts w:ascii="Times New Roman" w:hAnsi="Times New Roman" w:eastAsia="黑体"/>
          <w:sz w:val="24"/>
        </w:rPr>
        <w:t>第3章 “十三五”期间粪污防治成效和现状分析</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_Toc117868720 \h </w:instrText>
      </w:r>
      <w:r>
        <w:rPr>
          <w:rFonts w:ascii="Times New Roman" w:hAnsi="Times New Roman"/>
          <w:sz w:val="24"/>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"_Toc117868721" </w:instrText>
      </w:r>
      <w:r>
        <w:fldChar w:fldCharType="separate"/>
      </w:r>
      <w:r>
        <w:rPr>
          <w:rStyle w:val="29"/>
          <w:rFonts w:ascii="Times New Roman" w:hAnsi="Times New Roman"/>
          <w:sz w:val="24"/>
        </w:rPr>
        <w:t>3.1 畜禽粪污防治成效</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_Toc117868721 \h </w:instrText>
      </w:r>
      <w:r>
        <w:rPr>
          <w:rFonts w:ascii="Times New Roman" w:hAnsi="Times New Roman"/>
          <w:sz w:val="24"/>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"_Toc117868722" </w:instrText>
      </w:r>
      <w:r>
        <w:fldChar w:fldCharType="separate"/>
      </w:r>
      <w:r>
        <w:rPr>
          <w:rStyle w:val="29"/>
          <w:rFonts w:ascii="Times New Roman" w:hAnsi="Times New Roman"/>
          <w:sz w:val="24"/>
          <w:szCs w:val="24"/>
        </w:rPr>
        <w:t>3.1.1养殖空间布局更趋科学合理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_Toc117868722 \h </w:instrText>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"_Toc117868723" </w:instrText>
      </w:r>
      <w:r>
        <w:fldChar w:fldCharType="separate"/>
      </w:r>
      <w:r>
        <w:rPr>
          <w:rStyle w:val="29"/>
          <w:rFonts w:ascii="Times New Roman" w:hAnsi="Times New Roman"/>
          <w:sz w:val="24"/>
          <w:szCs w:val="24"/>
        </w:rPr>
        <w:t>3.1.2畜牧业稳定发展，养殖水平提升显著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_Toc117868723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"_Toc117868724" </w:instrText>
      </w:r>
      <w:r>
        <w:fldChar w:fldCharType="separate"/>
      </w:r>
      <w:r>
        <w:rPr>
          <w:rStyle w:val="29"/>
          <w:rFonts w:ascii="Times New Roman" w:hAnsi="Times New Roman"/>
          <w:sz w:val="24"/>
          <w:szCs w:val="24"/>
        </w:rPr>
        <w:t>3.1.3 禽畜粪污综合治理成效明显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_Toc117868724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"_Toc117868725" </w:instrText>
      </w:r>
      <w:r>
        <w:fldChar w:fldCharType="separate"/>
      </w:r>
      <w:r>
        <w:rPr>
          <w:rStyle w:val="29"/>
          <w:rFonts w:ascii="Times New Roman" w:hAnsi="Times New Roman"/>
          <w:sz w:val="24"/>
          <w:szCs w:val="24"/>
        </w:rPr>
        <w:t>3.1.4 种养结合的循环农业发展模式初步形成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_Toc117868725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"_Toc117868726" </w:instrText>
      </w:r>
      <w:r>
        <w:fldChar w:fldCharType="separate"/>
      </w:r>
      <w:r>
        <w:rPr>
          <w:rStyle w:val="29"/>
          <w:rFonts w:ascii="Times New Roman" w:hAnsi="Times New Roman"/>
          <w:sz w:val="24"/>
          <w:szCs w:val="24"/>
        </w:rPr>
        <w:t>3.1.5养殖污染源数据库初步建成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_Toc117868726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"_Toc117868727" </w:instrText>
      </w:r>
      <w:r>
        <w:fldChar w:fldCharType="separate"/>
      </w:r>
      <w:r>
        <w:rPr>
          <w:rStyle w:val="29"/>
          <w:rFonts w:ascii="Times New Roman" w:hAnsi="Times New Roman"/>
          <w:sz w:val="24"/>
        </w:rPr>
        <w:t>3.2禽畜粪污防治主要指标完成情况</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_Toc117868727 \h </w:instrText>
      </w:r>
      <w:r>
        <w:rPr>
          <w:rFonts w:ascii="Times New Roman" w:hAnsi="Times New Roman"/>
          <w:sz w:val="24"/>
        </w:rPr>
        <w:fldChar w:fldCharType="separate"/>
      </w:r>
      <w:r>
        <w:rPr>
          <w:rFonts w:ascii="Times New Roman" w:hAnsi="Times New Roman"/>
          <w:sz w:val="24"/>
        </w:rPr>
        <w:t>17</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"_Toc117868728" </w:instrText>
      </w:r>
      <w:r>
        <w:fldChar w:fldCharType="separate"/>
      </w:r>
      <w:r>
        <w:rPr>
          <w:rStyle w:val="29"/>
          <w:rFonts w:ascii="Times New Roman" w:hAnsi="Times New Roman"/>
          <w:sz w:val="24"/>
        </w:rPr>
        <w:t>3.3 畜禽养殖规模和污染物产生量</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_Toc117868728 \h </w:instrText>
      </w:r>
      <w:r>
        <w:rPr>
          <w:rFonts w:ascii="Times New Roman" w:hAnsi="Times New Roman"/>
          <w:sz w:val="24"/>
        </w:rPr>
        <w:fldChar w:fldCharType="separate"/>
      </w:r>
      <w:r>
        <w:rPr>
          <w:rFonts w:ascii="Times New Roman" w:hAnsi="Times New Roman"/>
          <w:sz w:val="24"/>
        </w:rPr>
        <w:t>18</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"_Toc117868729" </w:instrText>
      </w:r>
      <w:r>
        <w:fldChar w:fldCharType="separate"/>
      </w:r>
      <w:r>
        <w:rPr>
          <w:rStyle w:val="29"/>
          <w:rFonts w:ascii="Times New Roman" w:hAnsi="Times New Roman"/>
          <w:sz w:val="24"/>
          <w:szCs w:val="24"/>
        </w:rPr>
        <w:t>3.3.1 畜禽养殖规模现状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_Toc117868729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"_Toc117868730" </w:instrText>
      </w:r>
      <w:r>
        <w:fldChar w:fldCharType="separate"/>
      </w:r>
      <w:r>
        <w:rPr>
          <w:rStyle w:val="29"/>
          <w:rFonts w:ascii="Times New Roman" w:hAnsi="Times New Roman"/>
          <w:sz w:val="24"/>
          <w:szCs w:val="24"/>
        </w:rPr>
        <w:t>3.3.2 禽畜粪污和污染物的产生量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_Toc117868730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"_Toc117868731" </w:instrText>
      </w:r>
      <w:r>
        <w:fldChar w:fldCharType="separate"/>
      </w:r>
      <w:r>
        <w:rPr>
          <w:rStyle w:val="29"/>
          <w:rFonts w:ascii="Times New Roman" w:hAnsi="Times New Roman"/>
          <w:sz w:val="24"/>
        </w:rPr>
        <w:t>3.4 畜禽粪污土地承载力的测算</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_Toc117868731 \h </w:instrText>
      </w:r>
      <w:r>
        <w:rPr>
          <w:rFonts w:ascii="Times New Roman" w:hAnsi="Times New Roman"/>
          <w:sz w:val="24"/>
        </w:rPr>
        <w:fldChar w:fldCharType="separate"/>
      </w:r>
      <w:r>
        <w:rPr>
          <w:rFonts w:ascii="Times New Roman" w:hAnsi="Times New Roman"/>
          <w:sz w:val="24"/>
        </w:rPr>
        <w:t>26</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"_Toc117868732" </w:instrText>
      </w:r>
      <w:r>
        <w:fldChar w:fldCharType="separate"/>
      </w:r>
      <w:r>
        <w:rPr>
          <w:rStyle w:val="29"/>
          <w:rFonts w:ascii="Times New Roman" w:hAnsi="Times New Roman"/>
          <w:sz w:val="24"/>
          <w:szCs w:val="24"/>
        </w:rPr>
        <w:t>3.4.1测算依据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_Toc117868732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"_Toc117868733" </w:instrText>
      </w:r>
      <w:r>
        <w:fldChar w:fldCharType="separate"/>
      </w:r>
      <w:r>
        <w:rPr>
          <w:rStyle w:val="29"/>
          <w:rFonts w:ascii="Times New Roman" w:hAnsi="Times New Roman"/>
          <w:sz w:val="24"/>
          <w:szCs w:val="24"/>
        </w:rPr>
        <w:t>3.4.2市中区土地承载力测算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_Toc117868733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"_Toc117868734" </w:instrText>
      </w:r>
      <w:r>
        <w:fldChar w:fldCharType="separate"/>
      </w:r>
      <w:r>
        <w:rPr>
          <w:rStyle w:val="29"/>
          <w:rFonts w:ascii="Times New Roman" w:hAnsi="Times New Roman"/>
          <w:sz w:val="24"/>
          <w:szCs w:val="24"/>
        </w:rPr>
        <w:t>3.4.3 畜禽养殖规模的增长空间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_Toc117868734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"_Toc117868735" </w:instrText>
      </w:r>
      <w:r>
        <w:fldChar w:fldCharType="separate"/>
      </w:r>
      <w:r>
        <w:rPr>
          <w:rStyle w:val="29"/>
          <w:rFonts w:ascii="Times New Roman" w:hAnsi="Times New Roman"/>
          <w:sz w:val="24"/>
        </w:rPr>
        <w:t>3.5 畜禽养殖污染防治存在的问题</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_Toc117868735 \h </w:instrText>
      </w:r>
      <w:r>
        <w:rPr>
          <w:rFonts w:ascii="Times New Roman" w:hAnsi="Times New Roman"/>
          <w:sz w:val="24"/>
        </w:rPr>
        <w:fldChar w:fldCharType="separate"/>
      </w:r>
      <w:r>
        <w:rPr>
          <w:rFonts w:ascii="Times New Roman" w:hAnsi="Times New Roman"/>
          <w:sz w:val="24"/>
        </w:rPr>
        <w:t>28</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"_Toc117868736" </w:instrText>
      </w:r>
      <w:r>
        <w:fldChar w:fldCharType="separate"/>
      </w:r>
      <w:r>
        <w:rPr>
          <w:rStyle w:val="29"/>
          <w:rFonts w:ascii="Times New Roman" w:hAnsi="Times New Roman"/>
          <w:sz w:val="24"/>
          <w:szCs w:val="24"/>
        </w:rPr>
        <w:t>3.5.1 畜类结构和规模布局不合理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_Toc117868736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"_Toc117868737" </w:instrText>
      </w:r>
      <w:r>
        <w:fldChar w:fldCharType="separate"/>
      </w:r>
      <w:r>
        <w:rPr>
          <w:rStyle w:val="29"/>
          <w:rFonts w:ascii="Times New Roman" w:hAnsi="Times New Roman"/>
          <w:sz w:val="24"/>
          <w:szCs w:val="24"/>
        </w:rPr>
        <w:t>3.5.2 畜禽养殖水平有待提升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_Toc117868737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"_Toc117868738" </w:instrText>
      </w:r>
      <w:r>
        <w:fldChar w:fldCharType="separate"/>
      </w:r>
      <w:r>
        <w:rPr>
          <w:rStyle w:val="29"/>
          <w:rFonts w:ascii="Times New Roman" w:hAnsi="Times New Roman"/>
          <w:sz w:val="24"/>
          <w:szCs w:val="24"/>
        </w:rPr>
        <w:t>3.5.3 畜禽养殖污染整体治理能力较低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_Toc117868738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"_Toc117868739" </w:instrText>
      </w:r>
      <w:r>
        <w:fldChar w:fldCharType="separate"/>
      </w:r>
      <w:r>
        <w:rPr>
          <w:rStyle w:val="29"/>
          <w:rFonts w:ascii="Times New Roman" w:hAnsi="Times New Roman"/>
          <w:sz w:val="24"/>
          <w:szCs w:val="24"/>
        </w:rPr>
        <w:t>3.5.4 畜禽粪污资源化综合利用水平低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_Toc117868739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"_Toc117868740" </w:instrText>
      </w:r>
      <w:r>
        <w:fldChar w:fldCharType="separate"/>
      </w:r>
      <w:r>
        <w:rPr>
          <w:rStyle w:val="29"/>
          <w:rFonts w:ascii="Times New Roman" w:hAnsi="Times New Roman"/>
          <w:sz w:val="24"/>
          <w:szCs w:val="24"/>
        </w:rPr>
        <w:t>3.5.5 粪污防治体系不健全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_Toc117868740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sz w:val="24"/>
          <w:szCs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"_Toc117868741" </w:instrText>
      </w:r>
      <w:r>
        <w:fldChar w:fldCharType="separate"/>
      </w:r>
      <w:r>
        <w:rPr>
          <w:rStyle w:val="29"/>
          <w:rFonts w:ascii="Times New Roman" w:hAnsi="Times New Roman" w:eastAsia="黑体"/>
          <w:sz w:val="24"/>
        </w:rPr>
        <w:t>第4章 “十四五”期间畜禽粪污防治的机遇与挑战</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_Toc117868741 \h </w:instrText>
      </w:r>
      <w:r>
        <w:rPr>
          <w:rFonts w:ascii="Times New Roman" w:hAnsi="Times New Roman"/>
          <w:sz w:val="24"/>
        </w:rPr>
        <w:fldChar w:fldCharType="separate"/>
      </w:r>
      <w:r>
        <w:rPr>
          <w:rFonts w:ascii="Times New Roman" w:hAnsi="Times New Roman"/>
          <w:sz w:val="24"/>
        </w:rPr>
        <w:t>32</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"_Toc117868742" </w:instrText>
      </w:r>
      <w:r>
        <w:fldChar w:fldCharType="separate"/>
      </w:r>
      <w:r>
        <w:rPr>
          <w:rStyle w:val="29"/>
          <w:rFonts w:ascii="Times New Roman" w:hAnsi="Times New Roman"/>
          <w:sz w:val="24"/>
        </w:rPr>
        <w:t>4.1 畜禽养殖污染防治面临的新机遇</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_Toc117868742 \h </w:instrText>
      </w:r>
      <w:r>
        <w:rPr>
          <w:rFonts w:ascii="Times New Roman" w:hAnsi="Times New Roman"/>
          <w:sz w:val="24"/>
        </w:rPr>
        <w:fldChar w:fldCharType="separate"/>
      </w:r>
      <w:r>
        <w:rPr>
          <w:rFonts w:ascii="Times New Roman" w:hAnsi="Times New Roman"/>
          <w:sz w:val="24"/>
        </w:rPr>
        <w:t>32</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"_Toc117868743" </w:instrText>
      </w:r>
      <w:r>
        <w:fldChar w:fldCharType="separate"/>
      </w:r>
      <w:r>
        <w:rPr>
          <w:rStyle w:val="29"/>
          <w:rFonts w:ascii="Times New Roman" w:hAnsi="Times New Roman"/>
          <w:sz w:val="24"/>
          <w:szCs w:val="24"/>
        </w:rPr>
        <w:t>4.1.1新时代生态文明思想的贯彻落实</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_Toc117868743 \h </w:instrText>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"_Toc117868744" </w:instrText>
      </w:r>
      <w:r>
        <w:fldChar w:fldCharType="separate"/>
      </w:r>
      <w:r>
        <w:rPr>
          <w:rStyle w:val="29"/>
          <w:rFonts w:ascii="Times New Roman" w:hAnsi="Times New Roman"/>
          <w:sz w:val="24"/>
          <w:szCs w:val="24"/>
        </w:rPr>
        <w:t>4.1.2 “3060”双碳奋斗目标的提出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_Toc117868744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"_Toc117868745" </w:instrText>
      </w:r>
      <w:r>
        <w:fldChar w:fldCharType="separate"/>
      </w:r>
      <w:r>
        <w:rPr>
          <w:rStyle w:val="29"/>
          <w:rFonts w:ascii="Times New Roman" w:hAnsi="Times New Roman"/>
          <w:sz w:val="24"/>
          <w:szCs w:val="24"/>
        </w:rPr>
        <w:t>4.1.3国家和地方一系列扶持政策的出台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_Toc117868745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"_Toc117868746" </w:instrText>
      </w:r>
      <w:r>
        <w:fldChar w:fldCharType="separate"/>
      </w:r>
      <w:r>
        <w:rPr>
          <w:rStyle w:val="29"/>
          <w:rFonts w:ascii="Times New Roman" w:hAnsi="Times New Roman"/>
          <w:sz w:val="24"/>
          <w:szCs w:val="24"/>
        </w:rPr>
        <w:t>4.1.4 高质量畜禽养殖产品的市场需求</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_Toc117868746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"_Toc117868747" </w:instrText>
      </w:r>
      <w:r>
        <w:fldChar w:fldCharType="separate"/>
      </w:r>
      <w:r>
        <w:rPr>
          <w:rStyle w:val="29"/>
          <w:rFonts w:ascii="Times New Roman" w:hAnsi="Times New Roman"/>
          <w:sz w:val="24"/>
          <w:szCs w:val="24"/>
        </w:rPr>
        <w:t>4.1.5 乡村振兴战略的深入推进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_Toc117868747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"_Toc117868748" </w:instrText>
      </w:r>
      <w:r>
        <w:fldChar w:fldCharType="separate"/>
      </w:r>
      <w:r>
        <w:rPr>
          <w:rStyle w:val="29"/>
          <w:rFonts w:ascii="Times New Roman" w:hAnsi="Times New Roman"/>
          <w:sz w:val="24"/>
          <w:szCs w:val="24"/>
        </w:rPr>
        <w:t>4.1.6养殖业 “无抗时代”的到来</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_Toc117868748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"_Toc117868749" </w:instrText>
      </w:r>
      <w:r>
        <w:fldChar w:fldCharType="separate"/>
      </w:r>
      <w:r>
        <w:rPr>
          <w:rStyle w:val="29"/>
          <w:rFonts w:ascii="Times New Roman" w:hAnsi="Times New Roman"/>
          <w:sz w:val="24"/>
          <w:szCs w:val="24"/>
        </w:rPr>
        <w:t>4.1.7数字化智慧化新基建的实施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_Toc117868749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"_Toc117868750" </w:instrText>
      </w:r>
      <w:r>
        <w:fldChar w:fldCharType="separate"/>
      </w:r>
      <w:r>
        <w:rPr>
          <w:rStyle w:val="29"/>
          <w:rFonts w:ascii="Times New Roman" w:hAnsi="Times New Roman"/>
          <w:sz w:val="24"/>
          <w:szCs w:val="24"/>
        </w:rPr>
        <w:t>4.1.8 环保法治体系的日趋成熟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_Toc117868750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"_Toc117868751" </w:instrText>
      </w:r>
      <w:r>
        <w:fldChar w:fldCharType="separate"/>
      </w:r>
      <w:r>
        <w:rPr>
          <w:rStyle w:val="29"/>
          <w:rFonts w:ascii="Times New Roman" w:hAnsi="Times New Roman"/>
          <w:sz w:val="24"/>
        </w:rPr>
        <w:t>4.2 畜禽养殖污染防治面临的挑战</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_Toc117868751 \h </w:instrText>
      </w:r>
      <w:r>
        <w:rPr>
          <w:rFonts w:ascii="Times New Roman" w:hAnsi="Times New Roman"/>
          <w:sz w:val="24"/>
        </w:rPr>
        <w:fldChar w:fldCharType="separate"/>
      </w:r>
      <w:r>
        <w:rPr>
          <w:rFonts w:ascii="Times New Roman" w:hAnsi="Times New Roman"/>
          <w:sz w:val="24"/>
        </w:rPr>
        <w:t>35</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"_Toc117868752" </w:instrText>
      </w:r>
      <w:r>
        <w:fldChar w:fldCharType="separate"/>
      </w:r>
      <w:r>
        <w:rPr>
          <w:rStyle w:val="29"/>
          <w:rFonts w:ascii="Times New Roman" w:hAnsi="Times New Roman"/>
          <w:sz w:val="24"/>
          <w:szCs w:val="24"/>
        </w:rPr>
        <w:t>4.2.1 动物疫情等突发因素的不确定性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_Toc117868752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"_Toc117868753" </w:instrText>
      </w:r>
      <w:r>
        <w:fldChar w:fldCharType="separate"/>
      </w:r>
      <w:r>
        <w:rPr>
          <w:rStyle w:val="29"/>
          <w:rFonts w:ascii="Times New Roman" w:hAnsi="Times New Roman"/>
          <w:sz w:val="24"/>
          <w:szCs w:val="24"/>
        </w:rPr>
        <w:t>4.2.2养殖业规模化发展与环境保护的矛盾性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_Toc117868753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"_Toc117868754" </w:instrText>
      </w:r>
      <w:r>
        <w:fldChar w:fldCharType="separate"/>
      </w:r>
      <w:r>
        <w:rPr>
          <w:rStyle w:val="29"/>
          <w:rFonts w:ascii="Times New Roman" w:hAnsi="Times New Roman"/>
          <w:sz w:val="24"/>
          <w:szCs w:val="24"/>
        </w:rPr>
        <w:t>4.2.3区域生态安全保障任务的艰巨性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_Toc117868754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"_Toc117868755" </w:instrText>
      </w:r>
      <w:r>
        <w:fldChar w:fldCharType="separate"/>
      </w:r>
      <w:r>
        <w:rPr>
          <w:rStyle w:val="29"/>
          <w:rFonts w:ascii="Times New Roman" w:hAnsi="Times New Roman"/>
          <w:sz w:val="24"/>
          <w:szCs w:val="24"/>
        </w:rPr>
        <w:t>4.2.4绿色高质量发展提出的新要求</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_Toc117868755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"_Toc117868756" </w:instrText>
      </w:r>
      <w:r>
        <w:fldChar w:fldCharType="separate"/>
      </w:r>
      <w:r>
        <w:rPr>
          <w:rStyle w:val="29"/>
          <w:rFonts w:ascii="Times New Roman" w:hAnsi="Times New Roman"/>
          <w:sz w:val="24"/>
          <w:szCs w:val="24"/>
        </w:rPr>
        <w:t>4.2.5 禽畜养殖基础设施和管理水平的滞后性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_Toc117868756 \h </w:instrText>
      </w:r>
      <w:r>
        <w:rPr>
          <w:rFonts w:ascii="Times New Roman" w:hAnsi="Times New Roman"/>
          <w:sz w:val="24"/>
          <w:szCs w:val="24"/>
        </w:rPr>
        <w:fldChar w:fldCharType="separate"/>
      </w:r>
      <w:r>
        <w:rPr>
          <w:rFonts w:ascii="Times New Roman" w:hAnsi="Times New Roman"/>
          <w:sz w:val="24"/>
          <w:szCs w:val="24"/>
        </w:rPr>
        <w:t>36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"_Toc117868757" </w:instrText>
      </w:r>
      <w:r>
        <w:fldChar w:fldCharType="separate"/>
      </w:r>
      <w:r>
        <w:rPr>
          <w:rStyle w:val="29"/>
          <w:rFonts w:ascii="Times New Roman" w:hAnsi="Times New Roman"/>
          <w:sz w:val="24"/>
          <w:szCs w:val="24"/>
        </w:rPr>
        <w:t>4.2.6建立现代环境治理体系的紧迫性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_Toc117868757 \h </w:instrText>
      </w:r>
      <w:r>
        <w:rPr>
          <w:rFonts w:ascii="Times New Roman" w:hAnsi="Times New Roman"/>
          <w:sz w:val="24"/>
          <w:szCs w:val="24"/>
        </w:rPr>
        <w:fldChar w:fldCharType="separate"/>
      </w:r>
      <w:r>
        <w:rPr>
          <w:rFonts w:ascii="Times New Roman" w:hAnsi="Times New Roman"/>
          <w:sz w:val="24"/>
          <w:szCs w:val="24"/>
        </w:rPr>
        <w:t>36</w:t>
      </w:r>
      <w:r>
        <w:rPr>
          <w:rFonts w:ascii="Times New Roman" w:hAnsi="Times New Roman"/>
          <w:sz w:val="24"/>
          <w:szCs w:val="24"/>
        </w:rPr>
        <w:fldChar w:fldCharType="end"/>
      </w:r>
      <w:r>
        <w:rPr>
          <w:rFonts w:ascii="Times New Roman" w:hAnsi="Times New Roman"/>
          <w:sz w:val="24"/>
          <w:szCs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"_Toc117868758" </w:instrText>
      </w:r>
      <w:r>
        <w:fldChar w:fldCharType="separate"/>
      </w:r>
      <w:r>
        <w:rPr>
          <w:rStyle w:val="29"/>
          <w:rFonts w:ascii="Times New Roman" w:hAnsi="Times New Roman" w:eastAsia="黑体"/>
          <w:sz w:val="24"/>
        </w:rPr>
        <w:t>第5章 畜禽养殖污染防治的主要任务</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_Toc117868758 \h </w:instrText>
      </w:r>
      <w:r>
        <w:rPr>
          <w:rFonts w:ascii="Times New Roman" w:hAnsi="Times New Roman"/>
          <w:sz w:val="24"/>
        </w:rPr>
        <w:fldChar w:fldCharType="separate"/>
      </w:r>
      <w:r>
        <w:rPr>
          <w:rFonts w:ascii="Times New Roman" w:hAnsi="Times New Roman"/>
          <w:sz w:val="24"/>
        </w:rPr>
        <w:t>37</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"_Toc117868759" </w:instrText>
      </w:r>
      <w:r>
        <w:fldChar w:fldCharType="separate"/>
      </w:r>
      <w:r>
        <w:rPr>
          <w:rStyle w:val="29"/>
          <w:rFonts w:ascii="Times New Roman" w:hAnsi="Times New Roman"/>
          <w:sz w:val="24"/>
        </w:rPr>
        <w:t>5.1强化畜禽养殖污染源头控制</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_Toc117868759 \h </w:instrText>
      </w:r>
      <w:r>
        <w:rPr>
          <w:rFonts w:ascii="Times New Roman" w:hAnsi="Times New Roman"/>
          <w:sz w:val="24"/>
        </w:rPr>
        <w:fldChar w:fldCharType="separate"/>
      </w:r>
      <w:r>
        <w:rPr>
          <w:rFonts w:ascii="Times New Roman" w:hAnsi="Times New Roman"/>
          <w:sz w:val="24"/>
        </w:rPr>
        <w:t>37</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"_Toc117868760" </w:instrText>
      </w:r>
      <w:r>
        <w:fldChar w:fldCharType="separate"/>
      </w:r>
      <w:r>
        <w:rPr>
          <w:rStyle w:val="29"/>
          <w:rFonts w:ascii="Times New Roman" w:hAnsi="Times New Roman"/>
          <w:sz w:val="24"/>
        </w:rPr>
        <w:t>5.2 构建“两核两片多点”畜禽养殖空间格局</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_Toc117868760 \h </w:instrText>
      </w:r>
      <w:r>
        <w:rPr>
          <w:rFonts w:ascii="Times New Roman" w:hAnsi="Times New Roman"/>
          <w:sz w:val="24"/>
        </w:rPr>
        <w:fldChar w:fldCharType="separate"/>
      </w:r>
      <w:r>
        <w:rPr>
          <w:rFonts w:ascii="Times New Roman" w:hAnsi="Times New Roman"/>
          <w:sz w:val="24"/>
        </w:rPr>
        <w:t>37</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"_Toc117868761" </w:instrText>
      </w:r>
      <w:r>
        <w:fldChar w:fldCharType="separate"/>
      </w:r>
      <w:r>
        <w:rPr>
          <w:rStyle w:val="29"/>
          <w:rFonts w:ascii="Times New Roman" w:hAnsi="Times New Roman"/>
          <w:sz w:val="24"/>
          <w:szCs w:val="24"/>
        </w:rPr>
        <w:t>5.2.1 构建城市发展和生态保护核心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_Toc117868761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"_Toc117868762" </w:instrText>
      </w:r>
      <w:r>
        <w:fldChar w:fldCharType="separate"/>
      </w:r>
      <w:r>
        <w:rPr>
          <w:rStyle w:val="29"/>
          <w:rFonts w:ascii="Times New Roman" w:hAnsi="Times New Roman"/>
          <w:sz w:val="24"/>
          <w:szCs w:val="24"/>
        </w:rPr>
        <w:t>5.2.2 构建畜牧养殖产业示范核心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_Toc117868762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"_Toc117868763" </w:instrText>
      </w:r>
      <w:r>
        <w:fldChar w:fldCharType="separate"/>
      </w:r>
      <w:r>
        <w:rPr>
          <w:rStyle w:val="29"/>
          <w:rFonts w:ascii="Times New Roman" w:hAnsi="Times New Roman"/>
          <w:sz w:val="24"/>
          <w:szCs w:val="24"/>
        </w:rPr>
        <w:t>5.2.3 构建西部畜禽养殖一般发展片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_Toc117868763 \h </w:instrText>
      </w:r>
      <w:r>
        <w:rPr>
          <w:rFonts w:ascii="Times New Roman" w:hAnsi="Times New Roman"/>
          <w:sz w:val="24"/>
          <w:szCs w:val="24"/>
        </w:rPr>
        <w:fldChar w:fldCharType="separate"/>
      </w:r>
      <w:r>
        <w:rPr>
          <w:rFonts w:ascii="Times New Roman" w:hAnsi="Times New Roman"/>
          <w:sz w:val="24"/>
          <w:szCs w:val="24"/>
        </w:rPr>
        <w:t>39</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"_Toc117868764" </w:instrText>
      </w:r>
      <w:r>
        <w:fldChar w:fldCharType="separate"/>
      </w:r>
      <w:r>
        <w:rPr>
          <w:rStyle w:val="29"/>
          <w:rFonts w:ascii="Times New Roman" w:hAnsi="Times New Roman"/>
          <w:sz w:val="24"/>
          <w:szCs w:val="24"/>
        </w:rPr>
        <w:t>5.2.4 构建东部畜禽养殖主要发展片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_Toc117868764 \h </w:instrText>
      </w:r>
      <w:r>
        <w:rPr>
          <w:rFonts w:ascii="Times New Roman" w:hAnsi="Times New Roman"/>
          <w:sz w:val="24"/>
          <w:szCs w:val="24"/>
        </w:rPr>
        <w:fldChar w:fldCharType="separate"/>
      </w:r>
      <w:r>
        <w:rPr>
          <w:rFonts w:ascii="Times New Roman" w:hAnsi="Times New Roman"/>
          <w:sz w:val="24"/>
          <w:szCs w:val="24"/>
        </w:rPr>
        <w:t>39</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"_Toc117868765" </w:instrText>
      </w:r>
      <w:r>
        <w:fldChar w:fldCharType="separate"/>
      </w:r>
      <w:r>
        <w:rPr>
          <w:rStyle w:val="29"/>
          <w:rFonts w:ascii="Times New Roman" w:hAnsi="Times New Roman"/>
          <w:sz w:val="24"/>
        </w:rPr>
        <w:t>5.3 创建省星级现代农业园区</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_Toc117868765 \h </w:instrText>
      </w:r>
      <w:r>
        <w:rPr>
          <w:rFonts w:ascii="Times New Roman" w:hAnsi="Times New Roman"/>
          <w:sz w:val="24"/>
        </w:rPr>
        <w:fldChar w:fldCharType="separate"/>
      </w:r>
      <w:r>
        <w:rPr>
          <w:rFonts w:ascii="Times New Roman" w:hAnsi="Times New Roman"/>
          <w:sz w:val="24"/>
        </w:rPr>
        <w:t>40</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"_Toc117868766" </w:instrText>
      </w:r>
      <w:r>
        <w:fldChar w:fldCharType="separate"/>
      </w:r>
      <w:r>
        <w:rPr>
          <w:rStyle w:val="29"/>
          <w:rFonts w:ascii="Times New Roman" w:hAnsi="Times New Roman"/>
          <w:sz w:val="24"/>
          <w:szCs w:val="24"/>
        </w:rPr>
        <w:t>5.3.1  任务目标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_Toc117868766 \h </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"_Toc117868767" </w:instrText>
      </w:r>
      <w:r>
        <w:fldChar w:fldCharType="separate"/>
      </w:r>
      <w:r>
        <w:rPr>
          <w:rStyle w:val="29"/>
          <w:rFonts w:ascii="Times New Roman" w:hAnsi="Times New Roman"/>
          <w:sz w:val="24"/>
          <w:szCs w:val="24"/>
        </w:rPr>
        <w:t>5.3.2 总体布局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_Toc117868767 \h </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"_Toc117868768" </w:instrText>
      </w:r>
      <w:r>
        <w:fldChar w:fldCharType="separate"/>
      </w:r>
      <w:r>
        <w:rPr>
          <w:rStyle w:val="29"/>
          <w:rFonts w:ascii="Times New Roman" w:hAnsi="Times New Roman"/>
          <w:sz w:val="24"/>
        </w:rPr>
        <w:t>5.4 构建现代化禽畜养殖生产体系</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_Toc117868768 \h </w:instrText>
      </w:r>
      <w:r>
        <w:rPr>
          <w:rFonts w:ascii="Times New Roman" w:hAnsi="Times New Roman"/>
          <w:sz w:val="24"/>
        </w:rPr>
        <w:fldChar w:fldCharType="separate"/>
      </w:r>
      <w:r>
        <w:rPr>
          <w:rFonts w:ascii="Times New Roman" w:hAnsi="Times New Roman"/>
          <w:sz w:val="24"/>
        </w:rPr>
        <w:t>42</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"_Toc117868769" </w:instrText>
      </w:r>
      <w:r>
        <w:fldChar w:fldCharType="separate"/>
      </w:r>
      <w:r>
        <w:rPr>
          <w:rStyle w:val="29"/>
          <w:rFonts w:ascii="Times New Roman" w:hAnsi="Times New Roman"/>
          <w:sz w:val="24"/>
          <w:szCs w:val="24"/>
        </w:rPr>
        <w:t>5.4.1 加快主要禽畜发展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_Toc117868769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"_Toc117868770" </w:instrText>
      </w:r>
      <w:r>
        <w:fldChar w:fldCharType="separate"/>
      </w:r>
      <w:r>
        <w:rPr>
          <w:rStyle w:val="29"/>
          <w:rFonts w:ascii="Times New Roman" w:hAnsi="Times New Roman"/>
          <w:sz w:val="24"/>
          <w:szCs w:val="24"/>
        </w:rPr>
        <w:t>5.4.2持续推进养殖场（小区）标准化建设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_Toc117868770 \h </w:instrText>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"_Toc117868771" </w:instrText>
      </w:r>
      <w:r>
        <w:fldChar w:fldCharType="separate"/>
      </w:r>
      <w:r>
        <w:rPr>
          <w:rStyle w:val="29"/>
          <w:rFonts w:ascii="Times New Roman" w:hAnsi="Times New Roman"/>
          <w:sz w:val="24"/>
          <w:szCs w:val="24"/>
        </w:rPr>
        <w:t>5.4.3 提升养殖规模化水平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_Toc117868771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"_Toc117868772" </w:instrText>
      </w:r>
      <w:r>
        <w:fldChar w:fldCharType="separate"/>
      </w:r>
      <w:r>
        <w:rPr>
          <w:rStyle w:val="29"/>
          <w:rFonts w:ascii="Times New Roman" w:hAnsi="Times New Roman"/>
          <w:sz w:val="24"/>
          <w:szCs w:val="24"/>
        </w:rPr>
        <w:t>5.4.4 提升养殖场（小区）机械化数字化水平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_Toc117868772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"_Toc117868773" </w:instrText>
      </w:r>
      <w:r>
        <w:fldChar w:fldCharType="separate"/>
      </w:r>
      <w:r>
        <w:rPr>
          <w:rStyle w:val="29"/>
          <w:rFonts w:ascii="Times New Roman" w:hAnsi="Times New Roman"/>
          <w:sz w:val="24"/>
          <w:szCs w:val="24"/>
        </w:rPr>
        <w:t>5.4.5 推广设施型养殖模式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_Toc117868773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"_Toc117868774" </w:instrText>
      </w:r>
      <w:r>
        <w:fldChar w:fldCharType="separate"/>
      </w:r>
      <w:r>
        <w:rPr>
          <w:rStyle w:val="29"/>
          <w:rFonts w:ascii="Times New Roman" w:hAnsi="Times New Roman"/>
          <w:sz w:val="24"/>
        </w:rPr>
        <w:t>5.5 推进畜禽废弃物资源化利用</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_Toc117868774 \h </w:instrText>
      </w:r>
      <w:r>
        <w:rPr>
          <w:rFonts w:ascii="Times New Roman" w:hAnsi="Times New Roman"/>
          <w:sz w:val="24"/>
        </w:rPr>
        <w:fldChar w:fldCharType="separate"/>
      </w:r>
      <w:r>
        <w:rPr>
          <w:rFonts w:ascii="Times New Roman" w:hAnsi="Times New Roman"/>
          <w:sz w:val="24"/>
        </w:rPr>
        <w:t>43</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"_Toc117868775" </w:instrText>
      </w:r>
      <w:r>
        <w:fldChar w:fldCharType="separate"/>
      </w:r>
      <w:r>
        <w:rPr>
          <w:rStyle w:val="29"/>
          <w:rFonts w:ascii="Times New Roman" w:hAnsi="Times New Roman"/>
          <w:sz w:val="24"/>
          <w:szCs w:val="24"/>
        </w:rPr>
        <w:t>5.5.1提升养殖废弃物综合利用水平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_Toc117868775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"_Toc117868776" </w:instrText>
      </w:r>
      <w:r>
        <w:fldChar w:fldCharType="separate"/>
      </w:r>
      <w:r>
        <w:rPr>
          <w:rStyle w:val="29"/>
          <w:rFonts w:ascii="Times New Roman" w:hAnsi="Times New Roman"/>
          <w:sz w:val="24"/>
          <w:szCs w:val="24"/>
        </w:rPr>
        <w:t>5.5.2推进畜禽粪便有机肥生产中心建设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_Toc117868776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"_Toc117868777" </w:instrText>
      </w:r>
      <w:r>
        <w:fldChar w:fldCharType="separate"/>
      </w:r>
      <w:r>
        <w:rPr>
          <w:rStyle w:val="29"/>
          <w:rFonts w:ascii="Times New Roman" w:hAnsi="Times New Roman"/>
          <w:sz w:val="24"/>
          <w:szCs w:val="24"/>
        </w:rPr>
        <w:t>5.5.3推进畜禽养殖粪污沼气工程建设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_Toc117868777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"_Toc117868778" </w:instrText>
      </w:r>
      <w:r>
        <w:fldChar w:fldCharType="separate"/>
      </w:r>
      <w:r>
        <w:rPr>
          <w:rStyle w:val="29"/>
          <w:rFonts w:ascii="Times New Roman" w:hAnsi="Times New Roman"/>
          <w:sz w:val="24"/>
          <w:szCs w:val="24"/>
        </w:rPr>
        <w:t>5.5.4 探索实施畜禽粪污厌氧还田和异位发酵床技术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_Toc117868778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"_Toc117868779" </w:instrText>
      </w:r>
      <w:r>
        <w:fldChar w:fldCharType="separate"/>
      </w:r>
      <w:r>
        <w:rPr>
          <w:rStyle w:val="29"/>
          <w:rFonts w:ascii="Times New Roman" w:hAnsi="Times New Roman"/>
          <w:sz w:val="24"/>
          <w:szCs w:val="24"/>
        </w:rPr>
        <w:t>5.5.5 推进种养循环示范基地建设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_Toc117868779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"_Toc117868780" </w:instrText>
      </w:r>
      <w:r>
        <w:fldChar w:fldCharType="separate"/>
      </w:r>
      <w:r>
        <w:rPr>
          <w:rStyle w:val="29"/>
          <w:rFonts w:ascii="Times New Roman" w:hAnsi="Times New Roman"/>
          <w:sz w:val="24"/>
          <w:szCs w:val="24"/>
        </w:rPr>
        <w:t>5.5.6 加强病死畜禽无害化处理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_Toc117868780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"_Toc117868781" </w:instrText>
      </w:r>
      <w:r>
        <w:fldChar w:fldCharType="separate"/>
      </w:r>
      <w:r>
        <w:rPr>
          <w:rStyle w:val="29"/>
          <w:rFonts w:ascii="Times New Roman" w:hAnsi="Times New Roman"/>
          <w:sz w:val="24"/>
          <w:szCs w:val="24"/>
        </w:rPr>
        <w:t>5.5.7 加强与科研院所科技合作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_Toc117868781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"_Toc117868782" </w:instrText>
      </w:r>
      <w:r>
        <w:fldChar w:fldCharType="separate"/>
      </w:r>
      <w:r>
        <w:rPr>
          <w:rStyle w:val="29"/>
          <w:rFonts w:ascii="Times New Roman" w:hAnsi="Times New Roman"/>
          <w:sz w:val="24"/>
        </w:rPr>
        <w:t>5.6 落实畜禽养殖污染物“一场一策”防治制度</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_Toc117868782 \h </w:instrText>
      </w:r>
      <w:r>
        <w:rPr>
          <w:rFonts w:ascii="Times New Roman" w:hAnsi="Times New Roman"/>
          <w:sz w:val="24"/>
        </w:rPr>
        <w:fldChar w:fldCharType="separate"/>
      </w:r>
      <w:r>
        <w:rPr>
          <w:rFonts w:ascii="Times New Roman" w:hAnsi="Times New Roman"/>
          <w:sz w:val="24"/>
        </w:rPr>
        <w:t>45</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"_Toc117868783" </w:instrText>
      </w:r>
      <w:r>
        <w:fldChar w:fldCharType="separate"/>
      </w:r>
      <w:r>
        <w:rPr>
          <w:rStyle w:val="29"/>
          <w:rFonts w:ascii="Times New Roman" w:hAnsi="Times New Roman"/>
          <w:sz w:val="24"/>
          <w:szCs w:val="24"/>
        </w:rPr>
        <w:t>5.6.1强化污染治理设施建设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_Toc117868783 \h </w:instrText>
      </w:r>
      <w:r>
        <w:rPr>
          <w:rFonts w:ascii="Times New Roman" w:hAnsi="Times New Roman"/>
          <w:sz w:val="24"/>
          <w:szCs w:val="24"/>
        </w:rPr>
        <w:fldChar w:fldCharType="separate"/>
      </w:r>
      <w:r>
        <w:rPr>
          <w:rFonts w:ascii="Times New Roman" w:hAnsi="Times New Roman"/>
          <w:sz w:val="24"/>
          <w:szCs w:val="24"/>
        </w:rPr>
        <w:t>45</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"_Toc117868784" </w:instrText>
      </w:r>
      <w:r>
        <w:fldChar w:fldCharType="separate"/>
      </w:r>
      <w:r>
        <w:rPr>
          <w:rStyle w:val="29"/>
          <w:rFonts w:ascii="Times New Roman" w:hAnsi="Times New Roman"/>
          <w:sz w:val="24"/>
          <w:szCs w:val="24"/>
        </w:rPr>
        <w:t>5.6.2严控源头污染物排放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_Toc117868784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"_Toc117868785" </w:instrText>
      </w:r>
      <w:r>
        <w:fldChar w:fldCharType="separate"/>
      </w:r>
      <w:r>
        <w:rPr>
          <w:rStyle w:val="29"/>
          <w:rFonts w:ascii="Times New Roman" w:hAnsi="Times New Roman"/>
          <w:sz w:val="24"/>
          <w:szCs w:val="24"/>
        </w:rPr>
        <w:t>5.6.3推进养殖臭气治理工程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_Toc117868785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"_Toc117868786" </w:instrText>
      </w:r>
      <w:r>
        <w:fldChar w:fldCharType="separate"/>
      </w:r>
      <w:r>
        <w:rPr>
          <w:rStyle w:val="29"/>
          <w:rFonts w:ascii="Times New Roman" w:hAnsi="Times New Roman"/>
          <w:sz w:val="24"/>
          <w:szCs w:val="24"/>
        </w:rPr>
        <w:t>5.6.4 落实台帐记录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_Toc117868786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"_Toc117868787" </w:instrText>
      </w:r>
      <w:r>
        <w:fldChar w:fldCharType="separate"/>
      </w:r>
      <w:r>
        <w:rPr>
          <w:rStyle w:val="29"/>
          <w:rFonts w:ascii="Times New Roman" w:hAnsi="Times New Roman"/>
          <w:sz w:val="24"/>
          <w:szCs w:val="24"/>
        </w:rPr>
        <w:t>5.6.5强化技术培训</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_Toc117868787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"_Toc117868788" </w:instrText>
      </w:r>
      <w:r>
        <w:fldChar w:fldCharType="separate"/>
      </w:r>
      <w:r>
        <w:rPr>
          <w:rStyle w:val="29"/>
          <w:rFonts w:ascii="Times New Roman" w:hAnsi="Times New Roman"/>
          <w:sz w:val="24"/>
        </w:rPr>
        <w:t>5.7 加强生态环境监管制度和能力建设</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_Toc117868788 \h </w:instrText>
      </w:r>
      <w:r>
        <w:rPr>
          <w:rFonts w:ascii="Times New Roman" w:hAnsi="Times New Roman"/>
          <w:sz w:val="24"/>
        </w:rPr>
        <w:fldChar w:fldCharType="separate"/>
      </w:r>
      <w:r>
        <w:rPr>
          <w:rFonts w:ascii="Times New Roman" w:hAnsi="Times New Roman"/>
          <w:sz w:val="24"/>
        </w:rPr>
        <w:t>46</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"_Toc117868789" </w:instrText>
      </w:r>
      <w:r>
        <w:fldChar w:fldCharType="separate"/>
      </w:r>
      <w:r>
        <w:rPr>
          <w:rStyle w:val="29"/>
          <w:rFonts w:ascii="Times New Roman" w:hAnsi="Times New Roman"/>
          <w:sz w:val="24"/>
          <w:szCs w:val="24"/>
        </w:rPr>
        <w:t>5.7.1强化生态环境执法监督</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_Toc117868789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"_Toc117868790" </w:instrText>
      </w:r>
      <w:r>
        <w:fldChar w:fldCharType="separate"/>
      </w:r>
      <w:r>
        <w:rPr>
          <w:rStyle w:val="29"/>
          <w:rFonts w:ascii="Times New Roman" w:hAnsi="Times New Roman"/>
          <w:sz w:val="24"/>
          <w:szCs w:val="24"/>
        </w:rPr>
        <w:t>5.7.2强化养殖生态环境风险防控体系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_Toc117868790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"_Toc117868791" </w:instrText>
      </w:r>
      <w:r>
        <w:fldChar w:fldCharType="separate"/>
      </w:r>
      <w:r>
        <w:rPr>
          <w:rStyle w:val="29"/>
          <w:rFonts w:ascii="Times New Roman" w:hAnsi="Times New Roman"/>
          <w:sz w:val="24"/>
          <w:szCs w:val="24"/>
        </w:rPr>
        <w:t>5.7.3健全区域协作联防联控机制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_Toc117868791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"_Toc117868792" </w:instrText>
      </w:r>
      <w:r>
        <w:fldChar w:fldCharType="separate"/>
      </w:r>
      <w:r>
        <w:rPr>
          <w:rStyle w:val="29"/>
          <w:rFonts w:ascii="Times New Roman" w:hAnsi="Times New Roman"/>
          <w:sz w:val="24"/>
        </w:rPr>
        <w:t>5.8 重点建设的工程项目</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_Toc117868792 \h </w:instrText>
      </w:r>
      <w:r>
        <w:rPr>
          <w:rFonts w:ascii="Times New Roman" w:hAnsi="Times New Roman"/>
          <w:sz w:val="24"/>
        </w:rPr>
        <w:fldChar w:fldCharType="separate"/>
      </w:r>
      <w:r>
        <w:rPr>
          <w:rFonts w:ascii="Times New Roman" w:hAnsi="Times New Roman"/>
          <w:sz w:val="24"/>
        </w:rPr>
        <w:t>48</w:t>
      </w:r>
      <w:r>
        <w:rPr>
          <w:rFonts w:ascii="Times New Roman" w:hAnsi="Times New Roman"/>
          <w:sz w:val="24"/>
        </w:rPr>
        <w:fldChar w:fldCharType="end"/>
      </w:r>
      <w:r>
        <w:rPr>
          <w:rFonts w:ascii="Times New Roman" w:hAnsi="Times New Roman"/>
          <w:sz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"_Toc117868793" </w:instrText>
      </w:r>
      <w:r>
        <w:fldChar w:fldCharType="separate"/>
      </w:r>
      <w:r>
        <w:rPr>
          <w:rStyle w:val="29"/>
          <w:rFonts w:ascii="Times New Roman" w:hAnsi="Times New Roman"/>
          <w:sz w:val="24"/>
          <w:szCs w:val="24"/>
        </w:rPr>
        <w:t>5.8.1现代农业园区养殖基地建设项目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_Toc117868793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"_Toc117868794" </w:instrText>
      </w:r>
      <w:r>
        <w:fldChar w:fldCharType="separate"/>
      </w:r>
      <w:r>
        <w:rPr>
          <w:rStyle w:val="29"/>
          <w:rFonts w:ascii="Times New Roman" w:hAnsi="Times New Roman"/>
          <w:sz w:val="24"/>
          <w:szCs w:val="24"/>
        </w:rPr>
        <w:t>5.8.2现代农业园区基础设施建设项目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_Toc117868794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pPr>
        <w:pStyle w:val="10"/>
        <w:tabs>
          <w:tab w:val="right" w:leader="dot" w:pos="8296"/>
        </w:tabs>
        <w:ind w:left="1120"/>
        <w:rPr>
          <w:rFonts w:ascii="Times New Roman" w:hAnsi="Times New Roman" w:eastAsiaTheme="minorEastAsia"/>
          <w:sz w:val="24"/>
          <w:szCs w:val="24"/>
        </w:rPr>
      </w:pPr>
      <w:r>
        <w:fldChar w:fldCharType="begin"/>
      </w:r>
      <w:r>
        <w:instrText xml:space="preserve"> HYPERLINK \l "_Toc117868795" </w:instrText>
      </w:r>
      <w:r>
        <w:fldChar w:fldCharType="separate"/>
      </w:r>
      <w:r>
        <w:rPr>
          <w:rStyle w:val="29"/>
          <w:rFonts w:ascii="Times New Roman" w:hAnsi="Times New Roman"/>
          <w:sz w:val="24"/>
          <w:szCs w:val="24"/>
        </w:rPr>
        <w:t>5.8.3禽畜养殖污染防治工程建设项目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_Toc117868795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"_Toc117868796" </w:instrText>
      </w:r>
      <w:r>
        <w:fldChar w:fldCharType="separate"/>
      </w:r>
      <w:r>
        <w:rPr>
          <w:rStyle w:val="29"/>
          <w:rFonts w:ascii="Times New Roman" w:hAnsi="Times New Roman" w:eastAsia="黑体"/>
          <w:sz w:val="24"/>
        </w:rPr>
        <w:t>第6章 保障措施</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_Toc117868796 \h </w:instrText>
      </w:r>
      <w:r>
        <w:rPr>
          <w:rFonts w:ascii="Times New Roman" w:hAnsi="Times New Roman"/>
          <w:sz w:val="24"/>
        </w:rPr>
        <w:fldChar w:fldCharType="separate"/>
      </w:r>
      <w:r>
        <w:rPr>
          <w:rFonts w:ascii="Times New Roman" w:hAnsi="Times New Roman"/>
          <w:sz w:val="24"/>
        </w:rPr>
        <w:t>51</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"_Toc117868797" </w:instrText>
      </w:r>
      <w:r>
        <w:fldChar w:fldCharType="separate"/>
      </w:r>
      <w:r>
        <w:rPr>
          <w:rStyle w:val="29"/>
          <w:rFonts w:ascii="Times New Roman" w:hAnsi="Times New Roman"/>
          <w:sz w:val="24"/>
        </w:rPr>
        <w:t>6.1加强领导，落实防治目标</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_Toc117868797 \h </w:instrText>
      </w:r>
      <w:r>
        <w:rPr>
          <w:rFonts w:ascii="Times New Roman" w:hAnsi="Times New Roman"/>
          <w:sz w:val="24"/>
        </w:rPr>
        <w:fldChar w:fldCharType="separate"/>
      </w:r>
      <w:r>
        <w:rPr>
          <w:rFonts w:ascii="Times New Roman" w:hAnsi="Times New Roman"/>
          <w:sz w:val="24"/>
        </w:rPr>
        <w:t>51</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"_Toc117868798" </w:instrText>
      </w:r>
      <w:r>
        <w:fldChar w:fldCharType="separate"/>
      </w:r>
      <w:r>
        <w:rPr>
          <w:rStyle w:val="29"/>
          <w:rFonts w:ascii="Times New Roman" w:hAnsi="Times New Roman"/>
          <w:sz w:val="24"/>
        </w:rPr>
        <w:t>6.2明确重点，细化防治措施</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_Toc117868798 \h </w:instrText>
      </w:r>
      <w:r>
        <w:rPr>
          <w:rFonts w:ascii="Times New Roman" w:hAnsi="Times New Roman"/>
          <w:sz w:val="24"/>
        </w:rPr>
        <w:fldChar w:fldCharType="separate"/>
      </w:r>
      <w:r>
        <w:rPr>
          <w:rFonts w:ascii="Times New Roman" w:hAnsi="Times New Roman"/>
          <w:sz w:val="24"/>
        </w:rPr>
        <w:t>51</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"_Toc117868799" </w:instrText>
      </w:r>
      <w:r>
        <w:fldChar w:fldCharType="separate"/>
      </w:r>
      <w:r>
        <w:rPr>
          <w:rStyle w:val="29"/>
          <w:rFonts w:ascii="Times New Roman" w:hAnsi="Times New Roman"/>
          <w:sz w:val="24"/>
        </w:rPr>
        <w:t>6.3增加投入，加大政策扶持</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_Toc117868799 \h </w:instrText>
      </w:r>
      <w:r>
        <w:rPr>
          <w:rFonts w:ascii="Times New Roman" w:hAnsi="Times New Roman"/>
          <w:sz w:val="24"/>
        </w:rPr>
        <w:fldChar w:fldCharType="separate"/>
      </w:r>
      <w:r>
        <w:rPr>
          <w:rFonts w:ascii="Times New Roman" w:hAnsi="Times New Roman"/>
          <w:sz w:val="24"/>
        </w:rPr>
        <w:t>52</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"_Toc117868800" </w:instrText>
      </w:r>
      <w:r>
        <w:fldChar w:fldCharType="separate"/>
      </w:r>
      <w:r>
        <w:rPr>
          <w:rStyle w:val="29"/>
          <w:rFonts w:ascii="Times New Roman" w:hAnsi="Times New Roman"/>
          <w:sz w:val="24"/>
        </w:rPr>
        <w:t>6.4深化合作，强化科技支撑</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_Toc117868800 \h </w:instrText>
      </w:r>
      <w:r>
        <w:rPr>
          <w:rFonts w:ascii="Times New Roman" w:hAnsi="Times New Roman"/>
          <w:sz w:val="24"/>
        </w:rPr>
        <w:fldChar w:fldCharType="separate"/>
      </w:r>
      <w:r>
        <w:rPr>
          <w:rFonts w:ascii="Times New Roman" w:hAnsi="Times New Roman"/>
          <w:sz w:val="24"/>
        </w:rPr>
        <w:t>53</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"_Toc117868801" </w:instrText>
      </w:r>
      <w:r>
        <w:fldChar w:fldCharType="separate"/>
      </w:r>
      <w:r>
        <w:rPr>
          <w:rStyle w:val="29"/>
          <w:rFonts w:ascii="Times New Roman" w:hAnsi="Times New Roman"/>
          <w:sz w:val="24"/>
        </w:rPr>
        <w:t>6.5强化技术，提升服务水平</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_Toc117868801 \h </w:instrText>
      </w:r>
      <w:r>
        <w:rPr>
          <w:rFonts w:ascii="Times New Roman" w:hAnsi="Times New Roman"/>
          <w:sz w:val="24"/>
        </w:rPr>
        <w:fldChar w:fldCharType="separate"/>
      </w:r>
      <w:r>
        <w:rPr>
          <w:rFonts w:ascii="Times New Roman" w:hAnsi="Times New Roman"/>
          <w:sz w:val="24"/>
        </w:rPr>
        <w:t>53</w:t>
      </w:r>
      <w:r>
        <w:rPr>
          <w:rFonts w:ascii="Times New Roman" w:hAnsi="Times New Roman"/>
          <w:sz w:val="24"/>
        </w:rPr>
        <w:fldChar w:fldCharType="end"/>
      </w:r>
      <w:r>
        <w:rPr>
          <w:rFonts w:ascii="Times New Roman" w:hAnsi="Times New Roman"/>
          <w:sz w:val="24"/>
        </w:rPr>
        <w:fldChar w:fldCharType="end"/>
      </w:r>
    </w:p>
    <w:p>
      <w:pPr>
        <w:pStyle w:val="19"/>
        <w:tabs>
          <w:tab w:val="right" w:leader="dot" w:pos="8296"/>
        </w:tabs>
        <w:ind w:left="560"/>
        <w:rPr>
          <w:rFonts w:ascii="Times New Roman" w:hAnsi="Times New Roman" w:eastAsiaTheme="minorEastAsia"/>
          <w:sz w:val="24"/>
        </w:rPr>
      </w:pPr>
      <w:r>
        <w:fldChar w:fldCharType="begin"/>
      </w:r>
      <w:r>
        <w:instrText xml:space="preserve"> HYPERLINK \l "_Toc117868802" </w:instrText>
      </w:r>
      <w:r>
        <w:fldChar w:fldCharType="separate"/>
      </w:r>
      <w:r>
        <w:rPr>
          <w:rStyle w:val="29"/>
          <w:rFonts w:ascii="Times New Roman" w:hAnsi="Times New Roman"/>
          <w:sz w:val="24"/>
        </w:rPr>
        <w:t>6.6加强宣传，营造治理氛围</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_Toc117868802 \h </w:instrText>
      </w:r>
      <w:r>
        <w:rPr>
          <w:rFonts w:ascii="Times New Roman" w:hAnsi="Times New Roman"/>
          <w:sz w:val="24"/>
        </w:rPr>
        <w:fldChar w:fldCharType="separate"/>
      </w:r>
      <w:r>
        <w:rPr>
          <w:rFonts w:ascii="Times New Roman" w:hAnsi="Times New Roman"/>
          <w:sz w:val="24"/>
        </w:rPr>
        <w:t>53</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"_Toc117868803" </w:instrText>
      </w:r>
      <w:r>
        <w:fldChar w:fldCharType="separate"/>
      </w:r>
      <w:r>
        <w:rPr>
          <w:rStyle w:val="29"/>
          <w:rFonts w:ascii="Times New Roman" w:hAnsi="Times New Roman" w:eastAsia="黑体"/>
          <w:sz w:val="24"/>
        </w:rPr>
        <w:t>第7章 附件</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_Toc117868803 \h </w:instrText>
      </w:r>
      <w:r>
        <w:rPr>
          <w:rFonts w:ascii="Times New Roman" w:hAnsi="Times New Roman"/>
          <w:sz w:val="24"/>
        </w:rPr>
        <w:fldChar w:fldCharType="separate"/>
      </w:r>
      <w:r>
        <w:rPr>
          <w:rFonts w:ascii="Times New Roman" w:hAnsi="Times New Roman"/>
          <w:sz w:val="24"/>
        </w:rPr>
        <w:t>54</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"_Toc117868804" </w:instrText>
      </w:r>
      <w:r>
        <w:fldChar w:fldCharType="separate"/>
      </w:r>
      <w:r>
        <w:rPr>
          <w:rStyle w:val="29"/>
          <w:rFonts w:ascii="Times New Roman" w:hAnsi="Times New Roman"/>
          <w:sz w:val="24"/>
        </w:rPr>
        <w:t>附件1 《乐山市市中区畜禽养殖禁养区划定调整方案》文件</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_Toc117868804 \h </w:instrText>
      </w:r>
      <w:r>
        <w:rPr>
          <w:rFonts w:ascii="Times New Roman" w:hAnsi="Times New Roman"/>
          <w:sz w:val="24"/>
        </w:rPr>
        <w:fldChar w:fldCharType="separate"/>
      </w:r>
      <w:r>
        <w:rPr>
          <w:rFonts w:ascii="Times New Roman" w:hAnsi="Times New Roman"/>
          <w:sz w:val="24"/>
        </w:rPr>
        <w:t>54</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imes New Roman" w:hAnsi="Times New Roman" w:eastAsiaTheme="minorEastAsia"/>
          <w:sz w:val="24"/>
        </w:rPr>
      </w:pPr>
      <w:r>
        <w:fldChar w:fldCharType="begin"/>
      </w:r>
      <w:r>
        <w:instrText xml:space="preserve"> HYPERLINK \l "_Toc117868805" </w:instrText>
      </w:r>
      <w:r>
        <w:fldChar w:fldCharType="separate"/>
      </w:r>
      <w:r>
        <w:rPr>
          <w:rStyle w:val="29"/>
          <w:rFonts w:ascii="Times New Roman" w:hAnsi="Times New Roman"/>
          <w:sz w:val="24"/>
        </w:rPr>
        <w:t>附件2 乐山市市中区畜禽养殖禁养区分布图</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_Toc117868805 \h </w:instrText>
      </w:r>
      <w:r>
        <w:rPr>
          <w:rFonts w:ascii="Times New Roman" w:hAnsi="Times New Roman"/>
          <w:sz w:val="24"/>
        </w:rPr>
        <w:fldChar w:fldCharType="separate"/>
      </w:r>
      <w:r>
        <w:rPr>
          <w:rFonts w:ascii="Times New Roman" w:hAnsi="Times New Roman"/>
          <w:sz w:val="24"/>
        </w:rPr>
        <w:t>55</w:t>
      </w:r>
      <w:r>
        <w:rPr>
          <w:rFonts w:ascii="Times New Roman" w:hAnsi="Times New Roman"/>
          <w:sz w:val="24"/>
        </w:rPr>
        <w:fldChar w:fldCharType="end"/>
      </w:r>
      <w:r>
        <w:rPr>
          <w:rFonts w:ascii="Times New Roman" w:hAnsi="Times New Roman"/>
          <w:sz w:val="24"/>
        </w:rPr>
        <w:fldChar w:fldCharType="end"/>
      </w:r>
    </w:p>
    <w:p>
      <w:pPr>
        <w:pStyle w:val="16"/>
        <w:tabs>
          <w:tab w:val="right" w:leader="dot" w:pos="8296"/>
        </w:tabs>
        <w:rPr>
          <w:rFonts w:asciiTheme="minorHAnsi" w:hAnsiTheme="minorHAnsi" w:eastAsiaTheme="minorEastAsia" w:cstheme="minorBidi"/>
          <w:sz w:val="21"/>
          <w:szCs w:val="22"/>
        </w:rPr>
      </w:pPr>
      <w:r>
        <w:fldChar w:fldCharType="begin"/>
      </w:r>
      <w:r>
        <w:instrText xml:space="preserve"> HYPERLINK \l "_Toc117868806" </w:instrText>
      </w:r>
      <w:r>
        <w:fldChar w:fldCharType="separate"/>
      </w:r>
      <w:r>
        <w:rPr>
          <w:rStyle w:val="29"/>
          <w:rFonts w:ascii="Times New Roman" w:hAnsi="Times New Roman"/>
          <w:sz w:val="24"/>
        </w:rPr>
        <w:t>附件3 乐山市市中区禽畜养殖污染防治工程建设项目清单</w:t>
      </w:r>
      <w:r>
        <w:rPr>
          <w:rFonts w:ascii="Times New Roman" w:hAnsi="Times New Roman"/>
          <w:sz w:val="24"/>
        </w:rPr>
        <w:tab/>
      </w:r>
      <w:r>
        <w:rPr>
          <w:rFonts w:ascii="Times New Roman" w:hAnsi="Times New Roman"/>
          <w:sz w:val="24"/>
        </w:rPr>
        <w:fldChar w:fldCharType="begin"/>
      </w:r>
      <w:r>
        <w:rPr>
          <w:rFonts w:ascii="Times New Roman" w:hAnsi="Times New Roman"/>
          <w:sz w:val="24"/>
        </w:rPr>
        <w:instrText xml:space="preserve"> PAGEREF _Toc117868806 \h </w:instrText>
      </w:r>
      <w:r>
        <w:rPr>
          <w:rFonts w:ascii="Times New Roman" w:hAnsi="Times New Roman"/>
          <w:sz w:val="24"/>
        </w:rPr>
        <w:fldChar w:fldCharType="separate"/>
      </w:r>
      <w:r>
        <w:rPr>
          <w:rFonts w:ascii="Times New Roman" w:hAnsi="Times New Roman"/>
          <w:sz w:val="24"/>
        </w:rPr>
        <w:t>56</w:t>
      </w:r>
      <w:r>
        <w:rPr>
          <w:rFonts w:ascii="Times New Roman" w:hAnsi="Times New Roman"/>
          <w:sz w:val="24"/>
        </w:rPr>
        <w:fldChar w:fldCharType="end"/>
      </w:r>
      <w:r>
        <w:rPr>
          <w:rFonts w:ascii="Times New Roman" w:hAnsi="Times New Roman"/>
          <w:sz w:val="24"/>
        </w:rPr>
        <w:fldChar w:fldCharType="end"/>
      </w:r>
    </w:p>
    <w:p>
      <w:r>
        <w:rPr>
          <w:b/>
          <w:bCs/>
          <w:lang w:val="zh-CN"/>
        </w:rPr>
        <w:fldChar w:fldCharType="end"/>
      </w:r>
    </w:p>
    <w:p>
      <w:pPr>
        <w:rPr>
          <w:rFonts w:ascii="Times New Roman" w:hAnsi="Times New Roman"/>
          <w:b/>
          <w:sz w:val="30"/>
          <w:szCs w:val="30"/>
        </w:rPr>
        <w:sectPr>
          <w:footerReference r:id="rId6" w:type="default"/>
          <w:pgSz w:w="11906" w:h="16838"/>
          <w:pgMar w:top="1440" w:right="1800" w:bottom="1440" w:left="1800" w:header="851" w:footer="992" w:gutter="0"/>
          <w:pgNumType w:fmt="upperRoman" w:start="1"/>
          <w:cols w:space="720" w:num="1"/>
          <w:docGrid w:type="lines" w:linePitch="312" w:charSpace="0"/>
        </w:sectPr>
      </w:pPr>
    </w:p>
    <w:p>
      <w:pPr>
        <w:pStyle w:val="22"/>
        <w:spacing w:after="240"/>
        <w:rPr>
          <w:rFonts w:ascii="黑体" w:hAnsi="黑体" w:eastAsia="黑体"/>
        </w:rPr>
      </w:pPr>
      <w:r>
        <w:fldChar w:fldCharType="begin"/>
      </w:r>
      <w:r>
        <w:instrText xml:space="preserve"> HYPERLINK \l "_Toc500364844" </w:instrText>
      </w:r>
      <w:r>
        <w:fldChar w:fldCharType="separate"/>
      </w:r>
      <w:bookmarkStart w:id="0" w:name="_Toc117868682"/>
      <w:r>
        <w:rPr>
          <w:rFonts w:hint="eastAsia" w:ascii="黑体" w:hAnsi="黑体" w:eastAsia="黑体"/>
        </w:rPr>
        <w:t>前</w:t>
      </w:r>
      <w:r>
        <w:rPr>
          <w:rFonts w:ascii="黑体" w:hAnsi="黑体" w:eastAsia="黑体"/>
        </w:rPr>
        <w:t xml:space="preserve">  </w:t>
      </w:r>
      <w:r>
        <w:rPr>
          <w:rFonts w:hint="eastAsia" w:ascii="黑体" w:hAnsi="黑体" w:eastAsia="黑体"/>
        </w:rPr>
        <w:t>言</w:t>
      </w:r>
      <w:bookmarkEnd w:id="0"/>
      <w:r>
        <w:rPr>
          <w:rFonts w:hint="eastAsia" w:ascii="黑体" w:hAnsi="黑体" w:eastAsia="黑体"/>
        </w:rPr>
        <w:fldChar w:fldCharType="end"/>
      </w:r>
    </w:p>
    <w:p>
      <w:pPr>
        <w:widowControl/>
        <w:shd w:val="clear" w:color="auto" w:fill="FFFFFF"/>
        <w:adjustRightInd w:val="0"/>
        <w:snapToGrid w:val="0"/>
        <w:ind w:firstLine="560" w:firstLineChars="200"/>
        <w:jc w:val="left"/>
        <w:rPr>
          <w:rFonts w:ascii="仿宋" w:hAnsi="仿宋" w:eastAsia="仿宋"/>
          <w:color w:val="auto"/>
          <w:szCs w:val="28"/>
        </w:rPr>
      </w:pPr>
      <w:r>
        <w:rPr>
          <w:rFonts w:hint="eastAsia" w:ascii="仿宋" w:hAnsi="仿宋" w:eastAsia="仿宋"/>
          <w:color w:val="000000"/>
          <w:szCs w:val="28"/>
        </w:rPr>
        <w:t>畜禽</w:t>
      </w:r>
      <w:r>
        <w:rPr>
          <w:rFonts w:ascii="仿宋" w:hAnsi="仿宋" w:eastAsia="仿宋"/>
          <w:color w:val="000000"/>
          <w:szCs w:val="28"/>
        </w:rPr>
        <w:t>养殖业是农村经济发展的重要产</w:t>
      </w:r>
      <w:r>
        <w:rPr>
          <w:rFonts w:ascii="仿宋" w:hAnsi="仿宋" w:eastAsia="仿宋"/>
          <w:color w:val="auto"/>
          <w:szCs w:val="28"/>
        </w:rPr>
        <w:t>业，也是现代农业产业体系的重要组成部分。近年来，</w:t>
      </w:r>
      <w:r>
        <w:rPr>
          <w:rFonts w:hint="eastAsia" w:ascii="仿宋" w:hAnsi="仿宋" w:eastAsia="仿宋"/>
          <w:color w:val="auto"/>
          <w:szCs w:val="28"/>
        </w:rPr>
        <w:t>市中区</w:t>
      </w:r>
      <w:r>
        <w:rPr>
          <w:rFonts w:ascii="仿宋" w:hAnsi="仿宋" w:eastAsia="仿宋"/>
          <w:color w:val="auto"/>
          <w:szCs w:val="28"/>
        </w:rPr>
        <w:t>畜禽养殖业发展迅速，在保障城乡</w:t>
      </w:r>
      <w:r>
        <w:rPr>
          <w:rFonts w:hint="eastAsia" w:ascii="仿宋" w:hAnsi="仿宋" w:eastAsia="仿宋"/>
          <w:color w:val="auto"/>
          <w:szCs w:val="28"/>
        </w:rPr>
        <w:t>畜禽</w:t>
      </w:r>
      <w:r>
        <w:rPr>
          <w:rFonts w:ascii="仿宋" w:hAnsi="仿宋" w:eastAsia="仿宋"/>
          <w:color w:val="auto"/>
          <w:szCs w:val="28"/>
        </w:rPr>
        <w:t>产品需求、促进农民增收、活跃农村经济方面发挥了重要作用</w:t>
      </w:r>
      <w:r>
        <w:rPr>
          <w:rFonts w:hint="eastAsia" w:ascii="仿宋" w:hAnsi="仿宋" w:eastAsia="仿宋"/>
          <w:color w:val="auto"/>
          <w:szCs w:val="28"/>
        </w:rPr>
        <w:t>。</w:t>
      </w:r>
    </w:p>
    <w:p>
      <w:pPr>
        <w:pStyle w:val="8"/>
        <w:rPr>
          <w:rFonts w:ascii="仿宋" w:hAnsi="仿宋" w:eastAsia="仿宋"/>
          <w:color w:val="auto"/>
          <w:szCs w:val="28"/>
        </w:rPr>
      </w:pPr>
      <w:r>
        <w:rPr>
          <w:rFonts w:hint="eastAsia" w:ascii="仿宋" w:hAnsi="仿宋" w:eastAsia="仿宋"/>
          <w:color w:val="auto"/>
          <w:szCs w:val="28"/>
        </w:rPr>
        <w:t>但是，随着畜牧养殖业规模化发展，种养</w:t>
      </w:r>
      <w:r>
        <w:rPr>
          <w:rFonts w:ascii="仿宋" w:hAnsi="仿宋" w:eastAsia="仿宋"/>
          <w:color w:val="auto"/>
          <w:szCs w:val="28"/>
        </w:rPr>
        <w:t>结合不紧密、</w:t>
      </w:r>
      <w:r>
        <w:rPr>
          <w:rFonts w:hint="eastAsia" w:ascii="仿宋" w:hAnsi="仿宋" w:eastAsia="仿宋"/>
          <w:color w:val="auto"/>
          <w:szCs w:val="28"/>
        </w:rPr>
        <w:t>畜禽粪污排放量大、畜禽粪污有效利用率低</w:t>
      </w:r>
      <w:r>
        <w:rPr>
          <w:rFonts w:ascii="仿宋" w:hAnsi="仿宋" w:eastAsia="仿宋"/>
          <w:color w:val="auto"/>
          <w:szCs w:val="28"/>
        </w:rPr>
        <w:t>等一系列问题日渐凸显，</w:t>
      </w:r>
      <w:r>
        <w:rPr>
          <w:rFonts w:hint="eastAsia" w:ascii="仿宋" w:hAnsi="仿宋" w:eastAsia="仿宋"/>
          <w:color w:val="auto"/>
          <w:szCs w:val="28"/>
        </w:rPr>
        <w:t>畜禽</w:t>
      </w:r>
      <w:r>
        <w:rPr>
          <w:rFonts w:ascii="仿宋" w:hAnsi="仿宋" w:eastAsia="仿宋"/>
          <w:color w:val="auto"/>
          <w:szCs w:val="28"/>
        </w:rPr>
        <w:t>养殖业与生态环境保护之间的矛盾愈加突出</w:t>
      </w:r>
      <w:r>
        <w:rPr>
          <w:rFonts w:hint="eastAsia" w:ascii="仿宋" w:hAnsi="仿宋" w:eastAsia="仿宋"/>
          <w:color w:val="auto"/>
          <w:szCs w:val="28"/>
        </w:rPr>
        <w:t>，</w:t>
      </w:r>
      <w:r>
        <w:rPr>
          <w:rFonts w:ascii="仿宋" w:hAnsi="仿宋" w:eastAsia="仿宋"/>
          <w:color w:val="auto"/>
          <w:szCs w:val="28"/>
        </w:rPr>
        <w:t>严重制约了畜禽养殖</w:t>
      </w:r>
      <w:r>
        <w:rPr>
          <w:rFonts w:hint="eastAsia" w:ascii="仿宋" w:hAnsi="仿宋" w:eastAsia="仿宋"/>
          <w:color w:val="auto"/>
          <w:szCs w:val="28"/>
        </w:rPr>
        <w:t>业</w:t>
      </w:r>
      <w:r>
        <w:rPr>
          <w:rFonts w:ascii="仿宋" w:hAnsi="仿宋" w:eastAsia="仿宋"/>
          <w:color w:val="auto"/>
          <w:szCs w:val="28"/>
        </w:rPr>
        <w:t>的</w:t>
      </w:r>
      <w:r>
        <w:rPr>
          <w:rFonts w:hint="eastAsia" w:ascii="仿宋" w:hAnsi="仿宋" w:eastAsia="仿宋"/>
          <w:color w:val="auto"/>
          <w:szCs w:val="28"/>
        </w:rPr>
        <w:t>健康</w:t>
      </w:r>
      <w:r>
        <w:rPr>
          <w:rFonts w:ascii="仿宋" w:hAnsi="仿宋" w:eastAsia="仿宋"/>
          <w:color w:val="auto"/>
          <w:szCs w:val="28"/>
        </w:rPr>
        <w:t>发展</w:t>
      </w:r>
      <w:r>
        <w:rPr>
          <w:rFonts w:hint="eastAsia" w:ascii="仿宋" w:hAnsi="仿宋" w:eastAsia="仿宋"/>
          <w:color w:val="auto"/>
          <w:szCs w:val="28"/>
        </w:rPr>
        <w:t>，也成为了制约乡村振兴的重要瓶颈，亟待攻克。</w:t>
      </w:r>
    </w:p>
    <w:p>
      <w:pPr>
        <w:adjustRightInd w:val="0"/>
        <w:snapToGrid w:val="0"/>
        <w:ind w:firstLine="540"/>
        <w:rPr>
          <w:rFonts w:hint="eastAsia" w:ascii="仿宋" w:hAnsi="仿宋" w:eastAsia="仿宋"/>
          <w:color w:val="auto"/>
          <w:szCs w:val="28"/>
        </w:rPr>
      </w:pPr>
      <w:r>
        <w:rPr>
          <w:rFonts w:hint="eastAsia" w:ascii="仿宋" w:hAnsi="仿宋" w:eastAsia="仿宋"/>
          <w:color w:val="auto"/>
          <w:szCs w:val="28"/>
        </w:rPr>
        <w:t>为了更好地实施乡村振兴国家战略和推动</w:t>
      </w:r>
      <w:r>
        <w:rPr>
          <w:rFonts w:hint="eastAsia" w:ascii="仿宋" w:hAnsi="仿宋" w:eastAsia="仿宋"/>
          <w:color w:val="auto"/>
          <w:szCs w:val="28"/>
          <w:lang w:val="en-US" w:eastAsia="zh-CN"/>
        </w:rPr>
        <w:t>乐山市</w:t>
      </w:r>
      <w:r>
        <w:rPr>
          <w:rFonts w:hint="eastAsia" w:ascii="仿宋" w:hAnsi="仿宋" w:eastAsia="仿宋"/>
          <w:color w:val="auto"/>
          <w:szCs w:val="28"/>
        </w:rPr>
        <w:t>市中区畜禽养殖业可持续发展，强化规划政策引导</w:t>
      </w:r>
      <w:r>
        <w:rPr>
          <w:rFonts w:hint="eastAsia" w:ascii="仿宋" w:hAnsi="仿宋" w:eastAsia="仿宋"/>
          <w:color w:val="auto"/>
          <w:szCs w:val="28"/>
          <w:lang w:eastAsia="zh-CN"/>
        </w:rPr>
        <w:t>，</w:t>
      </w:r>
      <w:r>
        <w:rPr>
          <w:rFonts w:hint="eastAsia" w:ascii="仿宋" w:hAnsi="仿宋" w:eastAsia="仿宋"/>
          <w:color w:val="auto"/>
          <w:szCs w:val="28"/>
        </w:rPr>
        <w:t>加大畜禽粪污科学防治力度非常有必要。</w:t>
      </w:r>
    </w:p>
    <w:p>
      <w:pPr>
        <w:adjustRightInd w:val="0"/>
        <w:snapToGrid w:val="0"/>
        <w:ind w:firstLine="540"/>
        <w:rPr>
          <w:rFonts w:ascii="仿宋" w:hAnsi="仿宋" w:eastAsia="仿宋"/>
          <w:color w:val="auto"/>
          <w:szCs w:val="28"/>
        </w:rPr>
      </w:pPr>
      <w:r>
        <w:rPr>
          <w:rFonts w:hint="eastAsia" w:ascii="仿宋" w:hAnsi="仿宋" w:eastAsia="仿宋"/>
          <w:color w:val="auto"/>
          <w:szCs w:val="28"/>
        </w:rPr>
        <w:t>畜禽粪污作为有机物，是由碳、氢、氧、磷、氮等元素构成，既是污染源，</w:t>
      </w:r>
      <w:r>
        <w:rPr>
          <w:rFonts w:hint="eastAsia" w:ascii="仿宋" w:hAnsi="仿宋" w:eastAsia="仿宋"/>
          <w:color w:val="auto"/>
          <w:szCs w:val="28"/>
          <w:lang w:eastAsia="zh-CN"/>
        </w:rPr>
        <w:t>但</w:t>
      </w:r>
      <w:r>
        <w:rPr>
          <w:rFonts w:hint="eastAsia" w:ascii="仿宋" w:hAnsi="仿宋" w:eastAsia="仿宋"/>
          <w:color w:val="auto"/>
          <w:szCs w:val="28"/>
          <w:lang w:val="en-US" w:eastAsia="zh-CN"/>
        </w:rPr>
        <w:t>是</w:t>
      </w:r>
      <w:r>
        <w:rPr>
          <w:rFonts w:hint="eastAsia" w:ascii="仿宋" w:hAnsi="仿宋" w:eastAsia="仿宋"/>
          <w:color w:val="auto"/>
          <w:szCs w:val="28"/>
          <w:lang w:eastAsia="zh-CN"/>
        </w:rPr>
        <w:t>也</w:t>
      </w:r>
      <w:r>
        <w:rPr>
          <w:rFonts w:hint="eastAsia" w:ascii="仿宋" w:hAnsi="仿宋" w:eastAsia="仿宋"/>
          <w:color w:val="auto"/>
          <w:szCs w:val="28"/>
        </w:rPr>
        <w:t>可成为清洁能源和肥料的重要资源。如果能将畜禽粪污高效转化为高附加值的资源，既可替代部分高碳排放燃料和减少化肥使用量，又能</w:t>
      </w:r>
      <w:r>
        <w:rPr>
          <w:rFonts w:hint="eastAsia" w:ascii="仿宋" w:hAnsi="仿宋" w:eastAsia="仿宋"/>
          <w:color w:val="auto"/>
          <w:szCs w:val="28"/>
          <w:lang w:eastAsia="zh-CN"/>
        </w:rPr>
        <w:t>有效</w:t>
      </w:r>
      <w:r>
        <w:rPr>
          <w:rFonts w:hint="eastAsia" w:ascii="仿宋" w:hAnsi="仿宋" w:eastAsia="仿宋"/>
          <w:color w:val="auto"/>
          <w:szCs w:val="28"/>
        </w:rPr>
        <w:t>解决生态环境污染问题。因此，畜禽养殖污染的防治对助力农业领域碳减排，推进长江经济带农业农村面源污染治理，推进农村生态环境建设，深化畜牧业转型升级，促进生态循环农业发展以及助推乡村振兴意义重大。</w:t>
      </w:r>
    </w:p>
    <w:p>
      <w:pPr>
        <w:widowControl/>
        <w:shd w:val="clear" w:color="auto" w:fill="FFFFFF"/>
        <w:adjustRightInd w:val="0"/>
        <w:snapToGrid w:val="0"/>
        <w:ind w:firstLine="560" w:firstLineChars="200"/>
        <w:jc w:val="left"/>
        <w:rPr>
          <w:rFonts w:ascii="仿宋" w:hAnsi="仿宋" w:eastAsia="仿宋"/>
          <w:color w:val="000000"/>
          <w:szCs w:val="28"/>
        </w:rPr>
      </w:pPr>
      <w:r>
        <w:rPr>
          <w:rFonts w:ascii="仿宋" w:hAnsi="仿宋" w:eastAsia="仿宋"/>
          <w:color w:val="auto"/>
          <w:szCs w:val="28"/>
        </w:rPr>
        <w:t>根据《中华人民共和国环境保护法》、</w:t>
      </w:r>
      <w:r>
        <w:rPr>
          <w:rFonts w:hint="eastAsia" w:ascii="仿宋" w:hAnsi="仿宋" w:eastAsia="仿宋"/>
          <w:color w:val="auto"/>
          <w:szCs w:val="28"/>
        </w:rPr>
        <w:t>《中华人民共和国固体废物污染环境防治法》、</w:t>
      </w:r>
      <w:r>
        <w:rPr>
          <w:rFonts w:ascii="仿宋" w:hAnsi="仿宋" w:eastAsia="仿宋"/>
          <w:color w:val="auto"/>
          <w:szCs w:val="28"/>
        </w:rPr>
        <w:t>《畜禽规模养殖污染防治条例》</w:t>
      </w:r>
      <w:r>
        <w:rPr>
          <w:rFonts w:hint="eastAsia" w:ascii="仿宋" w:hAnsi="仿宋" w:eastAsia="仿宋"/>
          <w:color w:val="auto"/>
          <w:szCs w:val="28"/>
        </w:rPr>
        <w:t>、《四川省畜禽养殖污染防治技术指南（试行）》、《乐山市畜禽养殖废弃物资源化利用工作方案的通知》、《乐山市市中区畜禽养殖管理办法的通知》等各级法律法规和文件精神，结合</w:t>
      </w:r>
      <w:r>
        <w:rPr>
          <w:rFonts w:hint="eastAsia" w:ascii="仿宋" w:hAnsi="仿宋" w:eastAsia="仿宋"/>
          <w:color w:val="auto"/>
          <w:szCs w:val="28"/>
          <w:lang w:val="en-US" w:eastAsia="zh-CN"/>
        </w:rPr>
        <w:t>乐山市市中区</w:t>
      </w:r>
      <w:r>
        <w:rPr>
          <w:rFonts w:hint="eastAsia" w:ascii="仿宋" w:hAnsi="仿宋" w:eastAsia="仿宋"/>
          <w:color w:val="auto"/>
          <w:szCs w:val="28"/>
        </w:rPr>
        <w:t>实际</w:t>
      </w:r>
      <w:r>
        <w:rPr>
          <w:rFonts w:hint="eastAsia" w:ascii="仿宋" w:hAnsi="仿宋" w:eastAsia="仿宋"/>
          <w:color w:val="000000"/>
          <w:szCs w:val="28"/>
        </w:rPr>
        <w:t>情况，特制定本规划。</w:t>
      </w:r>
    </w:p>
    <w:p>
      <w:pPr>
        <w:pStyle w:val="8"/>
      </w:pPr>
      <w:r>
        <w:br w:type="page"/>
      </w:r>
    </w:p>
    <w:p>
      <w:pPr>
        <w:pStyle w:val="8"/>
        <w:sectPr>
          <w:footerReference r:id="rId7" w:type="default"/>
          <w:pgSz w:w="11906" w:h="16838"/>
          <w:pgMar w:top="1440" w:right="1800" w:bottom="1440" w:left="1800" w:header="851" w:footer="992" w:gutter="0"/>
          <w:pgNumType w:start="1"/>
          <w:cols w:space="720" w:num="1"/>
          <w:docGrid w:type="lines" w:linePitch="312" w:charSpace="0"/>
        </w:sectPr>
      </w:pPr>
    </w:p>
    <w:p>
      <w:pPr>
        <w:pStyle w:val="22"/>
        <w:spacing w:after="240"/>
        <w:rPr>
          <w:rFonts w:ascii="黑体" w:hAnsi="黑体" w:eastAsia="黑体"/>
        </w:rPr>
      </w:pPr>
      <w:r>
        <w:fldChar w:fldCharType="begin"/>
      </w:r>
      <w:r>
        <w:instrText xml:space="preserve"> HYPERLINK \l "_Toc500364845" </w:instrText>
      </w:r>
      <w:r>
        <w:fldChar w:fldCharType="separate"/>
      </w:r>
      <w:bookmarkStart w:id="1" w:name="_Toc117868683"/>
      <w:r>
        <w:rPr>
          <w:rFonts w:hint="eastAsia" w:ascii="黑体" w:hAnsi="黑体" w:eastAsia="黑体"/>
        </w:rPr>
        <w:t>第</w:t>
      </w:r>
      <w:r>
        <w:rPr>
          <w:rFonts w:ascii="黑体" w:hAnsi="黑体" w:eastAsia="黑体"/>
        </w:rPr>
        <w:t>1</w:t>
      </w:r>
      <w:r>
        <w:rPr>
          <w:rFonts w:hint="eastAsia" w:ascii="黑体" w:hAnsi="黑体" w:eastAsia="黑体"/>
        </w:rPr>
        <w:t>章</w:t>
      </w:r>
      <w:r>
        <w:rPr>
          <w:rFonts w:ascii="黑体" w:hAnsi="黑体" w:eastAsia="黑体"/>
        </w:rPr>
        <w:t xml:space="preserve">  </w:t>
      </w:r>
      <w:r>
        <w:rPr>
          <w:rFonts w:hint="eastAsia" w:ascii="黑体" w:hAnsi="黑体" w:eastAsia="黑体"/>
        </w:rPr>
        <w:t>总</w:t>
      </w:r>
      <w:r>
        <w:rPr>
          <w:rFonts w:ascii="黑体" w:hAnsi="黑体" w:eastAsia="黑体"/>
        </w:rPr>
        <w:t xml:space="preserve"> </w:t>
      </w:r>
      <w:r>
        <w:rPr>
          <w:rFonts w:hint="eastAsia" w:ascii="黑体" w:hAnsi="黑体" w:eastAsia="黑体"/>
        </w:rPr>
        <w:t>则</w:t>
      </w:r>
      <w:bookmarkEnd w:id="1"/>
      <w:r>
        <w:rPr>
          <w:rFonts w:hint="eastAsia" w:ascii="黑体" w:hAnsi="黑体" w:eastAsia="黑体"/>
        </w:rPr>
        <w:fldChar w:fldCharType="end"/>
      </w:r>
    </w:p>
    <w:p>
      <w:pPr>
        <w:pStyle w:val="3"/>
        <w:numPr>
          <w:ilvl w:val="1"/>
          <w:numId w:val="1"/>
        </w:numPr>
        <w:spacing w:before="0" w:after="0" w:line="360" w:lineRule="auto"/>
        <w:ind w:left="493" w:hanging="493"/>
        <w:rPr>
          <w:rFonts w:ascii="Times New Roman" w:hAnsi="Times New Roman"/>
          <w:sz w:val="28"/>
          <w:szCs w:val="28"/>
        </w:rPr>
      </w:pPr>
      <w:bookmarkStart w:id="2" w:name="_Toc117868684"/>
      <w:r>
        <w:rPr>
          <w:rFonts w:hint="eastAsia" w:ascii="Times New Roman" w:hAnsi="Times New Roman"/>
          <w:sz w:val="28"/>
          <w:szCs w:val="28"/>
        </w:rPr>
        <w:t>指导思想</w:t>
      </w:r>
      <w:bookmarkEnd w:id="2"/>
    </w:p>
    <w:p>
      <w:pPr>
        <w:ind w:firstLine="480" w:firstLineChars="200"/>
        <w:rPr>
          <w:rFonts w:ascii="宋体" w:hAnsi="宋体"/>
          <w:sz w:val="24"/>
        </w:rPr>
      </w:pPr>
      <w:r>
        <w:rPr>
          <w:rFonts w:hint="eastAsia" w:ascii="宋体" w:hAnsi="宋体"/>
          <w:sz w:val="24"/>
        </w:rPr>
        <w:t xml:space="preserve"> </w:t>
      </w:r>
      <w:bookmarkStart w:id="3" w:name="OLE_LINK8"/>
      <w:bookmarkStart w:id="4" w:name="OLE_LINK7"/>
      <w:r>
        <w:rPr>
          <w:rFonts w:hint="eastAsia" w:ascii="宋体" w:hAnsi="宋体"/>
          <w:sz w:val="24"/>
        </w:rPr>
        <w:t>以习近平新时代中国特色社会主义思想和绿色发展理念为指导，全面贯彻党的十九大和十九届二中、三中、四中、五中、六中全会精神</w:t>
      </w:r>
      <w:r>
        <w:rPr>
          <w:rFonts w:hint="eastAsia" w:ascii="宋体" w:hAnsi="宋体"/>
          <w:color w:val="auto"/>
          <w:sz w:val="24"/>
          <w:lang w:eastAsia="zh-CN"/>
        </w:rPr>
        <w:t>和二十大精神</w:t>
      </w:r>
      <w:r>
        <w:rPr>
          <w:rFonts w:hint="eastAsia" w:ascii="宋体" w:hAnsi="宋体"/>
          <w:sz w:val="24"/>
        </w:rPr>
        <w:t>，围绕推进“双循环”新发展格局，实施乡村振兴战略的要求，</w:t>
      </w:r>
      <w:r>
        <w:rPr>
          <w:rFonts w:ascii="宋体" w:hAnsi="宋体"/>
          <w:sz w:val="24"/>
        </w:rPr>
        <w:t>以改善区域环境质量、促进畜禽养殖业健康可持续发展和助推乡</w:t>
      </w:r>
      <w:r>
        <w:rPr>
          <w:rFonts w:hint="eastAsia" w:ascii="宋体" w:hAnsi="宋体"/>
          <w:sz w:val="24"/>
          <w:lang w:val="en-US" w:eastAsia="zh-CN"/>
        </w:rPr>
        <w:t>村</w:t>
      </w:r>
      <w:r>
        <w:rPr>
          <w:rFonts w:ascii="宋体" w:hAnsi="宋体"/>
          <w:sz w:val="24"/>
        </w:rPr>
        <w:t>振兴战略为目标，以</w:t>
      </w:r>
      <w:r>
        <w:rPr>
          <w:rFonts w:hint="eastAsia" w:ascii="宋体" w:hAnsi="宋体"/>
          <w:sz w:val="24"/>
          <w:lang w:val="en-US" w:eastAsia="zh-CN"/>
        </w:rPr>
        <w:t>乐山市</w:t>
      </w:r>
      <w:r>
        <w:rPr>
          <w:rFonts w:ascii="宋体" w:hAnsi="宋体"/>
          <w:sz w:val="24"/>
        </w:rPr>
        <w:t>市中区提出的</w:t>
      </w:r>
      <w:r>
        <w:rPr>
          <w:rFonts w:hint="eastAsia" w:ascii="Times New Roman" w:hAnsi="Times New Roman"/>
          <w:bCs/>
          <w:sz w:val="24"/>
        </w:rPr>
        <w:t>“</w:t>
      </w:r>
      <w:bookmarkStart w:id="5" w:name="OLE_LINK3"/>
      <w:r>
        <w:rPr>
          <w:rFonts w:hint="eastAsia" w:ascii="Times New Roman" w:hAnsi="Times New Roman"/>
          <w:bCs/>
          <w:sz w:val="24"/>
        </w:rPr>
        <w:t>建基地、搞加工、创品牌、促融合，</w:t>
      </w:r>
      <w:bookmarkEnd w:id="5"/>
      <w:r>
        <w:rPr>
          <w:rFonts w:hint="eastAsia" w:ascii="Times New Roman" w:hAnsi="Times New Roman"/>
          <w:bCs/>
          <w:sz w:val="24"/>
        </w:rPr>
        <w:t>全面构建‘一核两区三带六园’的现代农业发展新格局”思路为依据，</w:t>
      </w:r>
      <w:r>
        <w:rPr>
          <w:rFonts w:ascii="宋体" w:hAnsi="宋体"/>
          <w:sz w:val="24"/>
        </w:rPr>
        <w:t>以推动畜禽养殖废弃物资源化利用和畜牧业绿色发展示范</w:t>
      </w:r>
      <w:r>
        <w:rPr>
          <w:rFonts w:hint="eastAsia" w:ascii="宋体" w:hAnsi="宋体"/>
          <w:sz w:val="24"/>
        </w:rPr>
        <w:t>区</w:t>
      </w:r>
      <w:r>
        <w:rPr>
          <w:rFonts w:ascii="宋体" w:hAnsi="宋体"/>
          <w:sz w:val="24"/>
        </w:rPr>
        <w:t>创建为主线，以</w:t>
      </w:r>
      <w:r>
        <w:rPr>
          <w:rFonts w:hint="eastAsia" w:ascii="宋体" w:hAnsi="宋体"/>
          <w:sz w:val="24"/>
        </w:rPr>
        <w:t>畜禽</w:t>
      </w:r>
      <w:r>
        <w:rPr>
          <w:rFonts w:ascii="宋体" w:hAnsi="宋体"/>
          <w:sz w:val="24"/>
        </w:rPr>
        <w:t>粪污减量化产生、无害化处理、资源化和生态化利用</w:t>
      </w:r>
      <w:r>
        <w:rPr>
          <w:rFonts w:hint="eastAsia" w:ascii="宋体" w:hAnsi="宋体"/>
          <w:sz w:val="24"/>
        </w:rPr>
        <w:t>（“四化”）为途径，</w:t>
      </w:r>
      <w:r>
        <w:rPr>
          <w:rFonts w:ascii="宋体" w:hAnsi="宋体"/>
          <w:sz w:val="24"/>
        </w:rPr>
        <w:t>以规模化畜禽养殖场为重点防治单元</w:t>
      </w:r>
      <w:r>
        <w:rPr>
          <w:rFonts w:hint="eastAsia" w:ascii="宋体" w:hAnsi="宋体"/>
          <w:sz w:val="24"/>
        </w:rPr>
        <w:t>，</w:t>
      </w:r>
      <w:r>
        <w:rPr>
          <w:rFonts w:ascii="宋体" w:hAnsi="宋体"/>
          <w:sz w:val="24"/>
        </w:rPr>
        <w:t>针对性地实施污染防治工程，</w:t>
      </w:r>
      <w:r>
        <w:rPr>
          <w:rFonts w:hint="eastAsia" w:ascii="宋体" w:hAnsi="宋体"/>
          <w:sz w:val="24"/>
        </w:rPr>
        <w:t>建</w:t>
      </w:r>
      <w:r>
        <w:rPr>
          <w:rFonts w:hint="eastAsia" w:ascii="宋体" w:hAnsi="宋体"/>
          <w:color w:val="auto"/>
          <w:sz w:val="24"/>
        </w:rPr>
        <w:t>立起</w:t>
      </w:r>
      <w:r>
        <w:rPr>
          <w:rFonts w:ascii="宋体" w:hAnsi="宋体"/>
          <w:color w:val="auto"/>
          <w:sz w:val="24"/>
        </w:rPr>
        <w:t>科学</w:t>
      </w:r>
      <w:r>
        <w:rPr>
          <w:rFonts w:hint="eastAsia" w:ascii="宋体" w:hAnsi="宋体"/>
          <w:color w:val="auto"/>
          <w:sz w:val="24"/>
        </w:rPr>
        <w:t>的</w:t>
      </w:r>
      <w:r>
        <w:rPr>
          <w:rFonts w:ascii="宋体" w:hAnsi="宋体"/>
          <w:color w:val="auto"/>
          <w:sz w:val="24"/>
        </w:rPr>
        <w:t>畜禽养</w:t>
      </w:r>
      <w:r>
        <w:rPr>
          <w:rFonts w:ascii="宋体" w:hAnsi="宋体"/>
          <w:sz w:val="24"/>
        </w:rPr>
        <w:t>殖污染防治体系</w:t>
      </w:r>
      <w:r>
        <w:rPr>
          <w:rFonts w:hint="eastAsia" w:ascii="宋体" w:hAnsi="宋体"/>
          <w:sz w:val="24"/>
        </w:rPr>
        <w:t>，助力“一城一极两地两区”的建设。</w:t>
      </w:r>
      <w:bookmarkEnd w:id="3"/>
      <w:bookmarkEnd w:id="4"/>
    </w:p>
    <w:p>
      <w:pPr>
        <w:pStyle w:val="3"/>
        <w:numPr>
          <w:ilvl w:val="1"/>
          <w:numId w:val="1"/>
        </w:numPr>
        <w:spacing w:before="0" w:after="0" w:line="360" w:lineRule="auto"/>
        <w:ind w:left="493" w:hanging="493"/>
        <w:rPr>
          <w:rFonts w:ascii="Times New Roman" w:hAnsi="Times New Roman"/>
          <w:sz w:val="28"/>
          <w:szCs w:val="28"/>
        </w:rPr>
      </w:pPr>
      <w:r>
        <w:fldChar w:fldCharType="begin"/>
      </w:r>
      <w:r>
        <w:instrText xml:space="preserve"> HYPERLINK \l "_Toc500364847" </w:instrText>
      </w:r>
      <w:r>
        <w:fldChar w:fldCharType="separate"/>
      </w:r>
      <w:bookmarkStart w:id="6" w:name="_Toc117868685"/>
      <w:r>
        <w:rPr>
          <w:rFonts w:hint="eastAsia" w:ascii="Times New Roman" w:hAnsi="Times New Roman"/>
          <w:sz w:val="28"/>
          <w:szCs w:val="28"/>
        </w:rPr>
        <w:t>规划依据和标准</w:t>
      </w:r>
      <w:bookmarkEnd w:id="6"/>
      <w:r>
        <w:rPr>
          <w:rFonts w:hint="eastAsia" w:ascii="Times New Roman" w:hAnsi="Times New Roman"/>
          <w:sz w:val="28"/>
          <w:szCs w:val="28"/>
        </w:rPr>
        <w:fldChar w:fldCharType="end"/>
      </w:r>
    </w:p>
    <w:p>
      <w:pPr>
        <w:pStyle w:val="4"/>
        <w:adjustRightInd w:val="0"/>
        <w:snapToGrid w:val="0"/>
        <w:spacing w:before="0" w:after="0" w:line="360" w:lineRule="auto"/>
        <w:rPr>
          <w:rFonts w:ascii="Times New Roman" w:hAnsi="Times New Roman"/>
          <w:sz w:val="24"/>
          <w:szCs w:val="24"/>
        </w:rPr>
      </w:pPr>
      <w:r>
        <w:fldChar w:fldCharType="begin"/>
      </w:r>
      <w:r>
        <w:instrText xml:space="preserve"> HYPERLINK \l "_Toc500364848" </w:instrText>
      </w:r>
      <w:r>
        <w:fldChar w:fldCharType="separate"/>
      </w:r>
      <w:bookmarkStart w:id="7" w:name="_Toc117868686"/>
      <w:r>
        <w:rPr>
          <w:rFonts w:ascii="Times New Roman" w:hAnsi="Times New Roman"/>
          <w:sz w:val="24"/>
          <w:szCs w:val="24"/>
        </w:rPr>
        <w:t>1.2.1法律和法规</w:t>
      </w:r>
      <w:bookmarkEnd w:id="7"/>
      <w:r>
        <w:rPr>
          <w:rFonts w:ascii="Times New Roman" w:hAnsi="Times New Roman"/>
          <w:sz w:val="24"/>
          <w:szCs w:val="24"/>
        </w:rPr>
        <w:fldChar w:fldCharType="end"/>
      </w:r>
    </w:p>
    <w:p>
      <w:pPr>
        <w:pStyle w:val="31"/>
        <w:numPr>
          <w:ilvl w:val="0"/>
          <w:numId w:val="2"/>
        </w:numPr>
        <w:ind w:firstLineChars="0"/>
        <w:rPr>
          <w:rFonts w:ascii="Times New Roman" w:hAnsi="Times New Roman"/>
          <w:sz w:val="24"/>
        </w:rPr>
      </w:pPr>
      <w:r>
        <w:rPr>
          <w:rFonts w:ascii="Times New Roman" w:hAnsi="Times New Roman"/>
          <w:sz w:val="24"/>
        </w:rPr>
        <w:t>《中华人民共和国环境保护法》</w:t>
      </w:r>
      <w:r>
        <w:rPr>
          <w:rFonts w:hint="eastAsia" w:ascii="Times New Roman" w:hAnsi="Times New Roman"/>
          <w:sz w:val="24"/>
        </w:rPr>
        <w:t>（2014年4月修订）</w:t>
      </w:r>
    </w:p>
    <w:p>
      <w:pPr>
        <w:pStyle w:val="31"/>
        <w:numPr>
          <w:ilvl w:val="0"/>
          <w:numId w:val="2"/>
        </w:numPr>
        <w:ind w:firstLineChars="0"/>
        <w:rPr>
          <w:rFonts w:ascii="Times New Roman" w:hAnsi="Times New Roman"/>
          <w:sz w:val="24"/>
        </w:rPr>
      </w:pPr>
      <w:r>
        <w:rPr>
          <w:rFonts w:hint="eastAsia" w:ascii="Times New Roman" w:hAnsi="Times New Roman"/>
          <w:sz w:val="24"/>
        </w:rPr>
        <w:t>《中华人民共和国水污染防治法》（2017年6月）</w:t>
      </w:r>
    </w:p>
    <w:p>
      <w:pPr>
        <w:pStyle w:val="31"/>
        <w:numPr>
          <w:ilvl w:val="0"/>
          <w:numId w:val="2"/>
        </w:numPr>
        <w:ind w:firstLineChars="0"/>
        <w:rPr>
          <w:rFonts w:ascii="Times New Roman" w:hAnsi="Times New Roman"/>
          <w:sz w:val="24"/>
        </w:rPr>
      </w:pPr>
      <w:r>
        <w:rPr>
          <w:rFonts w:hint="eastAsia" w:ascii="Times New Roman" w:hAnsi="Times New Roman"/>
          <w:sz w:val="24"/>
        </w:rPr>
        <w:t>《中华人民共和国土壤污染防治法》（2018年8月）</w:t>
      </w:r>
    </w:p>
    <w:p>
      <w:pPr>
        <w:pStyle w:val="31"/>
        <w:numPr>
          <w:ilvl w:val="0"/>
          <w:numId w:val="2"/>
        </w:numPr>
        <w:ind w:firstLineChars="0"/>
        <w:rPr>
          <w:rFonts w:ascii="Times New Roman" w:hAnsi="Times New Roman"/>
          <w:sz w:val="24"/>
        </w:rPr>
      </w:pPr>
      <w:r>
        <w:rPr>
          <w:rFonts w:hint="eastAsia" w:ascii="Times New Roman" w:hAnsi="Times New Roman"/>
          <w:sz w:val="24"/>
        </w:rPr>
        <w:t>《中华人民共和国固体废物污染环境防治法》（2020年4月修订）</w:t>
      </w:r>
    </w:p>
    <w:p>
      <w:pPr>
        <w:pStyle w:val="31"/>
        <w:numPr>
          <w:ilvl w:val="0"/>
          <w:numId w:val="2"/>
        </w:numPr>
        <w:ind w:firstLineChars="0"/>
        <w:rPr>
          <w:rFonts w:ascii="Times New Roman" w:hAnsi="Times New Roman"/>
          <w:sz w:val="24"/>
        </w:rPr>
      </w:pPr>
      <w:r>
        <w:rPr>
          <w:rFonts w:ascii="Times New Roman" w:hAnsi="Times New Roman"/>
          <w:sz w:val="24"/>
        </w:rPr>
        <w:t>《畜禽规模养殖污染防治条例》</w:t>
      </w:r>
      <w:r>
        <w:rPr>
          <w:rFonts w:hint="eastAsia" w:ascii="Times New Roman" w:hAnsi="Times New Roman"/>
          <w:sz w:val="24"/>
        </w:rPr>
        <w:t>（2013年11月）</w:t>
      </w:r>
    </w:p>
    <w:p>
      <w:pPr>
        <w:pStyle w:val="4"/>
        <w:adjustRightInd w:val="0"/>
        <w:snapToGrid w:val="0"/>
        <w:spacing w:before="0" w:after="0" w:line="360" w:lineRule="auto"/>
        <w:rPr>
          <w:rFonts w:ascii="Times New Roman" w:hAnsi="Times New Roman"/>
          <w:sz w:val="24"/>
          <w:szCs w:val="24"/>
        </w:rPr>
      </w:pPr>
      <w:r>
        <w:fldChar w:fldCharType="begin"/>
      </w:r>
      <w:r>
        <w:instrText xml:space="preserve"> HYPERLINK \l "_Toc500364849" </w:instrText>
      </w:r>
      <w:r>
        <w:fldChar w:fldCharType="separate"/>
      </w:r>
      <w:bookmarkStart w:id="8" w:name="_Toc117868687"/>
      <w:r>
        <w:rPr>
          <w:rFonts w:ascii="Times New Roman" w:hAnsi="Times New Roman"/>
          <w:sz w:val="24"/>
          <w:szCs w:val="24"/>
        </w:rPr>
        <w:t xml:space="preserve">1.2.2 </w:t>
      </w:r>
      <w:r>
        <w:rPr>
          <w:rFonts w:hint="eastAsia" w:ascii="Times New Roman" w:hAnsi="Times New Roman"/>
          <w:sz w:val="24"/>
          <w:szCs w:val="24"/>
        </w:rPr>
        <w:t>政策和文件</w:t>
      </w:r>
      <w:bookmarkEnd w:id="8"/>
      <w:r>
        <w:rPr>
          <w:rFonts w:hint="eastAsia" w:ascii="Times New Roman" w:hAnsi="Times New Roman"/>
          <w:sz w:val="24"/>
          <w:szCs w:val="24"/>
        </w:rPr>
        <w:fldChar w:fldCharType="end"/>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《中共中央国务院关于深入打好污染防治攻坚战的意见》（2021年11月）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《关于加快推进畜禽养殖废弃物资源化利用的意见》（2017年6月）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《关于加快推进长江经济带农业面源污染治理的指导意见》（2018年</w:t>
      </w:r>
    </w:p>
    <w:p>
      <w:pPr>
        <w:adjustRightInd w:val="0"/>
        <w:snapToGrid w:val="0"/>
        <w:rPr>
          <w:rFonts w:ascii="Times New Roman" w:hAnsi="Times New Roman"/>
          <w:sz w:val="24"/>
        </w:rPr>
      </w:pPr>
      <w:r>
        <w:rPr>
          <w:rFonts w:hint="eastAsia" w:ascii="Times New Roman" w:hAnsi="Times New Roman"/>
          <w:sz w:val="24"/>
        </w:rPr>
        <w:t>10月）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《关于进一步规范畜禽养殖禁养区划定和管理促进生猪生产发展的通</w:t>
      </w:r>
    </w:p>
    <w:p>
      <w:pPr>
        <w:adjustRightInd w:val="0"/>
        <w:snapToGrid w:val="0"/>
        <w:rPr>
          <w:rFonts w:ascii="Times New Roman" w:hAnsi="Times New Roman"/>
          <w:sz w:val="24"/>
        </w:rPr>
      </w:pPr>
      <w:r>
        <w:rPr>
          <w:rFonts w:hint="eastAsia" w:ascii="Times New Roman" w:hAnsi="Times New Roman"/>
          <w:sz w:val="24"/>
        </w:rPr>
        <w:t>知》（2019年9月）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《关于进一步明确畜禽粪污还田利用要求强化养殖污染监管的通知》</w:t>
      </w:r>
    </w:p>
    <w:p>
      <w:pPr>
        <w:adjustRightInd w:val="0"/>
        <w:snapToGrid w:val="0"/>
        <w:rPr>
          <w:rFonts w:ascii="Times New Roman" w:hAnsi="Times New Roman"/>
          <w:sz w:val="24"/>
        </w:rPr>
      </w:pPr>
      <w:r>
        <w:rPr>
          <w:rFonts w:hint="eastAsia" w:ascii="Times New Roman" w:hAnsi="Times New Roman"/>
          <w:sz w:val="24"/>
        </w:rPr>
        <w:t>（2019年9月）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《关于抓好“三农”领域重点工作确保如期实现全面小康的意见》（2020</w:t>
      </w:r>
    </w:p>
    <w:p>
      <w:pPr>
        <w:adjustRightInd w:val="0"/>
        <w:snapToGrid w:val="0"/>
        <w:rPr>
          <w:rFonts w:ascii="Times New Roman" w:hAnsi="Times New Roman"/>
          <w:sz w:val="24"/>
        </w:rPr>
      </w:pPr>
      <w:r>
        <w:rPr>
          <w:rFonts w:hint="eastAsia" w:ascii="Times New Roman" w:hAnsi="Times New Roman"/>
          <w:sz w:val="24"/>
        </w:rPr>
        <w:t>年2月）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《中华人民共和国国民经济和社会发展第十四个五年规划和2035年远</w:t>
      </w:r>
    </w:p>
    <w:p>
      <w:pPr>
        <w:adjustRightInd w:val="0"/>
        <w:snapToGrid w:val="0"/>
        <w:rPr>
          <w:rFonts w:ascii="Times New Roman" w:hAnsi="Times New Roman"/>
          <w:sz w:val="24"/>
        </w:rPr>
      </w:pPr>
      <w:r>
        <w:rPr>
          <w:rFonts w:hint="eastAsia" w:ascii="Times New Roman" w:hAnsi="Times New Roman"/>
          <w:sz w:val="24"/>
        </w:rPr>
        <w:t>景目标纲要》（2021年3月）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《2030年前碳达峰行动方案》（2021年10月）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《关于深入打好污染防治攻坚战的意见》（2021年11月）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《“十四五”全国清洁生产推行方案》（2021年11月）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《四川省国民经济和社会发展第十四个五年规划和二〇三五年远景</w:t>
      </w:r>
    </w:p>
    <w:p>
      <w:pPr>
        <w:adjustRightInd w:val="0"/>
        <w:snapToGrid w:val="0"/>
        <w:rPr>
          <w:rFonts w:ascii="Times New Roman" w:hAnsi="Times New Roman"/>
          <w:sz w:val="24"/>
        </w:rPr>
      </w:pPr>
      <w:r>
        <w:rPr>
          <w:rFonts w:hint="eastAsia" w:ascii="Times New Roman" w:hAnsi="Times New Roman"/>
          <w:sz w:val="24"/>
        </w:rPr>
        <w:t>目标纲要》（2021年3月）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《中共四川省委 四川省人民政府关于加快建设现代农业“10+3”产</w:t>
      </w:r>
    </w:p>
    <w:p>
      <w:pPr>
        <w:adjustRightInd w:val="0"/>
        <w:snapToGrid w:val="0"/>
        <w:rPr>
          <w:rFonts w:ascii="Times New Roman" w:hAnsi="Times New Roman"/>
          <w:sz w:val="24"/>
        </w:rPr>
      </w:pPr>
      <w:r>
        <w:rPr>
          <w:rFonts w:hint="eastAsia" w:ascii="Times New Roman" w:hAnsi="Times New Roman"/>
          <w:sz w:val="24"/>
        </w:rPr>
        <w:t>业体系 推进农业大省向农业强省跨越的意见》（2019年10月）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《乐山市国民经济和社会发展第十四个五年规划和二〇三五年远景</w:t>
      </w:r>
    </w:p>
    <w:p>
      <w:pPr>
        <w:adjustRightInd w:val="0"/>
        <w:snapToGrid w:val="0"/>
        <w:rPr>
          <w:rFonts w:ascii="Times New Roman" w:hAnsi="Times New Roman"/>
          <w:sz w:val="24"/>
        </w:rPr>
      </w:pPr>
      <w:r>
        <w:rPr>
          <w:rFonts w:hint="eastAsia" w:ascii="Times New Roman" w:hAnsi="Times New Roman"/>
          <w:sz w:val="24"/>
        </w:rPr>
        <w:t>目标纲要》（2021年1月）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《乐山市人民政府办公室关于印发乐山市畜禽养殖废弃物资源化利</w:t>
      </w:r>
    </w:p>
    <w:p>
      <w:pPr>
        <w:adjustRightInd w:val="0"/>
        <w:snapToGrid w:val="0"/>
        <w:rPr>
          <w:rFonts w:ascii="Times New Roman" w:hAnsi="Times New Roman"/>
          <w:sz w:val="24"/>
        </w:rPr>
      </w:pPr>
      <w:r>
        <w:rPr>
          <w:rFonts w:hint="eastAsia" w:ascii="Times New Roman" w:hAnsi="Times New Roman"/>
          <w:sz w:val="24"/>
        </w:rPr>
        <w:t>用工作方案的通知》（2018年4月）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《乐山市市中区国民经济和社会发展第十四个五年规划和二〇三五</w:t>
      </w:r>
    </w:p>
    <w:p>
      <w:pPr>
        <w:adjustRightInd w:val="0"/>
        <w:snapToGrid w:val="0"/>
        <w:rPr>
          <w:rFonts w:ascii="Times New Roman" w:hAnsi="Times New Roman"/>
          <w:sz w:val="24"/>
        </w:rPr>
      </w:pPr>
      <w:r>
        <w:rPr>
          <w:rFonts w:hint="eastAsia" w:ascii="Times New Roman" w:hAnsi="Times New Roman"/>
          <w:sz w:val="24"/>
        </w:rPr>
        <w:t>年远景目标纲要》（2021年5月）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《乐山市市中区人民政府关于印发乐山市市中区畜禽养殖管理办法</w:t>
      </w:r>
    </w:p>
    <w:p>
      <w:pPr>
        <w:adjustRightInd w:val="0"/>
        <w:snapToGrid w:val="0"/>
        <w:rPr>
          <w:rFonts w:ascii="Times New Roman" w:hAnsi="Times New Roman"/>
          <w:sz w:val="24"/>
        </w:rPr>
      </w:pPr>
      <w:r>
        <w:rPr>
          <w:rFonts w:hint="eastAsia" w:ascii="Times New Roman" w:hAnsi="Times New Roman"/>
          <w:sz w:val="24"/>
        </w:rPr>
        <w:t>的通知》（2017年4月）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《乐山市市中区人民政府办公室关于印发〈乐山市市中区畜禽养殖污</w:t>
      </w:r>
    </w:p>
    <w:p>
      <w:pPr>
        <w:adjustRightInd w:val="0"/>
        <w:snapToGrid w:val="0"/>
        <w:rPr>
          <w:rFonts w:ascii="Times New Roman" w:hAnsi="Times New Roman"/>
          <w:sz w:val="24"/>
        </w:rPr>
      </w:pPr>
      <w:r>
        <w:rPr>
          <w:rFonts w:hint="eastAsia" w:ascii="Times New Roman" w:hAnsi="Times New Roman"/>
          <w:sz w:val="24"/>
        </w:rPr>
        <w:t>染综合整治工程方案〉的通知》（2017年5月）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《乐山市市中区人民政府办公室关于印发乐山市市中区畜禽养殖废</w:t>
      </w:r>
    </w:p>
    <w:p>
      <w:pPr>
        <w:adjustRightInd w:val="0"/>
        <w:snapToGrid w:val="0"/>
        <w:rPr>
          <w:rFonts w:ascii="Times New Roman" w:hAnsi="Times New Roman"/>
          <w:sz w:val="24"/>
        </w:rPr>
      </w:pPr>
      <w:r>
        <w:rPr>
          <w:rFonts w:hint="eastAsia" w:ascii="Times New Roman" w:hAnsi="Times New Roman"/>
          <w:sz w:val="24"/>
        </w:rPr>
        <w:t>弃物资源化利用工作方案的通知》（2018年10月）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《乐山市市中区人民政府关于印发乐山市市中区畜禽养殖禁养区划</w:t>
      </w:r>
    </w:p>
    <w:p>
      <w:pPr>
        <w:adjustRightInd w:val="0"/>
        <w:snapToGrid w:val="0"/>
        <w:rPr>
          <w:rFonts w:ascii="Times New Roman" w:hAnsi="Times New Roman"/>
          <w:sz w:val="24"/>
        </w:rPr>
      </w:pPr>
      <w:r>
        <w:rPr>
          <w:rFonts w:hint="eastAsia" w:ascii="Times New Roman" w:hAnsi="Times New Roman"/>
          <w:sz w:val="24"/>
        </w:rPr>
        <w:t>定调整方案的通知》（2020年2月）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《乐山市“十三五”畜禽养殖污染防治规划（2016-2020）》（2017年5</w:t>
      </w:r>
    </w:p>
    <w:p>
      <w:pPr>
        <w:adjustRightInd w:val="0"/>
        <w:snapToGrid w:val="0"/>
        <w:rPr>
          <w:rFonts w:ascii="Times New Roman" w:hAnsi="Times New Roman"/>
          <w:sz w:val="24"/>
        </w:rPr>
      </w:pPr>
      <w:r>
        <w:rPr>
          <w:rFonts w:hint="eastAsia" w:ascii="Times New Roman" w:hAnsi="Times New Roman"/>
          <w:sz w:val="24"/>
        </w:rPr>
        <w:t>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《乐山市市中区畜禽养殖污染防治规划（2016-2020）》（2017年12月）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《乐山市市中区畜禽养殖污染防治规划中期调整（2019—2020年）》</w:t>
      </w:r>
    </w:p>
    <w:p>
      <w:pPr>
        <w:adjustRightInd w:val="0"/>
        <w:snapToGrid w:val="0"/>
        <w:rPr>
          <w:rFonts w:ascii="Times New Roman" w:hAnsi="Times New Roman"/>
          <w:sz w:val="24"/>
        </w:rPr>
      </w:pPr>
      <w:r>
        <w:rPr>
          <w:rFonts w:hint="eastAsia" w:ascii="Times New Roman" w:hAnsi="Times New Roman"/>
          <w:sz w:val="24"/>
        </w:rPr>
        <w:t>（2020年4月）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《&lt;乐山市市中区“十三五”畜禽养殖污染防治规划（2016-2020）&gt;</w:t>
      </w:r>
    </w:p>
    <w:p>
      <w:pPr>
        <w:adjustRightInd w:val="0"/>
        <w:snapToGrid w:val="0"/>
        <w:rPr>
          <w:rFonts w:ascii="Times New Roman" w:hAnsi="Times New Roman"/>
          <w:sz w:val="24"/>
        </w:rPr>
      </w:pPr>
      <w:r>
        <w:rPr>
          <w:rFonts w:hint="eastAsia" w:ascii="Times New Roman" w:hAnsi="Times New Roman"/>
          <w:sz w:val="24"/>
        </w:rPr>
        <w:t>执行情况的报告》（2020年10月）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《乐山市市中区“十四五”生态环境保护规划》（2021年9月）</w:t>
      </w:r>
    </w:p>
    <w:p>
      <w:pPr>
        <w:pStyle w:val="31"/>
        <w:numPr>
          <w:ilvl w:val="0"/>
          <w:numId w:val="3"/>
        </w:numPr>
        <w:adjustRightInd w:val="0"/>
        <w:snapToGrid w:val="0"/>
        <w:ind w:firstLineChars="0"/>
        <w:rPr>
          <w:rFonts w:ascii="Times New Roman" w:hAnsi="Times New Roman"/>
          <w:sz w:val="24"/>
        </w:rPr>
      </w:pPr>
      <w:r>
        <w:rPr>
          <w:rFonts w:hint="eastAsia" w:ascii="Times New Roman" w:hAnsi="Times New Roman"/>
          <w:sz w:val="24"/>
        </w:rPr>
        <w:t>《乐山市市中区“十四五”畜牧业发展规划（2021-2025）》（2021年</w:t>
      </w:r>
    </w:p>
    <w:p>
      <w:pPr>
        <w:adjustRightInd w:val="0"/>
        <w:snapToGrid w:val="0"/>
        <w:rPr>
          <w:rFonts w:ascii="Times New Roman" w:hAnsi="Times New Roman"/>
          <w:sz w:val="24"/>
        </w:rPr>
      </w:pPr>
      <w:r>
        <w:rPr>
          <w:rFonts w:hint="eastAsia" w:ascii="Times New Roman" w:hAnsi="Times New Roman"/>
          <w:sz w:val="24"/>
        </w:rPr>
        <w:t>10月）</w:t>
      </w:r>
    </w:p>
    <w:p>
      <w:pPr>
        <w:pStyle w:val="4"/>
        <w:adjustRightInd w:val="0"/>
        <w:snapToGrid w:val="0"/>
        <w:spacing w:before="0" w:after="0" w:line="360" w:lineRule="auto"/>
        <w:rPr>
          <w:rFonts w:ascii="Times New Roman" w:hAnsi="Times New Roman"/>
          <w:sz w:val="24"/>
          <w:szCs w:val="24"/>
        </w:rPr>
      </w:pPr>
      <w:r>
        <w:fldChar w:fldCharType="begin"/>
      </w:r>
      <w:r>
        <w:instrText xml:space="preserve"> HYPERLINK \l "_Toc500364850" </w:instrText>
      </w:r>
      <w:r>
        <w:fldChar w:fldCharType="separate"/>
      </w:r>
      <w:bookmarkStart w:id="9" w:name="_Toc117868688"/>
      <w:r>
        <w:rPr>
          <w:rFonts w:ascii="Times New Roman" w:hAnsi="Times New Roman"/>
          <w:sz w:val="24"/>
          <w:szCs w:val="24"/>
        </w:rPr>
        <w:t>1.2.3</w:t>
      </w:r>
      <w:r>
        <w:rPr>
          <w:rFonts w:hint="eastAsia" w:ascii="Times New Roman" w:hAnsi="Times New Roman"/>
          <w:sz w:val="24"/>
          <w:szCs w:val="24"/>
        </w:rPr>
        <w:t xml:space="preserve"> 标准和技术规范</w:t>
      </w:r>
      <w:bookmarkEnd w:id="9"/>
      <w:r>
        <w:rPr>
          <w:rFonts w:hint="eastAsia" w:ascii="Times New Roman" w:hAnsi="Times New Roman"/>
          <w:sz w:val="24"/>
          <w:szCs w:val="24"/>
        </w:rPr>
        <w:fldChar w:fldCharType="end"/>
      </w:r>
    </w:p>
    <w:p>
      <w:pPr>
        <w:pStyle w:val="31"/>
        <w:numPr>
          <w:ilvl w:val="2"/>
          <w:numId w:val="4"/>
        </w:numPr>
        <w:ind w:firstLineChars="0"/>
        <w:rPr>
          <w:rFonts w:ascii="Times New Roman" w:hAnsi="Times New Roman"/>
          <w:sz w:val="24"/>
        </w:rPr>
      </w:pPr>
      <w:r>
        <w:rPr>
          <w:rFonts w:hint="eastAsia" w:ascii="Times New Roman" w:hAnsi="Times New Roman"/>
          <w:sz w:val="24"/>
        </w:rPr>
        <w:t>《畜禽养殖业污染物排放标准》(GB18596-2001)</w:t>
      </w:r>
    </w:p>
    <w:p>
      <w:pPr>
        <w:pStyle w:val="31"/>
        <w:numPr>
          <w:ilvl w:val="2"/>
          <w:numId w:val="4"/>
        </w:numPr>
        <w:ind w:firstLineChars="0"/>
        <w:rPr>
          <w:rFonts w:ascii="Times New Roman" w:hAnsi="Times New Roman"/>
          <w:sz w:val="24"/>
        </w:rPr>
      </w:pPr>
      <w:r>
        <w:rPr>
          <w:rFonts w:hint="eastAsia" w:ascii="Times New Roman" w:hAnsi="Times New Roman"/>
          <w:sz w:val="24"/>
        </w:rPr>
        <w:t>《畜禽养殖业污染防治技术规范》（HJ/T81-2001）</w:t>
      </w:r>
    </w:p>
    <w:p>
      <w:pPr>
        <w:pStyle w:val="31"/>
        <w:numPr>
          <w:ilvl w:val="2"/>
          <w:numId w:val="4"/>
        </w:numPr>
        <w:ind w:firstLineChars="0"/>
        <w:rPr>
          <w:rFonts w:ascii="Times New Roman" w:hAnsi="Times New Roman"/>
          <w:sz w:val="24"/>
        </w:rPr>
      </w:pPr>
      <w:r>
        <w:rPr>
          <w:rFonts w:hint="eastAsia" w:ascii="Times New Roman" w:hAnsi="Times New Roman"/>
          <w:sz w:val="24"/>
        </w:rPr>
        <w:t>《畜禽养殖业污染治理工程技术规范》（HJ497-2009）</w:t>
      </w:r>
    </w:p>
    <w:p>
      <w:pPr>
        <w:pStyle w:val="31"/>
        <w:numPr>
          <w:ilvl w:val="2"/>
          <w:numId w:val="4"/>
        </w:numPr>
        <w:ind w:firstLineChars="0"/>
        <w:rPr>
          <w:rFonts w:ascii="Times New Roman" w:hAnsi="Times New Roman"/>
          <w:sz w:val="24"/>
        </w:rPr>
      </w:pPr>
      <w:r>
        <w:rPr>
          <w:rFonts w:hint="eastAsia" w:ascii="Times New Roman" w:hAnsi="Times New Roman"/>
          <w:sz w:val="24"/>
        </w:rPr>
        <w:t>《病死及病害动物无害化处理技术规范》（农医发〔2017〕25号）</w:t>
      </w:r>
    </w:p>
    <w:p>
      <w:pPr>
        <w:pStyle w:val="31"/>
        <w:numPr>
          <w:ilvl w:val="2"/>
          <w:numId w:val="4"/>
        </w:numPr>
        <w:ind w:firstLineChars="0"/>
        <w:rPr>
          <w:rFonts w:ascii="Times New Roman" w:hAnsi="Times New Roman"/>
          <w:sz w:val="24"/>
        </w:rPr>
      </w:pPr>
      <w:r>
        <w:rPr>
          <w:rFonts w:ascii="Times New Roman" w:hAnsi="Times New Roman"/>
          <w:sz w:val="24"/>
        </w:rPr>
        <w:t>《畜禽养殖产地环境评价规范》（HJ 568-2010）</w:t>
      </w:r>
    </w:p>
    <w:p>
      <w:pPr>
        <w:pStyle w:val="31"/>
        <w:numPr>
          <w:ilvl w:val="2"/>
          <w:numId w:val="4"/>
        </w:numPr>
        <w:ind w:firstLineChars="0"/>
        <w:rPr>
          <w:rFonts w:ascii="Times New Roman" w:hAnsi="Times New Roman"/>
          <w:sz w:val="24"/>
        </w:rPr>
      </w:pPr>
      <w:r>
        <w:rPr>
          <w:rFonts w:hint="eastAsia" w:ascii="Times New Roman" w:hAnsi="Times New Roman"/>
          <w:sz w:val="24"/>
        </w:rPr>
        <w:t>《农业技术经济手册（修订本）（中国农业出版社，1985年1月）</w:t>
      </w:r>
    </w:p>
    <w:p>
      <w:pPr>
        <w:pStyle w:val="31"/>
        <w:numPr>
          <w:ilvl w:val="2"/>
          <w:numId w:val="4"/>
        </w:numPr>
        <w:ind w:firstLineChars="0"/>
        <w:rPr>
          <w:rFonts w:ascii="Times New Roman" w:hAnsi="Times New Roman"/>
          <w:sz w:val="24"/>
        </w:rPr>
      </w:pPr>
      <w:r>
        <w:rPr>
          <w:rFonts w:hint="eastAsia" w:ascii="Times New Roman" w:hAnsi="Times New Roman"/>
          <w:sz w:val="24"/>
        </w:rPr>
        <w:t>《四川省畜禽养殖场、养殖小区规模标准和备案程序规定》（川府函</w:t>
      </w:r>
    </w:p>
    <w:p>
      <w:pPr>
        <w:rPr>
          <w:rFonts w:ascii="Times New Roman" w:hAnsi="Times New Roman"/>
          <w:sz w:val="24"/>
        </w:rPr>
      </w:pPr>
      <w:r>
        <w:rPr>
          <w:rFonts w:hint="eastAsia" w:ascii="Times New Roman" w:hAnsi="Times New Roman"/>
          <w:sz w:val="24"/>
        </w:rPr>
        <w:t>〔2007〕48号）</w:t>
      </w:r>
    </w:p>
    <w:p>
      <w:pPr>
        <w:pStyle w:val="8"/>
        <w:numPr>
          <w:ilvl w:val="2"/>
          <w:numId w:val="4"/>
        </w:numPr>
        <w:rPr>
          <w:rFonts w:ascii="Times New Roman" w:hAnsi="Times New Roman"/>
          <w:sz w:val="24"/>
        </w:rPr>
      </w:pPr>
      <w:r>
        <w:rPr>
          <w:rFonts w:hint="eastAsia" w:ascii="Times New Roman" w:hAnsi="Times New Roman"/>
          <w:sz w:val="24"/>
        </w:rPr>
        <w:t>《</w:t>
      </w:r>
      <w:r>
        <w:rPr>
          <w:rFonts w:ascii="Times New Roman" w:hAnsi="Times New Roman"/>
          <w:sz w:val="24"/>
        </w:rPr>
        <w:t>四川省畜禽养殖场（小区）规模标准》</w:t>
      </w:r>
      <w:r>
        <w:rPr>
          <w:rFonts w:hint="eastAsia" w:ascii="Times New Roman" w:hAnsi="Times New Roman"/>
          <w:sz w:val="24"/>
        </w:rPr>
        <w:t>（2017年7月）</w:t>
      </w:r>
    </w:p>
    <w:p>
      <w:pPr>
        <w:pStyle w:val="8"/>
        <w:numPr>
          <w:ilvl w:val="2"/>
          <w:numId w:val="4"/>
        </w:numPr>
        <w:rPr>
          <w:rFonts w:ascii="Times New Roman" w:hAnsi="Times New Roman"/>
          <w:sz w:val="24"/>
        </w:rPr>
      </w:pPr>
      <w:r>
        <w:rPr>
          <w:rFonts w:hint="eastAsia" w:ascii="Times New Roman" w:hAnsi="Times New Roman"/>
          <w:sz w:val="24"/>
        </w:rPr>
        <w:t>《四川省畜禽养殖污染防治技术指南（试行）》（2017年8月）</w:t>
      </w:r>
    </w:p>
    <w:p>
      <w:pPr>
        <w:pStyle w:val="4"/>
        <w:adjustRightInd w:val="0"/>
        <w:snapToGrid w:val="0"/>
        <w:spacing w:before="0" w:after="0" w:line="360" w:lineRule="auto"/>
        <w:rPr>
          <w:rFonts w:ascii="Times New Roman" w:hAnsi="Times New Roman"/>
          <w:sz w:val="24"/>
          <w:szCs w:val="24"/>
        </w:rPr>
      </w:pPr>
      <w:r>
        <w:fldChar w:fldCharType="begin"/>
      </w:r>
      <w:r>
        <w:instrText xml:space="preserve"> HYPERLINK \l "_Toc500364850" </w:instrText>
      </w:r>
      <w:r>
        <w:fldChar w:fldCharType="separate"/>
      </w:r>
      <w:bookmarkStart w:id="10" w:name="_Toc117868689"/>
      <w:r>
        <w:rPr>
          <w:rFonts w:ascii="Times New Roman" w:hAnsi="Times New Roman"/>
          <w:sz w:val="24"/>
          <w:szCs w:val="24"/>
        </w:rPr>
        <w:t>1.2.</w:t>
      </w:r>
      <w:r>
        <w:rPr>
          <w:rFonts w:hint="eastAsia" w:ascii="Times New Roman" w:hAnsi="Times New Roman"/>
          <w:sz w:val="24"/>
          <w:szCs w:val="24"/>
        </w:rPr>
        <w:t>4 其他资料</w:t>
      </w:r>
      <w:bookmarkEnd w:id="10"/>
      <w:r>
        <w:rPr>
          <w:rFonts w:hint="eastAsia" w:ascii="Times New Roman" w:hAnsi="Times New Roman"/>
          <w:sz w:val="24"/>
          <w:szCs w:val="24"/>
        </w:rPr>
        <w:fldChar w:fldCharType="end"/>
      </w:r>
    </w:p>
    <w:p>
      <w:pPr>
        <w:pStyle w:val="8"/>
        <w:numPr>
          <w:ilvl w:val="0"/>
          <w:numId w:val="5"/>
        </w:numPr>
        <w:rPr>
          <w:rFonts w:ascii="Times New Roman" w:hAnsi="Times New Roman"/>
          <w:sz w:val="24"/>
        </w:rPr>
      </w:pPr>
      <w:r>
        <w:rPr>
          <w:rFonts w:ascii="Times New Roman" w:hAnsi="Times New Roman"/>
          <w:sz w:val="24"/>
        </w:rPr>
        <w:t>乐山市市中区畜牧业产业发展情况</w:t>
      </w:r>
      <w:r>
        <w:rPr>
          <w:rFonts w:hint="eastAsia" w:ascii="Times New Roman" w:hAnsi="Times New Roman"/>
          <w:sz w:val="24"/>
        </w:rPr>
        <w:t>（2016-2020年）</w:t>
      </w:r>
    </w:p>
    <w:p>
      <w:pPr>
        <w:pStyle w:val="8"/>
        <w:numPr>
          <w:ilvl w:val="0"/>
          <w:numId w:val="5"/>
        </w:numPr>
        <w:rPr>
          <w:rFonts w:ascii="Times New Roman" w:hAnsi="Times New Roman"/>
          <w:sz w:val="24"/>
        </w:rPr>
      </w:pPr>
      <w:r>
        <w:rPr>
          <w:rFonts w:ascii="Times New Roman" w:hAnsi="Times New Roman"/>
          <w:sz w:val="24"/>
        </w:rPr>
        <w:t>乐山市市中区畜禽养殖现状</w:t>
      </w:r>
      <w:r>
        <w:rPr>
          <w:rFonts w:hint="eastAsia" w:ascii="Times New Roman" w:hAnsi="Times New Roman"/>
          <w:sz w:val="24"/>
        </w:rPr>
        <w:t>基础</w:t>
      </w:r>
      <w:r>
        <w:rPr>
          <w:rFonts w:ascii="Times New Roman" w:hAnsi="Times New Roman"/>
          <w:sz w:val="24"/>
        </w:rPr>
        <w:t>数据统计表</w:t>
      </w:r>
      <w:r>
        <w:rPr>
          <w:rFonts w:hint="eastAsia" w:ascii="Times New Roman" w:hAnsi="Times New Roman"/>
          <w:sz w:val="24"/>
        </w:rPr>
        <w:t>（2020年）</w:t>
      </w:r>
    </w:p>
    <w:p>
      <w:pPr>
        <w:pStyle w:val="8"/>
        <w:numPr>
          <w:ilvl w:val="0"/>
          <w:numId w:val="5"/>
        </w:numPr>
        <w:rPr>
          <w:rFonts w:ascii="Times New Roman" w:hAnsi="Times New Roman"/>
          <w:sz w:val="24"/>
        </w:rPr>
      </w:pPr>
      <w:r>
        <w:rPr>
          <w:rFonts w:ascii="Times New Roman" w:hAnsi="Times New Roman"/>
          <w:sz w:val="24"/>
        </w:rPr>
        <w:t>乐山市市中区畜禽养殖污染情况数据统计表</w:t>
      </w:r>
      <w:r>
        <w:rPr>
          <w:rFonts w:hint="eastAsia" w:ascii="Times New Roman" w:hAnsi="Times New Roman"/>
          <w:sz w:val="24"/>
        </w:rPr>
        <w:t>（2020年）</w:t>
      </w:r>
    </w:p>
    <w:p>
      <w:pPr>
        <w:pStyle w:val="8"/>
        <w:numPr>
          <w:ilvl w:val="0"/>
          <w:numId w:val="5"/>
        </w:numPr>
        <w:rPr>
          <w:rFonts w:ascii="Times New Roman" w:hAnsi="Times New Roman"/>
          <w:sz w:val="24"/>
        </w:rPr>
      </w:pPr>
      <w:r>
        <w:rPr>
          <w:rFonts w:ascii="Times New Roman" w:hAnsi="Times New Roman"/>
          <w:sz w:val="24"/>
        </w:rPr>
        <w:t>乐山市市中区畜禽养殖污染防治年度计划</w:t>
      </w:r>
      <w:r>
        <w:rPr>
          <w:rFonts w:hint="eastAsia" w:ascii="Times New Roman" w:hAnsi="Times New Roman"/>
          <w:sz w:val="24"/>
        </w:rPr>
        <w:t>（2016-2020年）</w:t>
      </w:r>
    </w:p>
    <w:p>
      <w:pPr>
        <w:pStyle w:val="3"/>
        <w:numPr>
          <w:ilvl w:val="1"/>
          <w:numId w:val="1"/>
        </w:numPr>
        <w:spacing w:before="0" w:after="0" w:line="360" w:lineRule="auto"/>
        <w:ind w:left="493" w:hanging="493"/>
        <w:rPr>
          <w:rFonts w:ascii="Times New Roman" w:hAnsi="Times New Roman"/>
          <w:sz w:val="28"/>
          <w:szCs w:val="28"/>
        </w:rPr>
      </w:pPr>
      <w:r>
        <w:fldChar w:fldCharType="begin"/>
      </w:r>
      <w:r>
        <w:instrText xml:space="preserve"> HYPERLINK \l "_Toc500364851" </w:instrText>
      </w:r>
      <w:r>
        <w:fldChar w:fldCharType="separate"/>
      </w:r>
      <w:bookmarkStart w:id="11" w:name="_Toc117868690"/>
      <w:r>
        <w:rPr>
          <w:rFonts w:hint="eastAsia" w:ascii="Times New Roman" w:hAnsi="Times New Roman"/>
          <w:sz w:val="28"/>
          <w:szCs w:val="28"/>
        </w:rPr>
        <w:t>规划范围和年限</w:t>
      </w:r>
      <w:bookmarkEnd w:id="11"/>
      <w:r>
        <w:rPr>
          <w:rFonts w:hint="eastAsia" w:ascii="Times New Roman" w:hAnsi="Times New Roman"/>
          <w:sz w:val="28"/>
          <w:szCs w:val="28"/>
        </w:rPr>
        <w:fldChar w:fldCharType="end"/>
      </w:r>
    </w:p>
    <w:p>
      <w:pPr>
        <w:pStyle w:val="4"/>
        <w:spacing w:before="0" w:after="0" w:line="360" w:lineRule="auto"/>
        <w:rPr>
          <w:rFonts w:ascii="Times New Roman" w:hAnsi="Times New Roman"/>
          <w:sz w:val="24"/>
          <w:szCs w:val="24"/>
        </w:rPr>
      </w:pPr>
      <w:r>
        <w:fldChar w:fldCharType="begin"/>
      </w:r>
      <w:r>
        <w:instrText xml:space="preserve"> HYPERLINK \l "_Toc500364852" </w:instrText>
      </w:r>
      <w:r>
        <w:fldChar w:fldCharType="separate"/>
      </w:r>
      <w:bookmarkStart w:id="12" w:name="_Toc117868691"/>
      <w:r>
        <w:rPr>
          <w:rFonts w:ascii="Times New Roman" w:hAnsi="Times New Roman"/>
          <w:sz w:val="24"/>
          <w:szCs w:val="24"/>
        </w:rPr>
        <w:t>1.3.1</w:t>
      </w:r>
      <w:r>
        <w:rPr>
          <w:rFonts w:hint="eastAsia" w:ascii="Times New Roman" w:hAnsi="Times New Roman"/>
          <w:sz w:val="24"/>
          <w:szCs w:val="24"/>
        </w:rPr>
        <w:t>规划范围</w:t>
      </w:r>
      <w:bookmarkEnd w:id="12"/>
      <w:r>
        <w:rPr>
          <w:rFonts w:hint="eastAsia" w:ascii="Times New Roman" w:hAnsi="Times New Roman"/>
          <w:sz w:val="24"/>
          <w:szCs w:val="24"/>
        </w:rPr>
        <w:fldChar w:fldCharType="end"/>
      </w:r>
    </w:p>
    <w:p>
      <w:pPr>
        <w:pStyle w:val="7"/>
        <w:spacing w:after="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乐山市市中区行政区域（不含高新区安谷镇），包括5个街道、11个镇，总面积为82</w:t>
      </w:r>
      <w:r>
        <w:rPr>
          <w:rFonts w:hint="eastAsia" w:ascii="Times New Roman" w:hAnsi="Times New Roman" w:eastAsia="宋体" w:cs="Times New Roman"/>
          <w:sz w:val="24"/>
          <w:szCs w:val="24"/>
        </w:rPr>
        <w:t>7 km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w:t>
      </w:r>
      <w:r>
        <w:rPr>
          <w:rFonts w:ascii="Times New Roman" w:hAnsi="Times New Roman" w:eastAsia="宋体" w:cs="Times New Roman"/>
          <w:sz w:val="24"/>
          <w:szCs w:val="24"/>
        </w:rPr>
        <w:t>具体包括</w:t>
      </w:r>
      <w:r>
        <w:rPr>
          <w:rFonts w:hint="eastAsia" w:ascii="Times New Roman" w:hAnsi="Times New Roman" w:eastAsia="宋体" w:cs="Times New Roman"/>
          <w:sz w:val="24"/>
          <w:szCs w:val="24"/>
        </w:rPr>
        <w:t>海棠街道、绿心街道、通江街道、全福街道、大佛街道、平兴镇、水口镇、苏稽镇、悦来镇、牟子镇、土主镇、剑峰镇、白马镇、青平镇、茅桥镇、棉竹镇</w:t>
      </w:r>
      <w:r>
        <w:rPr>
          <w:rFonts w:ascii="Times New Roman" w:hAnsi="Times New Roman" w:eastAsia="宋体" w:cs="Times New Roman"/>
          <w:sz w:val="24"/>
          <w:szCs w:val="24"/>
        </w:rPr>
        <w:t>。</w:t>
      </w:r>
    </w:p>
    <w:p>
      <w:pPr>
        <w:pStyle w:val="4"/>
        <w:adjustRightInd w:val="0"/>
        <w:snapToGrid w:val="0"/>
        <w:spacing w:before="0" w:after="0" w:line="360" w:lineRule="auto"/>
        <w:rPr>
          <w:rFonts w:ascii="Times New Roman" w:hAnsi="Times New Roman"/>
          <w:sz w:val="24"/>
          <w:szCs w:val="24"/>
        </w:rPr>
      </w:pPr>
      <w:r>
        <w:fldChar w:fldCharType="begin"/>
      </w:r>
      <w:r>
        <w:instrText xml:space="preserve"> HYPERLINK \l "_Toc500364853" </w:instrText>
      </w:r>
      <w:r>
        <w:fldChar w:fldCharType="separate"/>
      </w:r>
      <w:bookmarkStart w:id="13" w:name="_Toc117868692"/>
      <w:r>
        <w:rPr>
          <w:rFonts w:ascii="Times New Roman" w:hAnsi="Times New Roman"/>
          <w:sz w:val="24"/>
          <w:szCs w:val="24"/>
        </w:rPr>
        <w:t>1.3.2</w:t>
      </w:r>
      <w:r>
        <w:rPr>
          <w:rFonts w:hint="eastAsia" w:ascii="Times New Roman" w:hAnsi="Times New Roman"/>
          <w:sz w:val="24"/>
          <w:szCs w:val="24"/>
        </w:rPr>
        <w:t>规划年限</w:t>
      </w:r>
      <w:bookmarkEnd w:id="13"/>
      <w:r>
        <w:rPr>
          <w:rFonts w:hint="eastAsia" w:ascii="Times New Roman" w:hAnsi="Times New Roman"/>
          <w:sz w:val="24"/>
          <w:szCs w:val="24"/>
        </w:rPr>
        <w:fldChar w:fldCharType="end"/>
      </w:r>
    </w:p>
    <w:p>
      <w:pPr>
        <w:pStyle w:val="7"/>
        <w:spacing w:after="0" w:line="360" w:lineRule="auto"/>
        <w:ind w:firstLine="480" w:firstLineChars="200"/>
        <w:rPr>
          <w:rFonts w:ascii="Times New Roman" w:hAnsi="Times New Roman" w:cs="Times New Roman"/>
          <w:sz w:val="30"/>
          <w:szCs w:val="30"/>
        </w:rPr>
      </w:pPr>
      <w:r>
        <w:rPr>
          <w:rFonts w:hint="eastAsia" w:ascii="Times New Roman" w:hAnsi="Times New Roman" w:eastAsia="宋体" w:cs="Times New Roman"/>
          <w:sz w:val="24"/>
          <w:szCs w:val="24"/>
        </w:rPr>
        <w:t>以2020年统计数据为基准，规划年限为2021-2025年。</w:t>
      </w:r>
      <w:r>
        <w:rPr>
          <w:rFonts w:ascii="Times New Roman" w:hAnsi="Times New Roman" w:cs="Times New Roman"/>
          <w:sz w:val="30"/>
          <w:szCs w:val="30"/>
        </w:rPr>
        <w:t xml:space="preserve"> </w:t>
      </w:r>
    </w:p>
    <w:p>
      <w:pPr>
        <w:pStyle w:val="3"/>
        <w:numPr>
          <w:ilvl w:val="1"/>
          <w:numId w:val="1"/>
        </w:numPr>
        <w:spacing w:before="0" w:after="0" w:line="360" w:lineRule="auto"/>
        <w:ind w:left="493" w:hanging="493"/>
        <w:rPr>
          <w:rFonts w:ascii="Times New Roman" w:hAnsi="Times New Roman"/>
          <w:sz w:val="28"/>
          <w:szCs w:val="28"/>
        </w:rPr>
      </w:pPr>
      <w:r>
        <w:fldChar w:fldCharType="begin"/>
      </w:r>
      <w:r>
        <w:instrText xml:space="preserve"> HYPERLINK \l "_Toc500364851" </w:instrText>
      </w:r>
      <w:r>
        <w:fldChar w:fldCharType="separate"/>
      </w:r>
      <w:bookmarkStart w:id="14" w:name="_Toc117868693"/>
      <w:r>
        <w:rPr>
          <w:rFonts w:hint="eastAsia" w:ascii="Times New Roman" w:hAnsi="Times New Roman"/>
          <w:sz w:val="28"/>
          <w:szCs w:val="28"/>
        </w:rPr>
        <w:t>规划原则</w:t>
      </w:r>
      <w:bookmarkEnd w:id="14"/>
      <w:r>
        <w:rPr>
          <w:rFonts w:hint="eastAsia" w:ascii="Times New Roman" w:hAnsi="Times New Roman"/>
          <w:sz w:val="28"/>
          <w:szCs w:val="28"/>
        </w:rPr>
        <w:fldChar w:fldCharType="end"/>
      </w:r>
    </w:p>
    <w:p>
      <w:pPr>
        <w:pStyle w:val="4"/>
        <w:spacing w:before="0" w:after="0" w:line="360" w:lineRule="auto"/>
        <w:rPr>
          <w:rFonts w:ascii="Times New Roman" w:hAnsi="Times New Roman"/>
          <w:sz w:val="24"/>
          <w:szCs w:val="24"/>
        </w:rPr>
      </w:pPr>
      <w:bookmarkStart w:id="15" w:name="_Toc117868694"/>
      <w:r>
        <w:rPr>
          <w:rFonts w:hint="eastAsia" w:ascii="Times New Roman" w:hAnsi="Times New Roman"/>
          <w:sz w:val="24"/>
          <w:szCs w:val="24"/>
        </w:rPr>
        <w:t>1.4.1</w:t>
      </w:r>
      <w:r>
        <w:rPr>
          <w:rFonts w:ascii="Times New Roman" w:hAnsi="Times New Roman"/>
          <w:sz w:val="24"/>
          <w:szCs w:val="24"/>
        </w:rPr>
        <w:t>统筹兼顾</w:t>
      </w:r>
      <w:r>
        <w:rPr>
          <w:rFonts w:hint="eastAsia" w:ascii="Times New Roman" w:hAnsi="Times New Roman"/>
          <w:sz w:val="24"/>
          <w:szCs w:val="24"/>
        </w:rPr>
        <w:t>，</w:t>
      </w:r>
      <w:r>
        <w:rPr>
          <w:rFonts w:ascii="Times New Roman" w:hAnsi="Times New Roman"/>
          <w:sz w:val="24"/>
          <w:szCs w:val="24"/>
        </w:rPr>
        <w:t>重点突出</w:t>
      </w:r>
      <w:bookmarkEnd w:id="15"/>
    </w:p>
    <w:p>
      <w:pPr>
        <w:ind w:firstLine="480" w:firstLineChars="200"/>
        <w:rPr>
          <w:rFonts w:ascii="宋体" w:hAnsi="宋体"/>
          <w:bCs/>
          <w:sz w:val="24"/>
        </w:rPr>
      </w:pPr>
      <w:r>
        <w:rPr>
          <w:rFonts w:ascii="宋体" w:hAnsi="宋体"/>
          <w:bCs/>
          <w:sz w:val="24"/>
        </w:rPr>
        <w:t>根据统筹区域内环境承载能力和地下水文地质条件，合理确定区内养殖容量和养殖种类，统筹环境保护与畜禽产业发展</w:t>
      </w:r>
      <w:r>
        <w:rPr>
          <w:rFonts w:hint="eastAsia" w:ascii="宋体" w:hAnsi="宋体"/>
          <w:bCs/>
          <w:sz w:val="24"/>
        </w:rPr>
        <w:t>、</w:t>
      </w:r>
      <w:r>
        <w:rPr>
          <w:rFonts w:ascii="宋体" w:hAnsi="宋体"/>
          <w:bCs/>
          <w:sz w:val="24"/>
        </w:rPr>
        <w:t>养殖业与种植业</w:t>
      </w:r>
      <w:r>
        <w:rPr>
          <w:rFonts w:hint="eastAsia" w:ascii="宋体" w:hAnsi="宋体"/>
          <w:bCs/>
          <w:sz w:val="24"/>
        </w:rPr>
        <w:t>、源头</w:t>
      </w:r>
      <w:r>
        <w:rPr>
          <w:rFonts w:ascii="宋体" w:hAnsi="宋体"/>
          <w:bCs/>
          <w:sz w:val="24"/>
        </w:rPr>
        <w:t>预防与末端治理</w:t>
      </w:r>
      <w:r>
        <w:rPr>
          <w:rFonts w:hint="eastAsia" w:ascii="宋体" w:hAnsi="宋体"/>
          <w:bCs/>
          <w:sz w:val="24"/>
        </w:rPr>
        <w:t>、</w:t>
      </w:r>
      <w:r>
        <w:rPr>
          <w:rFonts w:ascii="宋体" w:hAnsi="宋体"/>
          <w:bCs/>
          <w:sz w:val="24"/>
        </w:rPr>
        <w:t>规模</w:t>
      </w:r>
      <w:r>
        <w:rPr>
          <w:rFonts w:hint="eastAsia" w:ascii="宋体" w:hAnsi="宋体"/>
          <w:bCs/>
          <w:sz w:val="24"/>
        </w:rPr>
        <w:t>养殖场与</w:t>
      </w:r>
      <w:r>
        <w:rPr>
          <w:rFonts w:ascii="宋体" w:hAnsi="宋体"/>
          <w:bCs/>
          <w:sz w:val="24"/>
        </w:rPr>
        <w:t>散养户的关系</w:t>
      </w:r>
      <w:r>
        <w:rPr>
          <w:rFonts w:hint="eastAsia" w:ascii="宋体" w:hAnsi="宋体"/>
          <w:bCs/>
          <w:sz w:val="24"/>
        </w:rPr>
        <w:t>，</w:t>
      </w:r>
      <w:r>
        <w:rPr>
          <w:rFonts w:ascii="宋体" w:hAnsi="宋体"/>
          <w:bCs/>
          <w:sz w:val="24"/>
        </w:rPr>
        <w:t>发展节水型生态养殖</w:t>
      </w:r>
      <w:r>
        <w:rPr>
          <w:rFonts w:hint="eastAsia" w:ascii="宋体" w:hAnsi="宋体"/>
          <w:bCs/>
          <w:sz w:val="24"/>
        </w:rPr>
        <w:t>，</w:t>
      </w:r>
      <w:r>
        <w:rPr>
          <w:rFonts w:ascii="宋体" w:hAnsi="宋体"/>
          <w:bCs/>
          <w:sz w:val="24"/>
        </w:rPr>
        <w:t>推广低氮低磷饲养技术</w:t>
      </w:r>
      <w:r>
        <w:rPr>
          <w:rFonts w:hint="eastAsia" w:ascii="宋体" w:hAnsi="宋体"/>
          <w:bCs/>
          <w:sz w:val="24"/>
        </w:rPr>
        <w:t>。</w:t>
      </w:r>
    </w:p>
    <w:p>
      <w:pPr>
        <w:ind w:firstLine="480" w:firstLineChars="200"/>
        <w:rPr>
          <w:rFonts w:ascii="宋体" w:hAnsi="宋体"/>
          <w:bCs/>
          <w:sz w:val="24"/>
        </w:rPr>
      </w:pPr>
      <w:r>
        <w:rPr>
          <w:rFonts w:ascii="宋体" w:hAnsi="宋体"/>
          <w:bCs/>
          <w:sz w:val="24"/>
        </w:rPr>
        <w:t>全面推进畜禽养殖污染防治工作，</w:t>
      </w:r>
      <w:r>
        <w:rPr>
          <w:rFonts w:hint="eastAsia" w:ascii="宋体" w:hAnsi="宋体"/>
          <w:bCs/>
          <w:sz w:val="24"/>
        </w:rPr>
        <w:t>强化</w:t>
      </w:r>
      <w:r>
        <w:rPr>
          <w:rFonts w:ascii="宋体" w:hAnsi="宋体"/>
          <w:bCs/>
          <w:sz w:val="24"/>
        </w:rPr>
        <w:t>重点区域和重点养殖单元的整治力度，重点推进治污设施标准化</w:t>
      </w:r>
      <w:r>
        <w:rPr>
          <w:rFonts w:hint="eastAsia" w:ascii="宋体" w:hAnsi="宋体"/>
          <w:bCs/>
          <w:sz w:val="24"/>
        </w:rPr>
        <w:t>、</w:t>
      </w:r>
      <w:r>
        <w:rPr>
          <w:rFonts w:ascii="宋体" w:hAnsi="宋体"/>
          <w:bCs/>
          <w:sz w:val="24"/>
        </w:rPr>
        <w:t>粪污</w:t>
      </w:r>
      <w:r>
        <w:rPr>
          <w:rFonts w:hint="eastAsia" w:ascii="宋体" w:hAnsi="宋体"/>
          <w:bCs/>
          <w:sz w:val="24"/>
        </w:rPr>
        <w:t>治理</w:t>
      </w:r>
      <w:r>
        <w:rPr>
          <w:rFonts w:ascii="宋体" w:hAnsi="宋体"/>
          <w:bCs/>
          <w:sz w:val="24"/>
        </w:rPr>
        <w:t>综合化</w:t>
      </w:r>
      <w:r>
        <w:rPr>
          <w:rFonts w:hint="eastAsia" w:ascii="宋体" w:hAnsi="宋体"/>
          <w:bCs/>
          <w:sz w:val="24"/>
        </w:rPr>
        <w:t>、种养结合</w:t>
      </w:r>
      <w:r>
        <w:rPr>
          <w:rFonts w:ascii="宋体" w:hAnsi="宋体"/>
          <w:bCs/>
          <w:sz w:val="24"/>
        </w:rPr>
        <w:t>生态化</w:t>
      </w:r>
      <w:r>
        <w:rPr>
          <w:rFonts w:hint="eastAsia" w:ascii="宋体" w:hAnsi="宋体"/>
          <w:bCs/>
          <w:color w:val="auto"/>
          <w:sz w:val="24"/>
        </w:rPr>
        <w:t>，</w:t>
      </w:r>
      <w:r>
        <w:rPr>
          <w:rFonts w:ascii="宋体" w:hAnsi="宋体"/>
          <w:bCs/>
          <w:color w:val="auto"/>
          <w:sz w:val="24"/>
        </w:rPr>
        <w:t>有针对性地实施</w:t>
      </w:r>
      <w:r>
        <w:rPr>
          <w:rFonts w:ascii="宋体" w:hAnsi="宋体"/>
          <w:bCs/>
          <w:sz w:val="24"/>
        </w:rPr>
        <w:t>一批重点示范工程。</w:t>
      </w:r>
    </w:p>
    <w:p>
      <w:pPr>
        <w:pStyle w:val="4"/>
        <w:spacing w:before="0" w:after="0" w:line="360" w:lineRule="auto"/>
        <w:rPr>
          <w:rFonts w:ascii="Times New Roman" w:hAnsi="Times New Roman"/>
          <w:sz w:val="24"/>
          <w:szCs w:val="24"/>
        </w:rPr>
      </w:pPr>
      <w:bookmarkStart w:id="16" w:name="_Toc117868695"/>
      <w:r>
        <w:rPr>
          <w:rFonts w:hint="eastAsia" w:ascii="Times New Roman" w:hAnsi="Times New Roman"/>
          <w:sz w:val="24"/>
          <w:szCs w:val="24"/>
        </w:rPr>
        <w:t>1.4.2 种养结合，农牧循环</w:t>
      </w:r>
      <w:bookmarkEnd w:id="16"/>
    </w:p>
    <w:p>
      <w:pPr>
        <w:ind w:firstLine="480" w:firstLineChars="200"/>
        <w:rPr>
          <w:rFonts w:ascii="宋体" w:hAnsi="宋体"/>
          <w:bCs/>
          <w:sz w:val="24"/>
        </w:rPr>
      </w:pPr>
      <w:r>
        <w:rPr>
          <w:rFonts w:ascii="宋体" w:hAnsi="宋体"/>
          <w:bCs/>
          <w:sz w:val="24"/>
        </w:rPr>
        <w:t>按照“减量化、无害化、资源化、生态化”要求，种养结合</w:t>
      </w:r>
      <w:r>
        <w:rPr>
          <w:rFonts w:hint="eastAsia" w:ascii="宋体" w:hAnsi="宋体"/>
          <w:bCs/>
          <w:sz w:val="24"/>
        </w:rPr>
        <w:t>，</w:t>
      </w:r>
      <w:r>
        <w:rPr>
          <w:rFonts w:ascii="宋体" w:hAnsi="宋体"/>
          <w:bCs/>
          <w:sz w:val="24"/>
        </w:rPr>
        <w:t>发展适合不同养殖规模和养殖形式的畜禽养殖废弃物无害化处理模式和资源化综合利用模式，鼓励畜禽粪污利用资源化</w:t>
      </w:r>
      <w:r>
        <w:rPr>
          <w:rFonts w:hint="eastAsia" w:ascii="宋体" w:hAnsi="宋体"/>
          <w:bCs/>
          <w:sz w:val="24"/>
        </w:rPr>
        <w:t>、</w:t>
      </w:r>
      <w:r>
        <w:rPr>
          <w:rFonts w:ascii="宋体" w:hAnsi="宋体"/>
          <w:bCs/>
          <w:sz w:val="24"/>
        </w:rPr>
        <w:t>高值化</w:t>
      </w:r>
      <w:r>
        <w:rPr>
          <w:rFonts w:hint="eastAsia" w:ascii="宋体" w:hAnsi="宋体"/>
          <w:bCs/>
          <w:sz w:val="24"/>
        </w:rPr>
        <w:t>和</w:t>
      </w:r>
      <w:r>
        <w:rPr>
          <w:rFonts w:ascii="宋体" w:hAnsi="宋体"/>
          <w:bCs/>
          <w:sz w:val="24"/>
        </w:rPr>
        <w:t>综合化。</w:t>
      </w:r>
    </w:p>
    <w:p>
      <w:pPr>
        <w:ind w:firstLine="480" w:firstLineChars="200"/>
        <w:rPr>
          <w:rFonts w:ascii="宋体" w:hAnsi="宋体"/>
          <w:bCs/>
          <w:sz w:val="24"/>
        </w:rPr>
      </w:pPr>
      <w:r>
        <w:rPr>
          <w:rFonts w:ascii="宋体" w:hAnsi="宋体"/>
          <w:bCs/>
          <w:sz w:val="24"/>
        </w:rPr>
        <w:t>推进</w:t>
      </w:r>
      <w:r>
        <w:rPr>
          <w:rFonts w:hint="eastAsia" w:ascii="宋体" w:hAnsi="宋体"/>
          <w:bCs/>
          <w:sz w:val="24"/>
        </w:rPr>
        <w:t>农牧循环</w:t>
      </w:r>
      <w:r>
        <w:rPr>
          <w:rFonts w:ascii="宋体" w:hAnsi="宋体"/>
          <w:bCs/>
          <w:sz w:val="24"/>
        </w:rPr>
        <w:t>，</w:t>
      </w:r>
      <w:r>
        <w:rPr>
          <w:rFonts w:hint="eastAsia" w:ascii="宋体" w:hAnsi="宋体"/>
          <w:bCs/>
          <w:sz w:val="24"/>
        </w:rPr>
        <w:t>统筹</w:t>
      </w:r>
      <w:r>
        <w:rPr>
          <w:rFonts w:ascii="宋体" w:hAnsi="宋体"/>
          <w:bCs/>
          <w:sz w:val="24"/>
        </w:rPr>
        <w:t>粪污还林还田的土地消纳能力</w:t>
      </w:r>
      <w:r>
        <w:rPr>
          <w:rFonts w:hint="eastAsia" w:ascii="宋体" w:hAnsi="宋体"/>
          <w:bCs/>
          <w:sz w:val="24"/>
        </w:rPr>
        <w:t>、</w:t>
      </w:r>
      <w:r>
        <w:rPr>
          <w:rFonts w:ascii="宋体" w:hAnsi="宋体"/>
          <w:bCs/>
          <w:sz w:val="24"/>
        </w:rPr>
        <w:t>种植周期和轮作水平等因素</w:t>
      </w:r>
      <w:r>
        <w:rPr>
          <w:rFonts w:hint="eastAsia" w:ascii="宋体" w:hAnsi="宋体"/>
          <w:bCs/>
          <w:sz w:val="24"/>
        </w:rPr>
        <w:t>，提高</w:t>
      </w:r>
      <w:r>
        <w:rPr>
          <w:rFonts w:ascii="宋体" w:hAnsi="宋体"/>
          <w:bCs/>
          <w:sz w:val="24"/>
        </w:rPr>
        <w:t>养殖规模的集约度和粪污治理的集中度</w:t>
      </w:r>
      <w:r>
        <w:rPr>
          <w:rFonts w:hint="eastAsia" w:ascii="宋体" w:hAnsi="宋体"/>
          <w:bCs/>
          <w:sz w:val="24"/>
        </w:rPr>
        <w:t>、</w:t>
      </w:r>
      <w:r>
        <w:rPr>
          <w:rFonts w:ascii="宋体" w:hAnsi="宋体"/>
          <w:bCs/>
          <w:sz w:val="24"/>
        </w:rPr>
        <w:t>综合性，逐步建立和完善农业产业结构的生态链。</w:t>
      </w:r>
    </w:p>
    <w:p>
      <w:pPr>
        <w:pStyle w:val="4"/>
        <w:spacing w:before="0" w:after="0" w:line="360" w:lineRule="auto"/>
        <w:rPr>
          <w:rFonts w:ascii="Times New Roman" w:hAnsi="Times New Roman"/>
          <w:sz w:val="24"/>
          <w:szCs w:val="24"/>
        </w:rPr>
      </w:pPr>
      <w:bookmarkStart w:id="17" w:name="_Toc117868696"/>
      <w:r>
        <w:rPr>
          <w:rFonts w:hint="eastAsia" w:ascii="Times New Roman" w:hAnsi="Times New Roman"/>
          <w:sz w:val="24"/>
          <w:szCs w:val="24"/>
        </w:rPr>
        <w:t>1.4.3分类管控，分步实施</w:t>
      </w:r>
      <w:bookmarkEnd w:id="17"/>
    </w:p>
    <w:p>
      <w:pPr>
        <w:ind w:firstLine="480" w:firstLineChars="200"/>
        <w:rPr>
          <w:rFonts w:ascii="宋体" w:hAnsi="宋体"/>
          <w:bCs/>
          <w:sz w:val="24"/>
        </w:rPr>
      </w:pPr>
      <w:r>
        <w:rPr>
          <w:rFonts w:hint="eastAsia" w:ascii="宋体" w:hAnsi="宋体"/>
          <w:bCs/>
          <w:color w:val="auto"/>
          <w:sz w:val="24"/>
        </w:rPr>
        <w:t>按照</w:t>
      </w:r>
      <w:r>
        <w:rPr>
          <w:rFonts w:ascii="宋体" w:hAnsi="宋体"/>
          <w:bCs/>
          <w:color w:val="auto"/>
          <w:sz w:val="24"/>
        </w:rPr>
        <w:t>目前</w:t>
      </w:r>
      <w:r>
        <w:rPr>
          <w:rFonts w:hint="eastAsia" w:ascii="宋体" w:hAnsi="宋体"/>
          <w:bCs/>
          <w:color w:val="auto"/>
          <w:sz w:val="24"/>
        </w:rPr>
        <w:t>市中区</w:t>
      </w:r>
      <w:r>
        <w:rPr>
          <w:rFonts w:ascii="宋体" w:hAnsi="宋体"/>
          <w:bCs/>
          <w:color w:val="auto"/>
          <w:sz w:val="24"/>
        </w:rPr>
        <w:t>划定的</w:t>
      </w:r>
      <w:r>
        <w:rPr>
          <w:rFonts w:hint="eastAsia" w:ascii="宋体" w:hAnsi="宋体"/>
          <w:bCs/>
          <w:color w:val="auto"/>
          <w:sz w:val="24"/>
        </w:rPr>
        <w:t>畜禽</w:t>
      </w:r>
      <w:r>
        <w:rPr>
          <w:rFonts w:ascii="宋体" w:hAnsi="宋体"/>
          <w:bCs/>
          <w:color w:val="auto"/>
          <w:sz w:val="24"/>
        </w:rPr>
        <w:t>养殖三大区域类别</w:t>
      </w:r>
      <w:r>
        <w:rPr>
          <w:rFonts w:hint="eastAsia" w:ascii="宋体" w:hAnsi="宋体"/>
          <w:bCs/>
          <w:color w:val="auto"/>
          <w:sz w:val="24"/>
        </w:rPr>
        <w:t>（禁养区、限养区和宜养区）、“三线一单”（</w:t>
      </w:r>
      <w:r>
        <w:rPr>
          <w:rFonts w:ascii="宋体" w:hAnsi="宋体"/>
          <w:bCs/>
          <w:color w:val="auto"/>
          <w:sz w:val="24"/>
        </w:rPr>
        <w:t>生态保护红线、环境质量底线、资源利用上线和生态环境准入清单</w:t>
      </w:r>
      <w:r>
        <w:rPr>
          <w:rFonts w:hint="eastAsia" w:ascii="宋体" w:hAnsi="宋体"/>
          <w:bCs/>
          <w:color w:val="auto"/>
          <w:sz w:val="24"/>
        </w:rPr>
        <w:t>）要求、“</w:t>
      </w:r>
      <w:bookmarkStart w:id="18" w:name="OLE_LINK2"/>
      <w:r>
        <w:rPr>
          <w:rFonts w:hint="eastAsia" w:ascii="宋体" w:hAnsi="宋体"/>
          <w:bCs/>
          <w:color w:val="auto"/>
          <w:sz w:val="24"/>
        </w:rPr>
        <w:t>3347</w:t>
      </w:r>
      <w:bookmarkEnd w:id="18"/>
      <w:r>
        <w:rPr>
          <w:rFonts w:hint="eastAsia" w:ascii="宋体" w:hAnsi="宋体"/>
          <w:bCs/>
          <w:color w:val="auto"/>
          <w:sz w:val="24"/>
        </w:rPr>
        <w:t>”生态建设总体布局，</w:t>
      </w:r>
      <w:r>
        <w:rPr>
          <w:rFonts w:ascii="宋体" w:hAnsi="宋体"/>
          <w:bCs/>
          <w:color w:val="auto"/>
          <w:sz w:val="24"/>
        </w:rPr>
        <w:t>在不同区域采取</w:t>
      </w:r>
      <w:r>
        <w:rPr>
          <w:rFonts w:hint="eastAsia" w:ascii="宋体" w:hAnsi="宋体"/>
          <w:bCs/>
          <w:color w:val="auto"/>
          <w:sz w:val="24"/>
        </w:rPr>
        <w:t>差异化</w:t>
      </w:r>
      <w:r>
        <w:rPr>
          <w:rFonts w:ascii="宋体" w:hAnsi="宋体"/>
          <w:bCs/>
          <w:color w:val="auto"/>
          <w:sz w:val="24"/>
        </w:rPr>
        <w:t>的治理方案</w:t>
      </w:r>
      <w:r>
        <w:rPr>
          <w:rFonts w:hint="eastAsia" w:ascii="宋体" w:hAnsi="宋体"/>
          <w:bCs/>
          <w:color w:val="auto"/>
          <w:sz w:val="24"/>
        </w:rPr>
        <w:t>和</w:t>
      </w:r>
      <w:r>
        <w:rPr>
          <w:rFonts w:ascii="宋体" w:hAnsi="宋体"/>
          <w:bCs/>
          <w:color w:val="auto"/>
          <w:sz w:val="24"/>
        </w:rPr>
        <w:t>管控措施，提高</w:t>
      </w:r>
      <w:r>
        <w:rPr>
          <w:rFonts w:hint="eastAsia" w:ascii="宋体" w:hAnsi="宋体"/>
          <w:bCs/>
          <w:color w:val="auto"/>
          <w:sz w:val="24"/>
        </w:rPr>
        <w:t>畜禽</w:t>
      </w:r>
      <w:r>
        <w:rPr>
          <w:rFonts w:ascii="宋体" w:hAnsi="宋体"/>
          <w:bCs/>
          <w:color w:val="auto"/>
          <w:sz w:val="24"/>
        </w:rPr>
        <w:t>粪污综合利</w:t>
      </w:r>
      <w:r>
        <w:rPr>
          <w:rFonts w:ascii="宋体" w:hAnsi="宋体"/>
          <w:bCs/>
          <w:sz w:val="24"/>
        </w:rPr>
        <w:t>用和防治水平</w:t>
      </w:r>
      <w:r>
        <w:rPr>
          <w:rFonts w:hint="eastAsia" w:ascii="宋体" w:hAnsi="宋体"/>
          <w:bCs/>
          <w:sz w:val="24"/>
        </w:rPr>
        <w:t>。分年度规划，分区域持续推进畜禽粪污重大项目和农牧结合示范工程。</w:t>
      </w:r>
    </w:p>
    <w:p>
      <w:pPr>
        <w:pStyle w:val="8"/>
        <w:ind w:firstLine="480" w:firstLineChars="200"/>
        <w:rPr>
          <w:color w:val="auto"/>
        </w:rPr>
      </w:pPr>
      <w:r>
        <w:rPr>
          <w:rFonts w:hint="eastAsia" w:ascii="宋体" w:hAnsi="宋体"/>
          <w:bCs/>
          <w:color w:val="auto"/>
          <w:sz w:val="24"/>
        </w:rPr>
        <w:t>针对宜养区养殖管理规范、粪污防治基础好、农牧结合优势明显的养殖场，优先开展粪污综合利用示范工程；针对限养区的散养户，逐步引导，逐年提高养殖管理水平和粪污防治能力；针对禁养区的养殖场，限时</w:t>
      </w:r>
      <w:r>
        <w:rPr>
          <w:rFonts w:hint="eastAsia" w:ascii="宋体" w:hAnsi="宋体"/>
          <w:bCs/>
          <w:color w:val="auto"/>
          <w:sz w:val="24"/>
          <w:lang w:eastAsia="zh-CN"/>
        </w:rPr>
        <w:t>、</w:t>
      </w:r>
      <w:r>
        <w:rPr>
          <w:rFonts w:hint="eastAsia" w:ascii="宋体" w:hAnsi="宋体"/>
          <w:bCs/>
          <w:color w:val="auto"/>
          <w:sz w:val="24"/>
        </w:rPr>
        <w:t>分年度实施关闭、搬迁，最小化</w:t>
      </w:r>
      <w:r>
        <w:rPr>
          <w:rFonts w:hint="eastAsia" w:ascii="宋体" w:hAnsi="宋体"/>
          <w:bCs/>
          <w:color w:val="auto"/>
          <w:sz w:val="24"/>
          <w:lang w:eastAsia="zh-CN"/>
        </w:rPr>
        <w:t>减少</w:t>
      </w:r>
      <w:r>
        <w:rPr>
          <w:rFonts w:hint="eastAsia" w:ascii="宋体" w:hAnsi="宋体"/>
          <w:bCs/>
          <w:color w:val="auto"/>
          <w:sz w:val="24"/>
        </w:rPr>
        <w:t>养殖户经济损失。</w:t>
      </w:r>
      <w:r>
        <w:rPr>
          <w:rFonts w:ascii="宋体" w:hAnsi="宋体"/>
          <w:bCs/>
          <w:color w:val="auto"/>
          <w:sz w:val="24"/>
        </w:rPr>
        <w:t>散户养殖场粪污治理纳入乡村振兴和</w:t>
      </w:r>
      <w:r>
        <w:rPr>
          <w:rFonts w:hint="eastAsia" w:ascii="宋体" w:hAnsi="宋体"/>
          <w:bCs/>
          <w:color w:val="auto"/>
          <w:sz w:val="24"/>
        </w:rPr>
        <w:t>“厕污共治”，规模化养殖场治污设施标准化、治污水平综合化。</w:t>
      </w:r>
    </w:p>
    <w:p>
      <w:pPr>
        <w:pStyle w:val="4"/>
        <w:spacing w:before="0" w:after="0" w:line="360" w:lineRule="auto"/>
        <w:rPr>
          <w:rFonts w:ascii="Times New Roman" w:hAnsi="Times New Roman"/>
          <w:sz w:val="24"/>
          <w:szCs w:val="24"/>
        </w:rPr>
      </w:pPr>
      <w:bookmarkStart w:id="19" w:name="_Toc117868697"/>
      <w:r>
        <w:rPr>
          <w:rFonts w:hint="eastAsia" w:ascii="Times New Roman" w:hAnsi="Times New Roman"/>
          <w:sz w:val="24"/>
          <w:szCs w:val="24"/>
        </w:rPr>
        <w:t>1.4.4 强化措施，一场一策</w:t>
      </w:r>
      <w:bookmarkEnd w:id="19"/>
    </w:p>
    <w:p>
      <w:pPr>
        <w:ind w:firstLine="480" w:firstLineChars="200"/>
        <w:rPr>
          <w:rFonts w:ascii="Times New Roman" w:hAnsi="Times New Roman"/>
          <w:bCs/>
          <w:sz w:val="24"/>
        </w:rPr>
      </w:pPr>
      <w:r>
        <w:rPr>
          <w:rFonts w:ascii="Times New Roman" w:hAnsi="Times New Roman"/>
          <w:bCs/>
          <w:sz w:val="24"/>
        </w:rPr>
        <w:t>充分考虑畜禽养殖污染综合利用和防治</w:t>
      </w:r>
      <w:r>
        <w:rPr>
          <w:rFonts w:hint="eastAsia" w:ascii="Times New Roman" w:hAnsi="Times New Roman"/>
          <w:bCs/>
          <w:sz w:val="24"/>
        </w:rPr>
        <w:t>工程</w:t>
      </w:r>
      <w:r>
        <w:rPr>
          <w:rFonts w:ascii="Times New Roman" w:hAnsi="Times New Roman"/>
          <w:bCs/>
          <w:sz w:val="24"/>
        </w:rPr>
        <w:t>的复杂性</w:t>
      </w:r>
      <w:r>
        <w:rPr>
          <w:rFonts w:hint="eastAsia" w:ascii="Times New Roman" w:hAnsi="Times New Roman"/>
          <w:bCs/>
          <w:sz w:val="24"/>
        </w:rPr>
        <w:t>、</w:t>
      </w:r>
      <w:r>
        <w:rPr>
          <w:rFonts w:ascii="Times New Roman" w:hAnsi="Times New Roman"/>
          <w:bCs/>
          <w:sz w:val="24"/>
        </w:rPr>
        <w:t>系统性，对不同类别养殖区域</w:t>
      </w:r>
      <w:r>
        <w:rPr>
          <w:rFonts w:hint="eastAsia" w:ascii="Times New Roman" w:hAnsi="Times New Roman"/>
          <w:bCs/>
          <w:sz w:val="24"/>
        </w:rPr>
        <w:t>、</w:t>
      </w:r>
      <w:r>
        <w:rPr>
          <w:rFonts w:ascii="Times New Roman" w:hAnsi="Times New Roman"/>
          <w:bCs/>
          <w:sz w:val="24"/>
        </w:rPr>
        <w:t>不同养殖规模的畜禽养殖单元区别对待，提出差异化</w:t>
      </w:r>
      <w:r>
        <w:rPr>
          <w:rFonts w:hint="eastAsia" w:ascii="Times New Roman" w:hAnsi="Times New Roman"/>
          <w:bCs/>
          <w:sz w:val="24"/>
        </w:rPr>
        <w:t>粪污</w:t>
      </w:r>
      <w:r>
        <w:rPr>
          <w:rFonts w:ascii="Times New Roman" w:hAnsi="Times New Roman"/>
          <w:bCs/>
          <w:sz w:val="24"/>
        </w:rPr>
        <w:t>防治措施，</w:t>
      </w:r>
      <w:r>
        <w:rPr>
          <w:rFonts w:hint="eastAsia" w:ascii="Times New Roman" w:hAnsi="Times New Roman"/>
          <w:bCs/>
          <w:sz w:val="24"/>
        </w:rPr>
        <w:t>形成“以片带面”</w:t>
      </w:r>
      <w:r>
        <w:rPr>
          <w:rFonts w:hint="eastAsia" w:ascii="Times New Roman" w:hAnsi="Times New Roman"/>
          <w:bCs/>
          <w:color w:val="auto"/>
          <w:sz w:val="24"/>
        </w:rPr>
        <w:t>的示范效应</w:t>
      </w:r>
      <w:r>
        <w:rPr>
          <w:rFonts w:ascii="Times New Roman" w:hAnsi="Times New Roman"/>
          <w:bCs/>
          <w:color w:val="auto"/>
          <w:sz w:val="24"/>
        </w:rPr>
        <w:t>。</w:t>
      </w:r>
    </w:p>
    <w:p>
      <w:pPr>
        <w:ind w:firstLine="480" w:firstLineChars="200"/>
        <w:rPr>
          <w:rFonts w:ascii="Times New Roman" w:hAnsi="Times New Roman"/>
          <w:bCs/>
          <w:sz w:val="24"/>
        </w:rPr>
      </w:pPr>
      <w:r>
        <w:rPr>
          <w:rFonts w:ascii="Times New Roman" w:hAnsi="Times New Roman"/>
          <w:bCs/>
          <w:sz w:val="24"/>
        </w:rPr>
        <w:t>优先从投入机制、</w:t>
      </w:r>
      <w:r>
        <w:rPr>
          <w:rFonts w:hint="eastAsia" w:ascii="Times New Roman" w:hAnsi="Times New Roman"/>
          <w:bCs/>
          <w:sz w:val="24"/>
        </w:rPr>
        <w:t>运维</w:t>
      </w:r>
      <w:r>
        <w:rPr>
          <w:rFonts w:ascii="Times New Roman" w:hAnsi="Times New Roman"/>
          <w:bCs/>
          <w:sz w:val="24"/>
        </w:rPr>
        <w:t>机制、监管机制等长效机制建设入手</w:t>
      </w:r>
      <w:r>
        <w:rPr>
          <w:rFonts w:hint="eastAsia" w:ascii="Times New Roman" w:hAnsi="Times New Roman"/>
          <w:bCs/>
          <w:sz w:val="24"/>
        </w:rPr>
        <w:t>，对标完善畜禽粪污治理、恶臭治理和噪声治理体系，</w:t>
      </w:r>
      <w:r>
        <w:rPr>
          <w:rFonts w:ascii="Times New Roman" w:hAnsi="Times New Roman"/>
          <w:bCs/>
          <w:sz w:val="24"/>
        </w:rPr>
        <w:t>落实畜禽养殖场</w:t>
      </w:r>
      <w:r>
        <w:rPr>
          <w:rFonts w:ascii="宋体" w:hAnsi="宋体"/>
          <w:bCs/>
          <w:sz w:val="24"/>
        </w:rPr>
        <w:t>“一场一策”</w:t>
      </w:r>
      <w:r>
        <w:rPr>
          <w:rFonts w:hint="eastAsia" w:ascii="宋体" w:hAnsi="宋体"/>
          <w:bCs/>
          <w:sz w:val="24"/>
        </w:rPr>
        <w:t>粪污治理方案</w:t>
      </w:r>
      <w:r>
        <w:rPr>
          <w:rFonts w:hint="eastAsia" w:ascii="Times New Roman" w:hAnsi="Times New Roman"/>
          <w:bCs/>
          <w:sz w:val="24"/>
        </w:rPr>
        <w:t>。</w:t>
      </w:r>
    </w:p>
    <w:p>
      <w:pPr>
        <w:pStyle w:val="4"/>
        <w:spacing w:before="0" w:after="0" w:line="360" w:lineRule="auto"/>
        <w:rPr>
          <w:rFonts w:ascii="Times New Roman" w:hAnsi="Times New Roman"/>
          <w:sz w:val="24"/>
          <w:szCs w:val="24"/>
        </w:rPr>
      </w:pPr>
      <w:bookmarkStart w:id="20" w:name="_Toc117868698"/>
      <w:r>
        <w:rPr>
          <w:rFonts w:hint="eastAsia" w:ascii="Times New Roman" w:hAnsi="Times New Roman"/>
          <w:sz w:val="24"/>
          <w:szCs w:val="24"/>
        </w:rPr>
        <w:t>1.4.5 协同共管，政策引导</w:t>
      </w:r>
      <w:bookmarkEnd w:id="20"/>
    </w:p>
    <w:p>
      <w:pPr>
        <w:ind w:firstLine="480" w:firstLineChars="200"/>
        <w:rPr>
          <w:rFonts w:ascii="宋体" w:hAnsi="宋体"/>
          <w:bCs/>
          <w:sz w:val="24"/>
        </w:rPr>
      </w:pPr>
      <w:r>
        <w:rPr>
          <w:rFonts w:hint="eastAsia" w:ascii="宋体" w:hAnsi="宋体"/>
          <w:bCs/>
          <w:sz w:val="24"/>
        </w:rPr>
        <w:t>充分发挥畜禽养殖污染防治相关部门和乡镇的区位和资源优势，建立多部门有力、有效协调联动机制，落实分解目标责任与年度考核，共同推进畜禽养殖污染防治工作。强化畜禽养殖业发展的环境监管，提升禽畜养殖监管能力建设，采用地理信息技术、数据共享等</w:t>
      </w:r>
      <w:r>
        <w:rPr>
          <w:rFonts w:hint="eastAsia" w:ascii="宋体" w:hAnsi="宋体"/>
          <w:bCs/>
          <w:sz w:val="24"/>
          <w:lang w:val="en-US" w:eastAsia="zh-CN"/>
        </w:rPr>
        <w:t>,</w:t>
      </w:r>
      <w:r>
        <w:rPr>
          <w:rFonts w:hint="eastAsia" w:ascii="宋体" w:hAnsi="宋体"/>
          <w:bCs/>
          <w:sz w:val="24"/>
        </w:rPr>
        <w:t>建立</w:t>
      </w:r>
      <w:r>
        <w:rPr>
          <w:rFonts w:hint="eastAsia" w:ascii="宋体" w:hAnsi="宋体"/>
          <w:bCs/>
          <w:sz w:val="24"/>
          <w:lang w:val="en-US" w:eastAsia="zh-CN"/>
        </w:rPr>
        <w:t>市中区</w:t>
      </w:r>
      <w:r>
        <w:rPr>
          <w:rFonts w:hint="eastAsia" w:ascii="宋体" w:hAnsi="宋体"/>
          <w:bCs/>
          <w:sz w:val="24"/>
        </w:rPr>
        <w:t>畜禽养殖数据库和在线管理平台，提升禽畜养殖环境管理“智慧”水平。</w:t>
      </w:r>
    </w:p>
    <w:p>
      <w:pPr>
        <w:ind w:firstLine="480" w:firstLineChars="200"/>
        <w:rPr>
          <w:rFonts w:ascii="宋体" w:hAnsi="宋体"/>
          <w:bCs/>
          <w:sz w:val="24"/>
        </w:rPr>
      </w:pPr>
      <w:r>
        <w:rPr>
          <w:rFonts w:hint="eastAsia" w:ascii="宋体" w:hAnsi="宋体"/>
          <w:bCs/>
          <w:color w:val="auto"/>
          <w:sz w:val="24"/>
        </w:rPr>
        <w:t>通过落实信贷、税</w:t>
      </w:r>
      <w:r>
        <w:rPr>
          <w:rFonts w:hint="eastAsia" w:ascii="宋体" w:hAnsi="宋体"/>
          <w:bCs/>
          <w:sz w:val="24"/>
        </w:rPr>
        <w:t>收、补贴等经济激励措施和产业政策，引导畜禽养殖业废弃物综合利用和污染防治，对粪污综合治理的重点工程在政策和资金上予以支持。</w:t>
      </w:r>
    </w:p>
    <w:p>
      <w:pPr>
        <w:pStyle w:val="4"/>
        <w:spacing w:before="0" w:after="0" w:line="360" w:lineRule="auto"/>
        <w:rPr>
          <w:rFonts w:ascii="Times New Roman" w:hAnsi="Times New Roman"/>
          <w:sz w:val="24"/>
          <w:szCs w:val="24"/>
        </w:rPr>
      </w:pPr>
      <w:bookmarkStart w:id="21" w:name="_Toc117868699"/>
      <w:r>
        <w:rPr>
          <w:rFonts w:hint="eastAsia" w:ascii="Times New Roman" w:hAnsi="Times New Roman"/>
          <w:sz w:val="24"/>
          <w:szCs w:val="24"/>
        </w:rPr>
        <w:t>1.4.6 加强合作，科技支撑</w:t>
      </w:r>
      <w:bookmarkEnd w:id="21"/>
    </w:p>
    <w:p>
      <w:pPr>
        <w:ind w:firstLine="480" w:firstLineChars="200"/>
      </w:pPr>
      <w:r>
        <w:rPr>
          <w:rFonts w:hint="eastAsia" w:ascii="宋体" w:hAnsi="宋体"/>
          <w:bCs/>
          <w:sz w:val="24"/>
        </w:rPr>
        <w:t>加强与地方科研院所的合作，强化在生态养殖技术、粪污综合利用技术、粪污还田消纳技术和新型污染物监测技术等方面的研发，建立一批全过程（产生源头、中间管理、末端治理）、全方位（养殖场、水体、农田）的畜禽粪污综合防治技术，并开展示范和推广应用。</w:t>
      </w:r>
    </w:p>
    <w:p>
      <w:pPr>
        <w:pStyle w:val="3"/>
        <w:numPr>
          <w:ilvl w:val="1"/>
          <w:numId w:val="1"/>
        </w:numPr>
        <w:spacing w:before="0" w:after="0" w:line="360" w:lineRule="auto"/>
        <w:ind w:left="493" w:hanging="493"/>
        <w:rPr>
          <w:rFonts w:ascii="Times New Roman" w:hAnsi="Times New Roman"/>
          <w:sz w:val="28"/>
          <w:szCs w:val="28"/>
        </w:rPr>
      </w:pPr>
      <w:bookmarkStart w:id="22" w:name="_Toc117868700"/>
      <w:r>
        <w:rPr>
          <w:rFonts w:hint="eastAsia" w:ascii="Times New Roman" w:hAnsi="Times New Roman"/>
          <w:sz w:val="28"/>
          <w:szCs w:val="28"/>
        </w:rPr>
        <w:t>规划目标</w:t>
      </w:r>
      <w:bookmarkEnd w:id="22"/>
    </w:p>
    <w:p>
      <w:pPr>
        <w:pStyle w:val="4"/>
        <w:spacing w:before="0" w:after="0" w:line="360" w:lineRule="auto"/>
        <w:rPr>
          <w:rFonts w:ascii="Times New Roman" w:hAnsi="Times New Roman"/>
          <w:sz w:val="24"/>
          <w:szCs w:val="24"/>
        </w:rPr>
      </w:pPr>
      <w:bookmarkStart w:id="23" w:name="_Toc117868701"/>
      <w:r>
        <w:rPr>
          <w:rFonts w:hint="eastAsia" w:ascii="Times New Roman" w:hAnsi="Times New Roman"/>
          <w:sz w:val="24"/>
          <w:szCs w:val="24"/>
        </w:rPr>
        <w:t>1.5.1 总体目标</w:t>
      </w:r>
      <w:bookmarkEnd w:id="23"/>
    </w:p>
    <w:p>
      <w:pPr>
        <w:pStyle w:val="7"/>
        <w:spacing w:after="0" w:line="360" w:lineRule="auto"/>
        <w:ind w:firstLine="480" w:firstLineChars="200"/>
        <w:rPr>
          <w:rFonts w:ascii="宋体" w:hAnsi="宋体" w:eastAsia="宋体"/>
          <w:color w:val="000000"/>
          <w:sz w:val="24"/>
        </w:rPr>
      </w:pPr>
      <w:r>
        <w:rPr>
          <w:rFonts w:hint="eastAsia" w:ascii="Times New Roman" w:hAnsi="Times New Roman" w:eastAsia="宋体" w:cs="Times New Roman"/>
          <w:bCs/>
          <w:sz w:val="24"/>
          <w:szCs w:val="24"/>
        </w:rPr>
        <w:t>“十四五”时</w:t>
      </w:r>
      <w:r>
        <w:rPr>
          <w:rFonts w:hint="eastAsia" w:ascii="Times New Roman" w:hAnsi="Times New Roman" w:eastAsia="宋体" w:cs="Times New Roman"/>
          <w:bCs/>
          <w:color w:val="auto"/>
          <w:sz w:val="24"/>
          <w:szCs w:val="24"/>
        </w:rPr>
        <w:t>期，按照</w:t>
      </w:r>
      <w:r>
        <w:rPr>
          <w:rFonts w:hint="eastAsia" w:ascii="Times New Roman" w:hAnsi="Times New Roman" w:eastAsia="宋体" w:cs="Times New Roman"/>
          <w:bCs/>
          <w:color w:val="auto"/>
          <w:sz w:val="24"/>
          <w:szCs w:val="24"/>
          <w:lang w:val="en-US" w:eastAsia="zh-CN"/>
        </w:rPr>
        <w:t>市中</w:t>
      </w:r>
      <w:r>
        <w:rPr>
          <w:rFonts w:hint="eastAsia" w:ascii="Times New Roman" w:hAnsi="Times New Roman" w:eastAsia="宋体" w:cs="Times New Roman"/>
          <w:bCs/>
          <w:color w:val="auto"/>
          <w:sz w:val="24"/>
          <w:szCs w:val="24"/>
        </w:rPr>
        <w:t>区提出的“建基地、搞加工、创品牌、促融合，全面构建‘一核两区三带六园’的现代农业发展新格局”思路，显</w:t>
      </w:r>
      <w:r>
        <w:rPr>
          <w:rFonts w:hint="eastAsia" w:ascii="Times New Roman" w:hAnsi="Times New Roman" w:eastAsia="宋体" w:cs="Times New Roman"/>
          <w:bCs/>
          <w:sz w:val="24"/>
          <w:szCs w:val="24"/>
        </w:rPr>
        <w:t>著提升畜禽粪污综合治理能力，推进农业高质量发展。到2025年，</w:t>
      </w:r>
      <w:r>
        <w:rPr>
          <w:rFonts w:hint="eastAsia" w:ascii="宋体" w:hAnsi="宋体" w:eastAsia="宋体"/>
          <w:color w:val="000000"/>
          <w:sz w:val="24"/>
        </w:rPr>
        <w:t>构建一套畜禽粪污“四化”防治长效机制，建立一套有特色的种养结合循环农业模式，形成一条畜禽粪污高值化综合利用产业链，显著减少畜禽养殖场污染物排放，全面实现全区畜禽养殖业的可持续健康发展。</w:t>
      </w:r>
    </w:p>
    <w:p>
      <w:pPr>
        <w:pStyle w:val="4"/>
        <w:spacing w:before="0" w:after="0" w:line="360" w:lineRule="auto"/>
        <w:rPr>
          <w:rFonts w:ascii="Times New Roman" w:hAnsi="Times New Roman"/>
          <w:sz w:val="24"/>
          <w:szCs w:val="24"/>
        </w:rPr>
      </w:pPr>
      <w:bookmarkStart w:id="24" w:name="_Toc117868702"/>
      <w:r>
        <w:rPr>
          <w:rFonts w:hint="eastAsia" w:ascii="Times New Roman" w:hAnsi="Times New Roman"/>
          <w:sz w:val="24"/>
          <w:szCs w:val="24"/>
        </w:rPr>
        <w:t>1.5.2 具体目标</w:t>
      </w:r>
      <w:bookmarkEnd w:id="24"/>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ascii="Times New Roman" w:hAnsi="Times New Roman" w:eastAsia="宋体" w:cs="Times New Roman"/>
          <w:bCs/>
          <w:sz w:val="24"/>
          <w:szCs w:val="24"/>
        </w:rPr>
        <w:t>畜禽养殖总量控制目标</w:t>
      </w:r>
    </w:p>
    <w:p>
      <w:pPr>
        <w:pStyle w:val="7"/>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到202</w:t>
      </w:r>
      <w:r>
        <w:rPr>
          <w:rFonts w:hint="eastAsia" w:ascii="Times New Roman" w:hAnsi="Times New Roman" w:eastAsia="宋体" w:cs="Times New Roman"/>
          <w:bCs/>
          <w:sz w:val="24"/>
          <w:szCs w:val="24"/>
        </w:rPr>
        <w:t>5</w:t>
      </w:r>
      <w:r>
        <w:rPr>
          <w:rFonts w:ascii="Times New Roman" w:hAnsi="Times New Roman" w:eastAsia="宋体" w:cs="Times New Roman"/>
          <w:bCs/>
          <w:sz w:val="24"/>
          <w:szCs w:val="24"/>
        </w:rPr>
        <w:t>年，进一步优化全</w:t>
      </w:r>
      <w:r>
        <w:rPr>
          <w:rFonts w:hint="eastAsia" w:ascii="Times New Roman" w:hAnsi="Times New Roman" w:eastAsia="宋体" w:cs="Times New Roman"/>
          <w:bCs/>
          <w:sz w:val="24"/>
          <w:szCs w:val="24"/>
        </w:rPr>
        <w:t>区畜禽养殖业</w:t>
      </w:r>
      <w:r>
        <w:rPr>
          <w:rFonts w:ascii="Times New Roman" w:hAnsi="Times New Roman" w:eastAsia="宋体" w:cs="Times New Roman"/>
          <w:bCs/>
          <w:sz w:val="24"/>
          <w:szCs w:val="24"/>
        </w:rPr>
        <w:t>布局结构</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提升产业层次</w:t>
      </w:r>
      <w:r>
        <w:rPr>
          <w:rFonts w:hint="eastAsia" w:ascii="Times New Roman" w:hAnsi="Times New Roman" w:eastAsia="宋体" w:cs="Times New Roman"/>
          <w:bCs/>
          <w:sz w:val="24"/>
          <w:szCs w:val="24"/>
          <w:lang w:val="en-US" w:eastAsia="zh-CN"/>
        </w:rPr>
        <w:t>。</w:t>
      </w:r>
      <w:r>
        <w:rPr>
          <w:rFonts w:ascii="Times New Roman" w:hAnsi="Times New Roman" w:eastAsia="宋体" w:cs="Times New Roman"/>
          <w:bCs/>
          <w:sz w:val="24"/>
          <w:szCs w:val="24"/>
        </w:rPr>
        <w:t>生猪、牛</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羊和兔的</w:t>
      </w:r>
      <w:r>
        <w:rPr>
          <w:rFonts w:hint="eastAsia" w:ascii="Times New Roman" w:hAnsi="Times New Roman" w:eastAsia="宋体" w:cs="Times New Roman"/>
          <w:bCs/>
          <w:sz w:val="24"/>
          <w:szCs w:val="24"/>
        </w:rPr>
        <w:t>出</w:t>
      </w:r>
      <w:r>
        <w:rPr>
          <w:rFonts w:ascii="Times New Roman" w:hAnsi="Times New Roman" w:eastAsia="宋体" w:cs="Times New Roman"/>
          <w:bCs/>
          <w:sz w:val="24"/>
          <w:szCs w:val="24"/>
        </w:rPr>
        <w:t>栏量分别控制在</w:t>
      </w:r>
      <w:r>
        <w:rPr>
          <w:rFonts w:hint="eastAsia" w:ascii="Times New Roman" w:hAnsi="Times New Roman" w:eastAsia="宋体" w:cs="Times New Roman"/>
          <w:bCs/>
          <w:sz w:val="24"/>
          <w:szCs w:val="24"/>
        </w:rPr>
        <w:t>40万头、2000头、1万只、105万只，禽类存栏量控制在430万羽；规模化养殖比例达到90%以上。</w:t>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（2）畜禽养殖空间布局目标</w:t>
      </w:r>
    </w:p>
    <w:p>
      <w:pPr>
        <w:pStyle w:val="7"/>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到</w:t>
      </w:r>
      <w:r>
        <w:rPr>
          <w:rFonts w:hint="eastAsia" w:ascii="Times New Roman" w:hAnsi="Times New Roman" w:eastAsia="宋体" w:cs="Times New Roman"/>
          <w:bCs/>
          <w:sz w:val="24"/>
          <w:szCs w:val="24"/>
        </w:rPr>
        <w:t>2025年，形成“</w:t>
      </w:r>
      <w:bookmarkStart w:id="25" w:name="OLE_LINK5"/>
      <w:bookmarkStart w:id="26" w:name="OLE_LINK4"/>
      <w:r>
        <w:rPr>
          <w:rFonts w:hint="eastAsia" w:ascii="Times New Roman" w:hAnsi="Times New Roman" w:eastAsia="宋体" w:cs="Times New Roman"/>
          <w:bCs/>
          <w:sz w:val="24"/>
          <w:szCs w:val="24"/>
        </w:rPr>
        <w:t>两核、两片、多点</w:t>
      </w:r>
      <w:bookmarkEnd w:id="25"/>
      <w:bookmarkEnd w:id="26"/>
      <w:r>
        <w:rPr>
          <w:rFonts w:hint="eastAsia" w:ascii="Times New Roman" w:hAnsi="Times New Roman" w:eastAsia="宋体" w:cs="Times New Roman"/>
          <w:bCs/>
          <w:sz w:val="24"/>
          <w:szCs w:val="24"/>
        </w:rPr>
        <w:t>”的禽畜养殖空间布局结构，生猪标准化规模养殖场（小区）达到50个，禽类标准化规模养殖场（小区）达到30个，肉牛、肉羊标准化规模养殖场（小区）达到10个；建成种养一体、循环利用、绿色畜牧示范场10家。</w:t>
      </w:r>
    </w:p>
    <w:p>
      <w:pPr>
        <w:pStyle w:val="7"/>
        <w:spacing w:after="0" w:line="360" w:lineRule="auto"/>
        <w:ind w:firstLine="480" w:firstLineChars="200"/>
      </w:pPr>
      <w:r>
        <w:rPr>
          <w:rFonts w:hint="eastAsia" w:ascii="Times New Roman" w:hAnsi="Times New Roman" w:eastAsia="宋体" w:cs="Times New Roman"/>
          <w:bCs/>
          <w:sz w:val="24"/>
          <w:szCs w:val="24"/>
        </w:rPr>
        <w:t>（3）畜禽养殖污染防治目标</w:t>
      </w:r>
    </w:p>
    <w:p>
      <w:pPr>
        <w:pStyle w:val="7"/>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严格执</w:t>
      </w:r>
      <w:r>
        <w:rPr>
          <w:rFonts w:ascii="Times New Roman" w:hAnsi="Times New Roman" w:eastAsia="宋体" w:cs="Times New Roman"/>
          <w:bCs/>
          <w:color w:val="auto"/>
          <w:sz w:val="24"/>
          <w:szCs w:val="24"/>
        </w:rPr>
        <w:t>行</w:t>
      </w:r>
      <w:r>
        <w:rPr>
          <w:rFonts w:hint="eastAsia" w:ascii="Times New Roman" w:hAnsi="Times New Roman" w:eastAsia="宋体" w:cs="Times New Roman"/>
          <w:bCs/>
          <w:color w:val="auto"/>
          <w:sz w:val="24"/>
          <w:szCs w:val="24"/>
        </w:rPr>
        <w:t>市中区</w:t>
      </w:r>
      <w:r>
        <w:rPr>
          <w:rFonts w:ascii="Times New Roman" w:hAnsi="Times New Roman" w:eastAsia="宋体" w:cs="Times New Roman"/>
          <w:bCs/>
          <w:color w:val="auto"/>
          <w:sz w:val="24"/>
          <w:szCs w:val="24"/>
        </w:rPr>
        <w:t>畜禽</w:t>
      </w:r>
      <w:r>
        <w:rPr>
          <w:rFonts w:ascii="Times New Roman" w:hAnsi="Times New Roman" w:eastAsia="宋体" w:cs="Times New Roman"/>
          <w:bCs/>
          <w:sz w:val="24"/>
          <w:szCs w:val="24"/>
        </w:rPr>
        <w:t>养殖禁养区限养区划分方案和</w:t>
      </w:r>
      <w:r>
        <w:rPr>
          <w:rFonts w:hint="eastAsia" w:ascii="Times New Roman" w:hAnsi="Times New Roman" w:eastAsia="宋体" w:cs="Times New Roman"/>
          <w:bCs/>
          <w:sz w:val="24"/>
          <w:szCs w:val="24"/>
        </w:rPr>
        <w:t>“三线一单”要求</w:t>
      </w:r>
      <w:r>
        <w:rPr>
          <w:rFonts w:ascii="Times New Roman" w:hAnsi="Times New Roman" w:eastAsia="宋体" w:cs="Times New Roman"/>
          <w:bCs/>
          <w:sz w:val="24"/>
          <w:szCs w:val="24"/>
        </w:rPr>
        <w:t>，以畜禽</w:t>
      </w:r>
      <w:r>
        <w:rPr>
          <w:rFonts w:hint="eastAsia" w:ascii="Times New Roman" w:hAnsi="Times New Roman" w:eastAsia="宋体" w:cs="Times New Roman"/>
          <w:bCs/>
          <w:sz w:val="24"/>
          <w:szCs w:val="24"/>
        </w:rPr>
        <w:t>粪污“四化”综合</w:t>
      </w:r>
      <w:r>
        <w:rPr>
          <w:rFonts w:ascii="Times New Roman" w:hAnsi="Times New Roman" w:eastAsia="宋体" w:cs="Times New Roman"/>
          <w:bCs/>
          <w:sz w:val="24"/>
          <w:szCs w:val="24"/>
        </w:rPr>
        <w:t>利用为主要途径，大力发展规模生态养殖</w:t>
      </w:r>
      <w:r>
        <w:rPr>
          <w:rFonts w:hint="eastAsia" w:ascii="Times New Roman" w:hAnsi="Times New Roman" w:eastAsia="宋体" w:cs="Times New Roman"/>
          <w:bCs/>
          <w:sz w:val="24"/>
          <w:szCs w:val="24"/>
          <w:lang w:eastAsia="zh-CN"/>
        </w:rPr>
        <w:t>。</w:t>
      </w:r>
      <w:r>
        <w:rPr>
          <w:rFonts w:ascii="Times New Roman" w:hAnsi="Times New Roman" w:eastAsia="宋体" w:cs="Times New Roman"/>
          <w:bCs/>
          <w:sz w:val="24"/>
          <w:szCs w:val="24"/>
        </w:rPr>
        <w:t>到</w:t>
      </w:r>
      <w:r>
        <w:rPr>
          <w:rFonts w:hint="eastAsia" w:ascii="Times New Roman" w:hAnsi="Times New Roman" w:eastAsia="宋体" w:cs="Times New Roman"/>
          <w:bCs/>
          <w:sz w:val="24"/>
          <w:szCs w:val="24"/>
        </w:rPr>
        <w:t>2025年，</w:t>
      </w:r>
      <w:r>
        <w:rPr>
          <w:rFonts w:ascii="Times New Roman" w:hAnsi="Times New Roman" w:eastAsia="宋体" w:cs="Times New Roman"/>
          <w:bCs/>
          <w:sz w:val="24"/>
          <w:szCs w:val="24"/>
        </w:rPr>
        <w:t>规模化畜禽养殖场粪污处理设施设备配套率</w:t>
      </w:r>
      <w:r>
        <w:rPr>
          <w:rFonts w:hint="eastAsia" w:ascii="Times New Roman" w:hAnsi="Times New Roman" w:eastAsia="宋体" w:cs="Times New Roman"/>
          <w:bCs/>
          <w:sz w:val="24"/>
          <w:szCs w:val="24"/>
        </w:rPr>
        <w:t>稳定维持</w:t>
      </w:r>
      <w:r>
        <w:rPr>
          <w:rFonts w:ascii="Times New Roman" w:hAnsi="Times New Roman" w:eastAsia="宋体" w:cs="Times New Roman"/>
          <w:bCs/>
          <w:sz w:val="24"/>
          <w:szCs w:val="24"/>
        </w:rPr>
        <w:t>在</w:t>
      </w:r>
      <w:r>
        <w:rPr>
          <w:rFonts w:hint="eastAsia" w:ascii="Times New Roman" w:hAnsi="Times New Roman" w:eastAsia="宋体" w:cs="Times New Roman"/>
          <w:bCs/>
          <w:sz w:val="24"/>
          <w:szCs w:val="24"/>
        </w:rPr>
        <w:t>100%，</w:t>
      </w:r>
      <w:r>
        <w:rPr>
          <w:rFonts w:ascii="Times New Roman" w:hAnsi="Times New Roman" w:eastAsia="宋体" w:cs="Times New Roman"/>
          <w:bCs/>
          <w:sz w:val="24"/>
          <w:szCs w:val="24"/>
        </w:rPr>
        <w:t>病死动物无害化处理率</w:t>
      </w:r>
      <w:r>
        <w:rPr>
          <w:rFonts w:hint="eastAsia" w:ascii="Times New Roman" w:hAnsi="Times New Roman" w:eastAsia="宋体" w:cs="Times New Roman"/>
          <w:bCs/>
          <w:sz w:val="24"/>
          <w:szCs w:val="24"/>
        </w:rPr>
        <w:t>稳定</w:t>
      </w:r>
      <w:r>
        <w:rPr>
          <w:rFonts w:ascii="Times New Roman" w:hAnsi="Times New Roman" w:eastAsia="宋体" w:cs="Times New Roman"/>
          <w:bCs/>
          <w:sz w:val="24"/>
          <w:szCs w:val="24"/>
        </w:rPr>
        <w:t>维持在100%</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畜禽</w:t>
      </w:r>
      <w:r>
        <w:rPr>
          <w:rFonts w:hint="eastAsia" w:ascii="Times New Roman" w:hAnsi="Times New Roman" w:eastAsia="宋体" w:cs="Times New Roman"/>
          <w:bCs/>
          <w:sz w:val="24"/>
          <w:szCs w:val="24"/>
        </w:rPr>
        <w:t>粪污</w:t>
      </w:r>
      <w:r>
        <w:rPr>
          <w:rFonts w:ascii="Times New Roman" w:hAnsi="Times New Roman" w:eastAsia="宋体" w:cs="Times New Roman"/>
          <w:bCs/>
          <w:sz w:val="24"/>
          <w:szCs w:val="24"/>
        </w:rPr>
        <w:t>的资源化利用率和综合利用率均达到</w:t>
      </w:r>
      <w:r>
        <w:rPr>
          <w:rFonts w:hint="eastAsia" w:ascii="Times New Roman" w:hAnsi="Times New Roman" w:eastAsia="宋体" w:cs="Times New Roman"/>
          <w:bCs/>
          <w:sz w:val="24"/>
          <w:szCs w:val="24"/>
        </w:rPr>
        <w:t>98%以上；力争实现限养区和宜养区规模化养殖场污染物零排放。</w:t>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（4）主要污染物排放目标</w:t>
      </w:r>
    </w:p>
    <w:p>
      <w:pPr>
        <w:pStyle w:val="7"/>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到202</w:t>
      </w:r>
      <w:r>
        <w:rPr>
          <w:rFonts w:hint="eastAsia" w:ascii="Times New Roman" w:hAnsi="Times New Roman" w:eastAsia="宋体" w:cs="Times New Roman"/>
          <w:bCs/>
          <w:sz w:val="24"/>
          <w:szCs w:val="24"/>
        </w:rPr>
        <w:t>5</w:t>
      </w:r>
      <w:r>
        <w:rPr>
          <w:rFonts w:ascii="Times New Roman" w:hAnsi="Times New Roman" w:eastAsia="宋体" w:cs="Times New Roman"/>
          <w:bCs/>
          <w:sz w:val="24"/>
          <w:szCs w:val="24"/>
        </w:rPr>
        <w:t>年，规模化养殖场的化学需氧量、氨氮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总磷等主要污染物实现</w:t>
      </w:r>
      <w:r>
        <w:rPr>
          <w:rFonts w:hint="eastAsia" w:ascii="Times New Roman" w:hAnsi="Times New Roman" w:eastAsia="宋体" w:cs="Times New Roman"/>
          <w:bCs/>
          <w:sz w:val="24"/>
          <w:szCs w:val="24"/>
        </w:rPr>
        <w:t>达标</w:t>
      </w:r>
      <w:r>
        <w:rPr>
          <w:rFonts w:ascii="Times New Roman" w:hAnsi="Times New Roman" w:eastAsia="宋体" w:cs="Times New Roman"/>
          <w:bCs/>
          <w:sz w:val="24"/>
          <w:szCs w:val="24"/>
        </w:rPr>
        <w:t>排放</w:t>
      </w:r>
      <w:r>
        <w:rPr>
          <w:rFonts w:hint="eastAsia" w:ascii="Times New Roman" w:hAnsi="Times New Roman" w:eastAsia="宋体" w:cs="Times New Roman"/>
          <w:bCs/>
          <w:sz w:val="24"/>
          <w:szCs w:val="24"/>
        </w:rPr>
        <w:t>。</w:t>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（5）生态环境目标</w:t>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到2025年，禽畜养殖区域内的黑臭水体完全消除， “三江”（岷江、青衣江、大渡河）水环境保持在Ⅱ-Ⅲ类标准；临江河、峨眉河、凌云河、竹公溪保持Ⅲ类水质标准；泥溪河、剑峰河、磨池河达到Ⅲ类水质要求。纳入国家、省级考核的监测断面水质达到考核目标要求。乡镇集中式饮用水水源保护区水质达到或优于Ⅲ类比例达到100%。</w:t>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（6）科技贡献率</w:t>
      </w:r>
    </w:p>
    <w:p>
      <w:pPr>
        <w:pStyle w:val="7"/>
        <w:spacing w:after="0" w:line="360" w:lineRule="auto"/>
        <w:ind w:firstLine="480" w:firstLineChars="200"/>
      </w:pPr>
      <w:r>
        <w:rPr>
          <w:rFonts w:hint="eastAsia" w:ascii="Times New Roman" w:hAnsi="Times New Roman" w:eastAsia="宋体" w:cs="Times New Roman"/>
          <w:bCs/>
          <w:sz w:val="24"/>
          <w:szCs w:val="24"/>
        </w:rPr>
        <w:t>到2025年，在标准化养殖场建设、畜禽粪污综合治理和生态养殖等方面的科技贡献率达到60%以上。</w:t>
      </w:r>
    </w:p>
    <w:p>
      <w:pPr>
        <w:pStyle w:val="3"/>
        <w:numPr>
          <w:ilvl w:val="1"/>
          <w:numId w:val="1"/>
        </w:numPr>
        <w:spacing w:before="0" w:after="0" w:line="360" w:lineRule="auto"/>
        <w:ind w:left="493" w:hanging="493"/>
        <w:rPr>
          <w:rFonts w:ascii="Times New Roman" w:hAnsi="Times New Roman"/>
          <w:sz w:val="28"/>
          <w:szCs w:val="28"/>
        </w:rPr>
      </w:pPr>
      <w:r>
        <w:fldChar w:fldCharType="begin"/>
      </w:r>
      <w:r>
        <w:instrText xml:space="preserve"> HYPERLINK \l "_Toc500364857" </w:instrText>
      </w:r>
      <w:r>
        <w:fldChar w:fldCharType="separate"/>
      </w:r>
      <w:bookmarkStart w:id="27" w:name="_Toc117868703"/>
      <w:r>
        <w:rPr>
          <w:rFonts w:hint="eastAsia" w:ascii="Times New Roman" w:hAnsi="Times New Roman"/>
          <w:sz w:val="28"/>
          <w:szCs w:val="28"/>
        </w:rPr>
        <w:t>技术路线</w:t>
      </w:r>
      <w:bookmarkEnd w:id="27"/>
      <w:r>
        <w:rPr>
          <w:rFonts w:hint="eastAsia" w:ascii="Times New Roman" w:hAnsi="Times New Roman"/>
          <w:sz w:val="28"/>
          <w:szCs w:val="28"/>
        </w:rPr>
        <w:fldChar w:fldCharType="end"/>
      </w:r>
    </w:p>
    <w:p>
      <w:pPr>
        <w:pStyle w:val="7"/>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本规划编制技术路线见图1-1.</w:t>
      </w:r>
    </w:p>
    <w:p>
      <w:pPr>
        <w:pStyle w:val="7"/>
        <w:spacing w:after="0" w:line="360" w:lineRule="auto"/>
        <w:jc w:val="center"/>
        <w:rPr>
          <w:rFonts w:ascii="Times New Roman" w:hAnsi="Times New Roman" w:eastAsia="宋体" w:cs="Times New Roman"/>
          <w:b/>
          <w:sz w:val="21"/>
          <w:szCs w:val="21"/>
        </w:rPr>
      </w:pPr>
      <w:r>
        <w:drawing>
          <wp:inline distT="0" distB="0" distL="114300" distR="114300">
            <wp:extent cx="5151755" cy="4080510"/>
            <wp:effectExtent l="0" t="0" r="10795" b="152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5151755" cy="4080510"/>
                    </a:xfrm>
                    <a:prstGeom prst="rect">
                      <a:avLst/>
                    </a:prstGeom>
                    <a:noFill/>
                    <a:ln>
                      <a:noFill/>
                    </a:ln>
                  </pic:spPr>
                </pic:pic>
              </a:graphicData>
            </a:graphic>
          </wp:inline>
        </w:drawing>
      </w:r>
      <w:r>
        <w:rPr>
          <w:rFonts w:ascii="Times New Roman" w:hAnsi="Times New Roman" w:eastAsia="宋体" w:cs="Times New Roman"/>
          <w:bCs/>
          <w:sz w:val="21"/>
          <w:szCs w:val="21"/>
        </w:rPr>
        <w:t>图1-1 规划编制技术路线图</w:t>
      </w:r>
      <w:r>
        <w:rPr>
          <w:rFonts w:ascii="Times New Roman" w:hAnsi="Times New Roman" w:eastAsia="宋体" w:cs="Times New Roman"/>
          <w:bCs/>
          <w:sz w:val="24"/>
          <w:szCs w:val="24"/>
        </w:rPr>
        <w:t xml:space="preserve">  </w:t>
      </w:r>
      <w:r>
        <w:rPr>
          <w:rFonts w:ascii="Times New Roman" w:hAnsi="Times New Roman" w:eastAsia="宋体" w:cs="Times New Roman"/>
          <w:sz w:val="21"/>
          <w:szCs w:val="21"/>
        </w:rPr>
        <w:br w:type="page"/>
      </w:r>
    </w:p>
    <w:p>
      <w:pPr>
        <w:pStyle w:val="22"/>
        <w:spacing w:after="240"/>
        <w:rPr>
          <w:rFonts w:ascii="Times New Roman" w:hAnsi="Times New Roman" w:eastAsia="黑体"/>
        </w:rPr>
      </w:pPr>
      <w:r>
        <w:fldChar w:fldCharType="begin"/>
      </w:r>
      <w:r>
        <w:instrText xml:space="preserve"> HYPERLINK \l "_Toc500364858" </w:instrText>
      </w:r>
      <w:r>
        <w:fldChar w:fldCharType="separate"/>
      </w:r>
      <w:bookmarkStart w:id="28" w:name="_Toc117868704"/>
      <w:r>
        <w:rPr>
          <w:rFonts w:ascii="Times New Roman" w:hAnsi="Times New Roman" w:eastAsia="黑体"/>
        </w:rPr>
        <w:t>第2章  区域</w:t>
      </w:r>
      <w:r>
        <w:rPr>
          <w:rFonts w:hint="eastAsia" w:ascii="Times New Roman" w:hAnsi="Times New Roman" w:eastAsia="黑体"/>
        </w:rPr>
        <w:t>基本</w:t>
      </w:r>
      <w:r>
        <w:rPr>
          <w:rFonts w:ascii="Times New Roman" w:hAnsi="Times New Roman" w:eastAsia="黑体"/>
        </w:rPr>
        <w:t>概况</w:t>
      </w:r>
      <w:bookmarkEnd w:id="28"/>
      <w:r>
        <w:rPr>
          <w:rFonts w:ascii="Times New Roman" w:hAnsi="Times New Roman" w:eastAsia="黑体"/>
        </w:rPr>
        <w:fldChar w:fldCharType="end"/>
      </w:r>
    </w:p>
    <w:p>
      <w:pPr>
        <w:pStyle w:val="3"/>
        <w:spacing w:before="0" w:after="0" w:line="360" w:lineRule="auto"/>
        <w:rPr>
          <w:rFonts w:ascii="Times New Roman" w:hAnsi="Times New Roman"/>
          <w:sz w:val="28"/>
          <w:szCs w:val="28"/>
        </w:rPr>
      </w:pPr>
      <w:r>
        <w:fldChar w:fldCharType="begin"/>
      </w:r>
      <w:r>
        <w:instrText xml:space="preserve"> HYPERLINK \l "_Toc500364859" </w:instrText>
      </w:r>
      <w:r>
        <w:fldChar w:fldCharType="separate"/>
      </w:r>
      <w:bookmarkStart w:id="29" w:name="_Toc117868705"/>
      <w:r>
        <w:rPr>
          <w:rFonts w:ascii="Times New Roman" w:hAnsi="Times New Roman"/>
          <w:sz w:val="28"/>
          <w:szCs w:val="28"/>
        </w:rPr>
        <w:t>2.1 自然</w:t>
      </w:r>
      <w:r>
        <w:rPr>
          <w:rFonts w:hint="eastAsia" w:ascii="Times New Roman" w:hAnsi="Times New Roman"/>
          <w:sz w:val="28"/>
          <w:szCs w:val="28"/>
        </w:rPr>
        <w:t>概况</w:t>
      </w:r>
      <w:bookmarkEnd w:id="29"/>
      <w:r>
        <w:rPr>
          <w:rFonts w:hint="eastAsia" w:ascii="Times New Roman" w:hAnsi="Times New Roman"/>
          <w:sz w:val="28"/>
          <w:szCs w:val="28"/>
        </w:rPr>
        <w:fldChar w:fldCharType="end"/>
      </w:r>
    </w:p>
    <w:p>
      <w:pPr>
        <w:pStyle w:val="4"/>
        <w:spacing w:before="0" w:after="0" w:line="360" w:lineRule="auto"/>
        <w:rPr>
          <w:rFonts w:ascii="Times New Roman" w:hAnsi="Times New Roman"/>
          <w:sz w:val="24"/>
          <w:szCs w:val="24"/>
        </w:rPr>
      </w:pPr>
      <w:r>
        <w:fldChar w:fldCharType="begin"/>
      </w:r>
      <w:r>
        <w:instrText xml:space="preserve"> HYPERLINK \l "_Toc500364860" </w:instrText>
      </w:r>
      <w:r>
        <w:fldChar w:fldCharType="separate"/>
      </w:r>
      <w:bookmarkStart w:id="30" w:name="_Toc117868706"/>
      <w:r>
        <w:rPr>
          <w:rFonts w:ascii="Times New Roman" w:hAnsi="Times New Roman"/>
          <w:sz w:val="24"/>
          <w:szCs w:val="24"/>
        </w:rPr>
        <w:t xml:space="preserve">2.1.1 </w:t>
      </w:r>
      <w:r>
        <w:rPr>
          <w:rFonts w:ascii="Times New Roman" w:hAnsi="Times New Roman"/>
          <w:sz w:val="24"/>
          <w:szCs w:val="24"/>
        </w:rPr>
        <w:fldChar w:fldCharType="end"/>
      </w:r>
      <w:r>
        <w:rPr>
          <w:rFonts w:hint="eastAsia" w:ascii="Times New Roman" w:hAnsi="Times New Roman"/>
          <w:sz w:val="24"/>
          <w:szCs w:val="24"/>
        </w:rPr>
        <w:t>地理位置</w:t>
      </w:r>
      <w:bookmarkEnd w:id="30"/>
    </w:p>
    <w:p>
      <w:pPr>
        <w:pStyle w:val="35"/>
        <w:snapToGrid w:val="0"/>
        <w:ind w:firstLine="485"/>
        <w:rPr>
          <w:rFonts w:cs="Times New Roman"/>
          <w:color w:val="000000"/>
          <w:szCs w:val="24"/>
        </w:rPr>
      </w:pPr>
      <w:r>
        <w:rPr>
          <w:rFonts w:cs="Times New Roman"/>
          <w:kern w:val="2"/>
          <w:szCs w:val="24"/>
        </w:rPr>
        <w:t>乐山市市中区是乐山市经济、政治、文化、信息中心，位于四川盆地西南部，岷江与大渡河、青衣江交汇处，地理坐标介于东经103°31′56″—103°59′25″、北纬29°28′00″—29°45′45″之间，幅员面积约82</w:t>
      </w:r>
      <w:r>
        <w:rPr>
          <w:rFonts w:hint="eastAsia" w:cs="Times New Roman"/>
          <w:kern w:val="2"/>
          <w:szCs w:val="24"/>
        </w:rPr>
        <w:t>7 km</w:t>
      </w:r>
      <w:r>
        <w:rPr>
          <w:rFonts w:hint="eastAsia" w:cs="Times New Roman"/>
          <w:kern w:val="2"/>
          <w:szCs w:val="24"/>
          <w:vertAlign w:val="superscript"/>
        </w:rPr>
        <w:t>2</w:t>
      </w:r>
      <w:r>
        <w:rPr>
          <w:rFonts w:cs="Times New Roman"/>
          <w:kern w:val="2"/>
          <w:szCs w:val="24"/>
        </w:rPr>
        <w:t>，占乐山市总面积的6.4%。东接井研县；东南接五通桥区，与川中丘陵区相连；西靠峨眉山，与沫溪河低山区和峨眉山中山区邻近；北邻青神、夹江两县，与川西平原区衔接。</w:t>
      </w:r>
    </w:p>
    <w:p>
      <w:pPr>
        <w:pStyle w:val="4"/>
        <w:spacing w:before="0" w:after="0" w:line="360" w:lineRule="auto"/>
        <w:rPr>
          <w:rFonts w:ascii="Times New Roman" w:hAnsi="Times New Roman"/>
          <w:sz w:val="24"/>
          <w:szCs w:val="24"/>
        </w:rPr>
      </w:pPr>
      <w:bookmarkStart w:id="31" w:name="_Toc117868707"/>
      <w:r>
        <w:rPr>
          <w:rFonts w:hint="eastAsia" w:ascii="Times New Roman" w:hAnsi="Times New Roman"/>
          <w:sz w:val="24"/>
          <w:szCs w:val="24"/>
        </w:rPr>
        <w:t>2.1.2地形地貌</w:t>
      </w:r>
      <w:bookmarkEnd w:id="31"/>
    </w:p>
    <w:p>
      <w:pPr>
        <w:pStyle w:val="35"/>
        <w:snapToGrid w:val="0"/>
        <w:ind w:firstLine="485"/>
        <w:rPr>
          <w:rFonts w:cs="Times New Roman"/>
          <w:kern w:val="2"/>
          <w:szCs w:val="24"/>
        </w:rPr>
      </w:pPr>
      <w:r>
        <w:rPr>
          <w:rFonts w:cs="Times New Roman"/>
          <w:kern w:val="2"/>
          <w:szCs w:val="24"/>
        </w:rPr>
        <w:t>市中区地处</w:t>
      </w:r>
      <w:r>
        <w:fldChar w:fldCharType="begin"/>
      </w:r>
      <w:r>
        <w:instrText xml:space="preserve"> HYPERLINK "https://baike.baidu.com/item/%E5%9B%9B%E5%B7%9D%E7%9B%86%E5%9C%B0" \t "_blank" </w:instrText>
      </w:r>
      <w:r>
        <w:fldChar w:fldCharType="separate"/>
      </w:r>
      <w:r>
        <w:rPr>
          <w:rFonts w:cs="Times New Roman"/>
          <w:kern w:val="2"/>
          <w:szCs w:val="24"/>
        </w:rPr>
        <w:t>四川盆地</w:t>
      </w:r>
      <w:r>
        <w:rPr>
          <w:rFonts w:cs="Times New Roman"/>
          <w:kern w:val="2"/>
          <w:szCs w:val="24"/>
        </w:rPr>
        <w:fldChar w:fldCharType="end"/>
      </w:r>
      <w:r>
        <w:rPr>
          <w:rFonts w:cs="Times New Roman"/>
          <w:kern w:val="2"/>
          <w:szCs w:val="24"/>
        </w:rPr>
        <w:t>向西南山地过渡地带</w:t>
      </w:r>
      <w:r>
        <w:rPr>
          <w:rFonts w:hint="eastAsia" w:cs="Times New Roman"/>
          <w:kern w:val="2"/>
          <w:szCs w:val="24"/>
        </w:rPr>
        <w:t>。区境地貌以平原、丘陵为主，兼有浅丘陵和低山。平坝主要是河漫滩、河心洲坝和I级阶地。</w:t>
      </w:r>
      <w:r>
        <w:rPr>
          <w:rFonts w:cs="Times New Roman"/>
          <w:kern w:val="2"/>
          <w:szCs w:val="24"/>
        </w:rPr>
        <w:t>其中平原占总面积的50.24%，丘陵占44.47%，山地</w:t>
      </w:r>
      <w:r>
        <w:rPr>
          <w:rFonts w:hint="eastAsia" w:cs="Times New Roman"/>
          <w:kern w:val="2"/>
          <w:szCs w:val="24"/>
          <w:lang w:eastAsia="zh-CN"/>
        </w:rPr>
        <w:t>占</w:t>
      </w:r>
      <w:r>
        <w:rPr>
          <w:rFonts w:cs="Times New Roman"/>
          <w:kern w:val="2"/>
          <w:szCs w:val="24"/>
        </w:rPr>
        <w:t>5.29%。</w:t>
      </w:r>
      <w:r>
        <w:rPr>
          <w:rFonts w:hint="eastAsia" w:cs="Times New Roman"/>
          <w:kern w:val="2"/>
          <w:szCs w:val="24"/>
        </w:rPr>
        <w:t>全区地势</w:t>
      </w:r>
      <w:r>
        <w:rPr>
          <w:rFonts w:cs="Times New Roman"/>
          <w:kern w:val="2"/>
          <w:szCs w:val="24"/>
        </w:rPr>
        <w:t>西南高，东北低，岷江由北向南贯穿区域中部，岷江支流大渡河、青衣江、峨眉河、临江</w:t>
      </w:r>
      <w:r>
        <w:rPr>
          <w:rFonts w:hint="eastAsia" w:cs="Times New Roman"/>
          <w:kern w:val="2"/>
          <w:szCs w:val="24"/>
        </w:rPr>
        <w:t>河、泥溪河、凌云河从东西两侧汇流于区境。西南边缘有峨眉山余脉环绕，最北部为龙泉山系南端尾部，以致形成中部低，四周高的地形。青衣江右岸与大渡河左岸苏稽-罗汉坝子，大渡河与岷江右岸安谷-车子坝子，岷江左右岸通江-牟子坝子，土地面积均在两万亩以上。</w:t>
      </w:r>
      <w:r>
        <w:rPr>
          <w:rFonts w:hint="eastAsia" w:cs="Times New Roman"/>
          <w:color w:val="auto"/>
          <w:kern w:val="2"/>
          <w:szCs w:val="24"/>
        </w:rPr>
        <w:t>这</w:t>
      </w:r>
      <w:r>
        <w:rPr>
          <w:rFonts w:cs="Times New Roman"/>
          <w:color w:val="auto"/>
          <w:kern w:val="2"/>
          <w:szCs w:val="24"/>
        </w:rPr>
        <w:t>些</w:t>
      </w:r>
      <w:r>
        <w:rPr>
          <w:rFonts w:hint="eastAsia" w:cs="Times New Roman"/>
          <w:color w:val="auto"/>
          <w:kern w:val="2"/>
          <w:szCs w:val="24"/>
        </w:rPr>
        <w:t>地</w:t>
      </w:r>
      <w:r>
        <w:rPr>
          <w:rFonts w:hint="eastAsia" w:cs="Times New Roman"/>
          <w:kern w:val="2"/>
          <w:szCs w:val="24"/>
        </w:rPr>
        <w:t>势平坦、沟渠纵横、灌溉自流、土质肥美、交通发达、人口稠密、商贸繁荣的平坝，是市中区重要经济领域。</w:t>
      </w:r>
    </w:p>
    <w:p>
      <w:pPr>
        <w:pStyle w:val="4"/>
        <w:spacing w:before="0" w:after="0" w:line="360" w:lineRule="auto"/>
        <w:rPr>
          <w:rFonts w:ascii="Times New Roman" w:hAnsi="Times New Roman"/>
          <w:sz w:val="24"/>
          <w:szCs w:val="24"/>
        </w:rPr>
      </w:pPr>
      <w:bookmarkStart w:id="32" w:name="_Toc117868708"/>
      <w:r>
        <w:rPr>
          <w:rFonts w:hint="eastAsia" w:ascii="Times New Roman" w:hAnsi="Times New Roman"/>
          <w:sz w:val="24"/>
          <w:szCs w:val="24"/>
        </w:rPr>
        <w:t>2.1.3气候气象</w:t>
      </w:r>
      <w:bookmarkEnd w:id="32"/>
    </w:p>
    <w:p>
      <w:pPr>
        <w:widowControl/>
        <w:shd w:val="clear" w:color="auto" w:fill="FFFFFF"/>
        <w:ind w:firstLine="480"/>
        <w:jc w:val="left"/>
        <w:rPr>
          <w:rFonts w:ascii="Times New Roman" w:hAnsi="Times New Roman"/>
          <w:sz w:val="24"/>
        </w:rPr>
      </w:pPr>
      <w:r>
        <w:rPr>
          <w:rFonts w:hint="eastAsia" w:ascii="Times New Roman" w:hAnsi="Times New Roman"/>
          <w:sz w:val="24"/>
        </w:rPr>
        <w:t>市中区</w:t>
      </w:r>
      <w:r>
        <w:rPr>
          <w:rFonts w:ascii="Times New Roman" w:hAnsi="Times New Roman"/>
          <w:sz w:val="24"/>
        </w:rPr>
        <w:t>属</w:t>
      </w:r>
      <w:r>
        <w:rPr>
          <w:rFonts w:hint="eastAsia" w:ascii="Times New Roman" w:hAnsi="Times New Roman"/>
          <w:sz w:val="24"/>
        </w:rPr>
        <w:t>四川盆地</w:t>
      </w:r>
      <w:r>
        <w:rPr>
          <w:rFonts w:ascii="Times New Roman" w:hAnsi="Times New Roman"/>
          <w:sz w:val="24"/>
        </w:rPr>
        <w:t>亚热带湿润季风气候。</w:t>
      </w:r>
      <w:r>
        <w:rPr>
          <w:rFonts w:hint="eastAsia" w:ascii="Times New Roman" w:hAnsi="Times New Roman"/>
          <w:sz w:val="24"/>
        </w:rPr>
        <w:t>主要特征为：四级分明，气候温和，东无严寒，夏无酷暑。多云雾，日照少，湿度大，霜雪少。</w:t>
      </w:r>
      <w:r>
        <w:rPr>
          <w:rFonts w:ascii="Times New Roman" w:hAnsi="Times New Roman"/>
          <w:sz w:val="24"/>
        </w:rPr>
        <w:t>年平均气温为17.3</w:t>
      </w:r>
      <w:r>
        <w:rPr>
          <w:rFonts w:hint="eastAsia" w:ascii="Times New Roman" w:hAnsi="Times New Roman"/>
          <w:sz w:val="24"/>
        </w:rPr>
        <w:t>℃</w:t>
      </w:r>
      <w:r>
        <w:rPr>
          <w:rFonts w:ascii="Times New Roman" w:hAnsi="Times New Roman"/>
          <w:sz w:val="24"/>
        </w:rPr>
        <w:t>，最冷月平均气温始终在0</w:t>
      </w:r>
      <w:r>
        <w:rPr>
          <w:rFonts w:hint="eastAsia" w:ascii="Times New Roman" w:hAnsi="Times New Roman"/>
          <w:sz w:val="24"/>
        </w:rPr>
        <w:t>℃</w:t>
      </w:r>
      <w:r>
        <w:rPr>
          <w:rFonts w:ascii="Times New Roman" w:hAnsi="Times New Roman"/>
          <w:sz w:val="24"/>
        </w:rPr>
        <w:t>以上，极端最低气温高于-5</w:t>
      </w:r>
      <w:r>
        <w:rPr>
          <w:rFonts w:hint="eastAsia" w:ascii="Times New Roman" w:hAnsi="Times New Roman"/>
          <w:sz w:val="24"/>
        </w:rPr>
        <w:t>℃</w:t>
      </w:r>
      <w:r>
        <w:rPr>
          <w:rFonts w:ascii="Times New Roman" w:hAnsi="Times New Roman"/>
          <w:sz w:val="24"/>
        </w:rPr>
        <w:t>，全年≥10</w:t>
      </w:r>
      <w:r>
        <w:rPr>
          <w:rFonts w:hint="eastAsia" w:ascii="Times New Roman" w:hAnsi="Times New Roman"/>
          <w:sz w:val="24"/>
        </w:rPr>
        <w:t>℃</w:t>
      </w:r>
      <w:r>
        <w:rPr>
          <w:rFonts w:ascii="Times New Roman" w:hAnsi="Times New Roman"/>
          <w:sz w:val="24"/>
        </w:rPr>
        <w:t>的期间为250~280天。市中区高空盛行西风环流，影响和控制境内的气团来自高纬度内陆，为变性极地大陆气团。</w:t>
      </w:r>
      <w:r>
        <w:rPr>
          <w:rFonts w:hint="eastAsia" w:ascii="Times New Roman" w:hAnsi="Times New Roman"/>
          <w:sz w:val="24"/>
        </w:rPr>
        <w:t>深丘和浅丘地貌之间平均气温相差</w:t>
      </w:r>
      <w:r>
        <w:rPr>
          <w:rFonts w:ascii="Times New Roman" w:hAnsi="Times New Roman"/>
          <w:sz w:val="24"/>
        </w:rPr>
        <w:t>0.5</w:t>
      </w:r>
      <w:r>
        <w:rPr>
          <w:rFonts w:hint="eastAsia" w:ascii="Times New Roman" w:hAnsi="Times New Roman"/>
          <w:sz w:val="24"/>
        </w:rPr>
        <w:t>℃，</w:t>
      </w:r>
      <w:r>
        <w:rPr>
          <w:rFonts w:ascii="Times New Roman" w:hAnsi="Times New Roman"/>
          <w:sz w:val="24"/>
        </w:rPr>
        <w:t>形成较长江中下游同纬度地区优越的暖天优势，江、河、湖、库不封冻。</w:t>
      </w:r>
      <w:r>
        <w:rPr>
          <w:rFonts w:hint="eastAsia" w:ascii="Times New Roman" w:hAnsi="Times New Roman"/>
          <w:sz w:val="24"/>
        </w:rPr>
        <w:t>冬干春旱，夏洪秋涝，旱洪交错，局部地区时有风灾、冰雹和雷暴危害，低温、干旱常有出现，影响农业生产。</w:t>
      </w:r>
    </w:p>
    <w:p>
      <w:pPr>
        <w:pStyle w:val="4"/>
        <w:adjustRightInd w:val="0"/>
        <w:snapToGrid w:val="0"/>
        <w:spacing w:before="0" w:after="0" w:line="360" w:lineRule="auto"/>
        <w:rPr>
          <w:rFonts w:ascii="Times New Roman" w:hAnsi="Times New Roman"/>
          <w:sz w:val="24"/>
          <w:szCs w:val="24"/>
        </w:rPr>
      </w:pPr>
      <w:bookmarkStart w:id="33" w:name="_Toc117868709"/>
      <w:r>
        <w:rPr>
          <w:rFonts w:hint="eastAsia" w:ascii="Times New Roman" w:hAnsi="Times New Roman"/>
          <w:sz w:val="24"/>
          <w:szCs w:val="24"/>
        </w:rPr>
        <w:t>2.1.4水系流域</w:t>
      </w:r>
      <w:bookmarkEnd w:id="33"/>
    </w:p>
    <w:p>
      <w:pPr>
        <w:widowControl/>
        <w:shd w:val="clear" w:color="auto" w:fill="FFFFFF"/>
        <w:adjustRightInd w:val="0"/>
        <w:snapToGrid w:val="0"/>
        <w:ind w:firstLine="480"/>
        <w:jc w:val="left"/>
        <w:rPr>
          <w:rFonts w:ascii="Times New Roman" w:hAnsi="Times New Roman"/>
          <w:sz w:val="24"/>
        </w:rPr>
      </w:pPr>
      <w:r>
        <w:rPr>
          <w:rFonts w:ascii="Times New Roman" w:hAnsi="Times New Roman"/>
          <w:sz w:val="24"/>
        </w:rPr>
        <w:t>市中区位于岷江中下游，属长江流域岷江水系。</w:t>
      </w:r>
      <w:r>
        <w:rPr>
          <w:rFonts w:hint="eastAsia" w:ascii="Times New Roman" w:hAnsi="Times New Roman"/>
          <w:sz w:val="24"/>
        </w:rPr>
        <w:t>区</w:t>
      </w:r>
      <w:r>
        <w:rPr>
          <w:rFonts w:ascii="Times New Roman" w:hAnsi="Times New Roman"/>
          <w:sz w:val="24"/>
        </w:rPr>
        <w:t>境内水网较密，水资源丰富，主要河流有</w:t>
      </w:r>
      <w:r>
        <w:fldChar w:fldCharType="begin"/>
      </w:r>
      <w:r>
        <w:instrText xml:space="preserve"> HYPERLINK "https://baike.baidu.com/item/%E5%B2%B7%E6%B1%9F/883255" \t "_blank" </w:instrText>
      </w:r>
      <w:r>
        <w:fldChar w:fldCharType="separate"/>
      </w:r>
      <w:r>
        <w:rPr>
          <w:rFonts w:ascii="Times New Roman" w:hAnsi="Times New Roman"/>
          <w:sz w:val="24"/>
        </w:rPr>
        <w:t>岷江</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"https://baike.baidu.com/item/%E9%9D%92%E8%A1%A3%E6%B1%9F" \t "_blank" </w:instrText>
      </w:r>
      <w:r>
        <w:fldChar w:fldCharType="separate"/>
      </w:r>
      <w:r>
        <w:rPr>
          <w:rFonts w:ascii="Times New Roman" w:hAnsi="Times New Roman"/>
          <w:sz w:val="24"/>
        </w:rPr>
        <w:t>青衣江</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"https://baike.baidu.com/item/%E5%A4%A7%E6%B8%A1%E6%B2%B3/3380" \t "_blank" </w:instrText>
      </w:r>
      <w:r>
        <w:fldChar w:fldCharType="separate"/>
      </w:r>
      <w:r>
        <w:rPr>
          <w:rFonts w:ascii="Times New Roman" w:hAnsi="Times New Roman"/>
          <w:sz w:val="24"/>
        </w:rPr>
        <w:t>大渡河</w:t>
      </w:r>
      <w:r>
        <w:rPr>
          <w:rFonts w:ascii="Times New Roman" w:hAnsi="Times New Roman"/>
          <w:sz w:val="24"/>
        </w:rPr>
        <w:fldChar w:fldCharType="end"/>
      </w:r>
      <w:r>
        <w:rPr>
          <w:rFonts w:ascii="Times New Roman" w:hAnsi="Times New Roman"/>
          <w:sz w:val="24"/>
        </w:rPr>
        <w:t>，称</w:t>
      </w:r>
      <w:r>
        <w:rPr>
          <w:rFonts w:hint="eastAsia" w:ascii="Times New Roman" w:hAnsi="Times New Roman"/>
          <w:sz w:val="24"/>
        </w:rPr>
        <w:t>“</w:t>
      </w:r>
      <w:r>
        <w:rPr>
          <w:rFonts w:ascii="Times New Roman" w:hAnsi="Times New Roman"/>
          <w:sz w:val="24"/>
        </w:rPr>
        <w:t>三江</w:t>
      </w:r>
      <w:r>
        <w:rPr>
          <w:rFonts w:hint="eastAsia" w:ascii="Times New Roman" w:hAnsi="Times New Roman"/>
          <w:sz w:val="24"/>
        </w:rPr>
        <w:t>”，多年平均流量在1</w:t>
      </w:r>
      <w:r>
        <w:rPr>
          <w:rFonts w:ascii="Times New Roman" w:hAnsi="Times New Roman"/>
          <w:sz w:val="24"/>
        </w:rPr>
        <w:t>00</w:t>
      </w:r>
      <w:r>
        <w:rPr>
          <w:rFonts w:hint="eastAsia" w:ascii="Times New Roman" w:hAnsi="Times New Roman"/>
          <w:sz w:val="24"/>
        </w:rPr>
        <w:t>m³/s</w:t>
      </w:r>
      <w:r>
        <w:rPr>
          <w:rFonts w:ascii="Times New Roman" w:hAnsi="Times New Roman"/>
          <w:sz w:val="24"/>
        </w:rPr>
        <w:t>以上；其次有峨眉河、临江河、泥溪河、凌云河、竹公溪、</w:t>
      </w:r>
      <w:r>
        <w:rPr>
          <w:rFonts w:hint="eastAsia" w:ascii="Times New Roman" w:hAnsi="Times New Roman"/>
          <w:sz w:val="24"/>
        </w:rPr>
        <w:t>剑峰河、磨池河</w:t>
      </w:r>
      <w:r>
        <w:rPr>
          <w:rFonts w:ascii="Times New Roman" w:hAnsi="Times New Roman"/>
          <w:sz w:val="24"/>
        </w:rPr>
        <w:t>（称“七河”）从境内流过。水资源总量达</w:t>
      </w:r>
      <w:r>
        <w:rPr>
          <w:rFonts w:hint="eastAsia" w:ascii="Times New Roman" w:hAnsi="Times New Roman"/>
          <w:sz w:val="24"/>
        </w:rPr>
        <w:t>5</w:t>
      </w:r>
      <w:r>
        <w:rPr>
          <w:rFonts w:ascii="Times New Roman" w:hAnsi="Times New Roman"/>
          <w:sz w:val="24"/>
        </w:rPr>
        <w:t>.64亿</w:t>
      </w:r>
      <w:r>
        <w:rPr>
          <w:rFonts w:hint="eastAsia" w:ascii="Times New Roman" w:hAnsi="Times New Roman"/>
          <w:sz w:val="24"/>
        </w:rPr>
        <w:t>m³</w:t>
      </w:r>
      <w:r>
        <w:rPr>
          <w:rFonts w:ascii="Times New Roman" w:hAnsi="Times New Roman"/>
          <w:sz w:val="24"/>
        </w:rPr>
        <w:t>，年降雨</w:t>
      </w:r>
      <w:r>
        <w:rPr>
          <w:rFonts w:hint="eastAsia" w:ascii="Times New Roman" w:hAnsi="Times New Roman"/>
          <w:sz w:val="24"/>
        </w:rPr>
        <w:t>量8</w:t>
      </w:r>
      <w:r>
        <w:rPr>
          <w:rFonts w:ascii="Times New Roman" w:hAnsi="Times New Roman"/>
          <w:sz w:val="24"/>
        </w:rPr>
        <w:t>.48亿</w:t>
      </w:r>
      <w:r>
        <w:rPr>
          <w:rFonts w:hint="eastAsia" w:ascii="Times New Roman" w:hAnsi="Times New Roman"/>
          <w:sz w:val="24"/>
        </w:rPr>
        <w:t>m³</w:t>
      </w:r>
      <w:r>
        <w:rPr>
          <w:rFonts w:ascii="Times New Roman" w:hAnsi="Times New Roman"/>
          <w:sz w:val="24"/>
        </w:rPr>
        <w:t>，多年平均水资源量</w:t>
      </w:r>
      <w:r>
        <w:rPr>
          <w:rFonts w:hint="eastAsia" w:ascii="Times New Roman" w:hAnsi="Times New Roman"/>
          <w:sz w:val="24"/>
        </w:rPr>
        <w:t>6</w:t>
      </w:r>
      <w:r>
        <w:rPr>
          <w:rFonts w:ascii="Times New Roman" w:hAnsi="Times New Roman"/>
          <w:sz w:val="24"/>
        </w:rPr>
        <w:t>.79亿</w:t>
      </w:r>
      <w:r>
        <w:rPr>
          <w:rFonts w:hint="eastAsia" w:ascii="Times New Roman" w:hAnsi="Times New Roman"/>
          <w:sz w:val="24"/>
        </w:rPr>
        <w:t>m³，人均水资源量8</w:t>
      </w:r>
      <w:r>
        <w:rPr>
          <w:rFonts w:ascii="Times New Roman" w:hAnsi="Times New Roman"/>
          <w:sz w:val="24"/>
        </w:rPr>
        <w:t>20</w:t>
      </w:r>
      <w:r>
        <w:rPr>
          <w:rFonts w:hint="eastAsia" w:ascii="Times New Roman" w:hAnsi="Times New Roman"/>
          <w:sz w:val="24"/>
        </w:rPr>
        <w:t>m³</w:t>
      </w:r>
      <w:r>
        <w:rPr>
          <w:rFonts w:ascii="Times New Roman" w:hAnsi="Times New Roman"/>
          <w:sz w:val="24"/>
        </w:rPr>
        <w:t>。全区共有各类水利工程</w:t>
      </w:r>
      <w:r>
        <w:rPr>
          <w:rFonts w:hint="eastAsia" w:ascii="Times New Roman" w:hAnsi="Times New Roman"/>
          <w:sz w:val="24"/>
        </w:rPr>
        <w:t>2</w:t>
      </w:r>
      <w:r>
        <w:rPr>
          <w:rFonts w:ascii="Times New Roman" w:hAnsi="Times New Roman"/>
          <w:sz w:val="24"/>
        </w:rPr>
        <w:t>439处，蓄</w:t>
      </w:r>
      <w:r>
        <w:rPr>
          <w:rFonts w:hint="eastAsia" w:ascii="Times New Roman" w:hAnsi="Times New Roman"/>
          <w:sz w:val="24"/>
        </w:rPr>
        <w:t>引提水总能力7</w:t>
      </w:r>
      <w:r>
        <w:rPr>
          <w:rFonts w:ascii="Times New Roman" w:hAnsi="Times New Roman"/>
          <w:sz w:val="24"/>
        </w:rPr>
        <w:t>4016</w:t>
      </w:r>
      <w:r>
        <w:rPr>
          <w:rFonts w:hint="eastAsia" w:ascii="Times New Roman" w:hAnsi="Times New Roman"/>
          <w:sz w:val="24"/>
        </w:rPr>
        <w:t>万m³，其中</w:t>
      </w:r>
      <w:r>
        <w:rPr>
          <w:rFonts w:ascii="Times New Roman" w:hAnsi="Times New Roman"/>
          <w:sz w:val="24"/>
        </w:rPr>
        <w:t>农业用水</w:t>
      </w:r>
      <w:r>
        <w:rPr>
          <w:rFonts w:hint="eastAsia" w:ascii="Times New Roman" w:hAnsi="Times New Roman"/>
          <w:sz w:val="24"/>
        </w:rPr>
        <w:t>2</w:t>
      </w:r>
      <w:r>
        <w:rPr>
          <w:rFonts w:ascii="Times New Roman" w:hAnsi="Times New Roman"/>
          <w:sz w:val="24"/>
        </w:rPr>
        <w:t>7551万</w:t>
      </w:r>
      <w:r>
        <w:rPr>
          <w:rFonts w:hint="eastAsia" w:ascii="Times New Roman" w:hAnsi="Times New Roman"/>
          <w:sz w:val="24"/>
        </w:rPr>
        <w:t>m³</w:t>
      </w:r>
      <w:r>
        <w:rPr>
          <w:rFonts w:ascii="Times New Roman" w:hAnsi="Times New Roman"/>
          <w:sz w:val="24"/>
        </w:rPr>
        <w:t>。</w:t>
      </w:r>
    </w:p>
    <w:p>
      <w:pPr>
        <w:pStyle w:val="4"/>
        <w:adjustRightInd w:val="0"/>
        <w:snapToGrid w:val="0"/>
        <w:spacing w:before="0" w:after="0" w:line="360" w:lineRule="auto"/>
        <w:rPr>
          <w:rFonts w:ascii="Times New Roman" w:hAnsi="Times New Roman"/>
          <w:sz w:val="24"/>
          <w:szCs w:val="24"/>
        </w:rPr>
      </w:pPr>
      <w:bookmarkStart w:id="34" w:name="_Toc117868710"/>
      <w:r>
        <w:rPr>
          <w:rFonts w:hint="eastAsia" w:ascii="Times New Roman" w:hAnsi="Times New Roman"/>
          <w:sz w:val="24"/>
          <w:szCs w:val="24"/>
        </w:rPr>
        <w:t>2.1.5动植物资源</w:t>
      </w:r>
      <w:bookmarkEnd w:id="34"/>
    </w:p>
    <w:p>
      <w:pPr>
        <w:widowControl/>
        <w:shd w:val="clear" w:color="auto" w:fill="FFFFFF"/>
        <w:adjustRightInd w:val="0"/>
        <w:snapToGrid w:val="0"/>
        <w:ind w:firstLine="480"/>
        <w:jc w:val="left"/>
        <w:rPr>
          <w:rFonts w:ascii="Times New Roman" w:hAnsi="Times New Roman"/>
          <w:sz w:val="24"/>
        </w:rPr>
      </w:pPr>
      <w:r>
        <w:rPr>
          <w:rFonts w:hint="eastAsia" w:ascii="Times New Roman" w:hAnsi="Times New Roman"/>
          <w:sz w:val="24"/>
        </w:rPr>
        <w:t>区境内森林面积3.16万hm</w:t>
      </w:r>
      <w:r>
        <w:rPr>
          <w:rFonts w:hint="eastAsia" w:ascii="Times New Roman" w:hAnsi="Times New Roman"/>
          <w:sz w:val="24"/>
          <w:vertAlign w:val="superscript"/>
        </w:rPr>
        <w:t>2</w:t>
      </w:r>
      <w:r>
        <w:rPr>
          <w:rFonts w:hint="eastAsia" w:ascii="Times New Roman" w:hAnsi="Times New Roman"/>
          <w:sz w:val="24"/>
        </w:rPr>
        <w:t>，森立覆盖率为37.85%，区境内林区大部分分布在岷江东区丘陵、低山区，即</w:t>
      </w:r>
      <w:r>
        <w:rPr>
          <w:rFonts w:ascii="Times New Roman" w:hAnsi="Times New Roman"/>
          <w:sz w:val="24"/>
        </w:rPr>
        <w:t>白马镇、青平镇、茅桥镇、剑峰镇</w:t>
      </w:r>
      <w:r>
        <w:rPr>
          <w:rFonts w:hint="eastAsia" w:ascii="Times New Roman" w:hAnsi="Times New Roman"/>
          <w:sz w:val="24"/>
        </w:rPr>
        <w:t>等，占全区林地面积的61.05%。主要树种有乔木类马尾松、雪松、柏树、山麻柳、桉树、青杠、楠木、板栗等；禾本科竹类有慈竹、水竹、斑竹、楠竹、苦竹、硬头黄等；灌木类有黄荆、马桑、矮桐子、映山红、山茶等。</w:t>
      </w:r>
    </w:p>
    <w:p>
      <w:pPr>
        <w:widowControl/>
        <w:shd w:val="clear" w:color="auto" w:fill="FFFFFF"/>
        <w:adjustRightInd w:val="0"/>
        <w:snapToGrid w:val="0"/>
        <w:ind w:firstLine="480"/>
        <w:jc w:val="left"/>
        <w:rPr>
          <w:rFonts w:ascii="Times New Roman" w:hAnsi="Times New Roman"/>
          <w:sz w:val="24"/>
        </w:rPr>
      </w:pPr>
      <w:bookmarkStart w:id="35" w:name="OLE_LINK9"/>
      <w:bookmarkStart w:id="36" w:name="OLE_LINK10"/>
      <w:r>
        <w:rPr>
          <w:rFonts w:ascii="Times New Roman" w:hAnsi="Times New Roman"/>
          <w:sz w:val="24"/>
        </w:rPr>
        <w:t>市中区的野生动物随着人口的不断增加，其原生资源和种类</w:t>
      </w:r>
      <w:r>
        <w:rPr>
          <w:rFonts w:hint="eastAsia" w:ascii="Times New Roman" w:hAnsi="Times New Roman"/>
          <w:sz w:val="24"/>
        </w:rPr>
        <w:t>呈</w:t>
      </w:r>
      <w:r>
        <w:rPr>
          <w:rFonts w:ascii="Times New Roman" w:hAnsi="Times New Roman"/>
          <w:sz w:val="24"/>
        </w:rPr>
        <w:t>逐渐减少趋势。</w:t>
      </w:r>
      <w:bookmarkEnd w:id="35"/>
      <w:bookmarkEnd w:id="36"/>
      <w:r>
        <w:rPr>
          <w:rFonts w:ascii="Times New Roman" w:hAnsi="Times New Roman"/>
          <w:sz w:val="24"/>
        </w:rPr>
        <w:t>兽类有野猫、黄鼠狼、野兔、松鼠等；鸟类有老鹰、野鸭、白鹤、麻雀、猫头鹰、画眉等；鱼类有鲢鱼、鲤鱼、白甲鱼、中华倒刺鲅、黄辣丁、胭脂鱼、中华鲟等。</w:t>
      </w:r>
    </w:p>
    <w:p>
      <w:pPr>
        <w:pStyle w:val="3"/>
        <w:spacing w:before="0" w:after="0" w:line="360" w:lineRule="auto"/>
        <w:rPr>
          <w:rFonts w:ascii="Times New Roman" w:hAnsi="Times New Roman"/>
          <w:sz w:val="28"/>
          <w:szCs w:val="28"/>
        </w:rPr>
      </w:pPr>
      <w:r>
        <w:fldChar w:fldCharType="begin"/>
      </w:r>
      <w:r>
        <w:instrText xml:space="preserve"> HYPERLINK \l "_Toc500364859" </w:instrText>
      </w:r>
      <w:r>
        <w:fldChar w:fldCharType="separate"/>
      </w:r>
      <w:bookmarkStart w:id="37" w:name="_Toc117868711"/>
      <w:r>
        <w:rPr>
          <w:rFonts w:ascii="Times New Roman" w:hAnsi="Times New Roman"/>
          <w:sz w:val="28"/>
          <w:szCs w:val="28"/>
        </w:rPr>
        <w:t>2.</w:t>
      </w:r>
      <w:r>
        <w:rPr>
          <w:rFonts w:hint="eastAsia" w:ascii="Times New Roman" w:hAnsi="Times New Roman"/>
          <w:sz w:val="28"/>
          <w:szCs w:val="28"/>
        </w:rPr>
        <w:t>2</w:t>
      </w:r>
      <w:r>
        <w:rPr>
          <w:rFonts w:ascii="Times New Roman" w:hAnsi="Times New Roman"/>
          <w:sz w:val="28"/>
          <w:szCs w:val="28"/>
        </w:rPr>
        <w:t xml:space="preserve"> </w:t>
      </w:r>
      <w:r>
        <w:rPr>
          <w:rFonts w:hint="eastAsia" w:ascii="Times New Roman" w:hAnsi="Times New Roman"/>
          <w:sz w:val="28"/>
          <w:szCs w:val="28"/>
        </w:rPr>
        <w:t>社会</w:t>
      </w:r>
      <w:r>
        <w:rPr>
          <w:rFonts w:ascii="Times New Roman" w:hAnsi="Times New Roman"/>
          <w:sz w:val="28"/>
          <w:szCs w:val="28"/>
        </w:rPr>
        <w:t>经济</w:t>
      </w:r>
      <w:r>
        <w:rPr>
          <w:rFonts w:hint="eastAsia" w:ascii="Times New Roman" w:hAnsi="Times New Roman"/>
          <w:sz w:val="28"/>
          <w:szCs w:val="28"/>
        </w:rPr>
        <w:t>概况</w:t>
      </w:r>
      <w:bookmarkEnd w:id="37"/>
      <w:r>
        <w:rPr>
          <w:rFonts w:hint="eastAsia" w:ascii="Times New Roman" w:hAnsi="Times New Roman"/>
          <w:sz w:val="28"/>
          <w:szCs w:val="28"/>
        </w:rPr>
        <w:fldChar w:fldCharType="end"/>
      </w:r>
    </w:p>
    <w:p>
      <w:pPr>
        <w:pStyle w:val="4"/>
        <w:adjustRightInd w:val="0"/>
        <w:snapToGrid w:val="0"/>
        <w:spacing w:before="0" w:after="0" w:line="360" w:lineRule="auto"/>
        <w:rPr>
          <w:rFonts w:ascii="Times New Roman" w:hAnsi="Times New Roman"/>
          <w:sz w:val="24"/>
          <w:szCs w:val="24"/>
        </w:rPr>
      </w:pPr>
      <w:bookmarkStart w:id="38" w:name="_Toc117868712"/>
      <w:r>
        <w:rPr>
          <w:rFonts w:hint="eastAsia" w:ascii="Times New Roman" w:hAnsi="Times New Roman"/>
          <w:sz w:val="24"/>
          <w:szCs w:val="24"/>
        </w:rPr>
        <w:t>2.2.1行政区划</w:t>
      </w:r>
      <w:bookmarkEnd w:id="38"/>
    </w:p>
    <w:p>
      <w:pPr>
        <w:widowControl/>
        <w:shd w:val="clear" w:color="auto" w:fill="FFFFFF"/>
        <w:adjustRightInd w:val="0"/>
        <w:snapToGrid w:val="0"/>
        <w:ind w:firstLine="480"/>
        <w:jc w:val="left"/>
        <w:rPr>
          <w:rFonts w:ascii="Times New Roman" w:hAnsi="Times New Roman"/>
          <w:sz w:val="24"/>
        </w:rPr>
      </w:pPr>
      <w:r>
        <w:rPr>
          <w:rFonts w:hint="eastAsia" w:ascii="Times New Roman" w:hAnsi="Times New Roman"/>
          <w:sz w:val="24"/>
        </w:rPr>
        <w:t>市中区现</w:t>
      </w:r>
      <w:r>
        <w:rPr>
          <w:rFonts w:ascii="Times New Roman" w:hAnsi="Times New Roman"/>
          <w:sz w:val="24"/>
        </w:rPr>
        <w:t>辖5个街道（海棠街道办、绿心街道办、通江街道办、全福街道办、</w:t>
      </w:r>
      <w:r>
        <w:fldChar w:fldCharType="begin"/>
      </w:r>
      <w:r>
        <w:instrText xml:space="preserve"> HYPERLINK "https://baike.baidu.com/item/%E5%A4%A7%E4%BD%9B%E8%A1%97%E9%81%93/24208495" \t "_blank" </w:instrText>
      </w:r>
      <w:r>
        <w:fldChar w:fldCharType="separate"/>
      </w:r>
      <w:r>
        <w:rPr>
          <w:rFonts w:ascii="Times New Roman" w:hAnsi="Times New Roman"/>
          <w:sz w:val="24"/>
        </w:rPr>
        <w:t>大佛街道</w:t>
      </w:r>
      <w:r>
        <w:rPr>
          <w:rFonts w:ascii="Times New Roman" w:hAnsi="Times New Roman"/>
          <w:sz w:val="24"/>
        </w:rPr>
        <w:fldChar w:fldCharType="end"/>
      </w:r>
      <w:r>
        <w:rPr>
          <w:rFonts w:ascii="Times New Roman" w:hAnsi="Times New Roman"/>
          <w:sz w:val="24"/>
        </w:rPr>
        <w:t>办）、12个镇（牟子镇、苏稽镇、土主镇、白马镇、青平镇、茅桥镇、安谷镇、平兴镇、悦来镇、剑峰镇、棉竹镇、水口镇）。</w:t>
      </w:r>
      <w:r>
        <w:rPr>
          <w:rFonts w:hint="eastAsia" w:ascii="Times New Roman" w:hAnsi="Times New Roman"/>
          <w:sz w:val="24"/>
        </w:rPr>
        <w:t>全区有回族、彝族、满族、土家族、壮族、苗族、藏族、朝鲜族、羌族、侗族、白族、蒙古族、布依族、水族、纳西族等少数民族，其中</w:t>
      </w:r>
      <w:r>
        <w:fldChar w:fldCharType="begin"/>
      </w:r>
      <w:r>
        <w:instrText xml:space="preserve"> HYPERLINK "https://baike.baidu.com/item/%E6%B1%89%E6%97%8F" \t "_blank" </w:instrText>
      </w:r>
      <w:r>
        <w:fldChar w:fldCharType="separate"/>
      </w:r>
      <w:r>
        <w:rPr>
          <w:rFonts w:ascii="Times New Roman" w:hAnsi="Times New Roman"/>
          <w:sz w:val="24"/>
        </w:rPr>
        <w:t>汉族</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"https://baike.baidu.com/item/%E5%BD%9D%E6%97%8F" \t "_blank" </w:instrText>
      </w:r>
      <w:r>
        <w:fldChar w:fldCharType="separate"/>
      </w:r>
      <w:r>
        <w:rPr>
          <w:rFonts w:ascii="Times New Roman" w:hAnsi="Times New Roman"/>
          <w:sz w:val="24"/>
        </w:rPr>
        <w:t>彝族</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"https://baike.baidu.com/item/%E5%9B%9E%E6%97%8F" \t "_blank" </w:instrText>
      </w:r>
      <w:r>
        <w:fldChar w:fldCharType="separate"/>
      </w:r>
      <w:r>
        <w:rPr>
          <w:rFonts w:ascii="Times New Roman" w:hAnsi="Times New Roman"/>
          <w:sz w:val="24"/>
        </w:rPr>
        <w:t>回族</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"https://baike.baidu.com/item/%E8%8B%97%E6%97%8F" \t "_blank" </w:instrText>
      </w:r>
      <w:r>
        <w:fldChar w:fldCharType="separate"/>
      </w:r>
      <w:r>
        <w:rPr>
          <w:rFonts w:ascii="Times New Roman" w:hAnsi="Times New Roman"/>
          <w:sz w:val="24"/>
        </w:rPr>
        <w:t>苗族</w:t>
      </w:r>
      <w:r>
        <w:rPr>
          <w:rFonts w:ascii="Times New Roman" w:hAnsi="Times New Roman"/>
          <w:sz w:val="24"/>
        </w:rPr>
        <w:fldChar w:fldCharType="end"/>
      </w:r>
      <w:r>
        <w:rPr>
          <w:rFonts w:ascii="Times New Roman" w:hAnsi="Times New Roman"/>
          <w:sz w:val="24"/>
        </w:rPr>
        <w:t>是世居民族</w:t>
      </w:r>
      <w:r>
        <w:rPr>
          <w:rFonts w:hint="eastAsia" w:ascii="Times New Roman" w:hAnsi="Times New Roman"/>
          <w:sz w:val="24"/>
        </w:rPr>
        <w:t>。</w:t>
      </w:r>
      <w:r>
        <w:rPr>
          <w:rFonts w:ascii="Times New Roman" w:hAnsi="Times New Roman"/>
          <w:sz w:val="24"/>
        </w:rPr>
        <w:t>截止</w:t>
      </w:r>
      <w:r>
        <w:rPr>
          <w:rFonts w:hint="eastAsia" w:ascii="Times New Roman" w:hAnsi="Times New Roman"/>
          <w:sz w:val="24"/>
        </w:rPr>
        <w:t>2020年11月1日，</w:t>
      </w:r>
      <w:r>
        <w:rPr>
          <w:rFonts w:hint="eastAsia" w:ascii="Times New Roman" w:hAnsi="Times New Roman"/>
          <w:sz w:val="24"/>
          <w:lang w:val="en-US" w:eastAsia="zh-CN"/>
        </w:rPr>
        <w:t>乐山市市中区</w:t>
      </w:r>
      <w:r>
        <w:rPr>
          <w:rFonts w:hint="eastAsia" w:ascii="Times New Roman" w:hAnsi="Times New Roman"/>
          <w:sz w:val="24"/>
        </w:rPr>
        <w:t>全区常住人口</w:t>
      </w:r>
      <w:r>
        <w:rPr>
          <w:rFonts w:ascii="Times New Roman" w:hAnsi="Times New Roman"/>
          <w:sz w:val="24"/>
        </w:rPr>
        <w:t>814597人</w:t>
      </w:r>
      <w:r>
        <w:rPr>
          <w:rFonts w:hint="eastAsia" w:ascii="Times New Roman" w:hAnsi="Times New Roman"/>
          <w:sz w:val="24"/>
        </w:rPr>
        <w:t>，16-59岁人口占比65.18%，平均受教育年限8.93年，初中及以上文化程度人口占68.7%。</w:t>
      </w:r>
    </w:p>
    <w:p>
      <w:pPr>
        <w:pStyle w:val="4"/>
        <w:adjustRightInd w:val="0"/>
        <w:snapToGrid w:val="0"/>
        <w:spacing w:before="0" w:after="0" w:line="360" w:lineRule="auto"/>
        <w:rPr>
          <w:rFonts w:ascii="Times New Roman" w:hAnsi="Times New Roman"/>
          <w:sz w:val="24"/>
          <w:szCs w:val="24"/>
        </w:rPr>
      </w:pPr>
      <w:bookmarkStart w:id="39" w:name="_Toc117868713"/>
      <w:r>
        <w:rPr>
          <w:rFonts w:hint="eastAsia" w:ascii="Times New Roman" w:hAnsi="Times New Roman"/>
          <w:sz w:val="24"/>
          <w:szCs w:val="24"/>
        </w:rPr>
        <w:t>2.2.2 产业结构</w:t>
      </w:r>
      <w:bookmarkEnd w:id="39"/>
    </w:p>
    <w:p>
      <w:pPr>
        <w:pStyle w:val="8"/>
        <w:ind w:firstLine="480" w:firstLineChars="200"/>
        <w:rPr>
          <w:rFonts w:ascii="Times New Roman" w:hAnsi="Times New Roman"/>
          <w:sz w:val="24"/>
        </w:rPr>
      </w:pPr>
      <w:r>
        <w:rPr>
          <w:rFonts w:ascii="Times New Roman" w:hAnsi="Times New Roman"/>
          <w:sz w:val="24"/>
        </w:rPr>
        <w:t>2019年</w:t>
      </w:r>
      <w:r>
        <w:rPr>
          <w:rFonts w:hint="eastAsia" w:ascii="Times New Roman" w:hAnsi="Times New Roman"/>
          <w:sz w:val="24"/>
          <w:lang w:eastAsia="zh-CN"/>
        </w:rPr>
        <w:t>全区实现地区</w:t>
      </w:r>
      <w:r>
        <w:rPr>
          <w:rFonts w:ascii="Times New Roman" w:hAnsi="Times New Roman"/>
          <w:sz w:val="24"/>
        </w:rPr>
        <w:t>生产总值（GDP）403.31亿元，</w:t>
      </w:r>
      <w:r>
        <w:rPr>
          <w:rFonts w:hint="eastAsia" w:ascii="Times New Roman" w:hAnsi="Times New Roman"/>
          <w:sz w:val="24"/>
        </w:rPr>
        <w:t>第</w:t>
      </w:r>
      <w:r>
        <w:rPr>
          <w:rFonts w:ascii="Times New Roman" w:hAnsi="Times New Roman"/>
          <w:sz w:val="24"/>
        </w:rPr>
        <w:t>一</w:t>
      </w:r>
      <w:r>
        <w:rPr>
          <w:rFonts w:hint="eastAsia" w:ascii="Times New Roman" w:hAnsi="Times New Roman"/>
          <w:sz w:val="24"/>
        </w:rPr>
        <w:t>、</w:t>
      </w:r>
      <w:r>
        <w:rPr>
          <w:rFonts w:ascii="Times New Roman" w:hAnsi="Times New Roman"/>
          <w:sz w:val="24"/>
        </w:rPr>
        <w:t>二</w:t>
      </w:r>
      <w:r>
        <w:rPr>
          <w:rFonts w:hint="eastAsia" w:ascii="Times New Roman" w:hAnsi="Times New Roman"/>
          <w:sz w:val="24"/>
        </w:rPr>
        <w:t>、</w:t>
      </w:r>
      <w:r>
        <w:rPr>
          <w:rFonts w:ascii="Times New Roman" w:hAnsi="Times New Roman"/>
          <w:sz w:val="24"/>
        </w:rPr>
        <w:t>三产业的结构比例为8.3：30.4：61.3</w:t>
      </w:r>
      <w:r>
        <w:rPr>
          <w:rFonts w:hint="eastAsia" w:ascii="Times New Roman" w:hAnsi="Times New Roman"/>
          <w:sz w:val="24"/>
        </w:rPr>
        <w:t>；其中</w:t>
      </w:r>
      <w:r>
        <w:rPr>
          <w:rFonts w:ascii="Times New Roman" w:hAnsi="Times New Roman"/>
          <w:sz w:val="24"/>
        </w:rPr>
        <w:t>民营经济增加值213.54亿元，对GDP增长的贡献率为56.4%</w:t>
      </w:r>
      <w:r>
        <w:rPr>
          <w:rFonts w:hint="eastAsia" w:ascii="Times New Roman" w:hAnsi="Times New Roman"/>
          <w:sz w:val="24"/>
        </w:rPr>
        <w:t>。</w:t>
      </w:r>
      <w:r>
        <w:rPr>
          <w:rFonts w:ascii="Times New Roman" w:hAnsi="Times New Roman"/>
          <w:sz w:val="24"/>
        </w:rPr>
        <w:t>2020年，全区实现地区生产总值430.9亿元，增长4.3％；规模以上工业增加值增长4％；全社会固定资产投资增长11.5％；社会消费品零售总额同比下降2.1％；一般公共预算收入增长8.4％；城镇、农村居民人均可支配收入分别增长6.2％、8.9％。</w:t>
      </w:r>
    </w:p>
    <w:p>
      <w:pPr>
        <w:pStyle w:val="4"/>
        <w:adjustRightInd w:val="0"/>
        <w:snapToGrid w:val="0"/>
        <w:spacing w:before="0" w:after="0" w:line="360" w:lineRule="auto"/>
        <w:rPr>
          <w:rFonts w:ascii="Times New Roman" w:hAnsi="Times New Roman"/>
          <w:sz w:val="24"/>
          <w:szCs w:val="24"/>
        </w:rPr>
      </w:pPr>
      <w:bookmarkStart w:id="40" w:name="_Toc117868714"/>
      <w:r>
        <w:rPr>
          <w:rFonts w:hint="eastAsia" w:ascii="Times New Roman" w:hAnsi="Times New Roman"/>
          <w:sz w:val="24"/>
          <w:szCs w:val="24"/>
        </w:rPr>
        <w:t>2.2.3 种养殖业</w:t>
      </w:r>
      <w:bookmarkEnd w:id="40"/>
    </w:p>
    <w:p>
      <w:pPr>
        <w:widowControl/>
        <w:shd w:val="clear" w:color="auto" w:fill="FFFFFF"/>
        <w:adjustRightInd w:val="0"/>
        <w:snapToGrid w:val="0"/>
        <w:ind w:firstLine="480"/>
        <w:jc w:val="left"/>
      </w:pPr>
      <w:bookmarkStart w:id="41" w:name="OLE_LINK11"/>
      <w:bookmarkStart w:id="42" w:name="OLE_LINK12"/>
      <w:r>
        <w:rPr>
          <w:rFonts w:hint="eastAsia" w:ascii="Times New Roman" w:hAnsi="Times New Roman"/>
          <w:sz w:val="24"/>
        </w:rPr>
        <w:t>区境内耕地面积38.5万吨、园地面积3.4万亩、林地面积49.88万亩，草地330.3亩，全年粮食播种面积23.02万亩，蔬菜种植面积16万亩。农作物主要包括水稻、小麦、玉米和油料，粮食总产量9.86万t，其中粮食产量油料产量0.92万t, 甘蔗产量4098 t，蔬菜产量38.1万 t，茶叶产量1283 t。</w:t>
      </w:r>
    </w:p>
    <w:p>
      <w:pPr>
        <w:widowControl/>
        <w:shd w:val="clear" w:color="auto" w:fill="FFFFFF"/>
        <w:adjustRightInd w:val="0"/>
        <w:snapToGrid w:val="0"/>
        <w:ind w:firstLine="480"/>
        <w:jc w:val="left"/>
        <w:rPr>
          <w:rFonts w:ascii="Times New Roman" w:hAnsi="Times New Roman"/>
          <w:sz w:val="24"/>
        </w:rPr>
      </w:pPr>
      <w:r>
        <w:rPr>
          <w:rFonts w:hint="eastAsia" w:ascii="Times New Roman" w:hAnsi="Times New Roman"/>
          <w:sz w:val="24"/>
        </w:rPr>
        <w:t>全区养殖业以生猪和家禽为主，2020年，全区生猪、禽类、牛、羊和兔的存栏量分别为16.58万头、372.99万只、3284头、5963只、12.07万只，合计约30.5万头猪当量。全年肉类总产量3.32万吨、禽蛋产量2.64万吨，实现畜牧业产值27.66亿元。</w:t>
      </w:r>
    </w:p>
    <w:bookmarkEnd w:id="41"/>
    <w:bookmarkEnd w:id="42"/>
    <w:p>
      <w:pPr>
        <w:pStyle w:val="4"/>
        <w:adjustRightInd w:val="0"/>
        <w:snapToGrid w:val="0"/>
        <w:spacing w:before="0" w:after="0" w:line="360" w:lineRule="auto"/>
        <w:rPr>
          <w:rFonts w:ascii="Times New Roman" w:hAnsi="Times New Roman"/>
          <w:sz w:val="24"/>
          <w:szCs w:val="24"/>
        </w:rPr>
      </w:pPr>
      <w:bookmarkStart w:id="43" w:name="_Toc117868715"/>
      <w:bookmarkStart w:id="44" w:name="_Toc57579498"/>
      <w:r>
        <w:rPr>
          <w:rFonts w:hint="eastAsia" w:ascii="Times New Roman" w:hAnsi="Times New Roman"/>
          <w:sz w:val="24"/>
          <w:szCs w:val="24"/>
        </w:rPr>
        <w:t>2.2.4交通运输</w:t>
      </w:r>
      <w:bookmarkEnd w:id="43"/>
      <w:bookmarkEnd w:id="44"/>
    </w:p>
    <w:p>
      <w:pPr>
        <w:shd w:val="clear" w:color="auto" w:fill="FFFFFF"/>
        <w:ind w:firstLine="480"/>
        <w:rPr>
          <w:rFonts w:ascii="Times New Roman" w:hAnsi="Times New Roman"/>
          <w:sz w:val="24"/>
        </w:rPr>
      </w:pPr>
      <w:r>
        <w:rPr>
          <w:rFonts w:hint="eastAsia" w:ascii="Times New Roman" w:hAnsi="Times New Roman"/>
          <w:sz w:val="24"/>
        </w:rPr>
        <w:t>市中区地处川西南交通要塞，</w:t>
      </w:r>
      <w:r>
        <w:fldChar w:fldCharType="begin"/>
      </w:r>
      <w:r>
        <w:instrText xml:space="preserve"> HYPERLINK "https://baike.baidu.com/item/%E6%88%90%E4%B9%90%E9%AB%98%E9%80%9F%E5%85%AC%E8%B7%AF" \t "_blank" </w:instrText>
      </w:r>
      <w:r>
        <w:fldChar w:fldCharType="separate"/>
      </w:r>
      <w:r>
        <w:rPr>
          <w:rFonts w:ascii="Times New Roman" w:hAnsi="Times New Roman"/>
          <w:sz w:val="24"/>
        </w:rPr>
        <w:t>成乐高速公路</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"https://baike.baidu.com/item/%E4%B9%90%E6%B1%89%E9%AB%98%E9%80%9F%E5%85%AC%E8%B7%AF" \t "_blank" </w:instrText>
      </w:r>
      <w:r>
        <w:fldChar w:fldCharType="separate"/>
      </w:r>
      <w:r>
        <w:rPr>
          <w:rFonts w:ascii="Times New Roman" w:hAnsi="Times New Roman"/>
          <w:sz w:val="24"/>
        </w:rPr>
        <w:t>乐汉高速公路</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"https://baike.baidu.com/item/%E4%B9%90%E5%B3%A8%E9%AB%98%E9%80%9F%E5%85%AC%E8%B7%AF" \t "_blank" </w:instrText>
      </w:r>
      <w:r>
        <w:fldChar w:fldCharType="separate"/>
      </w:r>
      <w:r>
        <w:rPr>
          <w:rFonts w:ascii="Times New Roman" w:hAnsi="Times New Roman"/>
          <w:sz w:val="24"/>
        </w:rPr>
        <w:t>乐峨高速公路</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"https://baike.baidu.com/item/%E4%B9%90%E9%9B%85%E9%AB%98%E9%80%9F%E5%85%AC%E8%B7%AF" \t "_blank" </w:instrText>
      </w:r>
      <w:r>
        <w:fldChar w:fldCharType="separate"/>
      </w:r>
      <w:r>
        <w:rPr>
          <w:rFonts w:ascii="Times New Roman" w:hAnsi="Times New Roman"/>
          <w:sz w:val="24"/>
        </w:rPr>
        <w:t>乐雅高速公路</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"https://baike.baidu.com/item/%E4%B9%90%E8%87%AA%E9%AB%98%E9%80%9F%E5%85%AC%E8%B7%AF" \t "_blank" </w:instrText>
      </w:r>
      <w:r>
        <w:fldChar w:fldCharType="separate"/>
      </w:r>
      <w:r>
        <w:rPr>
          <w:rFonts w:ascii="Times New Roman" w:hAnsi="Times New Roman"/>
          <w:sz w:val="24"/>
        </w:rPr>
        <w:t>乐自高速公路</w:t>
      </w:r>
      <w:r>
        <w:rPr>
          <w:rFonts w:ascii="Times New Roman" w:hAnsi="Times New Roman"/>
          <w:sz w:val="24"/>
        </w:rPr>
        <w:fldChar w:fldCharType="end"/>
      </w:r>
      <w:r>
        <w:rPr>
          <w:rFonts w:ascii="Times New Roman" w:hAnsi="Times New Roman"/>
          <w:sz w:val="24"/>
        </w:rPr>
        <w:t>、</w:t>
      </w:r>
      <w:r>
        <w:fldChar w:fldCharType="begin"/>
      </w:r>
      <w:r>
        <w:instrText xml:space="preserve"> HYPERLINK "https://baike.baidu.com/item/%E4%B9%90%E5%AE%9C%E9%AB%98%E9%80%9F%E5%85%AC%E8%B7%AF" \t "_blank" </w:instrText>
      </w:r>
      <w:r>
        <w:fldChar w:fldCharType="separate"/>
      </w:r>
      <w:r>
        <w:rPr>
          <w:rFonts w:ascii="Times New Roman" w:hAnsi="Times New Roman"/>
          <w:sz w:val="24"/>
        </w:rPr>
        <w:t>乐宜高速公路</w:t>
      </w:r>
      <w:r>
        <w:rPr>
          <w:rFonts w:ascii="Times New Roman" w:hAnsi="Times New Roman"/>
          <w:sz w:val="24"/>
        </w:rPr>
        <w:fldChar w:fldCharType="end"/>
      </w:r>
      <w:r>
        <w:rPr>
          <w:rFonts w:ascii="Times New Roman" w:hAnsi="Times New Roman"/>
          <w:sz w:val="24"/>
        </w:rPr>
        <w:t>在此交汇。</w:t>
      </w:r>
      <w:r>
        <w:rPr>
          <w:rFonts w:hint="eastAsia" w:ascii="Times New Roman" w:hAnsi="Times New Roman"/>
          <w:sz w:val="24"/>
        </w:rPr>
        <w:t xml:space="preserve">交通运输以陆地公路和水运为主，公路交通发达，北、东、南向均有省内重要公路干线，公路里程1060 </w:t>
      </w:r>
      <w:r>
        <w:rPr>
          <w:rFonts w:ascii="Times New Roman" w:hAnsi="Times New Roman"/>
          <w:sz w:val="24"/>
        </w:rPr>
        <w:t>km</w:t>
      </w:r>
      <w:r>
        <w:rPr>
          <w:rFonts w:hint="eastAsia" w:ascii="Times New Roman" w:hAnsi="Times New Roman"/>
          <w:sz w:val="24"/>
        </w:rPr>
        <w:t xml:space="preserve">，公路密度达49 </w:t>
      </w:r>
      <w:r>
        <w:rPr>
          <w:rFonts w:ascii="Times New Roman" w:hAnsi="Times New Roman"/>
          <w:sz w:val="24"/>
        </w:rPr>
        <w:t>km/</w:t>
      </w:r>
      <w:r>
        <w:rPr>
          <w:rFonts w:hint="eastAsia" w:ascii="Times New Roman" w:hAnsi="Times New Roman"/>
          <w:sz w:val="24"/>
        </w:rPr>
        <w:t>百万</w:t>
      </w:r>
      <w:r>
        <w:rPr>
          <w:rFonts w:ascii="Times New Roman" w:hAnsi="Times New Roman"/>
          <w:sz w:val="24"/>
        </w:rPr>
        <w:t>km</w:t>
      </w:r>
      <w:r>
        <w:rPr>
          <w:rFonts w:ascii="Times New Roman" w:hAnsi="Times New Roman"/>
          <w:sz w:val="24"/>
          <w:vertAlign w:val="superscript"/>
        </w:rPr>
        <w:t>2</w:t>
      </w:r>
      <w:r>
        <w:rPr>
          <w:rFonts w:hint="eastAsia" w:ascii="Times New Roman" w:hAnsi="Times New Roman"/>
          <w:sz w:val="24"/>
        </w:rPr>
        <w:t xml:space="preserve">，有国、省道43 </w:t>
      </w:r>
      <w:r>
        <w:rPr>
          <w:rFonts w:ascii="Times New Roman" w:hAnsi="Times New Roman"/>
          <w:sz w:val="24"/>
        </w:rPr>
        <w:t>km</w:t>
      </w:r>
      <w:r>
        <w:rPr>
          <w:rFonts w:hint="eastAsia" w:ascii="Times New Roman" w:hAnsi="Times New Roman"/>
          <w:sz w:val="24"/>
        </w:rPr>
        <w:t>（其中超二级公路11</w:t>
      </w:r>
      <w:r>
        <w:rPr>
          <w:rFonts w:ascii="Times New Roman" w:hAnsi="Times New Roman"/>
          <w:sz w:val="24"/>
        </w:rPr>
        <w:t>km</w:t>
      </w:r>
      <w:r>
        <w:rPr>
          <w:rFonts w:hint="eastAsia" w:ascii="Times New Roman" w:hAnsi="Times New Roman"/>
          <w:sz w:val="24"/>
        </w:rPr>
        <w:t>），县道55</w:t>
      </w:r>
      <w:r>
        <w:rPr>
          <w:rFonts w:ascii="Times New Roman" w:hAnsi="Times New Roman"/>
          <w:sz w:val="24"/>
        </w:rPr>
        <w:t>.1</w:t>
      </w:r>
      <w:r>
        <w:rPr>
          <w:rFonts w:hint="eastAsia" w:ascii="Times New Roman" w:hAnsi="Times New Roman"/>
          <w:sz w:val="24"/>
        </w:rPr>
        <w:t xml:space="preserve"> </w:t>
      </w:r>
      <w:r>
        <w:rPr>
          <w:rFonts w:ascii="Times New Roman" w:hAnsi="Times New Roman"/>
          <w:sz w:val="24"/>
        </w:rPr>
        <w:t>km</w:t>
      </w:r>
      <w:r>
        <w:rPr>
          <w:rFonts w:hint="eastAsia" w:ascii="Times New Roman" w:hAnsi="Times New Roman"/>
          <w:sz w:val="24"/>
        </w:rPr>
        <w:t>，乡道143</w:t>
      </w:r>
      <w:r>
        <w:rPr>
          <w:rFonts w:ascii="Times New Roman" w:hAnsi="Times New Roman"/>
          <w:sz w:val="24"/>
        </w:rPr>
        <w:t>.9</w:t>
      </w:r>
      <w:r>
        <w:rPr>
          <w:rFonts w:hint="eastAsia" w:ascii="Times New Roman" w:hAnsi="Times New Roman"/>
          <w:sz w:val="24"/>
        </w:rPr>
        <w:t xml:space="preserve"> </w:t>
      </w:r>
      <w:r>
        <w:rPr>
          <w:rFonts w:ascii="Times New Roman" w:hAnsi="Times New Roman"/>
          <w:sz w:val="24"/>
        </w:rPr>
        <w:t>km</w:t>
      </w:r>
      <w:r>
        <w:rPr>
          <w:rFonts w:hint="eastAsia" w:ascii="Times New Roman" w:hAnsi="Times New Roman"/>
          <w:sz w:val="24"/>
        </w:rPr>
        <w:t>。水运以岷江河为主，拥有乐山港和500吨大件码头，可直达长江沿岸各大港口。</w:t>
      </w:r>
      <w:r>
        <w:rPr>
          <w:rFonts w:ascii="Times New Roman" w:hAnsi="Times New Roman"/>
          <w:sz w:val="24"/>
        </w:rPr>
        <w:t>市中区地处</w:t>
      </w:r>
      <w:r>
        <w:rPr>
          <w:rFonts w:ascii="宋体" w:hAnsi="宋体"/>
          <w:sz w:val="24"/>
        </w:rPr>
        <w:t>乐山市打造“增长极、次枢纽、南中心、目的地”的中心，正在实施的以“两航、四铁、八高速”为重点的全市“千亿交通工程”线路均在区境内交汇，项目建成后，将形成市中区通达市域内各县（市、区）的“半小时核心圈”、“一小时经济圈”，两</w:t>
      </w:r>
      <w:r>
        <w:rPr>
          <w:rFonts w:ascii="Times New Roman" w:hAnsi="Times New Roman"/>
          <w:sz w:val="24"/>
        </w:rPr>
        <w:t>小时可通达重庆市和周边市州，4小时通达西南其他省会城市；农村公路总里程超过60</w:t>
      </w:r>
      <w:r>
        <w:rPr>
          <w:rFonts w:hint="eastAsia" w:ascii="Times New Roman" w:hAnsi="Times New Roman"/>
          <w:sz w:val="24"/>
        </w:rPr>
        <w:t>0km</w:t>
      </w:r>
      <w:r>
        <w:rPr>
          <w:rFonts w:ascii="Times New Roman" w:hAnsi="Times New Roman"/>
          <w:sz w:val="24"/>
        </w:rPr>
        <w:t>，通村水泥路率达100%，所有乡镇及部分行政村已通客运班车。</w:t>
      </w:r>
    </w:p>
    <w:p>
      <w:pPr>
        <w:pStyle w:val="3"/>
        <w:spacing w:before="0" w:after="0" w:line="360" w:lineRule="auto"/>
        <w:rPr>
          <w:rFonts w:ascii="Times New Roman" w:hAnsi="Times New Roman"/>
          <w:sz w:val="28"/>
          <w:szCs w:val="28"/>
        </w:rPr>
      </w:pPr>
      <w:r>
        <w:fldChar w:fldCharType="begin"/>
      </w:r>
      <w:r>
        <w:instrText xml:space="preserve"> HYPERLINK \l "_Toc500364859" </w:instrText>
      </w:r>
      <w:r>
        <w:fldChar w:fldCharType="separate"/>
      </w:r>
      <w:bookmarkStart w:id="45" w:name="_Toc117868716"/>
      <w:r>
        <w:rPr>
          <w:rFonts w:ascii="Times New Roman" w:hAnsi="Times New Roman"/>
          <w:sz w:val="28"/>
          <w:szCs w:val="28"/>
        </w:rPr>
        <w:t>2.</w:t>
      </w:r>
      <w:r>
        <w:rPr>
          <w:rFonts w:hint="eastAsia" w:ascii="Times New Roman" w:hAnsi="Times New Roman"/>
          <w:sz w:val="28"/>
          <w:szCs w:val="28"/>
        </w:rPr>
        <w:t>3环境质量概况</w:t>
      </w:r>
      <w:bookmarkEnd w:id="45"/>
      <w:r>
        <w:rPr>
          <w:rFonts w:hint="eastAsia" w:ascii="Times New Roman" w:hAnsi="Times New Roman"/>
          <w:sz w:val="28"/>
          <w:szCs w:val="28"/>
        </w:rPr>
        <w:fldChar w:fldCharType="end"/>
      </w:r>
    </w:p>
    <w:p>
      <w:pPr>
        <w:pStyle w:val="4"/>
        <w:adjustRightInd w:val="0"/>
        <w:snapToGrid w:val="0"/>
        <w:spacing w:before="0" w:after="0" w:line="360" w:lineRule="auto"/>
        <w:rPr>
          <w:rFonts w:ascii="Times New Roman" w:hAnsi="Times New Roman"/>
          <w:sz w:val="24"/>
          <w:szCs w:val="24"/>
        </w:rPr>
      </w:pPr>
      <w:bookmarkStart w:id="46" w:name="_Toc117868717"/>
      <w:r>
        <w:rPr>
          <w:rFonts w:hint="eastAsia" w:ascii="Times New Roman" w:hAnsi="Times New Roman"/>
          <w:sz w:val="24"/>
          <w:szCs w:val="24"/>
        </w:rPr>
        <w:t>2.3.1空气质量</w:t>
      </w:r>
      <w:bookmarkEnd w:id="46"/>
    </w:p>
    <w:p>
      <w:pPr>
        <w:ind w:firstLine="480" w:firstLineChars="200"/>
        <w:rPr>
          <w:rFonts w:ascii="Times New Roman" w:hAnsi="Times New Roman"/>
          <w:sz w:val="24"/>
        </w:rPr>
      </w:pPr>
      <w:r>
        <w:rPr>
          <w:rFonts w:hint="eastAsia" w:ascii="Times New Roman" w:hAnsi="Times New Roman"/>
          <w:sz w:val="24"/>
        </w:rPr>
        <w:t>2020年市中区的</w:t>
      </w:r>
      <w:r>
        <w:rPr>
          <w:rFonts w:ascii="Times New Roman" w:hAnsi="Times New Roman"/>
          <w:sz w:val="24"/>
        </w:rPr>
        <w:t>优良天气占比</w:t>
      </w:r>
      <w:r>
        <w:rPr>
          <w:rFonts w:hint="eastAsia" w:ascii="Times New Roman" w:hAnsi="Times New Roman"/>
          <w:sz w:val="24"/>
        </w:rPr>
        <w:t>达</w:t>
      </w:r>
      <w:r>
        <w:rPr>
          <w:rFonts w:ascii="Times New Roman" w:hAnsi="Times New Roman"/>
          <w:sz w:val="24"/>
        </w:rPr>
        <w:t>87.2%</w:t>
      </w:r>
      <w:r>
        <w:rPr>
          <w:rFonts w:hint="eastAsia" w:ascii="Times New Roman" w:hAnsi="Times New Roman"/>
          <w:sz w:val="24"/>
        </w:rPr>
        <w:t>，中心城区</w:t>
      </w:r>
      <w:r>
        <w:rPr>
          <w:rFonts w:ascii="Times New Roman" w:hAnsi="Times New Roman"/>
          <w:sz w:val="24"/>
        </w:rPr>
        <w:t>PM2.5年均浓度为35</w:t>
      </w:r>
      <w:r>
        <w:rPr>
          <w:rFonts w:hint="eastAsia" w:ascii="Times New Roman" w:hAnsi="Times New Roman"/>
          <w:sz w:val="24"/>
        </w:rPr>
        <w:t>.1</w:t>
      </w:r>
      <w:r>
        <w:rPr>
          <w:rFonts w:ascii="Times New Roman" w:hAnsi="Times New Roman"/>
          <w:sz w:val="24"/>
        </w:rPr>
        <w:t>μg/m</w:t>
      </w:r>
      <w:r>
        <w:rPr>
          <w:rFonts w:ascii="Times New Roman" w:hAnsi="Times New Roman"/>
          <w:sz w:val="24"/>
          <w:vertAlign w:val="superscript"/>
        </w:rPr>
        <w:t>3</w:t>
      </w:r>
      <w:r>
        <w:rPr>
          <w:rFonts w:ascii="Times New Roman" w:hAnsi="Times New Roman"/>
          <w:sz w:val="24"/>
        </w:rPr>
        <w:t>，</w:t>
      </w:r>
      <w:r>
        <w:rPr>
          <w:rFonts w:hint="eastAsia" w:ascii="Times New Roman" w:hAnsi="Times New Roman"/>
          <w:sz w:val="24"/>
        </w:rPr>
        <w:t>成为全省七个区域中心城市中首批达标城市之一。</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、CO年平均浓度及O</w:t>
      </w:r>
      <w:r>
        <w:rPr>
          <w:rFonts w:ascii="Times New Roman" w:hAnsi="Times New Roman"/>
          <w:sz w:val="24"/>
          <w:vertAlign w:val="subscript"/>
        </w:rPr>
        <w:t>3</w:t>
      </w:r>
      <w:r>
        <w:rPr>
          <w:rFonts w:ascii="Times New Roman" w:hAnsi="Times New Roman"/>
          <w:sz w:val="24"/>
        </w:rPr>
        <w:t>8小时平均浓度均达到《环境空气质量标准》（GB3095-2012）二</w:t>
      </w:r>
      <w:r>
        <w:rPr>
          <w:rFonts w:hint="eastAsia" w:ascii="Times New Roman" w:hAnsi="Times New Roman"/>
          <w:sz w:val="24"/>
        </w:rPr>
        <w:t>类区空气质量</w:t>
      </w:r>
      <w:r>
        <w:rPr>
          <w:rFonts w:ascii="Times New Roman" w:hAnsi="Times New Roman"/>
          <w:sz w:val="24"/>
        </w:rPr>
        <w:t>。</w:t>
      </w:r>
    </w:p>
    <w:p>
      <w:pPr>
        <w:pStyle w:val="4"/>
        <w:adjustRightInd w:val="0"/>
        <w:snapToGrid w:val="0"/>
        <w:spacing w:before="0" w:after="0" w:line="360" w:lineRule="auto"/>
        <w:rPr>
          <w:rFonts w:ascii="Times New Roman" w:hAnsi="Times New Roman"/>
          <w:sz w:val="24"/>
          <w:szCs w:val="24"/>
        </w:rPr>
      </w:pPr>
      <w:bookmarkStart w:id="47" w:name="_Toc117868718"/>
      <w:r>
        <w:rPr>
          <w:rFonts w:hint="eastAsia" w:ascii="Times New Roman" w:hAnsi="Times New Roman"/>
          <w:sz w:val="24"/>
          <w:szCs w:val="24"/>
        </w:rPr>
        <w:t>2.3.2水体环境质量</w:t>
      </w:r>
      <w:bookmarkEnd w:id="47"/>
    </w:p>
    <w:p>
      <w:pPr>
        <w:adjustRightInd w:val="0"/>
        <w:snapToGrid w:val="0"/>
        <w:ind w:firstLine="480" w:firstLineChars="200"/>
        <w:rPr>
          <w:rFonts w:ascii="Times New Roman" w:hAnsi="Times New Roman"/>
          <w:sz w:val="24"/>
        </w:rPr>
      </w:pPr>
      <w:r>
        <w:rPr>
          <w:rFonts w:hint="eastAsia" w:ascii="Times New Roman" w:hAnsi="Times New Roman"/>
          <w:sz w:val="24"/>
        </w:rPr>
        <w:t>2020年，</w:t>
      </w:r>
      <w:r>
        <w:rPr>
          <w:rFonts w:ascii="Times New Roman" w:hAnsi="Times New Roman"/>
          <w:sz w:val="24"/>
        </w:rPr>
        <w:t>列入国家考核的3个断面和省考核的1个断面水环境质量全部达到或优于考核标准；4个市级考核断面达到或优于</w:t>
      </w:r>
      <w:r>
        <w:rPr>
          <w:rFonts w:hint="eastAsia" w:ascii="Times New Roman" w:hAnsi="Times New Roman"/>
          <w:sz w:val="24"/>
        </w:rPr>
        <w:t>Ⅲ</w:t>
      </w:r>
      <w:r>
        <w:rPr>
          <w:rFonts w:ascii="Times New Roman" w:hAnsi="Times New Roman"/>
          <w:sz w:val="24"/>
        </w:rPr>
        <w:t>类水质断面2个，达标率为50%，</w:t>
      </w:r>
      <w:r>
        <w:rPr>
          <w:rFonts w:hint="eastAsia" w:ascii="Times New Roman" w:hAnsi="Times New Roman"/>
          <w:sz w:val="24"/>
        </w:rPr>
        <w:t>Ⅴ</w:t>
      </w:r>
      <w:r>
        <w:rPr>
          <w:rFonts w:ascii="Times New Roman" w:hAnsi="Times New Roman"/>
          <w:sz w:val="24"/>
        </w:rPr>
        <w:t>类及以下断面降至0个</w:t>
      </w:r>
      <w:r>
        <w:rPr>
          <w:rFonts w:hint="eastAsia" w:ascii="Times New Roman" w:hAnsi="Times New Roman"/>
          <w:sz w:val="24"/>
        </w:rPr>
        <w:t>；2个市级和6个乡镇集中式饮用水水源地水质符合《地下水质量标准》（GB/T14848-93）的Ⅲ类标准，饮用水源地水质达标率稳定在100%，饮用水安全得到有效保证；建成区黑臭水体基本消除。</w:t>
      </w:r>
    </w:p>
    <w:p>
      <w:pPr>
        <w:pStyle w:val="4"/>
        <w:adjustRightInd w:val="0"/>
        <w:snapToGrid w:val="0"/>
        <w:spacing w:before="0" w:after="0" w:line="360" w:lineRule="auto"/>
        <w:rPr>
          <w:rFonts w:ascii="Times New Roman" w:hAnsi="Times New Roman"/>
          <w:sz w:val="24"/>
          <w:szCs w:val="24"/>
        </w:rPr>
      </w:pPr>
      <w:bookmarkStart w:id="48" w:name="_Toc117868719"/>
      <w:r>
        <w:rPr>
          <w:rFonts w:hint="eastAsia" w:ascii="Times New Roman" w:hAnsi="Times New Roman"/>
          <w:sz w:val="24"/>
          <w:szCs w:val="24"/>
        </w:rPr>
        <w:t>2.3.3土壤环境质量</w:t>
      </w:r>
      <w:bookmarkEnd w:id="48"/>
    </w:p>
    <w:p>
      <w:pPr>
        <w:adjustRightInd w:val="0"/>
        <w:snapToGrid w:val="0"/>
        <w:ind w:firstLine="480" w:firstLineChars="200"/>
        <w:rPr>
          <w:rFonts w:ascii="Times New Roman" w:hAnsi="Times New Roman"/>
          <w:sz w:val="24"/>
        </w:rPr>
      </w:pPr>
      <w:r>
        <w:rPr>
          <w:rFonts w:ascii="Times New Roman" w:hAnsi="Times New Roman"/>
          <w:sz w:val="24"/>
        </w:rPr>
        <w:t>全区32个土壤例行监测点位（其中国控监测点位15个</w:t>
      </w:r>
      <w:r>
        <w:rPr>
          <w:rFonts w:hint="eastAsia" w:ascii="Times New Roman" w:hAnsi="Times New Roman"/>
          <w:sz w:val="24"/>
        </w:rPr>
        <w:t>、</w:t>
      </w:r>
      <w:r>
        <w:rPr>
          <w:rFonts w:ascii="Times New Roman" w:hAnsi="Times New Roman"/>
          <w:sz w:val="24"/>
        </w:rPr>
        <w:t>省控监测点位17个）的61项指标中，饮用水源地、蔬菜种植基地和畜禽养殖场周边的土壤环境质量总体较好，基本农田区和重点企业周边土壤环境质量保持相对稳定；农用地和建设用地土壤环境安全得到基本保障，土壤环境风险得到基本管控；受污染耕地安全利用率达到90%左右，污染地块安全利用率达到90%，新增城市建设用地土壤环境安全保障率达到100%。</w:t>
      </w:r>
    </w:p>
    <w:p>
      <w:pPr>
        <w:pStyle w:val="8"/>
      </w:pPr>
    </w:p>
    <w:p>
      <w:pPr>
        <w:sectPr>
          <w:headerReference r:id="rId8" w:type="default"/>
          <w:footerReference r:id="rId9" w:type="default"/>
          <w:pgSz w:w="11906" w:h="16838"/>
          <w:pgMar w:top="1440" w:right="1800" w:bottom="1440" w:left="1800" w:header="851" w:footer="992" w:gutter="0"/>
          <w:cols w:space="720" w:num="1"/>
          <w:docGrid w:type="lines" w:linePitch="312" w:charSpace="0"/>
        </w:sectPr>
      </w:pPr>
    </w:p>
    <w:p>
      <w:pPr>
        <w:pStyle w:val="22"/>
        <w:rPr>
          <w:rFonts w:ascii="黑体" w:hAnsi="黑体" w:eastAsia="黑体"/>
        </w:rPr>
      </w:pPr>
      <w:r>
        <w:fldChar w:fldCharType="begin"/>
      </w:r>
      <w:r>
        <w:instrText xml:space="preserve"> HYPERLINK \l "_Toc500364893" </w:instrText>
      </w:r>
      <w:r>
        <w:fldChar w:fldCharType="separate"/>
      </w:r>
      <w:bookmarkStart w:id="49" w:name="_Toc117868720"/>
      <w:r>
        <w:rPr>
          <w:rFonts w:hint="eastAsia" w:ascii="黑体" w:hAnsi="黑体" w:eastAsia="黑体"/>
        </w:rPr>
        <w:t>第</w:t>
      </w:r>
      <w:r>
        <w:rPr>
          <w:rFonts w:ascii="黑体" w:hAnsi="黑体" w:eastAsia="黑体"/>
        </w:rPr>
        <w:t>3</w:t>
      </w:r>
      <w:r>
        <w:rPr>
          <w:rFonts w:hint="eastAsia" w:ascii="黑体" w:hAnsi="黑体" w:eastAsia="黑体"/>
        </w:rPr>
        <w:t>章</w:t>
      </w:r>
      <w:r>
        <w:rPr>
          <w:rFonts w:ascii="黑体" w:hAnsi="黑体" w:eastAsia="黑体"/>
        </w:rPr>
        <w:t xml:space="preserve"> </w:t>
      </w:r>
      <w:r>
        <w:rPr>
          <w:rFonts w:hint="eastAsia" w:ascii="黑体" w:hAnsi="黑体" w:eastAsia="黑体"/>
        </w:rPr>
        <w:t>“十三五”</w:t>
      </w:r>
      <w:r>
        <w:rPr>
          <w:rFonts w:hint="eastAsia" w:ascii="黑体" w:hAnsi="黑体" w:eastAsia="黑体"/>
        </w:rPr>
        <w:fldChar w:fldCharType="end"/>
      </w:r>
      <w:r>
        <w:rPr>
          <w:rFonts w:hint="eastAsia" w:ascii="黑体" w:hAnsi="黑体" w:eastAsia="黑体"/>
        </w:rPr>
        <w:t>期间粪污防治成效和现状分析</w:t>
      </w:r>
      <w:bookmarkEnd w:id="49"/>
    </w:p>
    <w:p>
      <w:pPr>
        <w:adjustRightInd w:val="0"/>
        <w:snapToGrid w:val="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 xml:space="preserve">   “十三五”期间，全区贯彻习近平生态文明思想和践行创新、协调、绿色、开放、共享的发展理念，兼顾养殖业增收和环境保护，坚持“统筹兼顾，重点突出”、“优化布局，防治结合”、“监管长效，政策引导”、“分布实施，量力而行”、“强化措施，一场一策”的原则，优化了养殖空间布局，强化了畜禽养殖禁养区关闭和限养区污染整治工作，全面完成了</w:t>
      </w:r>
      <w:r>
        <w:rPr>
          <w:rFonts w:ascii="Times New Roman" w:hAnsi="Times New Roman" w:eastAsia="宋体,微软雅黑"/>
          <w:color w:val="000000"/>
          <w:kern w:val="0"/>
          <w:sz w:val="24"/>
        </w:rPr>
        <w:t>禁养区内养殖场（户）关闭搬迁</w:t>
      </w:r>
      <w:r>
        <w:rPr>
          <w:rFonts w:hint="eastAsia" w:ascii="Times New Roman" w:hAnsi="Times New Roman" w:eastAsia="宋体,微软雅黑"/>
          <w:color w:val="000000"/>
          <w:kern w:val="0"/>
          <w:sz w:val="24"/>
        </w:rPr>
        <w:t>，</w:t>
      </w:r>
      <w:r>
        <w:rPr>
          <w:rFonts w:ascii="Times New Roman" w:hAnsi="Times New Roman" w:eastAsia="宋体,微软雅黑"/>
          <w:color w:val="000000"/>
          <w:kern w:val="0"/>
          <w:sz w:val="24"/>
        </w:rPr>
        <w:t>规模化养殖比例达</w:t>
      </w:r>
      <w:r>
        <w:rPr>
          <w:rFonts w:hint="eastAsia" w:ascii="Times New Roman" w:hAnsi="Times New Roman" w:eastAsia="宋体,微软雅黑"/>
          <w:color w:val="000000"/>
          <w:kern w:val="0"/>
          <w:sz w:val="24"/>
        </w:rPr>
        <w:t>85%；畜禽</w:t>
      </w:r>
      <w:r>
        <w:rPr>
          <w:rFonts w:ascii="Times New Roman" w:hAnsi="Times New Roman" w:eastAsia="宋体,微软雅黑"/>
          <w:color w:val="000000"/>
          <w:kern w:val="0"/>
          <w:sz w:val="24"/>
        </w:rPr>
        <w:t>粪污</w:t>
      </w:r>
      <w:r>
        <w:rPr>
          <w:rFonts w:hint="eastAsia" w:ascii="Times New Roman" w:hAnsi="Times New Roman" w:eastAsia="宋体,微软雅黑"/>
          <w:color w:val="000000"/>
          <w:kern w:val="0"/>
          <w:sz w:val="24"/>
        </w:rPr>
        <w:t>综合防治成效显著，粪污资源化利用达到95%；实现了规模化养殖场粪污治理设施全覆盖；初步形成了种养结合和循环农业发展模式，推广应用稳步推进；建成集生态养殖业和生态种植业为一体的现代“生态农牧科技示范园区”。总体而言，“十三五”规划总体完成情况良好，所确定的各项目标任务进展顺利。</w:t>
      </w:r>
    </w:p>
    <w:p>
      <w:pPr>
        <w:pStyle w:val="3"/>
        <w:spacing w:before="0" w:after="0" w:line="360" w:lineRule="auto"/>
        <w:rPr>
          <w:rFonts w:ascii="Times New Roman" w:hAnsi="Times New Roman"/>
          <w:sz w:val="28"/>
          <w:szCs w:val="28"/>
        </w:rPr>
      </w:pPr>
      <w:r>
        <w:fldChar w:fldCharType="begin"/>
      </w:r>
      <w:r>
        <w:instrText xml:space="preserve"> HYPERLINK \l "_Toc500364896" </w:instrText>
      </w:r>
      <w:r>
        <w:fldChar w:fldCharType="separate"/>
      </w:r>
      <w:bookmarkStart w:id="50" w:name="_Toc117868721"/>
      <w:r>
        <w:rPr>
          <w:rFonts w:hint="eastAsia" w:ascii="Times New Roman" w:hAnsi="Times New Roman"/>
          <w:sz w:val="28"/>
          <w:szCs w:val="28"/>
        </w:rPr>
        <w:t>3.1</w:t>
      </w:r>
      <w:r>
        <w:rPr>
          <w:rFonts w:hint="eastAsia" w:ascii="Times New Roman" w:hAnsi="Times New Roman"/>
          <w:sz w:val="28"/>
          <w:szCs w:val="28"/>
        </w:rPr>
        <w:fldChar w:fldCharType="end"/>
      </w:r>
      <w:r>
        <w:rPr>
          <w:rFonts w:hint="eastAsia" w:ascii="Times New Roman" w:hAnsi="Times New Roman"/>
          <w:sz w:val="28"/>
          <w:szCs w:val="28"/>
        </w:rPr>
        <w:t xml:space="preserve"> 畜禽粪污防治成效</w:t>
      </w:r>
      <w:bookmarkEnd w:id="50"/>
    </w:p>
    <w:p>
      <w:pPr>
        <w:pStyle w:val="4"/>
        <w:adjustRightInd w:val="0"/>
        <w:snapToGrid w:val="0"/>
        <w:spacing w:before="0" w:after="0" w:line="360" w:lineRule="auto"/>
        <w:rPr>
          <w:rFonts w:ascii="Times New Roman" w:hAnsi="Times New Roman"/>
          <w:sz w:val="24"/>
          <w:szCs w:val="24"/>
        </w:rPr>
      </w:pPr>
      <w:bookmarkStart w:id="51" w:name="_Toc117868722"/>
      <w:r>
        <w:rPr>
          <w:rFonts w:hint="eastAsia" w:ascii="Times New Roman" w:hAnsi="Times New Roman"/>
          <w:sz w:val="24"/>
          <w:szCs w:val="24"/>
        </w:rPr>
        <w:t>3.1.1养殖空间布局更趋科学合理</w:t>
      </w:r>
      <w:bookmarkEnd w:id="51"/>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2017年，</w:t>
      </w:r>
      <w:r>
        <w:rPr>
          <w:rFonts w:hint="eastAsia" w:ascii="Times New Roman" w:hAnsi="Times New Roman" w:eastAsia="宋体,微软雅黑" w:cs="Times New Roman"/>
          <w:color w:val="auto"/>
          <w:kern w:val="0"/>
          <w:sz w:val="24"/>
          <w:szCs w:val="24"/>
        </w:rPr>
        <w:t>市中区为了切</w:t>
      </w:r>
      <w:r>
        <w:rPr>
          <w:rFonts w:hint="eastAsia" w:ascii="Times New Roman" w:hAnsi="Times New Roman" w:eastAsia="宋体,微软雅黑" w:cs="Times New Roman"/>
          <w:color w:val="000000"/>
          <w:kern w:val="0"/>
          <w:sz w:val="24"/>
          <w:szCs w:val="24"/>
        </w:rPr>
        <w:t>实保护环境，加强全区畜禽养殖业污染防治，规范畜禽养殖场建设，推进现代畜牧业健康有序发展，发布了《乐山市市中区畜禽养殖管理办法》（乐中府发[2017]3号）（见附件1），将畜禽养殖区域划分为禁养区、限养区和宜养区三大类。</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2020年，为贯彻落实党中央、省</w:t>
      </w:r>
      <w:r>
        <w:rPr>
          <w:rFonts w:hint="eastAsia" w:ascii="Times New Roman" w:hAnsi="Times New Roman" w:eastAsia="宋体,微软雅黑" w:cs="Times New Roman"/>
          <w:color w:val="000000"/>
          <w:kern w:val="0"/>
          <w:sz w:val="24"/>
          <w:szCs w:val="24"/>
          <w:lang w:eastAsia="zh-CN"/>
        </w:rPr>
        <w:t>、</w:t>
      </w:r>
      <w:r>
        <w:rPr>
          <w:rFonts w:hint="eastAsia" w:ascii="Times New Roman" w:hAnsi="Times New Roman" w:eastAsia="宋体,微软雅黑" w:cs="Times New Roman"/>
          <w:color w:val="000000"/>
          <w:kern w:val="0"/>
          <w:sz w:val="24"/>
          <w:szCs w:val="24"/>
        </w:rPr>
        <w:t>市决策部署，按照生态环境部办公厅、农业农村部办公厅发布的《关于进一步规范畜禽养殖禁养区划定和管理促进生猪生产发展的通知》（环办土壤[2019]55号）要求，本着求真务实的原则，兼顾保护与发展，</w:t>
      </w:r>
      <w:r>
        <w:rPr>
          <w:rFonts w:hint="eastAsia" w:ascii="Times New Roman" w:hAnsi="Times New Roman" w:eastAsia="宋体,微软雅黑" w:cs="Times New Roman"/>
          <w:color w:val="auto"/>
          <w:kern w:val="0"/>
          <w:sz w:val="24"/>
          <w:szCs w:val="24"/>
        </w:rPr>
        <w:t>结合市中区实际情况，制</w:t>
      </w:r>
      <w:r>
        <w:rPr>
          <w:rFonts w:hint="eastAsia" w:ascii="Times New Roman" w:hAnsi="Times New Roman" w:eastAsia="宋体,微软雅黑" w:cs="Times New Roman"/>
          <w:color w:val="000000"/>
          <w:kern w:val="0"/>
          <w:sz w:val="24"/>
          <w:szCs w:val="24"/>
        </w:rPr>
        <w:t>定了《乐山市市中区畜禽养殖禁养区划定调整方案》（乐中府发[2020]1号）（见附件2），调整了全区禁养区划定范围，使养殖空间布局更趋科学合理</w:t>
      </w:r>
      <w:r>
        <w:rPr>
          <w:rFonts w:hint="eastAsia" w:ascii="Times New Roman" w:hAnsi="Times New Roman" w:eastAsia="宋体,微软雅黑" w:cs="Times New Roman"/>
          <w:color w:val="000000"/>
          <w:kern w:val="0"/>
          <w:sz w:val="24"/>
          <w:szCs w:val="24"/>
          <w:lang w:eastAsia="zh-CN"/>
        </w:rPr>
        <w:t>（</w:t>
      </w:r>
      <w:r>
        <w:rPr>
          <w:rFonts w:hint="eastAsia" w:ascii="Times New Roman" w:hAnsi="Times New Roman" w:eastAsia="宋体,微软雅黑" w:cs="Times New Roman"/>
          <w:color w:val="000000"/>
          <w:kern w:val="0"/>
          <w:sz w:val="24"/>
          <w:szCs w:val="24"/>
        </w:rPr>
        <w:t>市中区禽畜养殖区域布局规划图见附件3</w:t>
      </w:r>
      <w:r>
        <w:rPr>
          <w:rFonts w:hint="eastAsia" w:ascii="Times New Roman" w:hAnsi="Times New Roman" w:eastAsia="宋体,微软雅黑" w:cs="Times New Roman"/>
          <w:color w:val="000000"/>
          <w:kern w:val="0"/>
          <w:sz w:val="24"/>
          <w:szCs w:val="24"/>
          <w:lang w:eastAsia="zh-CN"/>
        </w:rPr>
        <w:t>）</w:t>
      </w:r>
      <w:r>
        <w:rPr>
          <w:rFonts w:hint="eastAsia" w:ascii="Times New Roman" w:hAnsi="Times New Roman" w:eastAsia="宋体,微软雅黑" w:cs="Times New Roman"/>
          <w:color w:val="000000"/>
          <w:kern w:val="0"/>
          <w:sz w:val="24"/>
          <w:szCs w:val="24"/>
        </w:rPr>
        <w:t>。</w:t>
      </w:r>
    </w:p>
    <w:p>
      <w:pPr>
        <w:adjustRightInd w:val="0"/>
        <w:snapToGrid w:val="0"/>
        <w:rPr>
          <w:rFonts w:ascii="Times New Roman" w:hAnsi="Times New Roman" w:eastAsia="宋体,微软雅黑"/>
          <w:color w:val="000000"/>
          <w:kern w:val="0"/>
          <w:sz w:val="24"/>
        </w:rPr>
      </w:pPr>
      <w:r>
        <w:rPr>
          <w:rFonts w:hint="eastAsia"/>
        </w:rPr>
        <w:t xml:space="preserve">  </w:t>
      </w:r>
      <w:r>
        <w:rPr>
          <w:rFonts w:hint="eastAsia" w:ascii="Times New Roman" w:hAnsi="Times New Roman" w:eastAsia="宋体,微软雅黑"/>
          <w:color w:val="000000"/>
          <w:kern w:val="0"/>
          <w:sz w:val="24"/>
        </w:rPr>
        <w:t>（1）禁养区划定范围</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ascii="Times New Roman" w:hAnsi="Times New Roman" w:eastAsia="宋体,微软雅黑" w:cs="Times New Roman"/>
          <w:color w:val="000000"/>
          <w:kern w:val="0"/>
          <w:sz w:val="24"/>
          <w:szCs w:val="24"/>
        </w:rPr>
        <w:t>畜禽养殖禁养区是指禁止建设养殖场和养殖小区的区域，即禁止建设达到省级人民政府设定适度规模以上养殖场所的区域。禁养区内严禁新建、扩建、改建规模化畜禽养殖场（小区），已建成的畜禽养殖场（小区）限期完成搬迁或依法关闭</w:t>
      </w:r>
      <w:r>
        <w:rPr>
          <w:rFonts w:hint="eastAsia" w:ascii="Times New Roman" w:hAnsi="Times New Roman" w:eastAsia="宋体,微软雅黑" w:cs="Times New Roman"/>
          <w:color w:val="000000"/>
          <w:kern w:val="0"/>
          <w:sz w:val="24"/>
          <w:szCs w:val="24"/>
        </w:rPr>
        <w:t>。国家法律法规和地方法规之外的其他规章和规范性文件不得作为禁养区划定依据。市中区禽畜养殖禁养区划定范围见表3-1.</w:t>
      </w:r>
    </w:p>
    <w:p>
      <w:pPr>
        <w:pStyle w:val="8"/>
        <w:jc w:val="center"/>
        <w:rPr>
          <w:rFonts w:ascii="宋体" w:hAnsi="宋体"/>
          <w:b/>
          <w:sz w:val="21"/>
          <w:szCs w:val="21"/>
        </w:rPr>
      </w:pPr>
      <w:r>
        <w:rPr>
          <w:rFonts w:ascii="宋体" w:hAnsi="宋体"/>
          <w:b/>
          <w:sz w:val="21"/>
          <w:szCs w:val="21"/>
        </w:rPr>
        <w:t>表</w:t>
      </w:r>
      <w:r>
        <w:rPr>
          <w:rFonts w:hint="eastAsia" w:ascii="宋体" w:hAnsi="宋体"/>
          <w:b/>
          <w:sz w:val="21"/>
          <w:szCs w:val="21"/>
        </w:rPr>
        <w:t>3</w:t>
      </w:r>
      <w:r>
        <w:rPr>
          <w:rFonts w:ascii="宋体" w:hAnsi="宋体"/>
          <w:b/>
          <w:sz w:val="21"/>
          <w:szCs w:val="21"/>
        </w:rPr>
        <w:t>-</w:t>
      </w:r>
      <w:r>
        <w:rPr>
          <w:rFonts w:hint="eastAsia" w:ascii="宋体" w:hAnsi="宋体"/>
          <w:b/>
          <w:sz w:val="21"/>
          <w:szCs w:val="21"/>
        </w:rPr>
        <w:t>1</w:t>
      </w:r>
      <w:r>
        <w:rPr>
          <w:rFonts w:ascii="宋体" w:hAnsi="宋体"/>
          <w:b/>
          <w:sz w:val="21"/>
          <w:szCs w:val="21"/>
        </w:rPr>
        <w:t xml:space="preserve">  全区城镇居民区和文化教育科学研究区禁养区范围一览表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540"/>
        <w:gridCol w:w="3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558" w:type="dxa"/>
            <w:gridSpan w:val="2"/>
            <w:shd w:val="clear" w:color="auto" w:fill="auto"/>
            <w:vAlign w:val="center"/>
          </w:tcPr>
          <w:p>
            <w:pPr>
              <w:pStyle w:val="7"/>
              <w:spacing w:after="0" w:line="276" w:lineRule="auto"/>
              <w:jc w:val="center"/>
              <w:rPr>
                <w:rFonts w:ascii="宋体" w:hAnsi="宋体" w:eastAsia="宋体" w:cs="Times New Roman"/>
                <w:b/>
                <w:bCs/>
                <w:sz w:val="21"/>
                <w:szCs w:val="21"/>
              </w:rPr>
            </w:pPr>
            <w:r>
              <w:rPr>
                <w:rFonts w:hint="eastAsia" w:ascii="宋体" w:hAnsi="宋体" w:eastAsia="宋体" w:cs="Times New Roman"/>
                <w:b/>
                <w:bCs/>
                <w:sz w:val="21"/>
                <w:szCs w:val="21"/>
              </w:rPr>
              <w:t>行政区划</w:t>
            </w:r>
          </w:p>
        </w:tc>
        <w:tc>
          <w:tcPr>
            <w:tcW w:w="3964" w:type="dxa"/>
            <w:shd w:val="clear" w:color="auto" w:fill="auto"/>
            <w:vAlign w:val="center"/>
          </w:tcPr>
          <w:p>
            <w:pPr>
              <w:pStyle w:val="7"/>
              <w:spacing w:after="0" w:line="276" w:lineRule="auto"/>
              <w:jc w:val="center"/>
              <w:rPr>
                <w:rFonts w:ascii="宋体" w:hAnsi="宋体" w:eastAsia="宋体" w:cs="Times New Roman"/>
                <w:b/>
                <w:bCs/>
                <w:sz w:val="21"/>
                <w:szCs w:val="21"/>
              </w:rPr>
            </w:pPr>
            <w:r>
              <w:rPr>
                <w:rFonts w:hint="eastAsia" w:ascii="宋体" w:hAnsi="宋体" w:eastAsia="宋体" w:cs="Times New Roman"/>
                <w:b/>
                <w:bCs/>
                <w:sz w:val="21"/>
                <w:szCs w:val="21"/>
              </w:rPr>
              <w:t>禁养区范围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shd w:val="clear" w:color="auto" w:fill="auto"/>
            <w:vAlign w:val="center"/>
          </w:tcPr>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中心</w:t>
            </w:r>
          </w:p>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城区</w:t>
            </w:r>
          </w:p>
        </w:tc>
        <w:tc>
          <w:tcPr>
            <w:tcW w:w="3540" w:type="dxa"/>
            <w:shd w:val="clear" w:color="auto" w:fill="auto"/>
            <w:vAlign w:val="center"/>
          </w:tcPr>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海棠街道、绿心街道、通江街道、</w:t>
            </w:r>
          </w:p>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大佛街道</w:t>
            </w:r>
          </w:p>
        </w:tc>
        <w:tc>
          <w:tcPr>
            <w:tcW w:w="3964" w:type="dxa"/>
            <w:shd w:val="clear" w:color="auto" w:fill="auto"/>
            <w:vAlign w:val="center"/>
          </w:tcPr>
          <w:p>
            <w:pPr>
              <w:pStyle w:val="7"/>
              <w:spacing w:after="0" w:line="276" w:lineRule="auto"/>
              <w:jc w:val="left"/>
              <w:rPr>
                <w:rFonts w:ascii="宋体" w:hAnsi="宋体" w:eastAsia="宋体" w:cs="Times New Roman"/>
                <w:sz w:val="21"/>
                <w:szCs w:val="21"/>
              </w:rPr>
            </w:pPr>
            <w:r>
              <w:rPr>
                <w:rFonts w:ascii="宋体" w:hAnsi="宋体" w:eastAsia="宋体" w:cs="Times New Roman"/>
                <w:sz w:val="21"/>
                <w:szCs w:val="21"/>
              </w:rPr>
              <w:t>海棠街道（原张公桥街街道、泊水街街道、上河街街道范围）、绿心街道（原肖坝街道、原通江街道长征社区、道座庙社区范围和原水口镇罗李坝村、张徐坝村范围）、通江街道（原柏杨街道、通江街道范围）、大佛街道（原大佛街道范围）四个街道办事处相关行政区域范围</w:t>
            </w:r>
            <w:r>
              <w:rPr>
                <w:rFonts w:hint="eastAsia" w:ascii="宋体" w:hAnsi="宋体"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shd w:val="clear" w:color="auto" w:fill="auto"/>
            <w:vAlign w:val="center"/>
          </w:tcPr>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镇、涉农街道</w:t>
            </w:r>
          </w:p>
        </w:tc>
        <w:tc>
          <w:tcPr>
            <w:tcW w:w="3540" w:type="dxa"/>
            <w:shd w:val="clear" w:color="auto" w:fill="auto"/>
            <w:vAlign w:val="center"/>
          </w:tcPr>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平兴镇（含原临江镇）、水口镇（含原罗汉镇）、苏稽镇（含原杨湾乡）、悦来镇、牟子镇（含原关庙乡）、土主镇（含原石龙乡红月村和平和村）、剑峰镇、白马镇（含原童家镇、原石龙乡乐加村、流村村、松柏村、努力村）、青平镇（含原普仁乡）、茅桥镇（含原九龙乡、原迎阳乡）、棉竹镇</w:t>
            </w:r>
            <w:r>
              <w:rPr>
                <w:rFonts w:hint="eastAsia" w:ascii="宋体" w:hAnsi="宋体" w:eastAsia="宋体" w:cs="Times New Roman"/>
                <w:sz w:val="21"/>
                <w:szCs w:val="21"/>
              </w:rPr>
              <w:t>、</w:t>
            </w:r>
            <w:r>
              <w:rPr>
                <w:rFonts w:ascii="宋体" w:hAnsi="宋体" w:eastAsia="宋体" w:cs="Times New Roman"/>
                <w:sz w:val="21"/>
                <w:szCs w:val="21"/>
              </w:rPr>
              <w:t>全福街道（原全福镇、原牟子镇翡翠社区、沟儿口村、马边河村、三桥村）、大佛街道（含原九峰镇、原凌云乡）</w:t>
            </w:r>
          </w:p>
        </w:tc>
        <w:tc>
          <w:tcPr>
            <w:tcW w:w="3964" w:type="dxa"/>
            <w:shd w:val="clear" w:color="auto" w:fill="auto"/>
            <w:vAlign w:val="center"/>
          </w:tcPr>
          <w:p>
            <w:pPr>
              <w:pStyle w:val="7"/>
              <w:spacing w:after="0" w:line="276" w:lineRule="auto"/>
              <w:jc w:val="center"/>
              <w:rPr>
                <w:rFonts w:ascii="宋体" w:hAnsi="宋体" w:eastAsia="宋体" w:cs="Times New Roman"/>
                <w:sz w:val="21"/>
                <w:szCs w:val="21"/>
              </w:rPr>
            </w:pPr>
            <w:r>
              <w:rPr>
                <w:rFonts w:ascii="宋体" w:hAnsi="宋体" w:eastAsia="宋体" w:cs="Times New Roman"/>
                <w:sz w:val="21"/>
                <w:szCs w:val="21"/>
              </w:rPr>
              <w:t>集镇（涉农街道）建成区范围内</w:t>
            </w:r>
          </w:p>
        </w:tc>
      </w:tr>
    </w:tbl>
    <w:p>
      <w:pPr>
        <w:pStyle w:val="8"/>
        <w:ind w:firstLine="360" w:firstLineChars="150"/>
        <w:rPr>
          <w:rFonts w:ascii="Times New Roman" w:hAnsi="Times New Roman" w:eastAsia="宋体,微软雅黑"/>
          <w:color w:val="000000"/>
          <w:kern w:val="0"/>
          <w:sz w:val="24"/>
        </w:rPr>
      </w:pPr>
      <w:bookmarkStart w:id="52" w:name="OLE_LINK14"/>
      <w:bookmarkStart w:id="53" w:name="OLE_LINK13"/>
      <w:bookmarkStart w:id="54" w:name="_Toc16802"/>
      <w:r>
        <w:rPr>
          <w:rFonts w:hint="eastAsia" w:ascii="Times New Roman" w:hAnsi="Times New Roman" w:eastAsia="宋体,微软雅黑"/>
          <w:color w:val="000000"/>
          <w:kern w:val="0"/>
          <w:sz w:val="24"/>
        </w:rPr>
        <w:t>①城市集中式饮用水水源保护区</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市中区境内城市集中式饮用水水源保护区共有2处，分别为乐山市第一水厂饮用水水源保护区（安谷电站库区）和青衣江陶渡饮用水水源保护区。</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②乡镇集中式饮用水水源保护区</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市中区乡镇集中式饮用水水源保护区共6处，分别是苏稽水口片区集中供水工程、白马镇精华</w:t>
      </w:r>
      <w:r>
        <w:rPr>
          <w:rFonts w:ascii="Times New Roman" w:hAnsi="Times New Roman" w:eastAsia="宋体,微软雅黑" w:cs="Times New Roman"/>
          <w:color w:val="000000"/>
          <w:kern w:val="0"/>
          <w:sz w:val="24"/>
          <w:szCs w:val="24"/>
        </w:rPr>
        <w:t>村7组、白马镇胜西村8组、平兴镇稻禾香村4组、悦来镇正阳村11组、剑峰镇</w:t>
      </w:r>
      <w:r>
        <w:rPr>
          <w:rFonts w:hint="eastAsia" w:ascii="Times New Roman" w:hAnsi="Times New Roman" w:eastAsia="宋体,微软雅黑" w:cs="Times New Roman"/>
          <w:color w:val="000000"/>
          <w:kern w:val="0"/>
          <w:sz w:val="24"/>
          <w:szCs w:val="24"/>
        </w:rPr>
        <w:t>石桥</w:t>
      </w:r>
      <w:r>
        <w:rPr>
          <w:rFonts w:ascii="Times New Roman" w:hAnsi="Times New Roman" w:eastAsia="宋体,微软雅黑" w:cs="Times New Roman"/>
          <w:color w:val="000000"/>
          <w:kern w:val="0"/>
          <w:sz w:val="24"/>
          <w:szCs w:val="24"/>
        </w:rPr>
        <w:t>村</w:t>
      </w:r>
      <w:r>
        <w:rPr>
          <w:rFonts w:hint="eastAsia" w:ascii="Times New Roman" w:hAnsi="Times New Roman" w:eastAsia="宋体,微软雅黑" w:cs="Times New Roman"/>
          <w:color w:val="000000"/>
          <w:kern w:val="0"/>
          <w:sz w:val="24"/>
          <w:szCs w:val="24"/>
        </w:rPr>
        <w:t>6</w:t>
      </w:r>
      <w:r>
        <w:rPr>
          <w:rFonts w:ascii="Times New Roman" w:hAnsi="Times New Roman" w:eastAsia="宋体,微软雅黑" w:cs="Times New Roman"/>
          <w:color w:val="000000"/>
          <w:kern w:val="0"/>
          <w:sz w:val="24"/>
          <w:szCs w:val="24"/>
        </w:rPr>
        <w:t>组（原剑峰乡新塘村4组）</w:t>
      </w:r>
      <w:r>
        <w:rPr>
          <w:rFonts w:hint="eastAsia" w:ascii="Times New Roman" w:hAnsi="Times New Roman" w:eastAsia="宋体,微软雅黑" w:cs="Times New Roman"/>
          <w:color w:val="000000"/>
          <w:kern w:val="0"/>
          <w:sz w:val="24"/>
          <w:szCs w:val="24"/>
        </w:rPr>
        <w:t>。</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③乐山大佛风景名胜区</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按照《峨眉山-乐山大佛风景名胜区乐山大佛片区总体规划（2018-2035）》所确定的范围划定。</w:t>
      </w:r>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④城镇居民区和文化教育科学研究区</w:t>
      </w:r>
    </w:p>
    <w:bookmarkEnd w:id="52"/>
    <w:bookmarkEnd w:id="53"/>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ascii="Times New Roman" w:hAnsi="Times New Roman" w:eastAsia="宋体,微软雅黑" w:cs="Times New Roman"/>
          <w:color w:val="000000"/>
          <w:kern w:val="0"/>
          <w:sz w:val="24"/>
          <w:szCs w:val="24"/>
        </w:rPr>
        <w:t>根据《乐山市城市总体规划（2011</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2030）》和乐山市中心城区街道辖区范围，集镇（涉农街道）建成区范围划定</w:t>
      </w:r>
      <w:r>
        <w:rPr>
          <w:rFonts w:hint="eastAsia" w:ascii="Times New Roman" w:hAnsi="Times New Roman" w:eastAsia="宋体,微软雅黑" w:cs="Times New Roman"/>
          <w:color w:val="000000"/>
          <w:kern w:val="0"/>
          <w:sz w:val="24"/>
          <w:szCs w:val="24"/>
        </w:rPr>
        <w:t>。</w:t>
      </w:r>
    </w:p>
    <w:p>
      <w:pPr>
        <w:adjustRightInd w:val="0"/>
        <w:snapToGrid w:val="0"/>
        <w:ind w:firstLine="480" w:firstLineChars="20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（2）限养区划定范围</w:t>
      </w:r>
      <w:bookmarkEnd w:id="54"/>
    </w:p>
    <w:p>
      <w:pPr>
        <w:pStyle w:val="7"/>
        <w:adjustRightInd w:val="0"/>
        <w:snapToGrid w:val="0"/>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畜禽养殖限养区是在一定区域内，结合区域环境容量，限定畜禽养殖污染排放问题的区域。限养区不是对畜禽养殖量的限制，而是对畜禽养殖污染物排放总量的限制。</w:t>
      </w:r>
    </w:p>
    <w:p>
      <w:pPr>
        <w:pStyle w:val="7"/>
        <w:adjustRightInd w:val="0"/>
        <w:snapToGrid w:val="0"/>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市中区重点将“三江七河”流域作为畜禽养殖限制发展区域，加强畜禽养殖污染治理工作。畜禽养殖场（小区）及散养户负责对畜禽养殖污染实施治理，承担环境保护主体责任。畜禽养殖场（小区）及散养户排放养殖污染物，应当符合国家规定的排放标准，禁止向水体直接排放畜禽类便、污水等。同时，畜禽养殖场（小区）应按已批准的环境影响评价文件要求，落实养殖污染防治措施。鼓励支持将畜禽排泄物进行无害化处理和资源化利用，包括生态还田、生产沼气和有机肥等。全区划定的限养区域包括：</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①</w:t>
      </w:r>
      <w:r>
        <w:rPr>
          <w:rFonts w:ascii="Times New Roman" w:hAnsi="Times New Roman" w:eastAsia="宋体" w:cs="Times New Roman"/>
          <w:sz w:val="24"/>
          <w:szCs w:val="24"/>
        </w:rPr>
        <w:t>乐山市主城区规划范围（除四个街道办行政区域等禁养区外）和各镇总体规划中镇区规划范围（除建成区等禁养区外）；</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②</w:t>
      </w:r>
      <w:r>
        <w:rPr>
          <w:rFonts w:ascii="Times New Roman" w:hAnsi="Times New Roman" w:eastAsia="宋体" w:cs="Times New Roman"/>
          <w:sz w:val="24"/>
          <w:szCs w:val="24"/>
        </w:rPr>
        <w:t>距铁路、公路主要交通干线（国、省道）500m以内；</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③</w:t>
      </w:r>
      <w:r>
        <w:rPr>
          <w:rFonts w:ascii="Times New Roman" w:hAnsi="Times New Roman" w:eastAsia="宋体" w:cs="Times New Roman"/>
          <w:sz w:val="24"/>
          <w:szCs w:val="24"/>
        </w:rPr>
        <w:t>乐山市工业集中区；</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④</w:t>
      </w:r>
      <w:r>
        <w:rPr>
          <w:rFonts w:ascii="Times New Roman" w:hAnsi="Times New Roman" w:eastAsia="宋体" w:cs="Times New Roman"/>
          <w:sz w:val="24"/>
          <w:szCs w:val="24"/>
        </w:rPr>
        <w:t>市中区行政区域内青衣江、岷江、大渡河、峨眉河、竹公溪水域及沿河两岸500m陆域范围；</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⑤</w:t>
      </w:r>
      <w:r>
        <w:rPr>
          <w:rFonts w:ascii="Times New Roman" w:hAnsi="Times New Roman" w:eastAsia="宋体" w:cs="Times New Roman"/>
          <w:sz w:val="24"/>
          <w:szCs w:val="24"/>
        </w:rPr>
        <w:t>距屠宰场、畜产品加工厂、畜禽交易市场等500 m以内的区域；</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⑥</w:t>
      </w:r>
      <w:r>
        <w:rPr>
          <w:rFonts w:ascii="Times New Roman" w:hAnsi="Times New Roman" w:eastAsia="宋体" w:cs="Times New Roman"/>
          <w:sz w:val="24"/>
          <w:szCs w:val="24"/>
        </w:rPr>
        <w:t>城市、镇集中式饮用水水源保护区的准保护区范围内；</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宋体" w:hAnsi="宋体" w:eastAsia="宋体"/>
          <w:sz w:val="24"/>
          <w:szCs w:val="24"/>
        </w:rPr>
        <w:t>⑦</w:t>
      </w:r>
      <w:r>
        <w:rPr>
          <w:rFonts w:ascii="Times New Roman" w:hAnsi="Times New Roman" w:eastAsia="宋体" w:cs="Times New Roman"/>
          <w:sz w:val="24"/>
          <w:szCs w:val="24"/>
        </w:rPr>
        <w:t>市中区境内凌云河、剑峰河、临江河、磨池河、泥溪河两岸200 m范围内。</w:t>
      </w:r>
    </w:p>
    <w:p>
      <w:pPr>
        <w:pStyle w:val="7"/>
        <w:adjustRightInd w:val="0"/>
        <w:snapToGrid w:val="0"/>
        <w:spacing w:after="0" w:line="360" w:lineRule="auto"/>
        <w:ind w:firstLine="480" w:firstLineChars="200"/>
        <w:rPr>
          <w:rFonts w:ascii="宋体" w:hAnsi="宋体" w:eastAsia="宋体"/>
          <w:sz w:val="24"/>
          <w:szCs w:val="24"/>
        </w:rPr>
      </w:pPr>
      <w:bookmarkStart w:id="55" w:name="_Toc16523"/>
      <w:r>
        <w:rPr>
          <w:rFonts w:ascii="宋体" w:hAnsi="宋体" w:eastAsia="宋体"/>
          <w:sz w:val="24"/>
          <w:szCs w:val="24"/>
        </w:rPr>
        <w:t>（3）宜养区</w:t>
      </w:r>
      <w:bookmarkEnd w:id="55"/>
      <w:r>
        <w:rPr>
          <w:rFonts w:ascii="宋体" w:hAnsi="宋体" w:eastAsia="宋体"/>
          <w:sz w:val="24"/>
          <w:szCs w:val="24"/>
        </w:rPr>
        <w:t>划定范围</w:t>
      </w:r>
    </w:p>
    <w:p>
      <w:pPr>
        <w:pStyle w:val="7"/>
        <w:adjustRightInd w:val="0"/>
        <w:snapToGrid w:val="0"/>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畜禽养殖宜养区是指辖区范围内除禁养区、限养区以外，符合市中区畜牧业发展规划的其他区域。</w:t>
      </w:r>
    </w:p>
    <w:p>
      <w:pPr>
        <w:pStyle w:val="4"/>
        <w:adjustRightInd w:val="0"/>
        <w:snapToGrid w:val="0"/>
        <w:spacing w:before="0" w:after="0" w:line="360" w:lineRule="auto"/>
        <w:rPr>
          <w:rFonts w:ascii="Times New Roman" w:hAnsi="Times New Roman"/>
          <w:sz w:val="24"/>
          <w:szCs w:val="24"/>
        </w:rPr>
      </w:pPr>
      <w:bookmarkStart w:id="56" w:name="_Toc117868723"/>
      <w:r>
        <w:rPr>
          <w:rFonts w:hint="eastAsia" w:ascii="Times New Roman" w:hAnsi="Times New Roman"/>
          <w:sz w:val="24"/>
          <w:szCs w:val="24"/>
        </w:rPr>
        <w:t>3.1.2畜牧业稳定发展，养殖水平提升显著</w:t>
      </w:r>
      <w:bookmarkEnd w:id="56"/>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畜牧业稳定发展</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2020年，全区生猪出栏28.07万头，活家禽出栏830.67万只，牛出栏1596头，羊出栏8475只，兔出栏99.88万只。全年肉类总产量3.32万吨，其中猪肉产量1.98万吨，禽肉产量1.3万吨</w:t>
      </w:r>
      <w:r>
        <w:rPr>
          <w:rFonts w:hint="eastAsia" w:ascii="Times New Roman" w:hAnsi="Times New Roman" w:eastAsia="宋体" w:cs="Times New Roman"/>
          <w:sz w:val="24"/>
          <w:szCs w:val="24"/>
        </w:rPr>
        <w:t>，</w:t>
      </w:r>
      <w:r>
        <w:rPr>
          <w:rFonts w:ascii="Times New Roman" w:hAnsi="Times New Roman" w:eastAsia="宋体" w:cs="Times New Roman"/>
          <w:sz w:val="24"/>
          <w:szCs w:val="24"/>
        </w:rPr>
        <w:t>禽蛋产量2.64万吨。实现畜牧业产值27.66亿元，比2015年增加91.8%</w:t>
      </w:r>
      <w:r>
        <w:rPr>
          <w:rFonts w:hint="eastAsia" w:ascii="Times New Roman" w:hAnsi="Times New Roman" w:eastAsia="宋体" w:cs="Times New Roman"/>
          <w:sz w:val="24"/>
          <w:szCs w:val="24"/>
        </w:rPr>
        <w:t>。</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（2）规模化水平提升显著</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十三五”期间，全区坚持“稳猪禽、兴牛羊”，优化品种品质，推进养殖场规模化和标准化建设，现有畜禽规模养殖场（小区）346家，适度规模养殖户1098家，主要畜禽适度规模养殖面达85%以上。建成农业部畜禽标准化示范场2个、省级畜禽标准化场9个。新建乐山市正康畜牧科技有限公司等养殖场6个，巨星农牧30万头优质生猪种养循环园区项目核心种猪场已建成投产。</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（3）养殖设施化水平不断提升</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巨星等龙头企业，推进生猪养殖环境控制、自动饲喂、粪污收集等新设施、新设备的应用范围，畜禽养殖设施化、信息化、智能化水平实现新突破。</w:t>
      </w:r>
      <w:r>
        <w:rPr>
          <w:rFonts w:hint="eastAsia" w:ascii="Times New Roman" w:hAnsi="Times New Roman" w:eastAsia="宋体" w:cs="Times New Roman"/>
          <w:color w:val="558ED5" w:themeColor="text2" w:themeTint="99"/>
          <w:sz w:val="24"/>
          <w:szCs w:val="24"/>
          <w:lang w:eastAsia="zh-CN"/>
          <w14:textFill>
            <w14:solidFill>
              <w14:schemeClr w14:val="tx2">
                <w14:lumMod w14:val="60000"/>
                <w14:lumOff w14:val="40000"/>
              </w14:schemeClr>
            </w14:solidFill>
          </w14:textFill>
        </w:rPr>
        <w:t>全区</w:t>
      </w:r>
      <w:r>
        <w:rPr>
          <w:rFonts w:hint="eastAsia" w:ascii="Times New Roman" w:hAnsi="Times New Roman" w:eastAsia="宋体" w:cs="Times New Roman"/>
          <w:sz w:val="24"/>
          <w:szCs w:val="24"/>
        </w:rPr>
        <w:t>成功申报无公害畜产品生产基地22个，其中生猪12个、鸡蛋6个、肉鸡1个、肉牛养殖场1个、肉兔2个，无公害畜禽产品申报工作遥居全市首位。</w:t>
      </w:r>
    </w:p>
    <w:p>
      <w:pPr>
        <w:pStyle w:val="4"/>
        <w:adjustRightInd w:val="0"/>
        <w:snapToGrid w:val="0"/>
        <w:spacing w:before="0" w:after="0" w:line="360" w:lineRule="auto"/>
        <w:rPr>
          <w:rFonts w:ascii="Times New Roman" w:hAnsi="Times New Roman"/>
          <w:sz w:val="24"/>
          <w:szCs w:val="24"/>
        </w:rPr>
      </w:pPr>
      <w:bookmarkStart w:id="57" w:name="_Toc117868724"/>
      <w:r>
        <w:rPr>
          <w:rFonts w:hint="eastAsia" w:ascii="Times New Roman" w:hAnsi="Times New Roman"/>
          <w:sz w:val="24"/>
          <w:szCs w:val="24"/>
        </w:rPr>
        <w:t>3.1.3 禽畜粪污综合治理成效明显</w:t>
      </w:r>
      <w:bookmarkEnd w:id="57"/>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禁养区内养殖场（户）关闭搬迁工作</w:t>
      </w:r>
      <w:r>
        <w:rPr>
          <w:rFonts w:hint="eastAsia" w:ascii="Times New Roman" w:hAnsi="Times New Roman" w:eastAsia="宋体" w:cs="Times New Roman"/>
          <w:sz w:val="24"/>
          <w:szCs w:val="24"/>
        </w:rPr>
        <w:t>全面完成</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严格按照《乐山市市中区畜禽养殖污染综合整治工作方案》（乐中府办发</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2017</w:t>
      </w:r>
      <w:r>
        <w:rPr>
          <w:rFonts w:hint="eastAsia" w:ascii="Times New Roman" w:hAnsi="Times New Roman" w:eastAsia="宋体" w:cs="Times New Roman"/>
          <w:sz w:val="24"/>
          <w:szCs w:val="24"/>
        </w:rPr>
        <w:t>]</w:t>
      </w:r>
      <w:r>
        <w:rPr>
          <w:rFonts w:ascii="Times New Roman" w:hAnsi="Times New Roman" w:eastAsia="宋体" w:cs="Times New Roman"/>
          <w:sz w:val="24"/>
          <w:szCs w:val="24"/>
        </w:rPr>
        <w:t>10号）责任分工和工作措施开展禁养区内养殖场（户）关闭搬迁工作，</w:t>
      </w:r>
      <w:r>
        <w:rPr>
          <w:rFonts w:hint="eastAsia" w:ascii="Times New Roman" w:hAnsi="Times New Roman" w:eastAsia="宋体" w:cs="Times New Roman"/>
          <w:sz w:val="24"/>
          <w:szCs w:val="24"/>
        </w:rPr>
        <w:t>截止目前，</w:t>
      </w:r>
      <w:r>
        <w:rPr>
          <w:rFonts w:ascii="Times New Roman" w:hAnsi="Times New Roman" w:eastAsia="宋体" w:cs="Times New Roman"/>
          <w:sz w:val="24"/>
          <w:szCs w:val="24"/>
        </w:rPr>
        <w:t>完成禁养区内</w:t>
      </w:r>
      <w:r>
        <w:rPr>
          <w:rFonts w:ascii="Times New Roman" w:hAnsi="Times New Roman" w:eastAsia="宋体" w:cs="Times New Roman"/>
          <w:color w:val="000000"/>
          <w:sz w:val="24"/>
          <w:szCs w:val="24"/>
        </w:rPr>
        <w:t>389户</w:t>
      </w:r>
      <w:r>
        <w:rPr>
          <w:rFonts w:ascii="Times New Roman" w:hAnsi="Times New Roman" w:eastAsia="宋体" w:cs="Times New Roman"/>
          <w:sz w:val="24"/>
          <w:szCs w:val="24"/>
        </w:rPr>
        <w:t>（其中规模养殖场46家）畜禽养殖场（户）全部关闭去功能化工作，发放补助资金3500余万元</w:t>
      </w:r>
      <w:r>
        <w:rPr>
          <w:rFonts w:hint="eastAsia" w:ascii="Times New Roman" w:hAnsi="Times New Roman" w:eastAsia="宋体" w:cs="Times New Roman"/>
          <w:sz w:val="24"/>
          <w:szCs w:val="24"/>
        </w:rPr>
        <w:t>。</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（2）分区落实责任，监管引导并进 </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强化养业主主体责任的同时，加强政府引导鼓励</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按照“谁污染，谁治理”的原则，督促养殖场（户）认真落实主体责任，开展禁养区关闭后的监管工作，采取明察暗访的方式对禁养区畜禽养殖场（户）关闭情况开展了全覆盖督查，对发现的问题及时移交属地镇（涉农街道）处理，确保了已关闭的养殖场（户）不复养、不反弹；加大限养区、宜养区治理工作，对全区畜禽养殖户，每户落实责任人，挂畜禽养殖污染治理明白卡，开展“一对一”入户指导服务。</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（3）实现规模化养殖场粪污治理设施全覆盖</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分类指导养殖户开展粪污治理，规模畜禽养殖场推行“三改两分再利用”（“三改”即</w:t>
      </w:r>
      <w:r>
        <w:rPr>
          <w:rFonts w:ascii="Times New Roman" w:hAnsi="Times New Roman" w:eastAsia="宋体" w:cs="Times New Roman"/>
          <w:sz w:val="24"/>
          <w:szCs w:val="24"/>
        </w:rPr>
        <w:t>改水冲清粪为干式清粪、改无限用水为控制用水、改明沟排污为暗沟排污</w:t>
      </w:r>
      <w:r>
        <w:rPr>
          <w:rFonts w:hint="eastAsia" w:ascii="Times New Roman" w:hAnsi="Times New Roman" w:eastAsia="宋体" w:cs="Times New Roman"/>
          <w:sz w:val="24"/>
          <w:szCs w:val="24"/>
        </w:rPr>
        <w:t>；“两分”即</w:t>
      </w:r>
      <w:r>
        <w:rPr>
          <w:rFonts w:ascii="Times New Roman" w:hAnsi="Times New Roman" w:eastAsia="宋体" w:cs="Times New Roman"/>
          <w:sz w:val="24"/>
          <w:szCs w:val="24"/>
        </w:rPr>
        <w:t>固液分离、雨污分流</w:t>
      </w:r>
      <w:r>
        <w:rPr>
          <w:rFonts w:hint="eastAsia" w:ascii="Times New Roman" w:hAnsi="Times New Roman" w:eastAsia="宋体" w:cs="Times New Roman"/>
          <w:sz w:val="24"/>
          <w:szCs w:val="24"/>
        </w:rPr>
        <w:t>；</w:t>
      </w:r>
      <w:r>
        <w:rPr>
          <w:rFonts w:ascii="Times New Roman" w:hAnsi="Times New Roman" w:eastAsia="宋体" w:cs="Times New Roman"/>
          <w:sz w:val="24"/>
          <w:szCs w:val="24"/>
        </w:rPr>
        <w:t>再利用即粪污无害化处理后综合利用</w:t>
      </w:r>
      <w:r>
        <w:rPr>
          <w:rFonts w:hint="eastAsia" w:ascii="Times New Roman" w:hAnsi="Times New Roman" w:eastAsia="宋体" w:cs="Times New Roman"/>
          <w:sz w:val="24"/>
          <w:szCs w:val="24"/>
        </w:rPr>
        <w:t>）措施，养殖专业户采取“两分两配”（“两配”即</w:t>
      </w:r>
      <w:r>
        <w:rPr>
          <w:rFonts w:ascii="Times New Roman" w:hAnsi="Times New Roman" w:eastAsia="宋体" w:cs="Times New Roman"/>
          <w:sz w:val="24"/>
          <w:szCs w:val="24"/>
        </w:rPr>
        <w:t>配套沼气池等粪污处理设施和配套相应消纳土地</w:t>
      </w:r>
      <w:r>
        <w:rPr>
          <w:rFonts w:hint="eastAsia" w:ascii="Times New Roman" w:hAnsi="Times New Roman" w:eastAsia="宋体" w:cs="Times New Roman"/>
          <w:sz w:val="24"/>
          <w:szCs w:val="24"/>
        </w:rPr>
        <w:t>）措施，全区1000余户养殖场修建了粪污处理设备（沼气池、沉降池）8.2万m³，实现了规模化养殖场粪污处理设施装备配套率达100%。完成了全区</w:t>
      </w:r>
      <w:r>
        <w:rPr>
          <w:rFonts w:ascii="Times New Roman" w:hAnsi="Times New Roman" w:eastAsia="宋体" w:cs="Times New Roman"/>
          <w:sz w:val="24"/>
          <w:szCs w:val="24"/>
        </w:rPr>
        <w:t>127</w:t>
      </w:r>
      <w:r>
        <w:rPr>
          <w:rFonts w:hint="eastAsia" w:ascii="Times New Roman" w:hAnsi="Times New Roman" w:eastAsia="宋体" w:cs="Times New Roman"/>
          <w:sz w:val="24"/>
          <w:szCs w:val="24"/>
        </w:rPr>
        <w:t>户规模场粪污处理设施配套情况验收，目前已全部按要求完成环保登记备案。</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（4）粪污综合利用初具规模，综合利用率大幅提升</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乐山市市中区畜牧业发展“十三五”规划》和《乐山市市中区畜禽养殖废弃物资源化利用实施方案》，指导各乡镇削减畜禽养殖存栏量、做好养殖废弃物还林还田、生产沼气和有机肥等综合利用。推进畜禽养殖粪污第三方治理，建成年产7.5万吨有机肥的市中区农业废弃物综合利用项目。在剑峰镇新塘村开展农村能源工程项目建设，将规模化养殖场生产的粪污转化为清洁能源和液态肥，沼气供农户使用，沼液供农户种植，有效推行了养殖粪污的达标排放。截止2020年，全区</w:t>
      </w:r>
      <w:r>
        <w:rPr>
          <w:rFonts w:ascii="Times New Roman" w:hAnsi="Times New Roman" w:eastAsia="宋体" w:cs="Times New Roman"/>
          <w:sz w:val="24"/>
          <w:szCs w:val="24"/>
        </w:rPr>
        <w:t>畜禽粪</w:t>
      </w:r>
      <w:r>
        <w:rPr>
          <w:rFonts w:hint="eastAsia" w:ascii="Times New Roman" w:hAnsi="Times New Roman" w:eastAsia="宋体" w:cs="Times New Roman"/>
          <w:sz w:val="24"/>
          <w:szCs w:val="24"/>
        </w:rPr>
        <w:t>污</w:t>
      </w:r>
      <w:r>
        <w:rPr>
          <w:rFonts w:ascii="Times New Roman" w:hAnsi="Times New Roman" w:eastAsia="宋体" w:cs="Times New Roman"/>
          <w:sz w:val="24"/>
          <w:szCs w:val="24"/>
        </w:rPr>
        <w:t>综合利用率达</w:t>
      </w:r>
      <w:r>
        <w:rPr>
          <w:rFonts w:hint="eastAsia" w:ascii="Times New Roman" w:hAnsi="Times New Roman" w:eastAsia="宋体" w:cs="Times New Roman"/>
          <w:sz w:val="24"/>
          <w:szCs w:val="24"/>
        </w:rPr>
        <w:t>95</w:t>
      </w:r>
      <w:r>
        <w:rPr>
          <w:rFonts w:ascii="Times New Roman" w:hAnsi="Times New Roman" w:eastAsia="宋体" w:cs="Times New Roman"/>
          <w:sz w:val="24"/>
          <w:szCs w:val="24"/>
        </w:rPr>
        <w:t>%</w:t>
      </w:r>
      <w:r>
        <w:rPr>
          <w:rFonts w:hint="eastAsia" w:ascii="Times New Roman" w:hAnsi="Times New Roman" w:eastAsia="宋体" w:cs="Times New Roman"/>
          <w:sz w:val="24"/>
          <w:szCs w:val="24"/>
        </w:rPr>
        <w:t>以上</w:t>
      </w:r>
      <w:r>
        <w:rPr>
          <w:rFonts w:ascii="Times New Roman" w:hAnsi="Times New Roman" w:eastAsia="宋体" w:cs="Times New Roman"/>
          <w:sz w:val="24"/>
          <w:szCs w:val="24"/>
        </w:rPr>
        <w:t>。</w:t>
      </w:r>
    </w:p>
    <w:p>
      <w:pPr>
        <w:pStyle w:val="4"/>
        <w:adjustRightInd w:val="0"/>
        <w:snapToGrid w:val="0"/>
        <w:spacing w:before="0" w:after="0" w:line="360" w:lineRule="auto"/>
        <w:rPr>
          <w:rFonts w:ascii="Times New Roman" w:hAnsi="Times New Roman"/>
          <w:sz w:val="24"/>
          <w:szCs w:val="24"/>
        </w:rPr>
      </w:pPr>
      <w:bookmarkStart w:id="58" w:name="_Toc117868725"/>
      <w:r>
        <w:rPr>
          <w:rFonts w:hint="eastAsia" w:ascii="Times New Roman" w:hAnsi="Times New Roman"/>
          <w:sz w:val="24"/>
          <w:szCs w:val="24"/>
        </w:rPr>
        <w:t>3.1.4 种养结合的循环农业发展模式初步形成</w:t>
      </w:r>
      <w:bookmarkEnd w:id="58"/>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乐山市现代农业“一区六带”规划种养循环扶贫产业带建设2018年试点工作方案》要求，全区推进畜禽粪污下地还田，大力发展种养结合循环利用生态养殖模式，打造生态养殖业和生态种植业为一体的现代“生态农牧科技示范园区”，带动了一批农户开展“畜-沼-粮”“畜-沼-菜”“畜-沼-果”等种养结合的循环农业发展模式，实现了粪污的能源化、肥料化的高值化利用，促进畜禽养殖与环境保护的协调发展。</w:t>
      </w:r>
    </w:p>
    <w:p>
      <w:pPr>
        <w:pStyle w:val="4"/>
        <w:adjustRightInd w:val="0"/>
        <w:snapToGrid w:val="0"/>
        <w:spacing w:before="0" w:after="0" w:line="360" w:lineRule="auto"/>
        <w:rPr>
          <w:rFonts w:ascii="Times New Roman" w:hAnsi="Times New Roman"/>
          <w:sz w:val="24"/>
          <w:szCs w:val="24"/>
        </w:rPr>
      </w:pPr>
      <w:bookmarkStart w:id="59" w:name="_Toc117868726"/>
      <w:r>
        <w:rPr>
          <w:rFonts w:hint="eastAsia" w:ascii="Times New Roman" w:hAnsi="Times New Roman"/>
          <w:sz w:val="24"/>
          <w:szCs w:val="24"/>
        </w:rPr>
        <w:t>3.1.5养殖污染源数据库初步建成</w:t>
      </w:r>
      <w:bookmarkEnd w:id="59"/>
    </w:p>
    <w:p>
      <w:pPr>
        <w:pStyle w:val="7"/>
        <w:adjustRightInd w:val="0"/>
        <w:snapToGrid w:val="0"/>
        <w:spacing w:after="0" w:line="360" w:lineRule="auto"/>
        <w:ind w:firstLine="480" w:firstLineChars="200"/>
        <w:rPr>
          <w:rFonts w:ascii="Times New Roman" w:hAnsi="Times New Roman" w:eastAsia="宋体" w:cs="Times New Roman"/>
          <w:sz w:val="24"/>
          <w:szCs w:val="24"/>
        </w:rPr>
      </w:pPr>
      <w:bookmarkStart w:id="60" w:name="OLE_LINK16"/>
      <w:bookmarkStart w:id="61" w:name="OLE_LINK15"/>
      <w:r>
        <w:rPr>
          <w:rFonts w:hint="eastAsia" w:ascii="Times New Roman" w:hAnsi="Times New Roman" w:eastAsia="宋体" w:cs="Times New Roman"/>
          <w:sz w:val="24"/>
          <w:szCs w:val="24"/>
        </w:rPr>
        <w:t>借机全国第二次污染源普查，实施畜禽养殖污染源头监控。按照省、市、区及各镇（街）提供的养殖场（户）名单，对全区畜禽养殖场（户）进行全面清查，明确了坐标定位，建立了养殖污染源管理库，</w:t>
      </w:r>
      <w:r>
        <w:rPr>
          <w:rFonts w:hint="eastAsia" w:ascii="Times New Roman" w:hAnsi="Times New Roman" w:eastAsia="宋体" w:cs="Times New Roman"/>
          <w:color w:val="auto"/>
          <w:sz w:val="24"/>
          <w:szCs w:val="24"/>
        </w:rPr>
        <w:t>为今后实行定</w:t>
      </w:r>
      <w:r>
        <w:rPr>
          <w:rFonts w:hint="eastAsia" w:ascii="Times New Roman" w:hAnsi="Times New Roman" w:eastAsia="宋体" w:cs="Times New Roman"/>
          <w:sz w:val="24"/>
          <w:szCs w:val="24"/>
        </w:rPr>
        <w:t>点监控、实时监测和在线信息化管理奠定了坚实基础。</w:t>
      </w:r>
    </w:p>
    <w:bookmarkEnd w:id="60"/>
    <w:bookmarkEnd w:id="61"/>
    <w:p>
      <w:pPr>
        <w:pStyle w:val="3"/>
        <w:adjustRightInd w:val="0"/>
        <w:snapToGrid w:val="0"/>
        <w:spacing w:before="0" w:after="0" w:line="360" w:lineRule="auto"/>
        <w:rPr>
          <w:rFonts w:ascii="Times New Roman" w:hAnsi="Times New Roman"/>
          <w:sz w:val="28"/>
          <w:szCs w:val="28"/>
        </w:rPr>
      </w:pPr>
      <w:bookmarkStart w:id="62" w:name="_Toc117868727"/>
      <w:r>
        <w:rPr>
          <w:rFonts w:hint="eastAsia" w:ascii="Times New Roman" w:hAnsi="Times New Roman"/>
          <w:sz w:val="28"/>
          <w:szCs w:val="28"/>
        </w:rPr>
        <w:t>3.2禽畜粪污防治主要指标完成情况</w:t>
      </w:r>
      <w:bookmarkEnd w:id="62"/>
    </w:p>
    <w:p>
      <w:pPr>
        <w:adjustRightInd w:val="0"/>
        <w:snapToGrid w:val="0"/>
        <w:ind w:firstLine="480" w:firstLineChars="200"/>
        <w:rPr>
          <w:rFonts w:ascii="Times New Roman" w:hAnsi="Times New Roman"/>
          <w:color w:val="auto"/>
          <w:sz w:val="24"/>
        </w:rPr>
      </w:pPr>
      <w:r>
        <w:rPr>
          <w:rFonts w:hint="eastAsia" w:ascii="Times New Roman" w:hAnsi="Times New Roman"/>
          <w:sz w:val="24"/>
        </w:rPr>
        <w:t>对照《乐山市市中区畜牧业发展“十三五”规划（2016-2020）》、《乐山市市中区“十三五”畜禽养殖污染防治规划（2016-2020）》和《乐山市市中区畜禽养殖污染防治规划中期调整（2019-2020年）》禽畜粪污防治工作的主要指标，</w:t>
      </w:r>
      <w:r>
        <w:rPr>
          <w:rFonts w:hint="eastAsia" w:ascii="Times New Roman" w:hAnsi="Times New Roman"/>
          <w:color w:val="auto"/>
          <w:sz w:val="24"/>
        </w:rPr>
        <w:t>现对规划的完成情况总结见表3-2。</w:t>
      </w:r>
    </w:p>
    <w:p>
      <w:pPr>
        <w:adjustRightInd w:val="0"/>
        <w:snapToGrid w:val="0"/>
        <w:ind w:firstLine="480" w:firstLineChars="200"/>
        <w:rPr>
          <w:rFonts w:ascii="Times New Roman" w:hAnsi="Times New Roman"/>
          <w:sz w:val="24"/>
        </w:rPr>
      </w:pPr>
      <w:r>
        <w:rPr>
          <w:rFonts w:hint="eastAsia" w:ascii="Times New Roman" w:hAnsi="Times New Roman"/>
          <w:color w:val="auto"/>
          <w:sz w:val="24"/>
        </w:rPr>
        <w:t>由表3-2可知，在“十三五”期间禽畜养殖污染防治规划的14个指标中，超额完成5个，达标完成5，未完成4个，总体达标率指为71.4%。未完成的4个指标分别是猪出栏数量、家禽出栏数量、</w:t>
      </w:r>
      <w:r>
        <w:rPr>
          <w:rFonts w:ascii="Times New Roman" w:hAnsi="Times New Roman"/>
          <w:color w:val="auto"/>
          <w:sz w:val="24"/>
        </w:rPr>
        <w:t>生猪标准化规模养殖场</w:t>
      </w:r>
      <w:r>
        <w:rPr>
          <w:rFonts w:hint="eastAsia" w:ascii="Times New Roman" w:hAnsi="Times New Roman"/>
          <w:color w:val="auto"/>
          <w:sz w:val="24"/>
        </w:rPr>
        <w:t>（</w:t>
      </w:r>
      <w:r>
        <w:rPr>
          <w:rFonts w:ascii="Times New Roman" w:hAnsi="Times New Roman"/>
          <w:color w:val="auto"/>
          <w:sz w:val="24"/>
        </w:rPr>
        <w:t>小区</w:t>
      </w:r>
      <w:r>
        <w:rPr>
          <w:rFonts w:hint="eastAsia" w:ascii="Times New Roman" w:hAnsi="Times New Roman"/>
          <w:color w:val="auto"/>
          <w:sz w:val="24"/>
        </w:rPr>
        <w:t>）数量和家禽标准化规模养殖场（小区）数量。由于受非洲猪瘟</w:t>
      </w:r>
      <w:r>
        <w:rPr>
          <w:rFonts w:hint="eastAsia" w:ascii="Times New Roman" w:hAnsi="Times New Roman"/>
          <w:sz w:val="24"/>
        </w:rPr>
        <w:t xml:space="preserve">和限养、禁养政策影响，生猪存栏量和出栏量较“十三五”初期均严重下滑，导致猪肉价格持续上涨，并直接影响到人民群众生活和全社会总体物价水平。基于此，市中区于2020年4月及时调整了禽畜养殖防治规划，虽然到2020年末生猪出栏量有了明显增加，但仍未达到30.2万头的预定目标。 </w:t>
      </w:r>
    </w:p>
    <w:p>
      <w:pPr>
        <w:jc w:val="center"/>
        <w:rPr>
          <w:rFonts w:ascii="Times New Roman" w:hAnsi="Times New Roman"/>
          <w:b/>
          <w:sz w:val="21"/>
          <w:szCs w:val="21"/>
        </w:rPr>
      </w:pPr>
      <w:r>
        <w:rPr>
          <w:rFonts w:ascii="Times New Roman" w:hAnsi="Times New Roman"/>
          <w:b/>
          <w:sz w:val="21"/>
          <w:szCs w:val="21"/>
        </w:rPr>
        <w:t>表3-2 “十三五”期间禽畜养殖污染防治规划主要指标完成情况统计表</w:t>
      </w:r>
    </w:p>
    <w:tbl>
      <w:tblPr>
        <w:tblStyle w:val="23"/>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969"/>
        <w:gridCol w:w="1276"/>
        <w:gridCol w:w="1418"/>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44" w:type="dxa"/>
            <w:gridSpan w:val="2"/>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指标</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规划目标</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2020年数据</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44" w:type="dxa"/>
            <w:gridSpan w:val="2"/>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产值（亿元）</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17.20</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27.66</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超额完成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restart"/>
            <w:shd w:val="clear" w:color="auto" w:fill="auto"/>
            <w:vAlign w:val="center"/>
          </w:tcPr>
          <w:p>
            <w:pPr>
              <w:pStyle w:val="8"/>
              <w:spacing w:line="400" w:lineRule="exact"/>
              <w:jc w:val="center"/>
              <w:rPr>
                <w:rFonts w:ascii="Times New Roman" w:hAnsi="Times New Roman"/>
                <w:sz w:val="21"/>
                <w:szCs w:val="21"/>
              </w:rPr>
            </w:pPr>
            <w:r>
              <w:rPr>
                <w:rFonts w:hint="eastAsia" w:ascii="Times New Roman" w:hAnsi="Times New Roman"/>
                <w:sz w:val="21"/>
                <w:szCs w:val="21"/>
              </w:rPr>
              <w:t>畜禽</w:t>
            </w:r>
            <w:r>
              <w:rPr>
                <w:rFonts w:ascii="Times New Roman" w:hAnsi="Times New Roman"/>
                <w:sz w:val="21"/>
                <w:szCs w:val="21"/>
              </w:rPr>
              <w:t>产量目标</w:t>
            </w:r>
          </w:p>
        </w:tc>
        <w:tc>
          <w:tcPr>
            <w:tcW w:w="3969" w:type="dxa"/>
            <w:shd w:val="clear" w:color="auto" w:fill="auto"/>
            <w:vAlign w:val="center"/>
          </w:tcPr>
          <w:p>
            <w:pPr>
              <w:pStyle w:val="8"/>
              <w:spacing w:line="400" w:lineRule="exact"/>
              <w:jc w:val="left"/>
              <w:rPr>
                <w:rFonts w:ascii="Times New Roman" w:hAnsi="Times New Roman"/>
                <w:sz w:val="21"/>
                <w:szCs w:val="21"/>
              </w:rPr>
            </w:pPr>
            <w:r>
              <w:rPr>
                <w:rFonts w:ascii="Times New Roman" w:hAnsi="Times New Roman"/>
                <w:sz w:val="21"/>
                <w:szCs w:val="21"/>
              </w:rPr>
              <w:t>猪出栏（万头）</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30.2</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28.07</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hint="eastAsia" w:ascii="Times New Roman" w:hAnsi="Times New Roman"/>
                <w:sz w:val="21"/>
                <w:szCs w:val="21"/>
              </w:rPr>
              <w:t>未</w:t>
            </w:r>
            <w:r>
              <w:rPr>
                <w:rFonts w:ascii="Times New Roman" w:hAnsi="Times New Roman"/>
                <w:sz w:val="21"/>
                <w:szCs w:val="21"/>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continue"/>
            <w:shd w:val="clear" w:color="auto" w:fill="auto"/>
            <w:vAlign w:val="center"/>
          </w:tcPr>
          <w:p>
            <w:pPr>
              <w:pStyle w:val="8"/>
              <w:spacing w:line="400" w:lineRule="exact"/>
              <w:jc w:val="center"/>
              <w:rPr>
                <w:rFonts w:ascii="Times New Roman" w:hAnsi="Times New Roman"/>
                <w:sz w:val="21"/>
                <w:szCs w:val="21"/>
              </w:rPr>
            </w:pPr>
          </w:p>
        </w:tc>
        <w:tc>
          <w:tcPr>
            <w:tcW w:w="3969" w:type="dxa"/>
            <w:shd w:val="clear" w:color="auto" w:fill="auto"/>
            <w:vAlign w:val="center"/>
          </w:tcPr>
          <w:p>
            <w:pPr>
              <w:pStyle w:val="8"/>
              <w:spacing w:line="400" w:lineRule="exact"/>
              <w:jc w:val="left"/>
              <w:rPr>
                <w:rFonts w:ascii="Times New Roman" w:hAnsi="Times New Roman"/>
                <w:sz w:val="21"/>
                <w:szCs w:val="21"/>
              </w:rPr>
            </w:pPr>
            <w:r>
              <w:rPr>
                <w:rFonts w:ascii="Times New Roman" w:hAnsi="Times New Roman"/>
                <w:sz w:val="21"/>
                <w:szCs w:val="21"/>
              </w:rPr>
              <w:t>牛出栏（头）</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1500</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1596</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达标完成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continue"/>
            <w:shd w:val="clear" w:color="auto" w:fill="auto"/>
            <w:vAlign w:val="center"/>
          </w:tcPr>
          <w:p>
            <w:pPr>
              <w:pStyle w:val="8"/>
              <w:spacing w:line="400" w:lineRule="exact"/>
              <w:jc w:val="center"/>
              <w:rPr>
                <w:rFonts w:ascii="Times New Roman" w:hAnsi="Times New Roman"/>
                <w:sz w:val="21"/>
                <w:szCs w:val="21"/>
              </w:rPr>
            </w:pPr>
          </w:p>
        </w:tc>
        <w:tc>
          <w:tcPr>
            <w:tcW w:w="3969" w:type="dxa"/>
            <w:shd w:val="clear" w:color="auto" w:fill="auto"/>
            <w:vAlign w:val="center"/>
          </w:tcPr>
          <w:p>
            <w:pPr>
              <w:pStyle w:val="8"/>
              <w:spacing w:line="400" w:lineRule="exact"/>
              <w:jc w:val="left"/>
              <w:rPr>
                <w:rFonts w:ascii="Times New Roman" w:hAnsi="Times New Roman"/>
                <w:sz w:val="21"/>
                <w:szCs w:val="21"/>
              </w:rPr>
            </w:pPr>
            <w:r>
              <w:rPr>
                <w:rFonts w:ascii="Times New Roman" w:hAnsi="Times New Roman"/>
                <w:sz w:val="21"/>
                <w:szCs w:val="21"/>
              </w:rPr>
              <w:t>羊出栏（只）</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7000</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8475</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超额完成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continue"/>
            <w:shd w:val="clear" w:color="auto" w:fill="auto"/>
            <w:vAlign w:val="center"/>
          </w:tcPr>
          <w:p>
            <w:pPr>
              <w:pStyle w:val="8"/>
              <w:spacing w:line="400" w:lineRule="exact"/>
              <w:jc w:val="center"/>
              <w:rPr>
                <w:rFonts w:ascii="Times New Roman" w:hAnsi="Times New Roman"/>
                <w:sz w:val="21"/>
                <w:szCs w:val="21"/>
              </w:rPr>
            </w:pPr>
          </w:p>
        </w:tc>
        <w:tc>
          <w:tcPr>
            <w:tcW w:w="3969" w:type="dxa"/>
            <w:shd w:val="clear" w:color="auto" w:fill="auto"/>
            <w:vAlign w:val="center"/>
          </w:tcPr>
          <w:p>
            <w:pPr>
              <w:pStyle w:val="8"/>
              <w:spacing w:line="400" w:lineRule="exact"/>
              <w:jc w:val="left"/>
              <w:rPr>
                <w:rFonts w:ascii="Times New Roman" w:hAnsi="Times New Roman"/>
                <w:sz w:val="21"/>
                <w:szCs w:val="21"/>
              </w:rPr>
            </w:pPr>
            <w:r>
              <w:rPr>
                <w:rFonts w:ascii="Times New Roman" w:hAnsi="Times New Roman"/>
                <w:sz w:val="21"/>
                <w:szCs w:val="21"/>
              </w:rPr>
              <w:t>兔出栏（万只）</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100.3</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99.88</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达标完成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continue"/>
            <w:shd w:val="clear" w:color="auto" w:fill="auto"/>
            <w:vAlign w:val="center"/>
          </w:tcPr>
          <w:p>
            <w:pPr>
              <w:pStyle w:val="8"/>
              <w:spacing w:line="400" w:lineRule="exact"/>
              <w:jc w:val="center"/>
              <w:rPr>
                <w:rFonts w:ascii="Times New Roman" w:hAnsi="Times New Roman"/>
                <w:sz w:val="21"/>
                <w:szCs w:val="21"/>
              </w:rPr>
            </w:pPr>
          </w:p>
        </w:tc>
        <w:tc>
          <w:tcPr>
            <w:tcW w:w="3969" w:type="dxa"/>
            <w:shd w:val="clear" w:color="auto" w:fill="auto"/>
            <w:vAlign w:val="center"/>
          </w:tcPr>
          <w:p>
            <w:pPr>
              <w:pStyle w:val="8"/>
              <w:spacing w:line="400" w:lineRule="exact"/>
              <w:jc w:val="left"/>
              <w:rPr>
                <w:rFonts w:ascii="Times New Roman" w:hAnsi="Times New Roman"/>
                <w:sz w:val="21"/>
                <w:szCs w:val="21"/>
              </w:rPr>
            </w:pPr>
            <w:r>
              <w:rPr>
                <w:rFonts w:ascii="Times New Roman" w:hAnsi="Times New Roman"/>
                <w:sz w:val="21"/>
                <w:szCs w:val="21"/>
              </w:rPr>
              <w:t>家禽出栏（万只）</w:t>
            </w:r>
          </w:p>
        </w:tc>
        <w:tc>
          <w:tcPr>
            <w:tcW w:w="1276" w:type="dxa"/>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680.2</w:t>
            </w:r>
          </w:p>
        </w:tc>
        <w:tc>
          <w:tcPr>
            <w:tcW w:w="1418" w:type="dxa"/>
            <w:shd w:val="clear" w:color="auto" w:fill="auto"/>
            <w:vAlign w:val="center"/>
          </w:tcPr>
          <w:p>
            <w:pPr>
              <w:pStyle w:val="8"/>
              <w:spacing w:line="400" w:lineRule="exact"/>
              <w:jc w:val="center"/>
              <w:rPr>
                <w:rFonts w:ascii="Times New Roman" w:hAnsi="Times New Roman"/>
                <w:sz w:val="21"/>
                <w:szCs w:val="21"/>
              </w:rPr>
            </w:pPr>
            <w:r>
              <w:rPr>
                <w:rFonts w:hint="eastAsia" w:ascii="Times New Roman" w:hAnsi="Times New Roman"/>
                <w:sz w:val="21"/>
                <w:szCs w:val="21"/>
              </w:rPr>
              <w:t>372.99</w:t>
            </w:r>
          </w:p>
        </w:tc>
        <w:tc>
          <w:tcPr>
            <w:tcW w:w="1237" w:type="dxa"/>
            <w:shd w:val="clear" w:color="auto" w:fill="auto"/>
            <w:vAlign w:val="center"/>
          </w:tcPr>
          <w:p>
            <w:pPr>
              <w:pStyle w:val="8"/>
              <w:spacing w:line="400" w:lineRule="exact"/>
              <w:jc w:val="center"/>
              <w:rPr>
                <w:rFonts w:ascii="Times New Roman" w:hAnsi="Times New Roman"/>
                <w:sz w:val="21"/>
                <w:szCs w:val="21"/>
              </w:rPr>
            </w:pPr>
            <w:r>
              <w:rPr>
                <w:rFonts w:hint="eastAsia" w:ascii="Times New Roman" w:hAnsi="Times New Roman"/>
                <w:sz w:val="21"/>
                <w:szCs w:val="21"/>
              </w:rPr>
              <w:t>未</w:t>
            </w:r>
            <w:r>
              <w:rPr>
                <w:rFonts w:ascii="Times New Roman" w:hAnsi="Times New Roman"/>
                <w:sz w:val="21"/>
                <w:szCs w:val="21"/>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75" w:type="dxa"/>
            <w:vMerge w:val="restart"/>
            <w:shd w:val="clear" w:color="auto" w:fill="auto"/>
            <w:vAlign w:val="center"/>
          </w:tcPr>
          <w:p>
            <w:pPr>
              <w:pStyle w:val="8"/>
              <w:spacing w:line="400" w:lineRule="exact"/>
              <w:jc w:val="center"/>
              <w:rPr>
                <w:rFonts w:ascii="Times New Roman" w:hAnsi="Times New Roman"/>
                <w:sz w:val="21"/>
                <w:szCs w:val="21"/>
              </w:rPr>
            </w:pPr>
            <w:r>
              <w:rPr>
                <w:rFonts w:ascii="Times New Roman" w:hAnsi="Times New Roman"/>
                <w:sz w:val="21"/>
                <w:szCs w:val="21"/>
              </w:rPr>
              <w:t>养殖布局目标</w:t>
            </w:r>
          </w:p>
        </w:tc>
        <w:tc>
          <w:tcPr>
            <w:tcW w:w="3969" w:type="dxa"/>
            <w:shd w:val="clear" w:color="auto" w:fill="auto"/>
          </w:tcPr>
          <w:p>
            <w:pPr>
              <w:pStyle w:val="8"/>
              <w:spacing w:line="400" w:lineRule="exact"/>
              <w:rPr>
                <w:rFonts w:ascii="Times New Roman" w:hAnsi="Times New Roman"/>
                <w:sz w:val="21"/>
                <w:szCs w:val="21"/>
              </w:rPr>
            </w:pPr>
            <w:r>
              <w:rPr>
                <w:rFonts w:ascii="Times New Roman" w:hAnsi="Times New Roman"/>
                <w:sz w:val="21"/>
                <w:szCs w:val="21"/>
              </w:rPr>
              <w:t>生猪标准化规模养殖场</w:t>
            </w:r>
            <w:r>
              <w:rPr>
                <w:rFonts w:hint="eastAsia" w:ascii="Times New Roman" w:hAnsi="Times New Roman"/>
                <w:sz w:val="21"/>
                <w:szCs w:val="21"/>
              </w:rPr>
              <w:t>（</w:t>
            </w:r>
            <w:r>
              <w:rPr>
                <w:rFonts w:ascii="Times New Roman" w:hAnsi="Times New Roman"/>
                <w:sz w:val="21"/>
                <w:szCs w:val="21"/>
              </w:rPr>
              <w:t>小区</w:t>
            </w:r>
            <w:r>
              <w:rPr>
                <w:rFonts w:hint="eastAsia" w:ascii="Times New Roman" w:hAnsi="Times New Roman"/>
                <w:sz w:val="21"/>
                <w:szCs w:val="21"/>
              </w:rPr>
              <w:t>）（个）</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70</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15</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8"/>
              <w:spacing w:line="400" w:lineRule="exact"/>
              <w:rPr>
                <w:rFonts w:ascii="Times New Roman" w:hAnsi="Times New Roman"/>
                <w:sz w:val="21"/>
                <w:szCs w:val="21"/>
              </w:rPr>
            </w:pPr>
            <w:r>
              <w:rPr>
                <w:rFonts w:ascii="Times New Roman" w:hAnsi="Times New Roman"/>
                <w:sz w:val="21"/>
                <w:szCs w:val="21"/>
              </w:rPr>
              <w:t>生猪养殖规模化率</w:t>
            </w:r>
            <w:r>
              <w:rPr>
                <w:rFonts w:hint="eastAsia" w:ascii="Times New Roman" w:hAnsi="Times New Roman"/>
                <w:sz w:val="21"/>
                <w:szCs w:val="21"/>
              </w:rPr>
              <w:t>（%）</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65</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66</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达标完成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7"/>
              <w:adjustRightInd w:val="0"/>
              <w:snapToGrid w:val="0"/>
              <w:spacing w:after="0" w:line="400" w:lineRule="exact"/>
              <w:rPr>
                <w:rFonts w:ascii="Times New Roman" w:hAnsi="Times New Roman" w:cs="Times New Roman"/>
                <w:sz w:val="21"/>
                <w:szCs w:val="21"/>
              </w:rPr>
            </w:pPr>
            <w:r>
              <w:rPr>
                <w:rFonts w:hint="eastAsia" w:ascii="Times New Roman" w:hAnsi="Times New Roman" w:eastAsia="宋体" w:cs="Times New Roman"/>
                <w:sz w:val="21"/>
                <w:szCs w:val="21"/>
              </w:rPr>
              <w:t>家禽标准化规模养殖场（小区）（个）</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30</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11</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8"/>
              <w:spacing w:line="400" w:lineRule="exact"/>
              <w:rPr>
                <w:rFonts w:ascii="Times New Roman" w:hAnsi="Times New Roman"/>
                <w:sz w:val="21"/>
                <w:szCs w:val="21"/>
              </w:rPr>
            </w:pPr>
            <w:r>
              <w:rPr>
                <w:rFonts w:hint="eastAsia" w:ascii="Times New Roman" w:hAnsi="Times New Roman"/>
                <w:sz w:val="21"/>
                <w:szCs w:val="21"/>
              </w:rPr>
              <w:t>家禽</w:t>
            </w:r>
            <w:r>
              <w:rPr>
                <w:rFonts w:ascii="Times New Roman" w:hAnsi="Times New Roman"/>
                <w:sz w:val="21"/>
                <w:szCs w:val="21"/>
              </w:rPr>
              <w:t>养殖规模化率</w:t>
            </w:r>
            <w:r>
              <w:rPr>
                <w:rFonts w:hint="eastAsia" w:ascii="Times New Roman" w:hAnsi="Times New Roman"/>
                <w:sz w:val="21"/>
                <w:szCs w:val="21"/>
              </w:rPr>
              <w:t>（%）</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75</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78</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达标完成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restart"/>
            <w:shd w:val="clear" w:color="auto" w:fill="auto"/>
            <w:vAlign w:val="center"/>
          </w:tcPr>
          <w:p>
            <w:pPr>
              <w:pStyle w:val="8"/>
              <w:spacing w:line="400" w:lineRule="exact"/>
              <w:jc w:val="center"/>
              <w:rPr>
                <w:rFonts w:ascii="Times New Roman" w:hAnsi="Times New Roman"/>
                <w:sz w:val="21"/>
                <w:szCs w:val="21"/>
              </w:rPr>
            </w:pPr>
            <w:r>
              <w:rPr>
                <w:rFonts w:hint="eastAsia" w:ascii="Times New Roman" w:hAnsi="Times New Roman"/>
                <w:sz w:val="21"/>
                <w:szCs w:val="21"/>
              </w:rPr>
              <w:t>畜禽</w:t>
            </w:r>
            <w:r>
              <w:rPr>
                <w:rFonts w:ascii="Times New Roman" w:hAnsi="Times New Roman"/>
                <w:sz w:val="21"/>
                <w:szCs w:val="21"/>
              </w:rPr>
              <w:t>粪污治理目标</w:t>
            </w:r>
          </w:p>
        </w:tc>
        <w:tc>
          <w:tcPr>
            <w:tcW w:w="3969" w:type="dxa"/>
            <w:shd w:val="clear" w:color="auto" w:fill="auto"/>
          </w:tcPr>
          <w:p>
            <w:pPr>
              <w:pStyle w:val="8"/>
              <w:spacing w:line="400" w:lineRule="exact"/>
              <w:rPr>
                <w:rFonts w:ascii="Times New Roman" w:hAnsi="Times New Roman"/>
                <w:sz w:val="21"/>
                <w:szCs w:val="21"/>
              </w:rPr>
            </w:pPr>
            <w:r>
              <w:rPr>
                <w:rFonts w:hint="eastAsia" w:ascii="Times New Roman" w:hAnsi="Times New Roman"/>
                <w:sz w:val="21"/>
                <w:szCs w:val="21"/>
              </w:rPr>
              <w:t>粪污综合利用率（%）</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75</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95</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超额完成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8"/>
              <w:spacing w:line="400" w:lineRule="exact"/>
              <w:rPr>
                <w:rFonts w:ascii="Times New Roman" w:hAnsi="Times New Roman"/>
                <w:sz w:val="21"/>
                <w:szCs w:val="21"/>
              </w:rPr>
            </w:pPr>
            <w:r>
              <w:rPr>
                <w:rFonts w:hint="eastAsia" w:ascii="Times New Roman" w:hAnsi="Times New Roman"/>
                <w:sz w:val="21"/>
                <w:szCs w:val="21"/>
              </w:rPr>
              <w:t>规模养殖场粪污处理设施装备配套率（%）</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95</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100</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超额完成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8"/>
              <w:spacing w:line="400" w:lineRule="exact"/>
              <w:rPr>
                <w:rFonts w:ascii="Times New Roman" w:hAnsi="Times New Roman"/>
                <w:sz w:val="21"/>
                <w:szCs w:val="21"/>
              </w:rPr>
            </w:pPr>
            <w:r>
              <w:rPr>
                <w:rFonts w:hint="eastAsia" w:ascii="Times New Roman" w:hAnsi="Times New Roman"/>
                <w:sz w:val="21"/>
                <w:szCs w:val="21"/>
              </w:rPr>
              <w:t>禽畜养殖废弃物资源化利用率（%）</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75</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95</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超额完成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5" w:type="dxa"/>
            <w:vMerge w:val="continue"/>
            <w:shd w:val="clear" w:color="auto" w:fill="auto"/>
          </w:tcPr>
          <w:p>
            <w:pPr>
              <w:pStyle w:val="8"/>
              <w:spacing w:line="400" w:lineRule="exact"/>
              <w:rPr>
                <w:rFonts w:ascii="Times New Roman" w:hAnsi="Times New Roman"/>
                <w:sz w:val="21"/>
                <w:szCs w:val="21"/>
              </w:rPr>
            </w:pPr>
          </w:p>
        </w:tc>
        <w:tc>
          <w:tcPr>
            <w:tcW w:w="3969" w:type="dxa"/>
            <w:shd w:val="clear" w:color="auto" w:fill="auto"/>
          </w:tcPr>
          <w:p>
            <w:pPr>
              <w:pStyle w:val="8"/>
              <w:spacing w:line="400" w:lineRule="exact"/>
              <w:rPr>
                <w:rFonts w:ascii="Times New Roman" w:hAnsi="Times New Roman"/>
                <w:sz w:val="21"/>
                <w:szCs w:val="21"/>
              </w:rPr>
            </w:pPr>
            <w:r>
              <w:rPr>
                <w:rFonts w:hint="eastAsia" w:ascii="Times New Roman" w:hAnsi="Times New Roman"/>
                <w:sz w:val="21"/>
                <w:szCs w:val="21"/>
              </w:rPr>
              <w:t>病死猪无害化处理率（%）</w:t>
            </w:r>
          </w:p>
        </w:tc>
        <w:tc>
          <w:tcPr>
            <w:tcW w:w="1276"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100</w:t>
            </w:r>
          </w:p>
        </w:tc>
        <w:tc>
          <w:tcPr>
            <w:tcW w:w="1418" w:type="dxa"/>
            <w:shd w:val="clear" w:color="auto" w:fill="auto"/>
          </w:tcPr>
          <w:p>
            <w:pPr>
              <w:pStyle w:val="8"/>
              <w:spacing w:line="400" w:lineRule="exact"/>
              <w:jc w:val="center"/>
              <w:rPr>
                <w:rFonts w:ascii="Times New Roman" w:hAnsi="Times New Roman"/>
                <w:sz w:val="21"/>
                <w:szCs w:val="21"/>
              </w:rPr>
            </w:pPr>
            <w:r>
              <w:rPr>
                <w:rFonts w:hint="eastAsia" w:ascii="Times New Roman" w:hAnsi="Times New Roman"/>
                <w:sz w:val="21"/>
                <w:szCs w:val="21"/>
              </w:rPr>
              <w:t>100</w:t>
            </w:r>
          </w:p>
        </w:tc>
        <w:tc>
          <w:tcPr>
            <w:tcW w:w="1237" w:type="dxa"/>
            <w:shd w:val="clear" w:color="auto" w:fill="auto"/>
          </w:tcPr>
          <w:p>
            <w:pPr>
              <w:pStyle w:val="8"/>
              <w:spacing w:line="400" w:lineRule="exact"/>
              <w:jc w:val="center"/>
              <w:rPr>
                <w:rFonts w:ascii="Times New Roman" w:hAnsi="Times New Roman"/>
                <w:sz w:val="21"/>
                <w:szCs w:val="21"/>
              </w:rPr>
            </w:pPr>
            <w:r>
              <w:rPr>
                <w:rFonts w:ascii="Times New Roman" w:hAnsi="Times New Roman"/>
                <w:sz w:val="21"/>
                <w:szCs w:val="21"/>
              </w:rPr>
              <w:t>达标完成</w:t>
            </w:r>
          </w:p>
        </w:tc>
      </w:tr>
    </w:tbl>
    <w:p>
      <w:pPr>
        <w:pStyle w:val="3"/>
        <w:spacing w:before="0" w:after="0" w:line="360" w:lineRule="auto"/>
        <w:rPr>
          <w:rFonts w:ascii="Times New Roman" w:hAnsi="Times New Roman"/>
          <w:sz w:val="28"/>
          <w:szCs w:val="28"/>
        </w:rPr>
      </w:pPr>
      <w:bookmarkStart w:id="63" w:name="_Toc117868728"/>
      <w:r>
        <w:rPr>
          <w:rFonts w:ascii="Times New Roman" w:hAnsi="Times New Roman"/>
          <w:sz w:val="28"/>
          <w:szCs w:val="28"/>
        </w:rPr>
        <w:t>3.</w:t>
      </w:r>
      <w:r>
        <w:rPr>
          <w:rFonts w:hint="eastAsia" w:ascii="Times New Roman" w:hAnsi="Times New Roman"/>
          <w:sz w:val="28"/>
          <w:szCs w:val="28"/>
        </w:rPr>
        <w:t>3</w:t>
      </w:r>
      <w:r>
        <w:rPr>
          <w:rFonts w:ascii="Times New Roman" w:hAnsi="Times New Roman"/>
          <w:sz w:val="28"/>
          <w:szCs w:val="28"/>
        </w:rPr>
        <w:t xml:space="preserve"> </w:t>
      </w:r>
      <w:r>
        <w:rPr>
          <w:rFonts w:hint="eastAsia" w:ascii="Times New Roman" w:hAnsi="Times New Roman"/>
          <w:sz w:val="28"/>
          <w:szCs w:val="28"/>
        </w:rPr>
        <w:t>畜禽养殖规模和</w:t>
      </w:r>
      <w:r>
        <w:rPr>
          <w:rFonts w:ascii="Times New Roman" w:hAnsi="Times New Roman"/>
          <w:sz w:val="28"/>
          <w:szCs w:val="28"/>
        </w:rPr>
        <w:t>污染物产生</w:t>
      </w:r>
      <w:r>
        <w:rPr>
          <w:rFonts w:hint="eastAsia" w:ascii="Times New Roman" w:hAnsi="Times New Roman"/>
          <w:sz w:val="28"/>
          <w:szCs w:val="28"/>
        </w:rPr>
        <w:t>量</w:t>
      </w:r>
      <w:bookmarkEnd w:id="63"/>
    </w:p>
    <w:p>
      <w:pPr>
        <w:pStyle w:val="4"/>
        <w:adjustRightInd w:val="0"/>
        <w:snapToGrid w:val="0"/>
        <w:spacing w:before="0" w:after="0" w:line="360" w:lineRule="auto"/>
        <w:rPr>
          <w:rFonts w:ascii="Times New Roman" w:hAnsi="Times New Roman"/>
          <w:sz w:val="24"/>
          <w:szCs w:val="24"/>
        </w:rPr>
      </w:pPr>
      <w:bookmarkStart w:id="64" w:name="_Toc117868729"/>
      <w:r>
        <w:rPr>
          <w:rFonts w:ascii="Times New Roman" w:hAnsi="Times New Roman"/>
          <w:sz w:val="24"/>
          <w:szCs w:val="24"/>
        </w:rPr>
        <w:t>3.3</w:t>
      </w:r>
      <w:r>
        <w:rPr>
          <w:rFonts w:hint="eastAsia" w:ascii="Times New Roman" w:hAnsi="Times New Roman"/>
          <w:sz w:val="24"/>
          <w:szCs w:val="24"/>
        </w:rPr>
        <w:t>.1</w:t>
      </w:r>
      <w:r>
        <w:rPr>
          <w:rFonts w:ascii="Times New Roman" w:hAnsi="Times New Roman"/>
          <w:sz w:val="24"/>
          <w:szCs w:val="24"/>
        </w:rPr>
        <w:t xml:space="preserve"> </w:t>
      </w:r>
      <w:r>
        <w:rPr>
          <w:rFonts w:hint="eastAsia" w:ascii="Times New Roman" w:hAnsi="Times New Roman"/>
          <w:sz w:val="24"/>
          <w:szCs w:val="24"/>
        </w:rPr>
        <w:t>畜禽养殖规模现状</w:t>
      </w:r>
      <w:bookmarkEnd w:id="64"/>
    </w:p>
    <w:p>
      <w:pPr>
        <w:adjustRightInd w:val="0"/>
        <w:snapToGrid w:val="0"/>
        <w:ind w:firstLine="480" w:firstLineChars="200"/>
        <w:rPr>
          <w:rFonts w:ascii="Times New Roman" w:hAnsi="Times New Roman"/>
          <w:sz w:val="24"/>
        </w:rPr>
      </w:pPr>
      <w:r>
        <w:rPr>
          <w:rFonts w:hint="eastAsia" w:ascii="Times New Roman" w:hAnsi="Times New Roman"/>
          <w:sz w:val="24"/>
        </w:rPr>
        <w:t>（1）畜禽养殖实际量</w:t>
      </w:r>
    </w:p>
    <w:p>
      <w:pPr>
        <w:adjustRightInd w:val="0"/>
        <w:snapToGrid w:val="0"/>
        <w:ind w:firstLine="480" w:firstLineChars="200"/>
        <w:rPr>
          <w:rFonts w:ascii="Times New Roman" w:hAnsi="Times New Roman"/>
          <w:sz w:val="24"/>
        </w:rPr>
      </w:pPr>
      <w:r>
        <w:rPr>
          <w:rFonts w:hint="eastAsia" w:ascii="Times New Roman" w:hAnsi="Times New Roman"/>
          <w:sz w:val="24"/>
        </w:rPr>
        <w:t>根据市中区农业农村局的统计数据（见表3-3），截止2021年5月，全区猪存栏14.32万头、蛋鸡存栏105.3万只、肉鸡存栏78.5万只、鸭存栏8.7万只、肉鹅存栏0.4万只、兔存栏1.4万只、羊存栏0.18万只、肉牛存栏0.08万头，合计相当于存栏约19.8万头猪（猪当量）。猪、蛋鸡、肉鸡、肉牛、鸭、羊、兔和肉鹅的存栏猪当量占总当量的比例从高到低依次为72.3%、17.7%、6.6%、2.0%、0.74%、0.31%、0.24%和0.03%（见图3-1）。</w:t>
      </w:r>
    </w:p>
    <w:p>
      <w:pPr>
        <w:adjustRightInd w:val="0"/>
        <w:snapToGrid w:val="0"/>
        <w:ind w:firstLine="560" w:firstLineChars="200"/>
        <w:jc w:val="center"/>
        <w:rPr>
          <w:rFonts w:ascii="Times New Roman" w:hAnsi="Times New Roman"/>
          <w:sz w:val="24"/>
        </w:rPr>
      </w:pPr>
      <w:r>
        <w:rPr>
          <w:rFonts w:hint="eastAsia"/>
        </w:rPr>
        <w:drawing>
          <wp:inline distT="0" distB="0" distL="114300" distR="114300">
            <wp:extent cx="3295650" cy="2374900"/>
            <wp:effectExtent l="0" t="0" r="0" b="635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2"/>
                    <a:srcRect l="18657" t="4230" r="4926" b="3981"/>
                    <a:stretch>
                      <a:fillRect/>
                    </a:stretch>
                  </pic:blipFill>
                  <pic:spPr>
                    <a:xfrm>
                      <a:off x="0" y="0"/>
                      <a:ext cx="3295650" cy="2374900"/>
                    </a:xfrm>
                    <a:prstGeom prst="rect">
                      <a:avLst/>
                    </a:prstGeom>
                    <a:noFill/>
                    <a:ln>
                      <a:noFill/>
                    </a:ln>
                  </pic:spPr>
                </pic:pic>
              </a:graphicData>
            </a:graphic>
          </wp:inline>
        </w:drawing>
      </w:r>
    </w:p>
    <w:p>
      <w:pPr>
        <w:adjustRightInd w:val="0"/>
        <w:snapToGrid w:val="0"/>
        <w:ind w:firstLine="422" w:firstLineChars="200"/>
        <w:jc w:val="center"/>
        <w:rPr>
          <w:rFonts w:ascii="Times New Roman" w:hAnsi="Times New Roman"/>
          <w:b/>
          <w:sz w:val="21"/>
          <w:szCs w:val="21"/>
        </w:rPr>
      </w:pPr>
      <w:r>
        <w:rPr>
          <w:rFonts w:hint="eastAsia" w:ascii="Times New Roman" w:hAnsi="Times New Roman"/>
          <w:b/>
          <w:sz w:val="21"/>
          <w:szCs w:val="21"/>
        </w:rPr>
        <w:t xml:space="preserve">   图3-1各类畜禽养殖存栏猪当量占比图（单位：%）</w:t>
      </w:r>
    </w:p>
    <w:p>
      <w:pPr>
        <w:adjustRightInd w:val="0"/>
        <w:snapToGrid w:val="0"/>
        <w:ind w:firstLine="480" w:firstLineChars="200"/>
        <w:rPr>
          <w:rFonts w:ascii="Times New Roman" w:hAnsi="Times New Roman"/>
          <w:sz w:val="24"/>
        </w:rPr>
      </w:pPr>
      <w:r>
        <w:rPr>
          <w:rFonts w:hint="eastAsia" w:ascii="Times New Roman" w:hAnsi="Times New Roman"/>
          <w:sz w:val="24"/>
        </w:rPr>
        <w:t>（2）畜禽养殖设计量</w:t>
      </w:r>
    </w:p>
    <w:p>
      <w:pPr>
        <w:adjustRightInd w:val="0"/>
        <w:snapToGrid w:val="0"/>
        <w:ind w:firstLine="480" w:firstLineChars="200"/>
        <w:rPr>
          <w:rFonts w:ascii="Times New Roman" w:hAnsi="Times New Roman"/>
          <w:sz w:val="24"/>
        </w:rPr>
      </w:pPr>
      <w:r>
        <w:rPr>
          <w:rFonts w:hint="eastAsia" w:ascii="Times New Roman" w:hAnsi="Times New Roman"/>
          <w:sz w:val="24"/>
        </w:rPr>
        <w:t>根据市中区农业农村局的统计数据（见表3-4），截止2021年5月，全区8类畜禽存栏设计规模的猪当量为35.5万头，目前实际存栏量均未达到设计规模，平均存栏量占设计规模比例为56.8%，其中肉鹅实际存栏量达到设计规模的比例最高（88.9%），猪实际存栏量达到设计规模的比例最低（42.3%）。</w:t>
      </w:r>
    </w:p>
    <w:p>
      <w:pPr>
        <w:adjustRightInd w:val="0"/>
        <w:snapToGrid w:val="0"/>
        <w:ind w:firstLine="480" w:firstLineChars="200"/>
        <w:rPr>
          <w:rFonts w:ascii="Times New Roman" w:hAnsi="Times New Roman"/>
          <w:sz w:val="24"/>
        </w:rPr>
      </w:pPr>
      <w:r>
        <w:rPr>
          <w:rFonts w:hint="eastAsia" w:ascii="Times New Roman" w:hAnsi="Times New Roman"/>
          <w:sz w:val="24"/>
        </w:rPr>
        <w:t>（3）畜禽养殖场（户）基本现状</w:t>
      </w:r>
    </w:p>
    <w:p>
      <w:pPr>
        <w:adjustRightInd w:val="0"/>
        <w:snapToGrid w:val="0"/>
        <w:ind w:firstLine="480" w:firstLineChars="200"/>
        <w:rPr>
          <w:rFonts w:ascii="Times New Roman" w:hAnsi="Times New Roman"/>
          <w:sz w:val="24"/>
        </w:rPr>
      </w:pPr>
      <w:r>
        <w:rPr>
          <w:rFonts w:hint="eastAsia" w:ascii="Times New Roman" w:hAnsi="Times New Roman"/>
          <w:sz w:val="24"/>
        </w:rPr>
        <w:t>根据市中区农业农村局的统计数据，截止2021年5月，全区共有畜禽养殖场（户）2199个，位居前三位的分别是土主镇（664个）、白马镇（252个）和剑峰镇（243个）。所有养殖场（户）均不在禁养区（见表3-5）。</w:t>
      </w:r>
    </w:p>
    <w:p>
      <w:pPr>
        <w:adjustRightInd w:val="0"/>
        <w:snapToGrid w:val="0"/>
        <w:ind w:firstLine="480" w:firstLineChars="200"/>
      </w:pPr>
      <w:r>
        <w:rPr>
          <w:rFonts w:hint="eastAsia" w:ascii="Times New Roman" w:hAnsi="Times New Roman"/>
          <w:sz w:val="24"/>
        </w:rPr>
        <w:t>在2199个畜禽养殖场（户）中，有土地、环评手续的有255个，占总量的11.6%，其中茅桥镇149个养殖场（户）均有土地、环评手续；在养殖场直联直报系统中备案的有208个，占总量的9.5%，其中苏稽镇占比最高（34.5%）（见表3-5）；规模养殖场（小区）、养殖专业户和散养户的数量分别为346个、1098个和755个，分别占总禽畜养殖场（户）的15.7%、49.9%和34.4%（见表3-5）。</w:t>
      </w:r>
    </w:p>
    <w:p>
      <w:pPr>
        <w:sectPr>
          <w:pgSz w:w="11906" w:h="16838"/>
          <w:pgMar w:top="1440" w:right="1800" w:bottom="1440" w:left="1800" w:header="851" w:footer="992" w:gutter="0"/>
          <w:cols w:space="720" w:num="1"/>
          <w:docGrid w:type="lines" w:linePitch="381" w:charSpace="0"/>
        </w:sectPr>
      </w:pPr>
    </w:p>
    <w:p>
      <w:pPr>
        <w:jc w:val="center"/>
        <w:rPr>
          <w:rFonts w:ascii="Times New Roman" w:hAnsi="Times New Roman" w:eastAsia="黑体"/>
          <w:bCs/>
          <w:kern w:val="16"/>
          <w:sz w:val="22"/>
          <w:szCs w:val="21"/>
        </w:rPr>
      </w:pPr>
      <w:r>
        <w:rPr>
          <w:rFonts w:ascii="Times New Roman" w:hAnsi="Times New Roman"/>
          <w:b/>
          <w:sz w:val="21"/>
          <w:szCs w:val="21"/>
        </w:rPr>
        <w:t>表3-</w:t>
      </w:r>
      <w:r>
        <w:rPr>
          <w:rFonts w:hint="eastAsia" w:ascii="Times New Roman" w:hAnsi="Times New Roman"/>
          <w:b/>
          <w:sz w:val="21"/>
          <w:szCs w:val="21"/>
        </w:rPr>
        <w:t>3</w:t>
      </w:r>
      <w:r>
        <w:rPr>
          <w:rFonts w:ascii="Times New Roman" w:hAnsi="Times New Roman"/>
          <w:b/>
          <w:sz w:val="21"/>
          <w:szCs w:val="21"/>
        </w:rPr>
        <w:t>市中区各类畜禽养殖</w:t>
      </w:r>
      <w:r>
        <w:rPr>
          <w:rFonts w:hint="eastAsia" w:ascii="Times New Roman" w:hAnsi="Times New Roman"/>
          <w:b/>
          <w:sz w:val="21"/>
          <w:szCs w:val="21"/>
        </w:rPr>
        <w:t>存栏</w:t>
      </w:r>
      <w:r>
        <w:rPr>
          <w:rFonts w:ascii="Times New Roman" w:hAnsi="Times New Roman"/>
          <w:b/>
          <w:sz w:val="21"/>
          <w:szCs w:val="21"/>
        </w:rPr>
        <w:t>总量分布</w:t>
      </w:r>
      <w:r>
        <w:rPr>
          <w:rFonts w:hint="eastAsia" w:ascii="Times New Roman" w:hAnsi="Times New Roman"/>
          <w:b/>
          <w:sz w:val="21"/>
          <w:szCs w:val="21"/>
        </w:rPr>
        <w:t>现状</w:t>
      </w:r>
      <w:r>
        <w:rPr>
          <w:rFonts w:ascii="Times New Roman" w:hAnsi="Times New Roman"/>
          <w:b/>
          <w:sz w:val="21"/>
          <w:szCs w:val="21"/>
        </w:rPr>
        <w:t>统计表</w:t>
      </w:r>
    </w:p>
    <w:tbl>
      <w:tblPr>
        <w:tblStyle w:val="23"/>
        <w:tblW w:w="13990" w:type="dxa"/>
        <w:tblInd w:w="89" w:type="dxa"/>
        <w:tblLayout w:type="autofit"/>
        <w:tblCellMar>
          <w:top w:w="0" w:type="dxa"/>
          <w:left w:w="108" w:type="dxa"/>
          <w:bottom w:w="0" w:type="dxa"/>
          <w:right w:w="108" w:type="dxa"/>
        </w:tblCellMar>
      </w:tblPr>
      <w:tblGrid>
        <w:gridCol w:w="998"/>
        <w:gridCol w:w="806"/>
        <w:gridCol w:w="806"/>
        <w:gridCol w:w="806"/>
        <w:gridCol w:w="902"/>
        <w:gridCol w:w="806"/>
        <w:gridCol w:w="806"/>
        <w:gridCol w:w="806"/>
        <w:gridCol w:w="806"/>
        <w:gridCol w:w="806"/>
        <w:gridCol w:w="806"/>
        <w:gridCol w:w="806"/>
        <w:gridCol w:w="806"/>
        <w:gridCol w:w="806"/>
        <w:gridCol w:w="806"/>
        <w:gridCol w:w="806"/>
        <w:gridCol w:w="806"/>
      </w:tblGrid>
      <w:tr>
        <w:tblPrEx>
          <w:tblCellMar>
            <w:top w:w="0" w:type="dxa"/>
            <w:left w:w="108" w:type="dxa"/>
            <w:bottom w:w="0" w:type="dxa"/>
            <w:right w:w="108" w:type="dxa"/>
          </w:tblCellMar>
        </w:tblPrEx>
        <w:trPr>
          <w:trHeight w:val="27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乡镇</w:t>
            </w:r>
          </w:p>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（街道）</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生猪存栏（头）</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蛋鸡存栏（只）</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肉鸡存栏（只）</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鸭存栏（只）</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兔存栏（只）</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羊存栏（只）</w:t>
            </w:r>
          </w:p>
        </w:tc>
        <w:tc>
          <w:tcPr>
            <w:tcW w:w="0" w:type="auto"/>
            <w:gridSpan w:val="2"/>
            <w:tcBorders>
              <w:top w:val="single" w:color="auto" w:sz="4" w:space="0"/>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肉牛存栏（</w:t>
            </w:r>
            <w:r>
              <w:rPr>
                <w:rFonts w:hint="eastAsia" w:ascii="Times New Roman" w:hAnsi="Times New Roman"/>
                <w:bCs/>
                <w:kern w:val="0"/>
                <w:sz w:val="18"/>
                <w:szCs w:val="18"/>
              </w:rPr>
              <w:t>头</w:t>
            </w:r>
            <w:r>
              <w:rPr>
                <w:rFonts w:ascii="Times New Roman" w:hAnsi="Times New Roman"/>
                <w:bCs/>
                <w:kern w:val="0"/>
                <w:sz w:val="18"/>
                <w:szCs w:val="18"/>
              </w:rPr>
              <w:t>）</w:t>
            </w:r>
          </w:p>
        </w:tc>
        <w:tc>
          <w:tcPr>
            <w:tcW w:w="0" w:type="auto"/>
            <w:gridSpan w:val="2"/>
            <w:tcBorders>
              <w:top w:val="single" w:color="auto" w:sz="4" w:space="0"/>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肉鹅存栏（只）</w:t>
            </w:r>
          </w:p>
        </w:tc>
      </w:tr>
      <w:tr>
        <w:tblPrEx>
          <w:tblCellMar>
            <w:top w:w="0" w:type="dxa"/>
            <w:left w:w="108" w:type="dxa"/>
            <w:bottom w:w="0" w:type="dxa"/>
            <w:right w:w="108" w:type="dxa"/>
          </w:tblCellMar>
        </w:tblPrEx>
        <w:trPr>
          <w:trHeight w:val="27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Times New Roman" w:hAnsi="Times New Roman"/>
                <w:bCs/>
                <w:kern w:val="0"/>
                <w:sz w:val="18"/>
                <w:szCs w:val="18"/>
              </w:rPr>
            </w:pP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养殖户</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存栏数</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全福街道</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1672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313500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9700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12000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白马镇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230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20936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44000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10800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15800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336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大佛街道</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163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5504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9</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22800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2000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绿心街道</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266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800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8000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茅桥镇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128</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6264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6124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14500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棉竹镇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113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3890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16200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60000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38</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牟子镇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59</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3498</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167500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18738</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525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平兴镇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13256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22500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77800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5300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青平镇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635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苏稽镇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7489</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576370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123100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10000</w:t>
            </w:r>
          </w:p>
        </w:tc>
        <w:tc>
          <w:tcPr>
            <w:tcW w:w="0" w:type="auto"/>
            <w:tcBorders>
              <w:top w:val="nil"/>
              <w:left w:val="nil"/>
              <w:bottom w:val="single" w:color="auto" w:sz="4" w:space="0"/>
              <w:right w:val="single" w:color="auto" w:sz="4" w:space="0"/>
            </w:tcBorders>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2500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60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水口镇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28</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2977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15000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90200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2100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悦来镇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96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13024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19000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550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79</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土主镇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555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23027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49000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190200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7000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533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4000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剑峰</w:t>
            </w:r>
            <w:r>
              <w:rPr>
                <w:rFonts w:ascii="Times New Roman" w:hAnsi="Times New Roman"/>
                <w:bCs/>
                <w:kern w:val="0"/>
                <w:sz w:val="18"/>
                <w:szCs w:val="18"/>
              </w:rPr>
              <w:t>镇</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230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40728</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3750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40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890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70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2</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17</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ascii="Times New Roman" w:hAnsi="Times New Roman"/>
                <w:bCs/>
                <w:kern w:val="0"/>
                <w:sz w:val="18"/>
                <w:szCs w:val="18"/>
              </w:rPr>
              <w:t>合计</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1850</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143166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56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1053494</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190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784850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43</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87478</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8</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14390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21</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1880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28</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782</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3</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4000</w:t>
            </w:r>
          </w:p>
        </w:tc>
      </w:tr>
      <w:tr>
        <w:tblPrEx>
          <w:tblCellMar>
            <w:top w:w="0" w:type="dxa"/>
            <w:left w:w="108" w:type="dxa"/>
            <w:bottom w:w="0" w:type="dxa"/>
            <w:right w:w="108" w:type="dxa"/>
          </w:tblCellMar>
        </w:tblPrEx>
        <w:trPr>
          <w:trHeight w:val="270" w:hRule="atLeast"/>
        </w:trPr>
        <w:tc>
          <w:tcPr>
            <w:tcW w:w="0" w:type="auto"/>
            <w:tcBorders>
              <w:top w:val="nil"/>
              <w:left w:val="single" w:color="auto" w:sz="4" w:space="0"/>
              <w:bottom w:val="single" w:color="auto" w:sz="4" w:space="0"/>
              <w:right w:val="single" w:color="auto" w:sz="4" w:space="0"/>
            </w:tcBorders>
            <w:vAlign w:val="center"/>
          </w:tcPr>
          <w:p>
            <w:pPr>
              <w:widowControl/>
              <w:spacing w:line="240" w:lineRule="auto"/>
              <w:ind w:right="-182" w:rightChars="-65"/>
              <w:jc w:val="left"/>
              <w:rPr>
                <w:rFonts w:ascii="Times New Roman" w:hAnsi="Times New Roman"/>
                <w:bCs/>
                <w:kern w:val="0"/>
                <w:sz w:val="18"/>
                <w:szCs w:val="18"/>
              </w:rPr>
            </w:pPr>
            <w:r>
              <w:rPr>
                <w:rFonts w:ascii="Times New Roman" w:hAnsi="Times New Roman"/>
                <w:bCs/>
                <w:kern w:val="0"/>
                <w:sz w:val="18"/>
                <w:szCs w:val="18"/>
              </w:rPr>
              <w:t>猪当量折算</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143166</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18"/>
                <w:szCs w:val="18"/>
              </w:rPr>
            </w:pPr>
            <w:r>
              <w:rPr>
                <w:rFonts w:hint="eastAsia" w:ascii="Times New Roman" w:hAnsi="Times New Roman"/>
                <w:bCs/>
                <w:kern w:val="0"/>
                <w:sz w:val="18"/>
                <w:szCs w:val="18"/>
              </w:rPr>
              <w:t>35116</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13081</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1458</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480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627</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3910</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w:t>
            </w:r>
          </w:p>
        </w:tc>
        <w:tc>
          <w:tcPr>
            <w:tcW w:w="0" w:type="auto"/>
            <w:tcBorders>
              <w:top w:val="nil"/>
              <w:left w:val="nil"/>
              <w:bottom w:val="single" w:color="auto" w:sz="4" w:space="0"/>
              <w:right w:val="single" w:color="auto" w:sz="4" w:space="0"/>
            </w:tcBorders>
            <w:vAlign w:val="center"/>
          </w:tcPr>
          <w:p>
            <w:pPr>
              <w:spacing w:line="240" w:lineRule="auto"/>
              <w:jc w:val="center"/>
              <w:rPr>
                <w:rFonts w:ascii="Times New Roman" w:hAnsi="Times New Roman"/>
                <w:bCs/>
                <w:kern w:val="0"/>
                <w:sz w:val="18"/>
                <w:szCs w:val="18"/>
              </w:rPr>
            </w:pPr>
            <w:r>
              <w:rPr>
                <w:rFonts w:hint="eastAsia" w:ascii="Times New Roman" w:hAnsi="Times New Roman"/>
                <w:bCs/>
                <w:kern w:val="0"/>
                <w:sz w:val="18"/>
                <w:szCs w:val="18"/>
              </w:rPr>
              <w:t>67</w:t>
            </w:r>
          </w:p>
        </w:tc>
      </w:tr>
    </w:tbl>
    <w:p>
      <w:pPr>
        <w:spacing w:line="240" w:lineRule="auto"/>
        <w:jc w:val="left"/>
        <w:rPr>
          <w:rFonts w:ascii="Times New Roman" w:hAnsi="Times New Roman"/>
          <w:bCs/>
          <w:kern w:val="16"/>
          <w:sz w:val="18"/>
          <w:szCs w:val="18"/>
        </w:rPr>
      </w:pPr>
      <w:r>
        <w:rPr>
          <w:rFonts w:ascii="Times New Roman" w:hAnsi="Times New Roman"/>
          <w:bCs/>
          <w:kern w:val="16"/>
          <w:sz w:val="18"/>
          <w:szCs w:val="18"/>
        </w:rPr>
        <w:t>注</w:t>
      </w:r>
      <w:r>
        <w:rPr>
          <w:rFonts w:hint="eastAsia" w:ascii="Times New Roman" w:hAnsi="Times New Roman"/>
          <w:bCs/>
          <w:kern w:val="16"/>
          <w:sz w:val="18"/>
          <w:szCs w:val="18"/>
        </w:rPr>
        <w:t>：①</w:t>
      </w:r>
      <w:r>
        <w:rPr>
          <w:rFonts w:ascii="Times New Roman" w:hAnsi="Times New Roman"/>
          <w:bCs/>
          <w:kern w:val="16"/>
          <w:sz w:val="18"/>
          <w:szCs w:val="18"/>
        </w:rPr>
        <w:t>上表原始数据来源于</w:t>
      </w:r>
      <w:r>
        <w:rPr>
          <w:rFonts w:hint="eastAsia" w:ascii="Times New Roman" w:hAnsi="Times New Roman"/>
          <w:bCs/>
          <w:kern w:val="16"/>
          <w:sz w:val="18"/>
          <w:szCs w:val="18"/>
        </w:rPr>
        <w:t>乐山市市中区农业农村局，</w:t>
      </w:r>
      <w:r>
        <w:rPr>
          <w:rFonts w:ascii="Times New Roman" w:hAnsi="Times New Roman"/>
          <w:bCs/>
          <w:kern w:val="16"/>
          <w:sz w:val="18"/>
          <w:szCs w:val="18"/>
        </w:rPr>
        <w:t>统计数据截止</w:t>
      </w:r>
      <w:r>
        <w:rPr>
          <w:rFonts w:hint="eastAsia" w:ascii="Times New Roman" w:hAnsi="Times New Roman"/>
          <w:bCs/>
          <w:kern w:val="16"/>
          <w:sz w:val="18"/>
          <w:szCs w:val="18"/>
        </w:rPr>
        <w:t>2021年5月25日；②猪当量折算标准为：1头肉牛≈5头猪、3只羊≈1头猪、30只蛋禽≈1头猪、60只肉鸡≈1头猪、60只肉鹅≈1头猪、60只鸭≈1头猪、30只兔≈1头猪。</w:t>
      </w:r>
    </w:p>
    <w:p>
      <w:pPr>
        <w:jc w:val="center"/>
        <w:rPr>
          <w:rFonts w:ascii="Times New Roman" w:hAnsi="Times New Roman"/>
          <w:bCs/>
          <w:kern w:val="16"/>
        </w:rPr>
      </w:pPr>
    </w:p>
    <w:p>
      <w:pPr>
        <w:jc w:val="center"/>
        <w:rPr>
          <w:rFonts w:ascii="Times New Roman" w:hAnsi="Times New Roman" w:eastAsia="黑体"/>
          <w:bCs/>
          <w:kern w:val="16"/>
          <w:sz w:val="22"/>
          <w:szCs w:val="21"/>
        </w:rPr>
      </w:pPr>
      <w:r>
        <w:rPr>
          <w:rFonts w:ascii="Times New Roman" w:hAnsi="Times New Roman"/>
          <w:b/>
          <w:sz w:val="21"/>
          <w:szCs w:val="21"/>
        </w:rPr>
        <w:t>表3-</w:t>
      </w:r>
      <w:r>
        <w:rPr>
          <w:rFonts w:hint="eastAsia" w:ascii="Times New Roman" w:hAnsi="Times New Roman"/>
          <w:b/>
          <w:sz w:val="21"/>
          <w:szCs w:val="21"/>
        </w:rPr>
        <w:t>4</w:t>
      </w:r>
      <w:r>
        <w:rPr>
          <w:rFonts w:ascii="Times New Roman" w:hAnsi="Times New Roman"/>
          <w:b/>
          <w:sz w:val="21"/>
          <w:szCs w:val="21"/>
        </w:rPr>
        <w:t>市中区各类畜禽养殖实际</w:t>
      </w:r>
      <w:r>
        <w:rPr>
          <w:rFonts w:hint="eastAsia" w:ascii="Times New Roman" w:hAnsi="Times New Roman"/>
          <w:b/>
          <w:sz w:val="21"/>
          <w:szCs w:val="21"/>
        </w:rPr>
        <w:t>存栏占设计产能比现状统计</w:t>
      </w:r>
      <w:r>
        <w:rPr>
          <w:rFonts w:ascii="Times New Roman" w:hAnsi="Times New Roman"/>
          <w:b/>
          <w:sz w:val="21"/>
          <w:szCs w:val="21"/>
        </w:rPr>
        <w:t>表</w:t>
      </w:r>
    </w:p>
    <w:tbl>
      <w:tblPr>
        <w:tblStyle w:val="23"/>
        <w:tblW w:w="0" w:type="auto"/>
        <w:tblInd w:w="-318" w:type="dxa"/>
        <w:tblLayout w:type="autofit"/>
        <w:tblCellMar>
          <w:top w:w="0" w:type="dxa"/>
          <w:left w:w="108" w:type="dxa"/>
          <w:bottom w:w="0" w:type="dxa"/>
          <w:right w:w="108" w:type="dxa"/>
        </w:tblCellMar>
      </w:tblPr>
      <w:tblGrid>
        <w:gridCol w:w="1027"/>
        <w:gridCol w:w="812"/>
        <w:gridCol w:w="850"/>
        <w:gridCol w:w="897"/>
        <w:gridCol w:w="850"/>
        <w:gridCol w:w="897"/>
        <w:gridCol w:w="850"/>
        <w:gridCol w:w="812"/>
        <w:gridCol w:w="850"/>
        <w:gridCol w:w="812"/>
        <w:gridCol w:w="850"/>
        <w:gridCol w:w="812"/>
        <w:gridCol w:w="850"/>
        <w:gridCol w:w="812"/>
        <w:gridCol w:w="850"/>
        <w:gridCol w:w="812"/>
        <w:gridCol w:w="850"/>
      </w:tblGrid>
      <w:tr>
        <w:tblPrEx>
          <w:tblCellMar>
            <w:top w:w="0" w:type="dxa"/>
            <w:left w:w="108" w:type="dxa"/>
            <w:bottom w:w="0" w:type="dxa"/>
            <w:right w:w="108" w:type="dxa"/>
          </w:tblCellMar>
        </w:tblPrEx>
        <w:trPr>
          <w:trHeight w:val="270" w:hRule="atLeast"/>
          <w:tblHeader/>
        </w:trPr>
        <w:tc>
          <w:tcPr>
            <w:tcW w:w="102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bookmarkStart w:id="65" w:name="OLE_LINK1"/>
            <w:r>
              <w:rPr>
                <w:rFonts w:ascii="Times New Roman" w:hAnsi="Times New Roman"/>
                <w:bCs/>
                <w:kern w:val="0"/>
                <w:sz w:val="18"/>
                <w:szCs w:val="18"/>
              </w:rPr>
              <w:t>乡镇（街道）</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生猪</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蛋鸡</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肉鸡</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鸭</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兔</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羊</w:t>
            </w:r>
          </w:p>
        </w:tc>
        <w:tc>
          <w:tcPr>
            <w:tcW w:w="0" w:type="auto"/>
            <w:gridSpan w:val="2"/>
            <w:tcBorders>
              <w:top w:val="single" w:color="auto" w:sz="4" w:space="0"/>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肉牛</w:t>
            </w:r>
          </w:p>
        </w:tc>
        <w:tc>
          <w:tcPr>
            <w:tcW w:w="0" w:type="auto"/>
            <w:gridSpan w:val="2"/>
            <w:tcBorders>
              <w:top w:val="single" w:color="auto" w:sz="4" w:space="0"/>
              <w:left w:val="nil"/>
              <w:bottom w:val="single" w:color="auto" w:sz="4" w:space="0"/>
              <w:right w:val="single" w:color="auto" w:sz="4" w:space="0"/>
            </w:tcBorders>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肉鹅</w:t>
            </w:r>
          </w:p>
        </w:tc>
      </w:tr>
      <w:tr>
        <w:tblPrEx>
          <w:tblCellMar>
            <w:top w:w="0" w:type="dxa"/>
            <w:left w:w="108" w:type="dxa"/>
            <w:bottom w:w="0" w:type="dxa"/>
            <w:right w:w="108" w:type="dxa"/>
          </w:tblCellMar>
        </w:tblPrEx>
        <w:trPr>
          <w:trHeight w:val="270" w:hRule="atLeast"/>
          <w:tblHeader/>
        </w:trPr>
        <w:tc>
          <w:tcPr>
            <w:tcW w:w="102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4" w:lineRule="auto"/>
              <w:jc w:val="left"/>
              <w:rPr>
                <w:rFonts w:ascii="Times New Roman" w:hAnsi="Times New Roman"/>
                <w:bCs/>
                <w:kern w:val="0"/>
                <w:sz w:val="18"/>
                <w:szCs w:val="18"/>
              </w:rPr>
            </w:pP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（头）</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设计存栏数</w:t>
            </w:r>
            <w:r>
              <w:rPr>
                <w:rFonts w:hint="eastAsia" w:ascii="Times New Roman" w:hAnsi="Times New Roman"/>
                <w:bCs/>
                <w:kern w:val="0"/>
                <w:sz w:val="18"/>
                <w:szCs w:val="18"/>
              </w:rPr>
              <w:t>（只）</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实际存栏占设计总量比例（%）</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全福街道</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6806</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24.57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535000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58.60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14500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66.90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14000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85.71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81.95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白马镇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45086</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46.44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80000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55.00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12500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86.40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20620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76.62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6000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100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294</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48.30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410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82.29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大佛街道</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19225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28.63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38800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58.76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3700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54.05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175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62.50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绿心街道</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890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29.89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6000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13.33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22000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36.36 </w:t>
            </w:r>
          </w:p>
        </w:tc>
        <w:tc>
          <w:tcPr>
            <w:tcW w:w="0" w:type="auto"/>
            <w:tcBorders>
              <w:top w:val="nil"/>
              <w:left w:val="nil"/>
              <w:bottom w:val="single" w:color="auto" w:sz="4" w:space="0"/>
              <w:right w:val="single" w:color="auto" w:sz="4" w:space="0"/>
            </w:tcBorders>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16</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茅桥镇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16023</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39.09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18200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33.65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9000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22.22 </w:t>
            </w:r>
          </w:p>
        </w:tc>
        <w:tc>
          <w:tcPr>
            <w:tcW w:w="0" w:type="auto"/>
            <w:tcBorders>
              <w:top w:val="nil"/>
              <w:left w:val="nil"/>
              <w:bottom w:val="single" w:color="auto" w:sz="4" w:space="0"/>
              <w:right w:val="single" w:color="auto" w:sz="4" w:space="0"/>
            </w:tcBorders>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26300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55.13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63.33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棉竹镇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13181</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29.51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20000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81.00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60000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100.00 </w:t>
            </w:r>
          </w:p>
        </w:tc>
        <w:tc>
          <w:tcPr>
            <w:tcW w:w="0" w:type="auto"/>
            <w:tcBorders>
              <w:top w:val="nil"/>
              <w:left w:val="nil"/>
              <w:bottom w:val="single" w:color="auto" w:sz="4" w:space="0"/>
              <w:right w:val="single" w:color="auto" w:sz="4" w:space="0"/>
            </w:tcBorders>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60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牟子镇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11799</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29.65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254500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65.82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19530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95.94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28000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17.86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950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55.26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13.06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平兴镇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29063</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45.61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42000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53.57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170500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45.63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22950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23.09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245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青平镇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1145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55.46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ind w:right="220"/>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67.14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苏稽镇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16510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45.36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863100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66.78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283500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43.42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16000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62.50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1200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62.50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60.00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70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46.00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水口镇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4680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63.61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20000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75.00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206000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43.79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8000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26.25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44.38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悦来镇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24640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52.86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10000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100.00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19000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100.00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550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100.00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178</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43.08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ascii="Times New Roman" w:hAnsi="Times New Roman"/>
                <w:bCs/>
                <w:kern w:val="0"/>
                <w:sz w:val="18"/>
                <w:szCs w:val="18"/>
              </w:rPr>
              <w:t>土主镇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63308</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36.37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143000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34.27 </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256540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74.14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12000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58.33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1110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48.02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130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68.00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4500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88.89</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bCs/>
                <w:kern w:val="0"/>
                <w:sz w:val="18"/>
                <w:szCs w:val="18"/>
              </w:rPr>
            </w:pPr>
            <w:r>
              <w:rPr>
                <w:rFonts w:hint="eastAsia" w:ascii="Times New Roman" w:hAnsi="Times New Roman"/>
                <w:bCs/>
                <w:kern w:val="0"/>
                <w:sz w:val="18"/>
                <w:szCs w:val="18"/>
              </w:rPr>
              <w:t>剑峰</w:t>
            </w:r>
            <w:r>
              <w:rPr>
                <w:rFonts w:ascii="Times New Roman" w:hAnsi="Times New Roman"/>
                <w:bCs/>
                <w:kern w:val="0"/>
                <w:sz w:val="18"/>
                <w:szCs w:val="18"/>
              </w:rPr>
              <w:t>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62536</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65.13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19000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19.74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ascii="Times New Roman" w:hAnsi="Times New Roman"/>
                <w:color w:val="000000"/>
                <w:sz w:val="18"/>
                <w:szCs w:val="18"/>
              </w:rPr>
              <w:t>1560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2.56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4000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22.25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300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23.33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 xml:space="preserve">81.95 </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0</w:t>
            </w:r>
          </w:p>
        </w:tc>
        <w:tc>
          <w:tcPr>
            <w:tcW w:w="0" w:type="auto"/>
            <w:tcBorders>
              <w:top w:val="nil"/>
              <w:left w:val="nil"/>
              <w:bottom w:val="single" w:color="auto" w:sz="4" w:space="0"/>
              <w:right w:val="single" w:color="auto" w:sz="4" w:space="0"/>
            </w:tcBorders>
            <w:vAlign w:val="center"/>
          </w:tcPr>
          <w:p>
            <w:pPr>
              <w:widowControl/>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ind w:right="-73" w:rightChars="-26"/>
              <w:jc w:val="left"/>
              <w:rPr>
                <w:rFonts w:ascii="Times New Roman" w:hAnsi="Times New Roman"/>
                <w:bCs/>
                <w:kern w:val="0"/>
                <w:sz w:val="18"/>
                <w:szCs w:val="18"/>
              </w:rPr>
            </w:pPr>
            <w:r>
              <w:rPr>
                <w:rFonts w:hint="eastAsia" w:ascii="Times New Roman" w:hAnsi="Times New Roman"/>
                <w:bCs/>
                <w:kern w:val="0"/>
                <w:sz w:val="18"/>
                <w:szCs w:val="18"/>
              </w:rPr>
              <w:t>*总量/平均</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314892</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42.30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1737300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56.80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1365840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58.71</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144660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54.02</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43200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40.52</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3304</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55.82</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1359</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57.17</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4500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88.89</w:t>
            </w:r>
          </w:p>
        </w:tc>
      </w:tr>
      <w:tr>
        <w:tblPrEx>
          <w:tblCellMar>
            <w:top w:w="0" w:type="dxa"/>
            <w:left w:w="108" w:type="dxa"/>
            <w:bottom w:w="0" w:type="dxa"/>
            <w:right w:w="108" w:type="dxa"/>
          </w:tblCellMar>
        </w:tblPrEx>
        <w:trPr>
          <w:trHeight w:val="270" w:hRule="atLeast"/>
          <w:tblHeader/>
        </w:trPr>
        <w:tc>
          <w:tcPr>
            <w:tcW w:w="1027" w:type="dxa"/>
            <w:tcBorders>
              <w:top w:val="nil"/>
              <w:left w:val="single" w:color="auto" w:sz="4" w:space="0"/>
              <w:bottom w:val="single" w:color="auto" w:sz="4" w:space="0"/>
              <w:right w:val="single" w:color="auto" w:sz="4" w:space="0"/>
            </w:tcBorders>
            <w:vAlign w:val="center"/>
          </w:tcPr>
          <w:p>
            <w:pPr>
              <w:widowControl/>
              <w:adjustRightInd w:val="0"/>
              <w:snapToGrid w:val="0"/>
              <w:spacing w:line="324" w:lineRule="auto"/>
              <w:ind w:right="-182" w:rightChars="-65"/>
              <w:jc w:val="left"/>
              <w:rPr>
                <w:rFonts w:ascii="Times New Roman" w:hAnsi="Times New Roman"/>
                <w:bCs/>
                <w:kern w:val="0"/>
                <w:sz w:val="18"/>
                <w:szCs w:val="18"/>
              </w:rPr>
            </w:pPr>
            <w:r>
              <w:rPr>
                <w:rFonts w:ascii="Times New Roman" w:hAnsi="Times New Roman"/>
                <w:bCs/>
                <w:kern w:val="0"/>
                <w:sz w:val="18"/>
                <w:szCs w:val="18"/>
              </w:rPr>
              <w:t>猪当量折算</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314892</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57910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22764</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2411</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1440</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1101</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6795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75</w:t>
            </w:r>
          </w:p>
        </w:tc>
        <w:tc>
          <w:tcPr>
            <w:tcW w:w="0" w:type="auto"/>
            <w:tcBorders>
              <w:top w:val="nil"/>
              <w:left w:val="nil"/>
              <w:bottom w:val="single" w:color="auto" w:sz="4" w:space="0"/>
              <w:right w:val="single" w:color="auto" w:sz="4" w:space="0"/>
            </w:tcBorders>
            <w:vAlign w:val="center"/>
          </w:tcPr>
          <w:p>
            <w:pPr>
              <w:adjustRightInd w:val="0"/>
              <w:snapToGrid w:val="0"/>
              <w:spacing w:line="324" w:lineRule="auto"/>
              <w:jc w:val="center"/>
              <w:rPr>
                <w:rFonts w:ascii="Times New Roman" w:hAnsi="Times New Roman"/>
                <w:color w:val="000000"/>
                <w:sz w:val="18"/>
                <w:szCs w:val="18"/>
              </w:rPr>
            </w:pPr>
            <w:r>
              <w:rPr>
                <w:rFonts w:hint="eastAsia" w:ascii="Times New Roman" w:hAnsi="Times New Roman"/>
                <w:color w:val="000000"/>
                <w:sz w:val="18"/>
                <w:szCs w:val="18"/>
              </w:rPr>
              <w:t>—</w:t>
            </w:r>
          </w:p>
        </w:tc>
      </w:tr>
      <w:bookmarkEnd w:id="65"/>
    </w:tbl>
    <w:p>
      <w:pPr>
        <w:spacing w:line="240" w:lineRule="auto"/>
        <w:ind w:left="-426" w:leftChars="-152" w:right="-356" w:rightChars="-127" w:firstLine="424" w:firstLineChars="236"/>
        <w:jc w:val="left"/>
      </w:pPr>
      <w:r>
        <w:rPr>
          <w:rFonts w:ascii="Times New Roman" w:hAnsi="Times New Roman"/>
          <w:bCs/>
          <w:kern w:val="16"/>
          <w:sz w:val="18"/>
          <w:szCs w:val="18"/>
        </w:rPr>
        <w:t>注</w:t>
      </w:r>
      <w:r>
        <w:rPr>
          <w:rFonts w:hint="eastAsia" w:ascii="Times New Roman" w:hAnsi="Times New Roman"/>
          <w:bCs/>
          <w:kern w:val="16"/>
          <w:sz w:val="18"/>
          <w:szCs w:val="18"/>
        </w:rPr>
        <w:t>：①</w:t>
      </w:r>
      <w:r>
        <w:rPr>
          <w:rFonts w:ascii="Times New Roman" w:hAnsi="Times New Roman"/>
          <w:bCs/>
          <w:kern w:val="16"/>
          <w:sz w:val="18"/>
          <w:szCs w:val="18"/>
        </w:rPr>
        <w:t>上表原始数据来源于</w:t>
      </w:r>
      <w:r>
        <w:rPr>
          <w:rFonts w:hint="eastAsia" w:ascii="Times New Roman" w:hAnsi="Times New Roman"/>
          <w:bCs/>
          <w:kern w:val="16"/>
          <w:sz w:val="18"/>
          <w:szCs w:val="18"/>
        </w:rPr>
        <w:t>乐山市市中区农业农村局，</w:t>
      </w:r>
      <w:r>
        <w:rPr>
          <w:rFonts w:ascii="Times New Roman" w:hAnsi="Times New Roman"/>
          <w:bCs/>
          <w:kern w:val="16"/>
          <w:sz w:val="18"/>
          <w:szCs w:val="18"/>
        </w:rPr>
        <w:t>统计数据截止</w:t>
      </w:r>
      <w:r>
        <w:rPr>
          <w:rFonts w:hint="eastAsia" w:ascii="Times New Roman" w:hAnsi="Times New Roman"/>
          <w:bCs/>
          <w:kern w:val="16"/>
          <w:sz w:val="18"/>
          <w:szCs w:val="18"/>
        </w:rPr>
        <w:t>2021年5月25日；②*设计存栏数为总量，实际存栏占设计总量占比为平均值；②猪当量折算标准为：1头肉牛≈5头猪、3只羊≈1头猪、30只蛋禽≈1头猪、60只肉鸡≈1头猪、60只肉鹅≈1头猪、60只鸭≈1头猪、30只兔≈1头猪。</w:t>
      </w:r>
    </w:p>
    <w:p>
      <w:pPr>
        <w:pStyle w:val="8"/>
      </w:pPr>
    </w:p>
    <w:p>
      <w:pPr>
        <w:jc w:val="center"/>
        <w:rPr>
          <w:rFonts w:ascii="Times New Roman" w:hAnsi="Times New Roman" w:eastAsia="黑体"/>
          <w:bCs/>
          <w:kern w:val="16"/>
          <w:sz w:val="22"/>
          <w:szCs w:val="21"/>
        </w:rPr>
      </w:pPr>
      <w:r>
        <w:rPr>
          <w:rFonts w:ascii="Times New Roman" w:hAnsi="Times New Roman"/>
          <w:b/>
          <w:sz w:val="21"/>
          <w:szCs w:val="21"/>
        </w:rPr>
        <w:t>表3-</w:t>
      </w:r>
      <w:r>
        <w:rPr>
          <w:rFonts w:hint="eastAsia" w:ascii="Times New Roman" w:hAnsi="Times New Roman"/>
          <w:b/>
          <w:sz w:val="21"/>
          <w:szCs w:val="21"/>
        </w:rPr>
        <w:t>5</w:t>
      </w:r>
      <w:r>
        <w:rPr>
          <w:rFonts w:ascii="Times New Roman" w:hAnsi="Times New Roman"/>
          <w:b/>
          <w:sz w:val="21"/>
          <w:szCs w:val="21"/>
        </w:rPr>
        <w:t>市中区</w:t>
      </w:r>
      <w:r>
        <w:rPr>
          <w:rFonts w:hint="eastAsia" w:ascii="Times New Roman" w:hAnsi="Times New Roman"/>
          <w:b/>
          <w:sz w:val="21"/>
          <w:szCs w:val="21"/>
        </w:rPr>
        <w:t>各镇（街道）</w:t>
      </w:r>
      <w:r>
        <w:rPr>
          <w:rFonts w:ascii="Times New Roman" w:hAnsi="Times New Roman"/>
          <w:b/>
          <w:sz w:val="21"/>
          <w:szCs w:val="21"/>
        </w:rPr>
        <w:t>养殖场</w:t>
      </w:r>
      <w:r>
        <w:rPr>
          <w:rFonts w:hint="eastAsia" w:ascii="Times New Roman" w:hAnsi="Times New Roman"/>
          <w:b/>
          <w:sz w:val="21"/>
          <w:szCs w:val="21"/>
        </w:rPr>
        <w:t>（户）基本现状统计表</w:t>
      </w:r>
    </w:p>
    <w:tbl>
      <w:tblPr>
        <w:tblStyle w:val="23"/>
        <w:tblW w:w="0" w:type="auto"/>
        <w:tblInd w:w="89" w:type="dxa"/>
        <w:tblLayout w:type="autofit"/>
        <w:tblCellMar>
          <w:top w:w="0" w:type="dxa"/>
          <w:left w:w="108" w:type="dxa"/>
          <w:bottom w:w="0" w:type="dxa"/>
          <w:right w:w="108" w:type="dxa"/>
        </w:tblCellMar>
      </w:tblPr>
      <w:tblGrid>
        <w:gridCol w:w="1263"/>
        <w:gridCol w:w="1686"/>
        <w:gridCol w:w="1818"/>
        <w:gridCol w:w="1818"/>
        <w:gridCol w:w="1744"/>
        <w:gridCol w:w="2093"/>
        <w:gridCol w:w="1832"/>
        <w:gridCol w:w="1832"/>
      </w:tblGrid>
      <w:tr>
        <w:tblPrEx>
          <w:tblCellMar>
            <w:top w:w="0" w:type="dxa"/>
            <w:left w:w="108" w:type="dxa"/>
            <w:bottom w:w="0" w:type="dxa"/>
            <w:right w:w="108" w:type="dxa"/>
          </w:tblCellMar>
        </w:tblPrEx>
        <w:trPr>
          <w:trHeight w:val="570" w:hRule="atLeast"/>
        </w:trPr>
        <w:tc>
          <w:tcPr>
            <w:tcW w:w="183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乡镇（街道）</w:t>
            </w:r>
          </w:p>
        </w:tc>
        <w:tc>
          <w:tcPr>
            <w:tcW w:w="2442"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w:t>
            </w:r>
            <w:r>
              <w:rPr>
                <w:rFonts w:ascii="Times New Roman" w:hAnsi="Times New Roman"/>
                <w:bCs/>
                <w:kern w:val="0"/>
                <w:sz w:val="21"/>
                <w:szCs w:val="21"/>
              </w:rPr>
              <w:t>各类畜种养殖场</w:t>
            </w:r>
            <w:r>
              <w:rPr>
                <w:rFonts w:hint="eastAsia" w:ascii="Times New Roman" w:hAnsi="Times New Roman"/>
                <w:bCs/>
                <w:kern w:val="0"/>
                <w:sz w:val="21"/>
                <w:szCs w:val="21"/>
              </w:rPr>
              <w:t>（户）数量（个）</w:t>
            </w:r>
          </w:p>
        </w:tc>
        <w:tc>
          <w:tcPr>
            <w:tcW w:w="2693"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*位于</w:t>
            </w:r>
            <w:r>
              <w:rPr>
                <w:rFonts w:ascii="Times New Roman" w:hAnsi="Times New Roman"/>
                <w:bCs/>
                <w:kern w:val="0"/>
                <w:sz w:val="21"/>
                <w:szCs w:val="21"/>
              </w:rPr>
              <w:t>禁养区</w:t>
            </w:r>
            <w:r>
              <w:rPr>
                <w:rFonts w:hint="eastAsia" w:ascii="Times New Roman" w:hAnsi="Times New Roman"/>
                <w:bCs/>
                <w:kern w:val="0"/>
                <w:sz w:val="21"/>
                <w:szCs w:val="21"/>
              </w:rPr>
              <w:t>数量（个）</w:t>
            </w:r>
          </w:p>
        </w:tc>
        <w:tc>
          <w:tcPr>
            <w:tcW w:w="2693"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*土地、环评手续数量（个）</w:t>
            </w:r>
          </w:p>
        </w:tc>
        <w:tc>
          <w:tcPr>
            <w:tcW w:w="2552"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*在养殖场直联直报系统备案数量（个）</w:t>
            </w:r>
          </w:p>
        </w:tc>
        <w:tc>
          <w:tcPr>
            <w:tcW w:w="3216"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#规模养殖场（小区）（个）</w:t>
            </w:r>
          </w:p>
        </w:tc>
        <w:tc>
          <w:tcPr>
            <w:tcW w:w="2719" w:type="dxa"/>
            <w:vMerge w:val="restart"/>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#养殖专业户（个）</w:t>
            </w:r>
          </w:p>
        </w:tc>
        <w:tc>
          <w:tcPr>
            <w:tcW w:w="2720" w:type="dxa"/>
            <w:tcBorders>
              <w:top w:val="single" w:color="auto" w:sz="4" w:space="0"/>
              <w:left w:val="nil"/>
              <w:right w:val="single" w:color="auto" w:sz="4" w:space="0"/>
            </w:tcBorders>
            <w:vAlign w:val="center"/>
          </w:tcPr>
          <w:p>
            <w:pPr>
              <w:spacing w:line="240" w:lineRule="auto"/>
              <w:jc w:val="center"/>
              <w:rPr>
                <w:rFonts w:ascii="Times New Roman" w:hAnsi="Times New Roman"/>
                <w:bCs/>
                <w:kern w:val="0"/>
                <w:sz w:val="21"/>
                <w:szCs w:val="21"/>
              </w:rPr>
            </w:pPr>
          </w:p>
          <w:p>
            <w:pPr>
              <w:spacing w:line="240" w:lineRule="auto"/>
              <w:jc w:val="center"/>
              <w:rPr>
                <w:rFonts w:ascii="Times New Roman" w:hAnsi="Times New Roman"/>
                <w:bCs/>
                <w:kern w:val="0"/>
                <w:sz w:val="21"/>
                <w:szCs w:val="21"/>
              </w:rPr>
            </w:pPr>
            <w:r>
              <w:rPr>
                <w:rFonts w:hint="eastAsia" w:ascii="Times New Roman" w:hAnsi="Times New Roman"/>
                <w:bCs/>
                <w:kern w:val="0"/>
                <w:sz w:val="21"/>
                <w:szCs w:val="21"/>
              </w:rPr>
              <w:t>#散养户（个）</w:t>
            </w:r>
          </w:p>
        </w:tc>
      </w:tr>
      <w:tr>
        <w:tblPrEx>
          <w:tblCellMar>
            <w:top w:w="0" w:type="dxa"/>
            <w:left w:w="108" w:type="dxa"/>
            <w:bottom w:w="0" w:type="dxa"/>
            <w:right w:w="108" w:type="dxa"/>
          </w:tblCellMar>
        </w:tblPrEx>
        <w:trPr>
          <w:trHeight w:val="485" w:hRule="atLeast"/>
        </w:trPr>
        <w:tc>
          <w:tcPr>
            <w:tcW w:w="18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Times New Roman" w:hAnsi="Times New Roman"/>
                <w:bCs/>
                <w:kern w:val="0"/>
                <w:sz w:val="21"/>
                <w:szCs w:val="21"/>
              </w:rPr>
            </w:pPr>
          </w:p>
        </w:tc>
        <w:tc>
          <w:tcPr>
            <w:tcW w:w="2442" w:type="dxa"/>
            <w:vMerge w:val="continue"/>
            <w:tcBorders>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p>
        </w:tc>
        <w:tc>
          <w:tcPr>
            <w:tcW w:w="2693" w:type="dxa"/>
            <w:vMerge w:val="continue"/>
            <w:tcBorders>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p>
        </w:tc>
        <w:tc>
          <w:tcPr>
            <w:tcW w:w="2693" w:type="dxa"/>
            <w:vMerge w:val="continue"/>
            <w:tcBorders>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p>
        </w:tc>
        <w:tc>
          <w:tcPr>
            <w:tcW w:w="2552" w:type="dxa"/>
            <w:vMerge w:val="continue"/>
            <w:tcBorders>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p>
        </w:tc>
        <w:tc>
          <w:tcPr>
            <w:tcW w:w="3216" w:type="dxa"/>
            <w:vMerge w:val="continue"/>
            <w:tcBorders>
              <w:left w:val="nil"/>
              <w:bottom w:val="single" w:color="auto" w:sz="4" w:space="0"/>
              <w:right w:val="single" w:color="auto" w:sz="4" w:space="0"/>
            </w:tcBorders>
            <w:vAlign w:val="center"/>
          </w:tcPr>
          <w:p>
            <w:pPr>
              <w:spacing w:line="240" w:lineRule="auto"/>
              <w:jc w:val="center"/>
              <w:rPr>
                <w:rFonts w:ascii="Times New Roman" w:hAnsi="Times New Roman"/>
                <w:bCs/>
                <w:kern w:val="0"/>
                <w:sz w:val="21"/>
                <w:szCs w:val="21"/>
              </w:rPr>
            </w:pPr>
          </w:p>
        </w:tc>
        <w:tc>
          <w:tcPr>
            <w:tcW w:w="2719" w:type="dxa"/>
            <w:vMerge w:val="continue"/>
            <w:tcBorders>
              <w:left w:val="nil"/>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p>
        </w:tc>
        <w:tc>
          <w:tcPr>
            <w:tcW w:w="2720" w:type="dxa"/>
            <w:tcBorders>
              <w:left w:val="nil"/>
              <w:bottom w:val="single" w:color="auto" w:sz="4" w:space="0"/>
              <w:right w:val="single" w:color="auto" w:sz="4" w:space="0"/>
            </w:tcBorders>
            <w:vAlign w:val="center"/>
          </w:tcPr>
          <w:p>
            <w:pPr>
              <w:spacing w:line="240" w:lineRule="auto"/>
              <w:jc w:val="center"/>
              <w:rPr>
                <w:rFonts w:ascii="Times New Roman" w:hAnsi="Times New Roman"/>
                <w:bCs/>
                <w:kern w:val="0"/>
                <w:sz w:val="21"/>
                <w:szCs w:val="21"/>
              </w:rPr>
            </w:pP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全福街道</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52</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7</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24</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21</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白马镇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252</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46</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126</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83</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大佛街道</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179</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3</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29</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87</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63</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绿心街道</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15</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茅桥镇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149</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149</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10</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69</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52</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棉竹镇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117</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11</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15</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51</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51</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牟子镇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85</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2</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14</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16</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38</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31</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平兴镇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72</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19</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13</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36</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23</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青平镇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24</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8</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11</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苏稽镇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197</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5</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68</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41</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117</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42</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水口镇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45</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7</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27</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12</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悦来镇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105</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2</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21</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49</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35</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ascii="Times New Roman" w:hAnsi="Times New Roman"/>
                <w:bCs/>
                <w:kern w:val="0"/>
                <w:sz w:val="21"/>
                <w:szCs w:val="21"/>
              </w:rPr>
              <w:t>土主镇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664</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40</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34</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94</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318</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257</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hint="eastAsia" w:ascii="Times New Roman" w:hAnsi="Times New Roman"/>
                <w:bCs/>
                <w:kern w:val="0"/>
                <w:sz w:val="21"/>
                <w:szCs w:val="21"/>
              </w:rPr>
              <w:t>剑峰</w:t>
            </w:r>
            <w:r>
              <w:rPr>
                <w:rFonts w:ascii="Times New Roman" w:hAnsi="Times New Roman"/>
                <w:bCs/>
                <w:kern w:val="0"/>
                <w:sz w:val="21"/>
                <w:szCs w:val="21"/>
              </w:rPr>
              <w:t>镇</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243</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widowControl/>
              <w:spacing w:line="240" w:lineRule="auto"/>
              <w:jc w:val="center"/>
              <w:rPr>
                <w:rFonts w:ascii="Times New Roman" w:hAnsi="Times New Roman"/>
                <w:color w:val="000000"/>
                <w:sz w:val="21"/>
                <w:szCs w:val="21"/>
              </w:rPr>
            </w:pPr>
            <w:r>
              <w:rPr>
                <w:rFonts w:ascii="Times New Roman" w:hAnsi="Times New Roman"/>
                <w:color w:val="000000"/>
                <w:sz w:val="21"/>
                <w:szCs w:val="21"/>
              </w:rPr>
              <w:t>6</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11</w:t>
            </w:r>
          </w:p>
        </w:tc>
        <w:tc>
          <w:tcPr>
            <w:tcW w:w="3216"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32</w:t>
            </w:r>
          </w:p>
        </w:tc>
        <w:tc>
          <w:tcPr>
            <w:tcW w:w="2719"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142</w:t>
            </w:r>
          </w:p>
        </w:tc>
        <w:tc>
          <w:tcPr>
            <w:tcW w:w="2720"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69</w:t>
            </w:r>
          </w:p>
        </w:tc>
      </w:tr>
      <w:tr>
        <w:tblPrEx>
          <w:tblCellMar>
            <w:top w:w="0" w:type="dxa"/>
            <w:left w:w="108" w:type="dxa"/>
            <w:bottom w:w="0" w:type="dxa"/>
            <w:right w:w="108" w:type="dxa"/>
          </w:tblCellMar>
        </w:tblPrEx>
        <w:trPr>
          <w:trHeight w:val="270" w:hRule="atLeast"/>
        </w:trPr>
        <w:tc>
          <w:tcPr>
            <w:tcW w:w="1830" w:type="dxa"/>
            <w:tcBorders>
              <w:top w:val="nil"/>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bCs/>
                <w:kern w:val="0"/>
                <w:sz w:val="21"/>
                <w:szCs w:val="21"/>
              </w:rPr>
            </w:pPr>
            <w:r>
              <w:rPr>
                <w:rFonts w:hint="eastAsia" w:ascii="Times New Roman" w:hAnsi="Times New Roman"/>
                <w:bCs/>
                <w:kern w:val="0"/>
                <w:sz w:val="21"/>
                <w:szCs w:val="21"/>
              </w:rPr>
              <w:t>合计</w:t>
            </w:r>
          </w:p>
        </w:tc>
        <w:tc>
          <w:tcPr>
            <w:tcW w:w="244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2199</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0</w:t>
            </w:r>
          </w:p>
        </w:tc>
        <w:tc>
          <w:tcPr>
            <w:tcW w:w="2693"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225</w:t>
            </w:r>
          </w:p>
        </w:tc>
        <w:tc>
          <w:tcPr>
            <w:tcW w:w="2552" w:type="dxa"/>
            <w:tcBorders>
              <w:top w:val="nil"/>
              <w:left w:val="nil"/>
              <w:bottom w:val="single" w:color="auto" w:sz="4" w:space="0"/>
              <w:right w:val="single" w:color="auto" w:sz="4" w:space="0"/>
            </w:tcBorders>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208</w:t>
            </w:r>
          </w:p>
        </w:tc>
        <w:tc>
          <w:tcPr>
            <w:tcW w:w="3216" w:type="dxa"/>
            <w:tcBorders>
              <w:top w:val="nil"/>
              <w:left w:val="nil"/>
              <w:bottom w:val="single" w:color="auto" w:sz="4" w:space="0"/>
              <w:right w:val="single" w:color="auto" w:sz="4" w:space="0"/>
            </w:tcBorders>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346</w:t>
            </w:r>
          </w:p>
        </w:tc>
        <w:tc>
          <w:tcPr>
            <w:tcW w:w="2719" w:type="dxa"/>
            <w:tcBorders>
              <w:top w:val="nil"/>
              <w:left w:val="nil"/>
              <w:bottom w:val="single" w:color="auto" w:sz="4" w:space="0"/>
              <w:right w:val="single" w:color="auto" w:sz="4" w:space="0"/>
            </w:tcBorders>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1098</w:t>
            </w:r>
          </w:p>
        </w:tc>
        <w:tc>
          <w:tcPr>
            <w:tcW w:w="2720" w:type="dxa"/>
            <w:tcBorders>
              <w:top w:val="nil"/>
              <w:left w:val="nil"/>
              <w:bottom w:val="single" w:color="auto" w:sz="4" w:space="0"/>
              <w:right w:val="single" w:color="auto" w:sz="4" w:space="0"/>
            </w:tcBorders>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755</w:t>
            </w:r>
          </w:p>
        </w:tc>
      </w:tr>
    </w:tbl>
    <w:p>
      <w:pPr>
        <w:jc w:val="left"/>
      </w:pPr>
      <w:r>
        <w:rPr>
          <w:rFonts w:ascii="Times New Roman" w:hAnsi="Times New Roman"/>
          <w:bCs/>
          <w:kern w:val="16"/>
          <w:sz w:val="18"/>
          <w:szCs w:val="18"/>
        </w:rPr>
        <w:t>注</w:t>
      </w:r>
      <w:r>
        <w:rPr>
          <w:rFonts w:hint="eastAsia" w:ascii="Times New Roman" w:hAnsi="Times New Roman"/>
          <w:bCs/>
          <w:kern w:val="16"/>
          <w:sz w:val="18"/>
          <w:szCs w:val="18"/>
        </w:rPr>
        <w:t>：①*</w:t>
      </w:r>
      <w:r>
        <w:rPr>
          <w:rFonts w:ascii="Times New Roman" w:hAnsi="Times New Roman"/>
          <w:bCs/>
          <w:kern w:val="16"/>
          <w:sz w:val="18"/>
          <w:szCs w:val="18"/>
        </w:rPr>
        <w:t>原始数据来源于</w:t>
      </w:r>
      <w:r>
        <w:rPr>
          <w:rFonts w:hint="eastAsia" w:ascii="Times New Roman" w:hAnsi="Times New Roman"/>
          <w:bCs/>
          <w:kern w:val="16"/>
          <w:sz w:val="18"/>
          <w:szCs w:val="18"/>
        </w:rPr>
        <w:t>乐山市市中区农业农村局，</w:t>
      </w:r>
      <w:r>
        <w:rPr>
          <w:rFonts w:ascii="Times New Roman" w:hAnsi="Times New Roman"/>
          <w:bCs/>
          <w:kern w:val="16"/>
          <w:sz w:val="18"/>
          <w:szCs w:val="18"/>
        </w:rPr>
        <w:t>统计数据截止</w:t>
      </w:r>
      <w:r>
        <w:rPr>
          <w:rFonts w:hint="eastAsia" w:ascii="Times New Roman" w:hAnsi="Times New Roman"/>
          <w:bCs/>
          <w:kern w:val="16"/>
          <w:sz w:val="18"/>
          <w:szCs w:val="18"/>
        </w:rPr>
        <w:t>2021年5月25日；②#统计数据截止于2020年末。</w:t>
      </w:r>
    </w:p>
    <w:p>
      <w:pPr>
        <w:pStyle w:val="8"/>
      </w:pPr>
    </w:p>
    <w:p>
      <w:pPr>
        <w:sectPr>
          <w:pgSz w:w="16839" w:h="11907" w:orient="landscape"/>
          <w:pgMar w:top="1474" w:right="1440" w:bottom="1418" w:left="1440" w:header="851" w:footer="992" w:gutter="0"/>
          <w:pgNumType w:fmt="numberInDash"/>
          <w:cols w:space="720" w:num="1"/>
          <w:docGrid w:type="lines" w:linePitch="381" w:charSpace="0"/>
        </w:sectPr>
      </w:pPr>
    </w:p>
    <w:p>
      <w:pPr>
        <w:pStyle w:val="4"/>
        <w:adjustRightInd w:val="0"/>
        <w:snapToGrid w:val="0"/>
        <w:spacing w:before="0" w:after="0" w:line="360" w:lineRule="auto"/>
        <w:rPr>
          <w:rFonts w:ascii="Times New Roman" w:hAnsi="Times New Roman"/>
          <w:sz w:val="24"/>
          <w:szCs w:val="24"/>
        </w:rPr>
      </w:pPr>
      <w:bookmarkStart w:id="66" w:name="_Toc117868730"/>
      <w:r>
        <w:rPr>
          <w:rFonts w:ascii="Times New Roman" w:hAnsi="Times New Roman"/>
          <w:sz w:val="24"/>
          <w:szCs w:val="24"/>
        </w:rPr>
        <w:t>3.3</w:t>
      </w:r>
      <w:r>
        <w:rPr>
          <w:rFonts w:hint="eastAsia" w:ascii="Times New Roman" w:hAnsi="Times New Roman"/>
          <w:sz w:val="24"/>
          <w:szCs w:val="24"/>
        </w:rPr>
        <w:t>.2</w:t>
      </w:r>
      <w:r>
        <w:rPr>
          <w:rFonts w:ascii="Times New Roman" w:hAnsi="Times New Roman"/>
          <w:sz w:val="24"/>
          <w:szCs w:val="24"/>
        </w:rPr>
        <w:t xml:space="preserve"> 禽畜</w:t>
      </w:r>
      <w:r>
        <w:rPr>
          <w:rFonts w:hint="eastAsia" w:ascii="Times New Roman" w:hAnsi="Times New Roman"/>
          <w:sz w:val="24"/>
          <w:szCs w:val="24"/>
        </w:rPr>
        <w:t>粪污和污染物的产生量</w:t>
      </w:r>
      <w:bookmarkEnd w:id="66"/>
    </w:p>
    <w:p>
      <w:pPr>
        <w:pStyle w:val="7"/>
        <w:adjustRightInd w:val="0"/>
        <w:snapToGrid w:val="0"/>
        <w:spacing w:after="0" w:line="360" w:lineRule="auto"/>
        <w:ind w:firstLine="561"/>
        <w:rPr>
          <w:rFonts w:ascii="宋体" w:hAnsi="宋体" w:eastAsia="宋体"/>
          <w:sz w:val="24"/>
          <w:szCs w:val="24"/>
        </w:rPr>
      </w:pPr>
      <w:r>
        <w:rPr>
          <w:rFonts w:hint="eastAsia" w:ascii="宋体" w:hAnsi="宋体" w:eastAsia="宋体"/>
          <w:sz w:val="24"/>
          <w:szCs w:val="24"/>
        </w:rPr>
        <w:t>（1）禽畜养殖粪污的产生量</w:t>
      </w:r>
    </w:p>
    <w:p>
      <w:pPr>
        <w:pStyle w:val="7"/>
        <w:adjustRightInd w:val="0"/>
        <w:snapToGrid w:val="0"/>
        <w:spacing w:after="0" w:line="360" w:lineRule="auto"/>
        <w:ind w:firstLine="561"/>
        <w:rPr>
          <w:rFonts w:ascii="宋体" w:hAnsi="宋体" w:eastAsia="宋体"/>
          <w:color w:val="000000"/>
          <w:sz w:val="24"/>
          <w:szCs w:val="24"/>
        </w:rPr>
      </w:pPr>
      <w:r>
        <w:rPr>
          <w:rFonts w:hint="eastAsia" w:ascii="宋体" w:hAnsi="宋体" w:eastAsia="宋体"/>
          <w:sz w:val="24"/>
          <w:szCs w:val="24"/>
        </w:rPr>
        <w:t>不同畜禽养殖类型，其粪尿的排泄量有较大差异。根据</w:t>
      </w:r>
      <w:r>
        <w:rPr>
          <w:rFonts w:hint="eastAsia" w:ascii="宋体" w:hAnsi="宋体" w:eastAsia="宋体"/>
          <w:color w:val="000000"/>
          <w:sz w:val="24"/>
          <w:szCs w:val="24"/>
        </w:rPr>
        <w:t>《农业技术经济手册》、</w:t>
      </w:r>
      <w:bookmarkStart w:id="67" w:name="OLE_LINK6"/>
      <w:r>
        <w:rPr>
          <w:rFonts w:hint="eastAsia" w:ascii="宋体" w:hAnsi="宋体" w:eastAsia="宋体"/>
          <w:color w:val="000000"/>
          <w:sz w:val="24"/>
          <w:szCs w:val="24"/>
        </w:rPr>
        <w:t>《禽畜养殖业污染治理工程技术规范》</w:t>
      </w:r>
      <w:bookmarkEnd w:id="67"/>
      <w:r>
        <w:rPr>
          <w:rFonts w:hint="eastAsia" w:ascii="宋体" w:hAnsi="宋体" w:eastAsia="宋体"/>
          <w:color w:val="000000"/>
          <w:sz w:val="24"/>
          <w:szCs w:val="24"/>
        </w:rPr>
        <w:t>（HJ497-2009）和相关研究，确定各类禽畜粪尿排泄系数。根据排泄系数、饲养周期和现有存栏量，可计算出各类禽畜粪污的年产生量（见表3-6）。</w:t>
      </w:r>
    </w:p>
    <w:p>
      <w:pPr>
        <w:pStyle w:val="33"/>
        <w:adjustRightInd w:val="0"/>
        <w:snapToGrid w:val="0"/>
      </w:pPr>
      <w:r>
        <w:rPr>
          <w:rFonts w:hint="eastAsia"/>
        </w:rPr>
        <w:t>表3-6</w:t>
      </w:r>
      <w:r>
        <w:t xml:space="preserve"> 市中区各类</w:t>
      </w:r>
      <w:r>
        <w:rPr>
          <w:rFonts w:hint="eastAsia"/>
        </w:rPr>
        <w:t>畜禽粪污排泄系数和年产生量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507"/>
        <w:gridCol w:w="1361"/>
        <w:gridCol w:w="1068"/>
        <w:gridCol w:w="1215"/>
        <w:gridCol w:w="1186"/>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1507"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存栏量</w:t>
            </w:r>
          </w:p>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（头、只）</w:t>
            </w:r>
          </w:p>
        </w:tc>
        <w:tc>
          <w:tcPr>
            <w:tcW w:w="1361"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饲养周期（日）</w:t>
            </w:r>
          </w:p>
        </w:tc>
        <w:tc>
          <w:tcPr>
            <w:tcW w:w="106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粪</w:t>
            </w:r>
          </w:p>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（kg/日）</w:t>
            </w:r>
          </w:p>
        </w:tc>
        <w:tc>
          <w:tcPr>
            <w:tcW w:w="1215"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尿</w:t>
            </w:r>
          </w:p>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（kg/日）</w:t>
            </w:r>
          </w:p>
        </w:tc>
        <w:tc>
          <w:tcPr>
            <w:tcW w:w="118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粪便</w:t>
            </w:r>
          </w:p>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（吨/年）</w:t>
            </w:r>
          </w:p>
        </w:tc>
        <w:tc>
          <w:tcPr>
            <w:tcW w:w="111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尿液</w:t>
            </w:r>
          </w:p>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生猪</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143166</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57266.4</w:t>
            </w:r>
          </w:p>
        </w:tc>
        <w:tc>
          <w:tcPr>
            <w:tcW w:w="1118"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94489.</w:t>
            </w:r>
            <w:r>
              <w:rPr>
                <w:rFonts w:hint="eastAsia" w:ascii="Times New Roman" w:hAnsi="Times New Roman"/>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肉牛</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782</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365</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5708.6</w:t>
            </w:r>
          </w:p>
        </w:tc>
        <w:tc>
          <w:tcPr>
            <w:tcW w:w="1118"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肉鸡</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784850</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45</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33905.5</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蛋鸡</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1053494</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365</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46143.0</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肉鹅</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4000</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90</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172.8</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鸭</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87478</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45</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3779.0</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兔</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14390</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0.35</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1511.0</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羊</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1880</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365</w:t>
            </w: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1784.1</w:t>
            </w:r>
          </w:p>
        </w:tc>
        <w:tc>
          <w:tcPr>
            <w:tcW w:w="1118"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p>
        </w:tc>
        <w:tc>
          <w:tcPr>
            <w:tcW w:w="1507"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361" w:type="dxa"/>
            <w:shd w:val="clear" w:color="auto" w:fill="auto"/>
          </w:tcPr>
          <w:p>
            <w:pPr>
              <w:pStyle w:val="7"/>
              <w:spacing w:after="0" w:line="240" w:lineRule="auto"/>
              <w:jc w:val="center"/>
              <w:rPr>
                <w:rFonts w:ascii="Times New Roman" w:hAnsi="Times New Roman" w:eastAsia="宋体" w:cs="Times New Roman"/>
                <w:sz w:val="21"/>
                <w:szCs w:val="21"/>
              </w:rPr>
            </w:pPr>
          </w:p>
        </w:tc>
        <w:tc>
          <w:tcPr>
            <w:tcW w:w="106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1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18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150270.5 </w:t>
            </w:r>
          </w:p>
        </w:tc>
        <w:tc>
          <w:tcPr>
            <w:tcW w:w="111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97343.9 </w:t>
            </w:r>
          </w:p>
        </w:tc>
      </w:tr>
    </w:tbl>
    <w:p>
      <w:pPr>
        <w:spacing w:line="240" w:lineRule="auto"/>
        <w:jc w:val="left"/>
        <w:rPr>
          <w:rFonts w:ascii="Times New Roman" w:hAnsi="Times New Roman"/>
          <w:bCs/>
          <w:kern w:val="16"/>
          <w:sz w:val="18"/>
          <w:szCs w:val="18"/>
        </w:rPr>
      </w:pPr>
      <w:r>
        <w:rPr>
          <w:rFonts w:ascii="Times New Roman" w:hAnsi="Times New Roman"/>
          <w:bCs/>
          <w:kern w:val="16"/>
          <w:sz w:val="18"/>
          <w:szCs w:val="18"/>
        </w:rPr>
        <w:t>注</w:t>
      </w:r>
      <w:r>
        <w:rPr>
          <w:rFonts w:hint="eastAsia" w:ascii="Times New Roman" w:hAnsi="Times New Roman"/>
          <w:bCs/>
          <w:kern w:val="16"/>
          <w:sz w:val="18"/>
          <w:szCs w:val="18"/>
        </w:rPr>
        <w:t>：生猪、肉牛、蛋鸡、羊按每年1个饲养周期计，肉鸡、鸭按每年8个饲养周期计，肉鹅按每年4个饲养周期计，兔按每年2个饲养周期计。</w:t>
      </w:r>
    </w:p>
    <w:p>
      <w:pPr>
        <w:adjustRightInd w:val="0"/>
        <w:snapToGrid w:val="0"/>
        <w:rPr>
          <w:rFonts w:ascii="宋体" w:hAnsi="宋体" w:cs="宋体"/>
          <w:color w:val="000000"/>
          <w:sz w:val="24"/>
        </w:rPr>
      </w:pPr>
      <w:r>
        <w:rPr>
          <w:rFonts w:hint="eastAsia" w:ascii="宋体" w:hAnsi="宋体" w:cs="宋体"/>
          <w:color w:val="000000"/>
          <w:sz w:val="24"/>
        </w:rPr>
        <w:t xml:space="preserve">   由表3-6可知，市中区各类禽畜粪便的年产生量约15万吨，产生量最大的前三位依次是生猪、蛋鸡和肉鸡，分别占总产生的38.1%、30.7%和22.6%；尿液的年产生量约9.7万吨，主要来自于生猪。</w:t>
      </w:r>
    </w:p>
    <w:p>
      <w:pPr>
        <w:pStyle w:val="7"/>
        <w:adjustRightInd w:val="0"/>
        <w:snapToGrid w:val="0"/>
        <w:spacing w:after="0" w:line="360" w:lineRule="auto"/>
        <w:ind w:firstLine="561"/>
        <w:rPr>
          <w:rFonts w:ascii="Times New Roman" w:hAnsi="Times New Roman" w:eastAsia="宋体" w:cs="Times New Roman"/>
          <w:sz w:val="24"/>
          <w:szCs w:val="24"/>
        </w:rPr>
      </w:pPr>
      <w:r>
        <w:rPr>
          <w:rFonts w:ascii="Times New Roman" w:hAnsi="Times New Roman" w:eastAsia="宋体" w:cs="Times New Roman"/>
          <w:sz w:val="24"/>
          <w:szCs w:val="24"/>
        </w:rPr>
        <w:t>（2）畜禽粪污主要污染物的产生量</w:t>
      </w:r>
    </w:p>
    <w:p>
      <w:pPr>
        <w:adjustRightInd w:val="0"/>
        <w:snapToGrid w:val="0"/>
        <w:ind w:firstLine="480" w:firstLineChars="200"/>
        <w:rPr>
          <w:rFonts w:ascii="Times New Roman" w:hAnsi="Times New Roman"/>
          <w:color w:val="000000"/>
          <w:sz w:val="24"/>
        </w:rPr>
      </w:pPr>
      <w:r>
        <w:rPr>
          <w:rFonts w:ascii="Times New Roman" w:hAnsi="Times New Roman"/>
          <w:color w:val="000000"/>
          <w:sz w:val="24"/>
        </w:rPr>
        <w:t>畜禽粪便中含有大量的会对环境造成严重影响的污染物质，主要包括COD、氨氮、总氮和总磷。生猪、奶牛、肉牛、蛋鸡和肉鸡的产污系数取《第二次全国污染源普查畜禽养殖业产排污系数与排污系数手册》中的数值（见表3-7），鸭、兔、羊和鹅的产污系数取《农业技术经济手册》和相关文献中的数值（见3-8）；然后根据生猪、奶牛、肉牛、蛋鸡和肉鸡不同养殖规模的数量计算出相应的主要污染物产生量（见表3-9）</w:t>
      </w:r>
      <w:r>
        <w:rPr>
          <w:rFonts w:hint="eastAsia" w:ascii="Times New Roman" w:hAnsi="Times New Roman"/>
          <w:color w:val="000000"/>
          <w:sz w:val="24"/>
        </w:rPr>
        <w:t>，</w:t>
      </w:r>
      <w:r>
        <w:rPr>
          <w:rFonts w:ascii="Times New Roman" w:hAnsi="Times New Roman"/>
          <w:color w:val="000000"/>
          <w:sz w:val="24"/>
        </w:rPr>
        <w:t>根据鸭、兔、羊和鹅粪便的产生量计算出相应的主要污染物产生量</w:t>
      </w:r>
      <w:r>
        <w:rPr>
          <w:rFonts w:hint="eastAsia" w:ascii="Times New Roman" w:hAnsi="Times New Roman"/>
          <w:color w:val="000000"/>
          <w:sz w:val="24"/>
        </w:rPr>
        <w:t>（见表3-10）。</w:t>
      </w:r>
    </w:p>
    <w:p>
      <w:pPr>
        <w:adjustRightInd w:val="0"/>
        <w:snapToGrid w:val="0"/>
        <w:ind w:firstLine="480" w:firstLineChars="200"/>
        <w:rPr>
          <w:rFonts w:ascii="宋体" w:hAnsi="宋体" w:cs="宋体"/>
          <w:color w:val="000000"/>
          <w:sz w:val="24"/>
        </w:rPr>
      </w:pPr>
    </w:p>
    <w:p>
      <w:pPr>
        <w:pStyle w:val="8"/>
        <w:sectPr>
          <w:pgSz w:w="11906" w:h="16838"/>
          <w:pgMar w:top="1440" w:right="1800" w:bottom="1440" w:left="1800" w:header="851" w:footer="992" w:gutter="0"/>
          <w:cols w:space="720" w:num="1"/>
          <w:docGrid w:type="lines" w:linePitch="381" w:charSpace="0"/>
        </w:sectPr>
      </w:pPr>
    </w:p>
    <w:p>
      <w:pPr>
        <w:pStyle w:val="33"/>
        <w:adjustRightInd w:val="0"/>
        <w:snapToGrid w:val="0"/>
        <w:spacing w:line="240" w:lineRule="auto"/>
      </w:pPr>
      <w:bookmarkStart w:id="68" w:name="_Toc517102437"/>
      <w:r>
        <w:rPr>
          <w:rFonts w:hint="eastAsia"/>
        </w:rPr>
        <w:t>表3-7</w:t>
      </w:r>
      <w:r>
        <w:t xml:space="preserve"> 市中区</w:t>
      </w:r>
      <w:r>
        <w:rPr>
          <w:rFonts w:hint="eastAsia"/>
        </w:rPr>
        <w:t>不同养殖规模的生猪、肉牛、肉鸡和蛋鸡的数量和主要污染物产物系数</w:t>
      </w:r>
    </w:p>
    <w:bookmarkEnd w:id="68"/>
    <w:tbl>
      <w:tblPr>
        <w:tblStyle w:val="23"/>
        <w:tblW w:w="14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418"/>
        <w:gridCol w:w="1417"/>
        <w:gridCol w:w="1560"/>
        <w:gridCol w:w="1559"/>
        <w:gridCol w:w="992"/>
        <w:gridCol w:w="1276"/>
        <w:gridCol w:w="1559"/>
        <w:gridCol w:w="1276"/>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Merge w:val="restart"/>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7088"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规模化养殖场（小区）</w:t>
            </w:r>
          </w:p>
        </w:tc>
        <w:tc>
          <w:tcPr>
            <w:tcW w:w="6302"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养殖户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75" w:type="dxa"/>
            <w:vMerge w:val="continue"/>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p>
        </w:tc>
        <w:tc>
          <w:tcPr>
            <w:tcW w:w="1134" w:type="dxa"/>
            <w:shd w:val="clear" w:color="auto" w:fill="auto"/>
            <w:vAlign w:val="center"/>
          </w:tcPr>
          <w:p>
            <w:pPr>
              <w:pStyle w:val="7"/>
              <w:adjustRightInd w:val="0"/>
              <w:snapToGrid w:val="0"/>
              <w:spacing w:after="0" w:line="240" w:lineRule="auto"/>
              <w:ind w:left="-70" w:leftChars="-25"/>
              <w:jc w:val="center"/>
              <w:rPr>
                <w:rFonts w:ascii="Times New Roman" w:hAnsi="Times New Roman" w:eastAsia="宋体" w:cs="Times New Roman"/>
                <w:sz w:val="21"/>
                <w:szCs w:val="21"/>
              </w:rPr>
            </w:pPr>
            <w:r>
              <w:rPr>
                <w:rFonts w:ascii="Times New Roman" w:hAnsi="Times New Roman" w:eastAsia="宋体" w:cs="Times New Roman"/>
                <w:sz w:val="21"/>
                <w:szCs w:val="21"/>
              </w:rPr>
              <w:t>数量</w:t>
            </w:r>
          </w:p>
          <w:p>
            <w:pPr>
              <w:pStyle w:val="7"/>
              <w:adjustRightInd w:val="0"/>
              <w:snapToGrid w:val="0"/>
              <w:spacing w:after="0" w:line="240" w:lineRule="auto"/>
              <w:ind w:left="-128" w:leftChars="-46" w:right="-78" w:rightChars="-28" w:hanging="1"/>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（头、羽）</w:t>
            </w:r>
          </w:p>
        </w:tc>
        <w:tc>
          <w:tcPr>
            <w:tcW w:w="141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COD</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417"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560"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559"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992" w:type="dxa"/>
            <w:shd w:val="clear" w:color="auto" w:fill="auto"/>
            <w:vAlign w:val="center"/>
          </w:tcPr>
          <w:p>
            <w:pPr>
              <w:pStyle w:val="7"/>
              <w:adjustRightInd w:val="0"/>
              <w:snapToGrid w:val="0"/>
              <w:spacing w:after="0" w:line="240" w:lineRule="auto"/>
              <w:ind w:left="-328" w:leftChars="-117" w:firstLine="142" w:firstLineChars="68"/>
              <w:jc w:val="center"/>
              <w:rPr>
                <w:rFonts w:ascii="Times New Roman" w:hAnsi="Times New Roman" w:eastAsia="宋体" w:cs="Times New Roman"/>
                <w:sz w:val="21"/>
                <w:szCs w:val="21"/>
              </w:rPr>
            </w:pPr>
            <w:r>
              <w:rPr>
                <w:rFonts w:ascii="Times New Roman" w:hAnsi="Times New Roman" w:eastAsia="宋体" w:cs="Times New Roman"/>
                <w:sz w:val="21"/>
                <w:szCs w:val="21"/>
              </w:rPr>
              <w:t>数量</w:t>
            </w:r>
          </w:p>
          <w:p>
            <w:pPr>
              <w:pStyle w:val="7"/>
              <w:adjustRightInd w:val="0"/>
              <w:snapToGrid w:val="0"/>
              <w:spacing w:after="0" w:line="240" w:lineRule="auto"/>
              <w:ind w:left="-328" w:leftChars="-117" w:right="-193" w:rightChars="-69" w:firstLine="142" w:firstLineChars="68"/>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（头、羽）</w:t>
            </w:r>
          </w:p>
        </w:tc>
        <w:tc>
          <w:tcPr>
            <w:tcW w:w="1276" w:type="dxa"/>
            <w:shd w:val="clear" w:color="auto" w:fill="auto"/>
            <w:vAlign w:val="center"/>
          </w:tcPr>
          <w:p>
            <w:pPr>
              <w:pStyle w:val="7"/>
              <w:adjustRightInd w:val="0"/>
              <w:snapToGrid w:val="0"/>
              <w:spacing w:after="0" w:line="240" w:lineRule="auto"/>
              <w:ind w:left="-224" w:leftChars="-80" w:firstLine="142" w:firstLineChars="68"/>
              <w:jc w:val="center"/>
              <w:rPr>
                <w:rFonts w:ascii="Times New Roman" w:hAnsi="Times New Roman" w:eastAsia="宋体" w:cs="Times New Roman"/>
                <w:sz w:val="21"/>
                <w:szCs w:val="21"/>
              </w:rPr>
            </w:pPr>
            <w:r>
              <w:rPr>
                <w:rFonts w:ascii="Times New Roman" w:hAnsi="Times New Roman" w:eastAsia="宋体" w:cs="Times New Roman"/>
                <w:sz w:val="21"/>
                <w:szCs w:val="21"/>
              </w:rPr>
              <w:t>COD</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559"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c>
          <w:tcPr>
            <w:tcW w:w="1199"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r>
              <w:rPr>
                <w:rFonts w:hint="eastAsia" w:ascii="Times New Roman" w:hAnsi="Times New Roman" w:eastAsia="宋体" w:cs="Times New Roman"/>
                <w:sz w:val="21"/>
                <w:szCs w:val="21"/>
              </w:rPr>
              <w:t>[kg/头（羽</w:t>
            </w:r>
            <w:r>
              <w:rPr>
                <w:rFonts w:ascii="Times New Roman" w:hAnsi="Times New Roman" w:eastAsia="宋体" w:cs="Times New Roman"/>
                <w:sz w:val="21"/>
                <w:szCs w:val="21"/>
              </w:rPr>
              <w:t>）·</w:t>
            </w:r>
            <w:r>
              <w:rPr>
                <w:rFonts w:hint="eastAsia" w:ascii="Times New Roman" w:hAnsi="Times New Roman" w:eastAsia="宋体"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生猪</w:t>
            </w:r>
          </w:p>
        </w:tc>
        <w:tc>
          <w:tcPr>
            <w:tcW w:w="1134"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100216</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49.420</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4.617</w:t>
            </w:r>
          </w:p>
        </w:tc>
        <w:tc>
          <w:tcPr>
            <w:tcW w:w="1560"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0.634</w:t>
            </w:r>
          </w:p>
        </w:tc>
        <w:tc>
          <w:tcPr>
            <w:tcW w:w="1559"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0.720</w:t>
            </w:r>
          </w:p>
        </w:tc>
        <w:tc>
          <w:tcPr>
            <w:tcW w:w="992"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42950</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49.4</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0.6</w:t>
            </w:r>
          </w:p>
        </w:tc>
        <w:tc>
          <w:tcPr>
            <w:tcW w:w="1199"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肉牛</w:t>
            </w:r>
          </w:p>
        </w:tc>
        <w:tc>
          <w:tcPr>
            <w:tcW w:w="1134"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1033.665</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27.447</w:t>
            </w:r>
          </w:p>
        </w:tc>
        <w:tc>
          <w:tcPr>
            <w:tcW w:w="1560"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1.819</w:t>
            </w:r>
          </w:p>
        </w:tc>
        <w:tc>
          <w:tcPr>
            <w:tcW w:w="1559"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5.533</w:t>
            </w:r>
          </w:p>
        </w:tc>
        <w:tc>
          <w:tcPr>
            <w:tcW w:w="992"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782</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1388.6</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51.5</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1.4</w:t>
            </w:r>
          </w:p>
        </w:tc>
        <w:tc>
          <w:tcPr>
            <w:tcW w:w="1199"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肉鸡</w:t>
            </w:r>
          </w:p>
        </w:tc>
        <w:tc>
          <w:tcPr>
            <w:tcW w:w="1134"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502304</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2.560</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0.096</w:t>
            </w:r>
          </w:p>
        </w:tc>
        <w:tc>
          <w:tcPr>
            <w:tcW w:w="1560"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0.005</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0.034</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282546</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0.01</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蛋鸡</w:t>
            </w:r>
          </w:p>
        </w:tc>
        <w:tc>
          <w:tcPr>
            <w:tcW w:w="1134"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632096</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11.529</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0.531</w:t>
            </w:r>
          </w:p>
        </w:tc>
        <w:tc>
          <w:tcPr>
            <w:tcW w:w="1560"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0.046</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0.169</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421398</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9.1</w:t>
            </w:r>
          </w:p>
        </w:tc>
        <w:tc>
          <w:tcPr>
            <w:tcW w:w="155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0.4</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w:t>
            </w:r>
          </w:p>
        </w:tc>
      </w:tr>
    </w:tbl>
    <w:p>
      <w:pPr>
        <w:spacing w:line="240" w:lineRule="auto"/>
        <w:jc w:val="left"/>
        <w:rPr>
          <w:rFonts w:ascii="Times New Roman" w:hAnsi="Times New Roman"/>
          <w:bCs/>
          <w:kern w:val="16"/>
          <w:sz w:val="18"/>
          <w:szCs w:val="18"/>
        </w:rPr>
      </w:pPr>
      <w:r>
        <w:rPr>
          <w:rFonts w:ascii="Times New Roman" w:hAnsi="Times New Roman"/>
          <w:bCs/>
          <w:kern w:val="16"/>
          <w:sz w:val="18"/>
          <w:szCs w:val="18"/>
        </w:rPr>
        <w:t>注</w:t>
      </w:r>
      <w:r>
        <w:rPr>
          <w:rFonts w:hint="eastAsia" w:ascii="Times New Roman" w:hAnsi="Times New Roman"/>
          <w:bCs/>
          <w:kern w:val="16"/>
          <w:sz w:val="18"/>
          <w:szCs w:val="18"/>
        </w:rPr>
        <w:t>：养殖专业户各畜种按规模化养殖场计。</w:t>
      </w:r>
    </w:p>
    <w:p>
      <w:pPr>
        <w:pStyle w:val="33"/>
        <w:adjustRightInd w:val="0"/>
        <w:snapToGrid w:val="0"/>
      </w:pPr>
      <w:r>
        <w:rPr>
          <w:rFonts w:hint="eastAsia"/>
        </w:rPr>
        <w:t>表3-8</w:t>
      </w:r>
      <w:r>
        <w:t xml:space="preserve"> 市中区</w:t>
      </w:r>
      <w:r>
        <w:rPr>
          <w:rFonts w:hint="eastAsia"/>
        </w:rPr>
        <w:t>鹅、</w:t>
      </w:r>
      <w:r>
        <w:t>鸭</w:t>
      </w:r>
      <w:r>
        <w:rPr>
          <w:rFonts w:hint="eastAsia"/>
        </w:rPr>
        <w:t>、</w:t>
      </w:r>
      <w:r>
        <w:t>兔和羊的</w:t>
      </w:r>
      <w:r>
        <w:rPr>
          <w:rFonts w:hint="eastAsia"/>
        </w:rPr>
        <w:t>粪污中主要污染物含量（kg/吨）</w:t>
      </w:r>
    </w:p>
    <w:tbl>
      <w:tblPr>
        <w:tblStyle w:val="23"/>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30"/>
        <w:gridCol w:w="1275"/>
        <w:gridCol w:w="1276"/>
        <w:gridCol w:w="1276"/>
        <w:gridCol w:w="1288"/>
        <w:gridCol w:w="1405"/>
        <w:gridCol w:w="1418"/>
        <w:gridCol w:w="1275"/>
        <w:gridCol w:w="1276"/>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05" w:type="dxa"/>
            <w:vMerge w:val="restart"/>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6545"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粪便</w:t>
            </w:r>
          </w:p>
        </w:tc>
        <w:tc>
          <w:tcPr>
            <w:tcW w:w="6824"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05" w:type="dxa"/>
            <w:vMerge w:val="continue"/>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p>
        </w:tc>
        <w:tc>
          <w:tcPr>
            <w:tcW w:w="1430"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年产量</w:t>
            </w:r>
          </w:p>
        </w:tc>
        <w:tc>
          <w:tcPr>
            <w:tcW w:w="1275" w:type="dxa"/>
            <w:shd w:val="clear" w:color="auto" w:fill="auto"/>
            <w:vAlign w:val="center"/>
          </w:tcPr>
          <w:p>
            <w:pPr>
              <w:pStyle w:val="7"/>
              <w:adjustRightInd w:val="0"/>
              <w:snapToGrid w:val="0"/>
              <w:spacing w:after="0" w:line="240" w:lineRule="auto"/>
              <w:jc w:val="center"/>
            </w:pPr>
            <w:r>
              <w:rPr>
                <w:rFonts w:ascii="Times New Roman" w:hAnsi="Times New Roman" w:eastAsia="宋体" w:cs="Times New Roman"/>
                <w:sz w:val="21"/>
                <w:szCs w:val="21"/>
              </w:rPr>
              <w:t>COD</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28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c>
          <w:tcPr>
            <w:tcW w:w="1405"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年产量</w:t>
            </w:r>
          </w:p>
        </w:tc>
        <w:tc>
          <w:tcPr>
            <w:tcW w:w="141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275"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450"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鹅</w:t>
            </w:r>
          </w:p>
        </w:tc>
        <w:tc>
          <w:tcPr>
            <w:tcW w:w="1430" w:type="dxa"/>
            <w:shd w:val="clear" w:color="auto" w:fill="auto"/>
            <w:vAlign w:val="center"/>
          </w:tcPr>
          <w:p>
            <w:pPr>
              <w:jc w:val="center"/>
              <w:rPr>
                <w:rFonts w:ascii="Times New Roman" w:hAnsi="Times New Roman"/>
                <w:color w:val="000000"/>
                <w:sz w:val="21"/>
                <w:szCs w:val="21"/>
              </w:rPr>
            </w:pPr>
            <w:r>
              <w:rPr>
                <w:rFonts w:ascii="Times New Roman" w:hAnsi="Times New Roman"/>
                <w:color w:val="000000"/>
                <w:sz w:val="21"/>
                <w:szCs w:val="21"/>
              </w:rPr>
              <w:t>172.8</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46.3</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11.00</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w:t>
            </w:r>
          </w:p>
        </w:tc>
        <w:tc>
          <w:tcPr>
            <w:tcW w:w="128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6.20</w:t>
            </w:r>
          </w:p>
        </w:tc>
        <w:tc>
          <w:tcPr>
            <w:tcW w:w="140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鸭</w:t>
            </w:r>
          </w:p>
        </w:tc>
        <w:tc>
          <w:tcPr>
            <w:tcW w:w="1430" w:type="dxa"/>
            <w:shd w:val="clear" w:color="auto" w:fill="auto"/>
            <w:vAlign w:val="center"/>
          </w:tcPr>
          <w:p>
            <w:pPr>
              <w:jc w:val="center"/>
              <w:rPr>
                <w:rFonts w:ascii="Times New Roman" w:hAnsi="Times New Roman"/>
                <w:color w:val="000000"/>
                <w:sz w:val="21"/>
                <w:szCs w:val="21"/>
              </w:rPr>
            </w:pPr>
            <w:r>
              <w:rPr>
                <w:rFonts w:ascii="Times New Roman" w:hAnsi="Times New Roman"/>
                <w:color w:val="000000"/>
                <w:sz w:val="21"/>
                <w:szCs w:val="21"/>
              </w:rPr>
              <w:t>3779.0</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46.3</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11.00</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w:t>
            </w:r>
          </w:p>
        </w:tc>
        <w:tc>
          <w:tcPr>
            <w:tcW w:w="128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6.20</w:t>
            </w:r>
          </w:p>
        </w:tc>
        <w:tc>
          <w:tcPr>
            <w:tcW w:w="140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兔</w:t>
            </w:r>
          </w:p>
        </w:tc>
        <w:tc>
          <w:tcPr>
            <w:tcW w:w="1430" w:type="dxa"/>
            <w:shd w:val="clear" w:color="auto" w:fill="auto"/>
            <w:vAlign w:val="center"/>
          </w:tcPr>
          <w:p>
            <w:pPr>
              <w:jc w:val="center"/>
              <w:rPr>
                <w:rFonts w:ascii="Times New Roman" w:hAnsi="Times New Roman"/>
                <w:color w:val="000000"/>
                <w:sz w:val="21"/>
                <w:szCs w:val="21"/>
              </w:rPr>
            </w:pPr>
            <w:r>
              <w:rPr>
                <w:rFonts w:ascii="Times New Roman" w:hAnsi="Times New Roman"/>
                <w:color w:val="000000"/>
                <w:sz w:val="21"/>
                <w:szCs w:val="21"/>
              </w:rPr>
              <w:t>1511.0</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14.66</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3.00</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1.58</w:t>
            </w:r>
          </w:p>
        </w:tc>
        <w:tc>
          <w:tcPr>
            <w:tcW w:w="128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0.60</w:t>
            </w:r>
          </w:p>
        </w:tc>
        <w:tc>
          <w:tcPr>
            <w:tcW w:w="140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羊</w:t>
            </w:r>
          </w:p>
        </w:tc>
        <w:tc>
          <w:tcPr>
            <w:tcW w:w="1430" w:type="dxa"/>
            <w:shd w:val="clear" w:color="auto" w:fill="auto"/>
            <w:vAlign w:val="center"/>
          </w:tcPr>
          <w:p>
            <w:pPr>
              <w:jc w:val="center"/>
              <w:rPr>
                <w:rFonts w:ascii="Times New Roman" w:hAnsi="Times New Roman"/>
                <w:color w:val="000000"/>
                <w:sz w:val="21"/>
                <w:szCs w:val="21"/>
              </w:rPr>
            </w:pPr>
            <w:r>
              <w:rPr>
                <w:rFonts w:ascii="Times New Roman" w:hAnsi="Times New Roman"/>
                <w:color w:val="000000"/>
                <w:sz w:val="21"/>
                <w:szCs w:val="21"/>
              </w:rPr>
              <w:t>1784.1</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4.63</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w:t>
            </w:r>
          </w:p>
        </w:tc>
        <w:tc>
          <w:tcPr>
            <w:tcW w:w="1288" w:type="dxa"/>
            <w:shd w:val="clear" w:color="auto" w:fill="auto"/>
          </w:tcPr>
          <w:p>
            <w:pPr>
              <w:pStyle w:val="7"/>
              <w:spacing w:after="0" w:line="36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2.60</w:t>
            </w:r>
          </w:p>
        </w:tc>
        <w:tc>
          <w:tcPr>
            <w:tcW w:w="140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418"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275"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276"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450" w:type="dxa"/>
            <w:shd w:val="clear" w:color="auto" w:fill="auto"/>
          </w:tcPr>
          <w:p>
            <w:pPr>
              <w:pStyle w:val="7"/>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r>
    </w:tbl>
    <w:p>
      <w:pPr>
        <w:spacing w:line="240" w:lineRule="auto"/>
        <w:jc w:val="left"/>
        <w:rPr>
          <w:rFonts w:ascii="Times New Roman" w:hAnsi="Times New Roman"/>
          <w:bCs/>
          <w:kern w:val="16"/>
          <w:sz w:val="18"/>
          <w:szCs w:val="18"/>
        </w:rPr>
      </w:pPr>
      <w:r>
        <w:rPr>
          <w:rFonts w:ascii="Times New Roman" w:hAnsi="Times New Roman"/>
          <w:bCs/>
          <w:kern w:val="16"/>
          <w:sz w:val="18"/>
          <w:szCs w:val="18"/>
        </w:rPr>
        <w:t>注</w:t>
      </w:r>
      <w:r>
        <w:rPr>
          <w:rFonts w:hint="eastAsia" w:ascii="Times New Roman" w:hAnsi="Times New Roman"/>
          <w:bCs/>
          <w:kern w:val="16"/>
          <w:sz w:val="18"/>
          <w:szCs w:val="18"/>
        </w:rPr>
        <w:t>：目前关于鹅粪便中主要污染物产生量的研究较少，故按鸭粪含量计。</w:t>
      </w:r>
    </w:p>
    <w:p>
      <w:pPr>
        <w:pStyle w:val="30"/>
      </w:pPr>
    </w:p>
    <w:p>
      <w:pPr>
        <w:pStyle w:val="33"/>
        <w:adjustRightInd w:val="0"/>
        <w:snapToGrid w:val="0"/>
        <w:spacing w:line="240" w:lineRule="auto"/>
      </w:pPr>
      <w:r>
        <w:rPr>
          <w:rFonts w:hint="eastAsia"/>
        </w:rPr>
        <w:t>表3-9</w:t>
      </w:r>
      <w:r>
        <w:t>市中区</w:t>
      </w:r>
      <w:r>
        <w:rPr>
          <w:rFonts w:hint="eastAsia"/>
        </w:rPr>
        <w:t>不同养殖规模的生猪、肉牛、肉鸡和蛋鸡粪污中主要污染物年产量（吨/年）</w:t>
      </w:r>
    </w:p>
    <w:tbl>
      <w:tblPr>
        <w:tblStyle w:val="23"/>
        <w:tblW w:w="14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1276"/>
        <w:gridCol w:w="1417"/>
        <w:gridCol w:w="1418"/>
        <w:gridCol w:w="1701"/>
        <w:gridCol w:w="992"/>
        <w:gridCol w:w="1418"/>
        <w:gridCol w:w="1417"/>
        <w:gridCol w:w="1276"/>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Merge w:val="restart"/>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7088"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规模化养殖场（小区）</w:t>
            </w:r>
          </w:p>
        </w:tc>
        <w:tc>
          <w:tcPr>
            <w:tcW w:w="6302"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养殖户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75" w:type="dxa"/>
            <w:vMerge w:val="continue"/>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p>
        </w:tc>
        <w:tc>
          <w:tcPr>
            <w:tcW w:w="1276" w:type="dxa"/>
            <w:shd w:val="clear" w:color="auto" w:fill="auto"/>
            <w:vAlign w:val="center"/>
          </w:tcPr>
          <w:p>
            <w:pPr>
              <w:pStyle w:val="7"/>
              <w:adjustRightInd w:val="0"/>
              <w:snapToGrid w:val="0"/>
              <w:spacing w:after="0" w:line="240" w:lineRule="auto"/>
              <w:ind w:left="-70" w:leftChars="-25"/>
              <w:jc w:val="center"/>
              <w:rPr>
                <w:rFonts w:ascii="Times New Roman" w:hAnsi="Times New Roman" w:eastAsia="宋体" w:cs="Times New Roman"/>
                <w:sz w:val="21"/>
                <w:szCs w:val="21"/>
              </w:rPr>
            </w:pPr>
            <w:r>
              <w:rPr>
                <w:rFonts w:ascii="Times New Roman" w:hAnsi="Times New Roman" w:eastAsia="宋体" w:cs="Times New Roman"/>
                <w:sz w:val="21"/>
                <w:szCs w:val="21"/>
              </w:rPr>
              <w:t>数量</w:t>
            </w:r>
          </w:p>
          <w:p>
            <w:pPr>
              <w:pStyle w:val="7"/>
              <w:adjustRightInd w:val="0"/>
              <w:snapToGrid w:val="0"/>
              <w:spacing w:after="0" w:line="240" w:lineRule="auto"/>
              <w:ind w:left="-128" w:leftChars="-46" w:right="-78" w:rightChars="-28" w:hanging="1"/>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（头、羽）</w:t>
            </w:r>
          </w:p>
        </w:tc>
        <w:tc>
          <w:tcPr>
            <w:tcW w:w="1276" w:type="dxa"/>
            <w:shd w:val="clear" w:color="auto" w:fill="auto"/>
            <w:vAlign w:val="center"/>
          </w:tcPr>
          <w:p>
            <w:pPr>
              <w:pStyle w:val="7"/>
              <w:adjustRightInd w:val="0"/>
              <w:snapToGrid w:val="0"/>
              <w:spacing w:after="0" w:line="240" w:lineRule="auto"/>
              <w:ind w:left="-224" w:leftChars="-80" w:firstLine="142" w:firstLineChars="68"/>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417"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41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701"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c>
          <w:tcPr>
            <w:tcW w:w="992" w:type="dxa"/>
            <w:shd w:val="clear" w:color="auto" w:fill="auto"/>
            <w:vAlign w:val="center"/>
          </w:tcPr>
          <w:p>
            <w:pPr>
              <w:pStyle w:val="7"/>
              <w:adjustRightInd w:val="0"/>
              <w:snapToGrid w:val="0"/>
              <w:spacing w:after="0" w:line="240" w:lineRule="auto"/>
              <w:ind w:left="-328" w:leftChars="-117" w:firstLine="142" w:firstLineChars="68"/>
              <w:jc w:val="center"/>
              <w:rPr>
                <w:rFonts w:ascii="Times New Roman" w:hAnsi="Times New Roman" w:eastAsia="宋体" w:cs="Times New Roman"/>
                <w:sz w:val="21"/>
                <w:szCs w:val="21"/>
              </w:rPr>
            </w:pPr>
            <w:r>
              <w:rPr>
                <w:rFonts w:ascii="Times New Roman" w:hAnsi="Times New Roman" w:eastAsia="宋体" w:cs="Times New Roman"/>
                <w:sz w:val="21"/>
                <w:szCs w:val="21"/>
              </w:rPr>
              <w:t>数量</w:t>
            </w:r>
          </w:p>
          <w:p>
            <w:pPr>
              <w:pStyle w:val="7"/>
              <w:adjustRightInd w:val="0"/>
              <w:snapToGrid w:val="0"/>
              <w:spacing w:after="0" w:line="240" w:lineRule="auto"/>
              <w:ind w:left="-328" w:leftChars="-117" w:right="-193" w:rightChars="-69" w:firstLine="142" w:firstLineChars="68"/>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（头、羽）</w:t>
            </w:r>
          </w:p>
        </w:tc>
        <w:tc>
          <w:tcPr>
            <w:tcW w:w="1418" w:type="dxa"/>
            <w:shd w:val="clear" w:color="auto" w:fill="auto"/>
            <w:vAlign w:val="center"/>
          </w:tcPr>
          <w:p>
            <w:pPr>
              <w:pStyle w:val="7"/>
              <w:adjustRightInd w:val="0"/>
              <w:snapToGrid w:val="0"/>
              <w:spacing w:after="0" w:line="240" w:lineRule="auto"/>
              <w:ind w:left="-224" w:leftChars="-80" w:firstLine="142" w:firstLineChars="68"/>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417"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199"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生猪</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100216</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4952.675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462.697 </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63.537 </w:t>
            </w:r>
          </w:p>
        </w:tc>
        <w:tc>
          <w:tcPr>
            <w:tcW w:w="1701"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72.156 </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42950</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2121.730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197.570 </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25.770 </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30.065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肉牛</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0.000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0.000 </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0.000 </w:t>
            </w:r>
          </w:p>
        </w:tc>
        <w:tc>
          <w:tcPr>
            <w:tcW w:w="1701"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0.000 </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782</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1085.885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40.273 </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1.095 </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6.960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肉鸡</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502304</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1285.898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48.221 </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2.512 </w:t>
            </w:r>
          </w:p>
        </w:tc>
        <w:tc>
          <w:tcPr>
            <w:tcW w:w="1701"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17.078 </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282546</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678.110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28.255 </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2.825 </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8.476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蛋鸡</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632096</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7287.435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335.643 </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29.076 </w:t>
            </w:r>
          </w:p>
        </w:tc>
        <w:tc>
          <w:tcPr>
            <w:tcW w:w="1701"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106.824 </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421398</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3834.722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168.559 </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42.140 </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42.140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总计</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13526.010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846.561 </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95.125 </w:t>
            </w:r>
          </w:p>
        </w:tc>
        <w:tc>
          <w:tcPr>
            <w:tcW w:w="1701"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196.058 </w:t>
            </w:r>
          </w:p>
        </w:tc>
        <w:tc>
          <w:tcPr>
            <w:tcW w:w="992"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7720.447 </w:t>
            </w:r>
          </w:p>
        </w:tc>
        <w:tc>
          <w:tcPr>
            <w:tcW w:w="1417"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434.657 </w:t>
            </w:r>
          </w:p>
        </w:tc>
        <w:tc>
          <w:tcPr>
            <w:tcW w:w="1276"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71.830 </w:t>
            </w:r>
          </w:p>
        </w:tc>
        <w:tc>
          <w:tcPr>
            <w:tcW w:w="1199" w:type="dxa"/>
            <w:shd w:val="clear" w:color="auto" w:fill="auto"/>
            <w:vAlign w:val="center"/>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87.641 </w:t>
            </w:r>
          </w:p>
        </w:tc>
      </w:tr>
    </w:tbl>
    <w:p>
      <w:pPr>
        <w:spacing w:line="240" w:lineRule="auto"/>
        <w:jc w:val="left"/>
        <w:rPr>
          <w:rFonts w:ascii="Times New Roman" w:hAnsi="Times New Roman"/>
          <w:bCs/>
          <w:kern w:val="16"/>
          <w:sz w:val="18"/>
          <w:szCs w:val="18"/>
        </w:rPr>
      </w:pPr>
      <w:r>
        <w:rPr>
          <w:rFonts w:ascii="Times New Roman" w:hAnsi="Times New Roman"/>
          <w:bCs/>
          <w:kern w:val="16"/>
          <w:sz w:val="18"/>
          <w:szCs w:val="18"/>
        </w:rPr>
        <w:t>注</w:t>
      </w:r>
      <w:r>
        <w:rPr>
          <w:rFonts w:hint="eastAsia" w:ascii="Times New Roman" w:hAnsi="Times New Roman"/>
          <w:bCs/>
          <w:kern w:val="16"/>
          <w:sz w:val="18"/>
          <w:szCs w:val="18"/>
        </w:rPr>
        <w:t>：养殖专业户各畜种按规模化养殖场计。</w:t>
      </w:r>
    </w:p>
    <w:p>
      <w:pPr>
        <w:pStyle w:val="33"/>
        <w:adjustRightInd w:val="0"/>
        <w:snapToGrid w:val="0"/>
      </w:pPr>
    </w:p>
    <w:p>
      <w:pPr>
        <w:pStyle w:val="33"/>
        <w:adjustRightInd w:val="0"/>
        <w:snapToGrid w:val="0"/>
      </w:pPr>
      <w:r>
        <w:rPr>
          <w:rFonts w:hint="eastAsia"/>
        </w:rPr>
        <w:t>表3-10</w:t>
      </w:r>
      <w:r>
        <w:t xml:space="preserve"> 市中区</w:t>
      </w:r>
      <w:r>
        <w:rPr>
          <w:rFonts w:hint="eastAsia"/>
        </w:rPr>
        <w:t>鹅、</w:t>
      </w:r>
      <w:r>
        <w:t>鸭</w:t>
      </w:r>
      <w:r>
        <w:rPr>
          <w:rFonts w:hint="eastAsia"/>
        </w:rPr>
        <w:t>、</w:t>
      </w:r>
      <w:r>
        <w:t>兔和羊的</w:t>
      </w:r>
      <w:r>
        <w:rPr>
          <w:rFonts w:hint="eastAsia"/>
        </w:rPr>
        <w:t>粪污中主要污染物年产量（吨/年）</w:t>
      </w:r>
    </w:p>
    <w:tbl>
      <w:tblPr>
        <w:tblStyle w:val="23"/>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30"/>
        <w:gridCol w:w="1275"/>
        <w:gridCol w:w="1276"/>
        <w:gridCol w:w="1276"/>
        <w:gridCol w:w="1288"/>
        <w:gridCol w:w="1405"/>
        <w:gridCol w:w="1418"/>
        <w:gridCol w:w="1275"/>
        <w:gridCol w:w="1276"/>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05" w:type="dxa"/>
            <w:vMerge w:val="restart"/>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6545"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粪便</w:t>
            </w:r>
          </w:p>
        </w:tc>
        <w:tc>
          <w:tcPr>
            <w:tcW w:w="6824" w:type="dxa"/>
            <w:gridSpan w:val="5"/>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尿液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05" w:type="dxa"/>
            <w:vMerge w:val="continue"/>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p>
        </w:tc>
        <w:tc>
          <w:tcPr>
            <w:tcW w:w="1430"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年产量</w:t>
            </w:r>
          </w:p>
        </w:tc>
        <w:tc>
          <w:tcPr>
            <w:tcW w:w="1275" w:type="dxa"/>
            <w:shd w:val="clear" w:color="auto" w:fill="auto"/>
            <w:vAlign w:val="center"/>
          </w:tcPr>
          <w:p>
            <w:pPr>
              <w:pStyle w:val="7"/>
              <w:adjustRightInd w:val="0"/>
              <w:snapToGrid w:val="0"/>
              <w:spacing w:after="0" w:line="240" w:lineRule="auto"/>
              <w:jc w:val="center"/>
            </w:pPr>
            <w:r>
              <w:rPr>
                <w:rFonts w:ascii="Times New Roman" w:hAnsi="Times New Roman" w:eastAsia="宋体" w:cs="Times New Roman"/>
                <w:sz w:val="21"/>
                <w:szCs w:val="21"/>
              </w:rPr>
              <w:t>COD</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28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c>
          <w:tcPr>
            <w:tcW w:w="1405"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年产量</w:t>
            </w:r>
          </w:p>
        </w:tc>
        <w:tc>
          <w:tcPr>
            <w:tcW w:w="1418"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275"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总氮</w:t>
            </w:r>
          </w:p>
        </w:tc>
        <w:tc>
          <w:tcPr>
            <w:tcW w:w="1276"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450" w:type="dxa"/>
            <w:shd w:val="clear" w:color="auto" w:fill="auto"/>
            <w:vAlign w:val="center"/>
          </w:tcPr>
          <w:p>
            <w:pPr>
              <w:pStyle w:val="7"/>
              <w:adjustRightInd w:val="0"/>
              <w:snapToGrid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鹅</w:t>
            </w:r>
          </w:p>
        </w:tc>
        <w:tc>
          <w:tcPr>
            <w:tcW w:w="1430"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172.8</w:t>
            </w:r>
          </w:p>
        </w:tc>
        <w:tc>
          <w:tcPr>
            <w:tcW w:w="1275"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8.001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1.901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0.138 </w:t>
            </w:r>
          </w:p>
        </w:tc>
        <w:tc>
          <w:tcPr>
            <w:tcW w:w="128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1.071 </w:t>
            </w:r>
          </w:p>
        </w:tc>
        <w:tc>
          <w:tcPr>
            <w:tcW w:w="140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鸭</w:t>
            </w:r>
          </w:p>
        </w:tc>
        <w:tc>
          <w:tcPr>
            <w:tcW w:w="1430"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3779.0</w:t>
            </w:r>
          </w:p>
        </w:tc>
        <w:tc>
          <w:tcPr>
            <w:tcW w:w="1275"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174.968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174.968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174.968 </w:t>
            </w:r>
          </w:p>
        </w:tc>
        <w:tc>
          <w:tcPr>
            <w:tcW w:w="128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174.968 </w:t>
            </w:r>
          </w:p>
        </w:tc>
        <w:tc>
          <w:tcPr>
            <w:tcW w:w="140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兔</w:t>
            </w:r>
          </w:p>
        </w:tc>
        <w:tc>
          <w:tcPr>
            <w:tcW w:w="1430"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1511.0</w:t>
            </w:r>
          </w:p>
        </w:tc>
        <w:tc>
          <w:tcPr>
            <w:tcW w:w="1275"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22.151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0.044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0.005 </w:t>
            </w:r>
          </w:p>
        </w:tc>
        <w:tc>
          <w:tcPr>
            <w:tcW w:w="128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0.001 </w:t>
            </w:r>
          </w:p>
        </w:tc>
        <w:tc>
          <w:tcPr>
            <w:tcW w:w="140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18"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5"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276"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450" w:type="dxa"/>
            <w:shd w:val="clear" w:color="auto" w:fill="auto"/>
          </w:tcPr>
          <w:p>
            <w:pPr>
              <w:pStyle w:val="7"/>
              <w:spacing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羊</w:t>
            </w:r>
          </w:p>
        </w:tc>
        <w:tc>
          <w:tcPr>
            <w:tcW w:w="1430" w:type="dxa"/>
            <w:shd w:val="clear" w:color="auto" w:fill="auto"/>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1784.1</w:t>
            </w:r>
          </w:p>
        </w:tc>
        <w:tc>
          <w:tcPr>
            <w:tcW w:w="1275"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8.260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13.381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1.427 </w:t>
            </w:r>
          </w:p>
        </w:tc>
        <w:tc>
          <w:tcPr>
            <w:tcW w:w="128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4.639 </w:t>
            </w:r>
          </w:p>
        </w:tc>
        <w:tc>
          <w:tcPr>
            <w:tcW w:w="14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418"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27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276"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c>
          <w:tcPr>
            <w:tcW w:w="1450"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未计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05" w:type="dxa"/>
            <w:shd w:val="clear" w:color="auto" w:fill="auto"/>
          </w:tcPr>
          <w:p>
            <w:pPr>
              <w:pStyle w:val="7"/>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p>
        </w:tc>
        <w:tc>
          <w:tcPr>
            <w:tcW w:w="1430"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7246.9</w:t>
            </w:r>
          </w:p>
        </w:tc>
        <w:tc>
          <w:tcPr>
            <w:tcW w:w="1275"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213.380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190.293 </w:t>
            </w:r>
          </w:p>
        </w:tc>
        <w:tc>
          <w:tcPr>
            <w:tcW w:w="1276"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176.538 </w:t>
            </w:r>
          </w:p>
        </w:tc>
        <w:tc>
          <w:tcPr>
            <w:tcW w:w="1288" w:type="dxa"/>
            <w:shd w:val="clear" w:color="auto" w:fill="auto"/>
            <w:vAlign w:val="center"/>
          </w:tcPr>
          <w:p>
            <w:pPr>
              <w:spacing w:line="240" w:lineRule="auto"/>
              <w:jc w:val="center"/>
              <w:rPr>
                <w:rFonts w:ascii="Times New Roman" w:hAnsi="Times New Roman"/>
                <w:color w:val="000000"/>
                <w:sz w:val="21"/>
                <w:szCs w:val="21"/>
              </w:rPr>
            </w:pPr>
            <w:r>
              <w:rPr>
                <w:rFonts w:hint="eastAsia" w:ascii="Times New Roman" w:hAnsi="Times New Roman"/>
                <w:color w:val="000000"/>
                <w:sz w:val="21"/>
                <w:szCs w:val="21"/>
              </w:rPr>
              <w:t xml:space="preserve">180.679 </w:t>
            </w:r>
          </w:p>
        </w:tc>
        <w:tc>
          <w:tcPr>
            <w:tcW w:w="1405" w:type="dxa"/>
            <w:shd w:val="clear" w:color="auto" w:fill="auto"/>
          </w:tcPr>
          <w:p>
            <w:pPr>
              <w:pStyle w:val="7"/>
              <w:spacing w:after="0" w:line="240" w:lineRule="auto"/>
              <w:jc w:val="center"/>
              <w:rPr>
                <w:rFonts w:ascii="Times New Roman" w:hAnsi="Times New Roman" w:eastAsia="宋体" w:cs="Times New Roman"/>
                <w:sz w:val="21"/>
                <w:szCs w:val="21"/>
              </w:rPr>
            </w:pPr>
          </w:p>
        </w:tc>
        <w:tc>
          <w:tcPr>
            <w:tcW w:w="1418" w:type="dxa"/>
            <w:shd w:val="clear" w:color="auto" w:fill="auto"/>
          </w:tcPr>
          <w:p>
            <w:pPr>
              <w:pStyle w:val="7"/>
              <w:spacing w:after="0" w:line="240" w:lineRule="auto"/>
              <w:jc w:val="center"/>
              <w:rPr>
                <w:rFonts w:ascii="Times New Roman" w:hAnsi="Times New Roman" w:eastAsia="宋体" w:cs="Times New Roman"/>
                <w:sz w:val="21"/>
                <w:szCs w:val="21"/>
              </w:rPr>
            </w:pPr>
          </w:p>
        </w:tc>
        <w:tc>
          <w:tcPr>
            <w:tcW w:w="1275" w:type="dxa"/>
            <w:shd w:val="clear" w:color="auto" w:fill="auto"/>
          </w:tcPr>
          <w:p>
            <w:pPr>
              <w:pStyle w:val="7"/>
              <w:spacing w:after="0" w:line="240" w:lineRule="auto"/>
              <w:jc w:val="center"/>
              <w:rPr>
                <w:rFonts w:ascii="Times New Roman" w:hAnsi="Times New Roman" w:eastAsia="宋体" w:cs="Times New Roman"/>
                <w:sz w:val="21"/>
                <w:szCs w:val="21"/>
              </w:rPr>
            </w:pPr>
          </w:p>
        </w:tc>
        <w:tc>
          <w:tcPr>
            <w:tcW w:w="1276" w:type="dxa"/>
            <w:shd w:val="clear" w:color="auto" w:fill="auto"/>
          </w:tcPr>
          <w:p>
            <w:pPr>
              <w:pStyle w:val="7"/>
              <w:spacing w:after="0" w:line="240" w:lineRule="auto"/>
              <w:jc w:val="center"/>
              <w:rPr>
                <w:rFonts w:ascii="Times New Roman" w:hAnsi="Times New Roman" w:eastAsia="宋体" w:cs="Times New Roman"/>
                <w:sz w:val="21"/>
                <w:szCs w:val="21"/>
              </w:rPr>
            </w:pPr>
          </w:p>
        </w:tc>
        <w:tc>
          <w:tcPr>
            <w:tcW w:w="1450" w:type="dxa"/>
            <w:shd w:val="clear" w:color="auto" w:fill="auto"/>
          </w:tcPr>
          <w:p>
            <w:pPr>
              <w:pStyle w:val="7"/>
              <w:spacing w:after="0" w:line="240" w:lineRule="auto"/>
              <w:jc w:val="center"/>
              <w:rPr>
                <w:rFonts w:ascii="Times New Roman" w:hAnsi="Times New Roman" w:eastAsia="宋体" w:cs="Times New Roman"/>
                <w:sz w:val="21"/>
                <w:szCs w:val="21"/>
              </w:rPr>
            </w:pPr>
          </w:p>
        </w:tc>
      </w:tr>
    </w:tbl>
    <w:p>
      <w:pPr>
        <w:spacing w:line="240" w:lineRule="auto"/>
        <w:jc w:val="left"/>
      </w:pPr>
      <w:r>
        <w:rPr>
          <w:rFonts w:ascii="Times New Roman" w:hAnsi="Times New Roman"/>
          <w:bCs/>
          <w:kern w:val="16"/>
          <w:sz w:val="18"/>
          <w:szCs w:val="18"/>
        </w:rPr>
        <w:t>注</w:t>
      </w:r>
      <w:r>
        <w:rPr>
          <w:rFonts w:hint="eastAsia" w:ascii="Times New Roman" w:hAnsi="Times New Roman"/>
          <w:bCs/>
          <w:kern w:val="16"/>
          <w:sz w:val="18"/>
          <w:szCs w:val="18"/>
        </w:rPr>
        <w:t>：目前关于鹅粪便中主要污染物产生量的研究较少，故按鸭粪含量计。</w:t>
      </w:r>
    </w:p>
    <w:p>
      <w:pPr>
        <w:pStyle w:val="8"/>
      </w:pPr>
    </w:p>
    <w:p>
      <w:pPr>
        <w:pStyle w:val="8"/>
        <w:sectPr>
          <w:pgSz w:w="16838" w:h="11906" w:orient="landscape"/>
          <w:pgMar w:top="1800" w:right="1440" w:bottom="1800" w:left="1440" w:header="851" w:footer="992" w:gutter="0"/>
          <w:cols w:space="720" w:num="1"/>
          <w:docGrid w:type="lines" w:linePitch="381" w:charSpace="0"/>
        </w:sectPr>
      </w:pPr>
    </w:p>
    <w:p>
      <w:pPr>
        <w:pStyle w:val="30"/>
        <w:adjustRightInd w:val="0"/>
        <w:snapToGrid w:val="0"/>
        <w:spacing w:line="360" w:lineRule="auto"/>
        <w:jc w:val="left"/>
        <w:rPr>
          <w:sz w:val="24"/>
          <w:szCs w:val="24"/>
        </w:rPr>
      </w:pPr>
      <w:r>
        <w:rPr>
          <w:rFonts w:hint="eastAsia"/>
        </w:rPr>
        <w:t xml:space="preserve">     </w:t>
      </w:r>
      <w:r>
        <w:rPr>
          <w:rFonts w:hint="eastAsia"/>
          <w:sz w:val="24"/>
          <w:szCs w:val="24"/>
        </w:rPr>
        <w:t>由表3-9和表3-10可知，目前市中区各类畜禽粪污中的COD、总氮、氨氮和总磷5种主要污染物的年产生量分别是21459.8吨、1471.5吨、343.5吨和464.4吨。</w:t>
      </w:r>
    </w:p>
    <w:p>
      <w:pPr>
        <w:pStyle w:val="3"/>
        <w:spacing w:before="0" w:after="0" w:line="360" w:lineRule="auto"/>
        <w:rPr>
          <w:rFonts w:ascii="Times New Roman" w:hAnsi="Times New Roman"/>
          <w:sz w:val="28"/>
          <w:szCs w:val="28"/>
        </w:rPr>
      </w:pPr>
      <w:bookmarkStart w:id="69" w:name="_Toc117868731"/>
      <w:r>
        <w:rPr>
          <w:rFonts w:ascii="Times New Roman" w:hAnsi="Times New Roman"/>
          <w:sz w:val="28"/>
          <w:szCs w:val="28"/>
        </w:rPr>
        <w:t>3.</w:t>
      </w:r>
      <w:r>
        <w:rPr>
          <w:rFonts w:hint="eastAsia" w:ascii="Times New Roman" w:hAnsi="Times New Roman"/>
          <w:sz w:val="28"/>
          <w:szCs w:val="28"/>
        </w:rPr>
        <w:t>4</w:t>
      </w:r>
      <w:r>
        <w:rPr>
          <w:rFonts w:ascii="Times New Roman" w:hAnsi="Times New Roman"/>
          <w:sz w:val="28"/>
          <w:szCs w:val="28"/>
        </w:rPr>
        <w:t xml:space="preserve"> </w:t>
      </w:r>
      <w:r>
        <w:rPr>
          <w:rFonts w:hint="eastAsia" w:ascii="Times New Roman" w:hAnsi="Times New Roman"/>
          <w:sz w:val="28"/>
          <w:szCs w:val="28"/>
        </w:rPr>
        <w:t>畜禽粪污土地承载力的测算</w:t>
      </w:r>
      <w:bookmarkEnd w:id="69"/>
    </w:p>
    <w:p>
      <w:pPr>
        <w:pStyle w:val="4"/>
        <w:adjustRightInd w:val="0"/>
        <w:snapToGrid w:val="0"/>
        <w:spacing w:before="0" w:after="0" w:line="360" w:lineRule="auto"/>
        <w:rPr>
          <w:rFonts w:ascii="Times New Roman" w:hAnsi="Times New Roman"/>
          <w:sz w:val="24"/>
        </w:rPr>
      </w:pPr>
      <w:bookmarkStart w:id="70" w:name="_Toc117868732"/>
      <w:r>
        <w:rPr>
          <w:rFonts w:hint="eastAsia" w:ascii="Times New Roman" w:hAnsi="Times New Roman"/>
          <w:sz w:val="24"/>
          <w:szCs w:val="24"/>
        </w:rPr>
        <w:t>3.4.1测算依据</w:t>
      </w:r>
      <w:bookmarkEnd w:id="70"/>
    </w:p>
    <w:p>
      <w:pPr>
        <w:adjustRightInd w:val="0"/>
        <w:snapToGrid w:val="0"/>
        <w:ind w:firstLine="480" w:firstLineChars="200"/>
        <w:rPr>
          <w:rFonts w:ascii="Times New Roman" w:hAnsi="Times New Roman"/>
          <w:sz w:val="24"/>
        </w:rPr>
      </w:pPr>
      <w:r>
        <w:rPr>
          <w:rFonts w:hint="eastAsia" w:ascii="Times New Roman" w:hAnsi="Times New Roman"/>
          <w:sz w:val="24"/>
        </w:rPr>
        <w:t>根据《四川省畜禽养殖污染防治技术指南（试行）》（</w:t>
      </w:r>
      <w:r>
        <w:rPr>
          <w:rFonts w:ascii="Times New Roman" w:hAnsi="Times New Roman"/>
          <w:sz w:val="24"/>
        </w:rPr>
        <w:t>川农业函〔2017〕647号</w:t>
      </w:r>
      <w:r>
        <w:rPr>
          <w:rFonts w:hint="eastAsia" w:ascii="Times New Roman" w:hAnsi="Times New Roman"/>
          <w:sz w:val="24"/>
        </w:rPr>
        <w:t>）畜禽养殖耕地适宜承载力计算方法，确定畜禽养殖耕地（包括农田、人工草地、人工经济林）的适宜承载力。经测算，全省推荐值（平均）为承载生猪3头/亩</w:t>
      </w:r>
      <w:r>
        <w:rPr>
          <w:rFonts w:ascii="Times New Roman" w:hAnsi="Times New Roman"/>
          <w:sz w:val="24"/>
        </w:rPr>
        <w:t>·</w:t>
      </w:r>
      <w:r>
        <w:rPr>
          <w:rFonts w:hint="eastAsia" w:ascii="Times New Roman" w:hAnsi="Times New Roman"/>
          <w:sz w:val="24"/>
        </w:rPr>
        <w:t>年出栏量、承载生猪2头/亩</w:t>
      </w:r>
      <w:r>
        <w:rPr>
          <w:rFonts w:ascii="Times New Roman" w:hAnsi="Times New Roman"/>
          <w:sz w:val="24"/>
        </w:rPr>
        <w:t>·</w:t>
      </w:r>
      <w:r>
        <w:rPr>
          <w:rFonts w:hint="eastAsia" w:ascii="Times New Roman" w:hAnsi="Times New Roman"/>
          <w:sz w:val="24"/>
        </w:rPr>
        <w:t>年存栏量（见表3-11）。</w:t>
      </w:r>
    </w:p>
    <w:p>
      <w:pPr>
        <w:pStyle w:val="33"/>
        <w:adjustRightInd w:val="0"/>
        <w:snapToGrid w:val="0"/>
      </w:pPr>
      <w:r>
        <w:t>表</w:t>
      </w:r>
      <w:r>
        <w:rPr>
          <w:rFonts w:hint="eastAsia"/>
        </w:rPr>
        <w:t>3</w:t>
      </w:r>
      <w:r>
        <w:t>-</w:t>
      </w:r>
      <w:r>
        <w:rPr>
          <w:rFonts w:hint="eastAsia"/>
        </w:rPr>
        <w:t>11</w:t>
      </w:r>
      <w:r>
        <w:t xml:space="preserve"> 不同种植模式单位面积耕地当年畜禽适宜承载力</w:t>
      </w:r>
    </w:p>
    <w:tbl>
      <w:tblPr>
        <w:tblStyle w:val="23"/>
        <w:tblW w:w="5287" w:type="pct"/>
        <w:tblInd w:w="-242" w:type="dxa"/>
        <w:tblLayout w:type="fixed"/>
        <w:tblCellMar>
          <w:top w:w="0" w:type="dxa"/>
          <w:left w:w="108" w:type="dxa"/>
          <w:bottom w:w="0" w:type="dxa"/>
          <w:right w:w="108" w:type="dxa"/>
        </w:tblCellMar>
      </w:tblPr>
      <w:tblGrid>
        <w:gridCol w:w="2088"/>
        <w:gridCol w:w="745"/>
        <w:gridCol w:w="648"/>
        <w:gridCol w:w="683"/>
        <w:gridCol w:w="696"/>
        <w:gridCol w:w="696"/>
        <w:gridCol w:w="647"/>
        <w:gridCol w:w="732"/>
        <w:gridCol w:w="647"/>
        <w:gridCol w:w="732"/>
        <w:gridCol w:w="697"/>
      </w:tblGrid>
      <w:tr>
        <w:tblPrEx>
          <w:tblCellMar>
            <w:top w:w="0" w:type="dxa"/>
            <w:left w:w="108" w:type="dxa"/>
            <w:bottom w:w="0" w:type="dxa"/>
            <w:right w:w="108" w:type="dxa"/>
          </w:tblCellMar>
        </w:tblPrEx>
        <w:trPr>
          <w:trHeight w:val="571" w:hRule="atLeast"/>
        </w:trPr>
        <w:tc>
          <w:tcPr>
            <w:tcW w:w="1158"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主要畜禽种植模式</w:t>
            </w:r>
          </w:p>
        </w:tc>
        <w:tc>
          <w:tcPr>
            <w:tcW w:w="1537" w:type="pct"/>
            <w:gridSpan w:val="4"/>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生猪（头</w:t>
            </w:r>
            <w:r>
              <w:rPr>
                <w:rStyle w:val="38"/>
                <w:rFonts w:ascii="Times New Roman" w:hAnsi="Times New Roman" w:eastAsia="宋体" w:cs="Times New Roman"/>
                <w:b w:val="0"/>
                <w:sz w:val="21"/>
                <w:szCs w:val="21"/>
                <w:lang w:bidi="ar"/>
              </w:rPr>
              <w:t>/亩·年）</w:t>
            </w:r>
          </w:p>
        </w:tc>
        <w:tc>
          <w:tcPr>
            <w:tcW w:w="38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肉牛</w:t>
            </w:r>
          </w:p>
        </w:tc>
        <w:tc>
          <w:tcPr>
            <w:tcW w:w="35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奶牛</w:t>
            </w:r>
          </w:p>
        </w:tc>
        <w:tc>
          <w:tcPr>
            <w:tcW w:w="40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肉羊</w:t>
            </w:r>
          </w:p>
        </w:tc>
        <w:tc>
          <w:tcPr>
            <w:tcW w:w="35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蛋鸡</w:t>
            </w:r>
          </w:p>
        </w:tc>
        <w:tc>
          <w:tcPr>
            <w:tcW w:w="40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肉鸡</w:t>
            </w:r>
          </w:p>
        </w:tc>
        <w:tc>
          <w:tcPr>
            <w:tcW w:w="38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家兔</w:t>
            </w:r>
          </w:p>
        </w:tc>
      </w:tr>
      <w:tr>
        <w:tblPrEx>
          <w:tblCellMar>
            <w:top w:w="0" w:type="dxa"/>
            <w:left w:w="108" w:type="dxa"/>
            <w:bottom w:w="0" w:type="dxa"/>
            <w:right w:w="108" w:type="dxa"/>
          </w:tblCellMar>
        </w:tblPrEx>
        <w:trPr>
          <w:trHeight w:val="438" w:hRule="atLeast"/>
        </w:trPr>
        <w:tc>
          <w:tcPr>
            <w:tcW w:w="1158"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1537" w:type="pct"/>
            <w:gridSpan w:val="4"/>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406"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59"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406"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r>
      <w:tr>
        <w:tblPrEx>
          <w:tblCellMar>
            <w:top w:w="0" w:type="dxa"/>
            <w:left w:w="108" w:type="dxa"/>
            <w:bottom w:w="0" w:type="dxa"/>
            <w:right w:w="108" w:type="dxa"/>
          </w:tblCellMar>
        </w:tblPrEx>
        <w:trPr>
          <w:trHeight w:val="454" w:hRule="atLeast"/>
        </w:trPr>
        <w:tc>
          <w:tcPr>
            <w:tcW w:w="1158"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772"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最大承载力</w:t>
            </w:r>
          </w:p>
        </w:tc>
        <w:tc>
          <w:tcPr>
            <w:tcW w:w="765"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适宜承载力</w:t>
            </w:r>
          </w:p>
        </w:tc>
        <w:tc>
          <w:tcPr>
            <w:tcW w:w="2303" w:type="pct"/>
            <w:gridSpan w:val="6"/>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适宜承载力（头</w:t>
            </w:r>
            <w:r>
              <w:rPr>
                <w:rStyle w:val="38"/>
                <w:rFonts w:ascii="Times New Roman" w:hAnsi="Times New Roman" w:eastAsia="宋体" w:cs="Times New Roman"/>
                <w:b w:val="0"/>
                <w:sz w:val="21"/>
                <w:szCs w:val="21"/>
                <w:lang w:bidi="ar"/>
              </w:rPr>
              <w:t>/亩·年、只/亩·年）</w:t>
            </w:r>
          </w:p>
        </w:tc>
      </w:tr>
      <w:tr>
        <w:tblPrEx>
          <w:tblCellMar>
            <w:top w:w="0" w:type="dxa"/>
            <w:left w:w="108" w:type="dxa"/>
            <w:bottom w:w="0" w:type="dxa"/>
            <w:right w:w="108" w:type="dxa"/>
          </w:tblCellMar>
        </w:tblPrEx>
        <w:trPr>
          <w:trHeight w:val="454" w:hRule="atLeast"/>
        </w:trPr>
        <w:tc>
          <w:tcPr>
            <w:tcW w:w="1158" w:type="pct"/>
            <w:vMerge w:val="continue"/>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出栏</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出栏</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出栏</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存栏</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全省农区平均水平</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6.77</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4.6</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3.04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2.07</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0.51</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0.29</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8.07</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62.1</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121.6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55.89</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水稻（冬闲水田）</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3.71</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2.52</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1.67</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0.28</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0.16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4.45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34.2</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66.8</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30.78</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水稻＋小麦</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6.57</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4.47</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2.96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2.01</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0.28</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7.84</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60.3</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118.4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54.27</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水稻＋油菜</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6.6</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4.49</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2.97</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2.02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0.28</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7.88</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60.6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118.8</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54.54</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76" w:lineRule="auto"/>
              <w:jc w:val="center"/>
              <w:textAlignment w:val="center"/>
              <w:rPr>
                <w:rFonts w:ascii="Times New Roman" w:hAnsi="Times New Roman"/>
                <w:color w:val="000000"/>
                <w:kern w:val="0"/>
                <w:sz w:val="21"/>
                <w:szCs w:val="21"/>
                <w:lang w:bidi="ar"/>
              </w:rPr>
            </w:pPr>
            <w:r>
              <w:rPr>
                <w:rFonts w:ascii="Times New Roman" w:hAnsi="Times New Roman"/>
                <w:color w:val="000000"/>
                <w:kern w:val="0"/>
                <w:sz w:val="21"/>
                <w:szCs w:val="21"/>
                <w:lang w:bidi="ar"/>
              </w:rPr>
              <w:t>水稻＋牧草</w:t>
            </w:r>
          </w:p>
          <w:p>
            <w:pPr>
              <w:widowControl/>
              <w:adjustRightInd w:val="0"/>
              <w:snapToGrid w:val="0"/>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（青饲料）</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7.24</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4.92</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3.26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2.22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0.31</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8.66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66.6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130.4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59.94</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小麦＋玉米＋甘薯</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7.4</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5.03</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3.33</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2.27</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0.32</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8.85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68.1</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133.2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61.29</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小麦＋玉米＋豆类</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6.65</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4.52</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2.99</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2.04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0.29</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7.96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61.2</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119.6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55.08</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小麦＋棉花</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3.62</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2.46</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1.63</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1.11</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0.27</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0.16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4.33</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33.3</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65.2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29.97</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专用优质高产饲草基地</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9.88</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6.72</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4.45</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3.02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0.75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0.43</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11.78</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90.6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178</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81.54</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林果＋饲草</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8.35</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5.68</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3.76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2.56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0.63</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0.36</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9.98</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76.8</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150.4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69.12</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油菜＋玉米＋甘薯</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7.43</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5.05</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3.34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2.27</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0.32</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8.85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68.1</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133.6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61.29</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油菜＋玉米＋豆类</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6.67</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4.54</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2.04</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0.29</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7.96</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61.2</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120</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55.08</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专用蔬菜地</w:t>
            </w:r>
          </w:p>
        </w:tc>
        <w:tc>
          <w:tcPr>
            <w:tcW w:w="41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7.06</w:t>
            </w:r>
          </w:p>
        </w:tc>
        <w:tc>
          <w:tcPr>
            <w:tcW w:w="3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4.81</w:t>
            </w: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3.18</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2.16</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0.53</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0.3</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8.42</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64.8</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127.2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58.32</w:t>
            </w:r>
          </w:p>
        </w:tc>
      </w:tr>
      <w:tr>
        <w:tblPrEx>
          <w:tblCellMar>
            <w:top w:w="0" w:type="dxa"/>
            <w:left w:w="108" w:type="dxa"/>
            <w:bottom w:w="0" w:type="dxa"/>
            <w:right w:w="108" w:type="dxa"/>
          </w:tblCellMar>
        </w:tblPrEx>
        <w:trPr>
          <w:trHeight w:val="397" w:hRule="atLeast"/>
        </w:trPr>
        <w:tc>
          <w:tcPr>
            <w:tcW w:w="115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推荐值（</w:t>
            </w:r>
            <w:r>
              <w:rPr>
                <w:rStyle w:val="38"/>
                <w:rFonts w:ascii="Times New Roman" w:hAnsi="Times New Roman" w:eastAsia="宋体" w:cs="Times New Roman"/>
                <w:b w:val="0"/>
                <w:sz w:val="21"/>
                <w:szCs w:val="21"/>
                <w:lang w:bidi="ar"/>
              </w:rPr>
              <w:t>平均）</w:t>
            </w:r>
          </w:p>
        </w:tc>
        <w:tc>
          <w:tcPr>
            <w:tcW w:w="413" w:type="pct"/>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58" w:type="pct"/>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Times New Roman" w:hAnsi="Times New Roman"/>
                <w:bCs/>
                <w:color w:val="000000"/>
                <w:sz w:val="21"/>
                <w:szCs w:val="21"/>
              </w:rPr>
            </w:pPr>
          </w:p>
        </w:tc>
        <w:tc>
          <w:tcPr>
            <w:tcW w:w="37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3</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2</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0.5</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0.3</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8</w:t>
            </w:r>
          </w:p>
        </w:tc>
        <w:tc>
          <w:tcPr>
            <w:tcW w:w="359"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60</w:t>
            </w:r>
          </w:p>
        </w:tc>
        <w:tc>
          <w:tcPr>
            <w:tcW w:w="40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120</w:t>
            </w:r>
          </w:p>
        </w:tc>
        <w:tc>
          <w:tcPr>
            <w:tcW w:w="38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Times New Roman" w:hAnsi="Times New Roman"/>
                <w:bCs/>
                <w:color w:val="000000"/>
                <w:sz w:val="21"/>
                <w:szCs w:val="21"/>
              </w:rPr>
            </w:pPr>
            <w:r>
              <w:rPr>
                <w:rFonts w:ascii="Times New Roman" w:hAnsi="Times New Roman"/>
                <w:bCs/>
                <w:color w:val="000000"/>
                <w:kern w:val="0"/>
                <w:sz w:val="21"/>
                <w:szCs w:val="21"/>
                <w:lang w:bidi="ar"/>
              </w:rPr>
              <w:t>55</w:t>
            </w:r>
          </w:p>
        </w:tc>
      </w:tr>
    </w:tbl>
    <w:p>
      <w:pPr>
        <w:pStyle w:val="30"/>
        <w:adjustRightInd w:val="0"/>
        <w:snapToGrid w:val="0"/>
        <w:spacing w:line="360" w:lineRule="auto"/>
        <w:ind w:left="-283" w:leftChars="-101"/>
        <w:jc w:val="left"/>
        <w:rPr>
          <w:bCs/>
          <w:kern w:val="16"/>
          <w:szCs w:val="18"/>
        </w:rPr>
      </w:pPr>
      <w:r>
        <w:rPr>
          <w:rFonts w:hint="eastAsia"/>
          <w:bCs/>
          <w:kern w:val="16"/>
          <w:szCs w:val="18"/>
        </w:rPr>
        <w:t>注：数据来源于《四川省畜禽养殖污染防治技术指南（试行）》（</w:t>
      </w:r>
      <w:r>
        <w:rPr>
          <w:bCs/>
          <w:kern w:val="16"/>
          <w:szCs w:val="18"/>
        </w:rPr>
        <w:t>川农业函〔2017〕647号</w:t>
      </w:r>
      <w:r>
        <w:rPr>
          <w:rFonts w:hint="eastAsia"/>
          <w:bCs/>
          <w:kern w:val="16"/>
          <w:szCs w:val="18"/>
        </w:rPr>
        <w:t>）。</w:t>
      </w:r>
    </w:p>
    <w:p>
      <w:pPr>
        <w:pStyle w:val="4"/>
        <w:adjustRightInd w:val="0"/>
        <w:snapToGrid w:val="0"/>
        <w:spacing w:before="0" w:after="0" w:line="360" w:lineRule="auto"/>
        <w:rPr>
          <w:rFonts w:ascii="Times New Roman" w:hAnsi="Times New Roman"/>
          <w:sz w:val="24"/>
          <w:szCs w:val="24"/>
        </w:rPr>
      </w:pPr>
      <w:bookmarkStart w:id="71" w:name="_Toc117868733"/>
      <w:r>
        <w:rPr>
          <w:rFonts w:hint="eastAsia" w:ascii="Times New Roman" w:hAnsi="Times New Roman"/>
          <w:sz w:val="24"/>
          <w:szCs w:val="24"/>
        </w:rPr>
        <w:t>3.4.2市中区土地承载力测算</w:t>
      </w:r>
      <w:bookmarkEnd w:id="71"/>
    </w:p>
    <w:p>
      <w:pPr>
        <w:adjustRightInd w:val="0"/>
        <w:snapToGrid w:val="0"/>
        <w:ind w:firstLine="480" w:firstLineChars="200"/>
        <w:rPr>
          <w:rFonts w:ascii="Times New Roman" w:hAnsi="Times New Roman"/>
          <w:sz w:val="24"/>
        </w:rPr>
      </w:pPr>
      <w:r>
        <w:rPr>
          <w:rFonts w:hint="eastAsia" w:ascii="Times New Roman" w:hAnsi="Times New Roman"/>
          <w:sz w:val="24"/>
        </w:rPr>
        <w:t>根据市中区实际，将耕地（包括水田、旱地）、人工牧草地、人工经济林作为可消纳畜禽粪污的土地，因市中区人工经济林面积未统计，将有林地（含天然林地、人工经济林）的5%作为可消纳畜禽粪污的土地，计算得出市中区可消纳畜禽粪污的土地总面积约40.76万亩。取全省推荐值承载生猪2头/亩·年存栏量为平均系数，计算得出全区畜禽养殖适宜最大承载力为存</w:t>
      </w:r>
      <w:r>
        <w:rPr>
          <w:rFonts w:ascii="Times New Roman" w:hAnsi="Times New Roman"/>
          <w:sz w:val="24"/>
        </w:rPr>
        <w:t>栏</w:t>
      </w:r>
      <w:r>
        <w:rPr>
          <w:rFonts w:hint="eastAsia" w:ascii="Times New Roman" w:hAnsi="Times New Roman"/>
          <w:sz w:val="24"/>
        </w:rPr>
        <w:t>81.5</w:t>
      </w:r>
      <w:r>
        <w:rPr>
          <w:rFonts w:ascii="Times New Roman" w:hAnsi="Times New Roman"/>
          <w:sz w:val="24"/>
        </w:rPr>
        <w:t>万头猪当量/年</w:t>
      </w:r>
      <w:r>
        <w:rPr>
          <w:rFonts w:hint="eastAsia" w:ascii="Times New Roman" w:hAnsi="Times New Roman"/>
          <w:sz w:val="24"/>
        </w:rPr>
        <w:t>（见表3-12）。</w:t>
      </w:r>
    </w:p>
    <w:p>
      <w:pPr>
        <w:pStyle w:val="33"/>
        <w:adjustRightInd w:val="0"/>
        <w:snapToGrid w:val="0"/>
      </w:pPr>
      <w:r>
        <w:t>表</w:t>
      </w:r>
      <w:r>
        <w:rPr>
          <w:rFonts w:hint="eastAsia"/>
        </w:rPr>
        <w:t>3</w:t>
      </w:r>
      <w:r>
        <w:t>-</w:t>
      </w:r>
      <w:r>
        <w:rPr>
          <w:rFonts w:hint="eastAsia"/>
        </w:rPr>
        <w:t>12</w:t>
      </w:r>
      <w:r>
        <w:t xml:space="preserve"> </w:t>
      </w:r>
      <w:r>
        <w:rPr>
          <w:rFonts w:hint="eastAsia"/>
        </w:rPr>
        <w:t>全区</w:t>
      </w:r>
      <w:r>
        <w:t>畜禽适宜承载力</w:t>
      </w:r>
      <w:r>
        <w:rPr>
          <w:rFonts w:hint="eastAsia"/>
        </w:rPr>
        <w:t>测算表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2029"/>
        <w:gridCol w:w="2065"/>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1" w:type="pct"/>
            <w:gridSpan w:val="3"/>
            <w:noWrap/>
            <w:vAlign w:val="center"/>
          </w:tcPr>
          <w:p>
            <w:pPr>
              <w:widowControl/>
              <w:spacing w:line="240" w:lineRule="auto"/>
              <w:jc w:val="center"/>
              <w:textAlignment w:val="center"/>
              <w:rPr>
                <w:rFonts w:ascii="Times New Roman" w:hAnsi="Times New Roman"/>
                <w:bCs/>
                <w:color w:val="000000"/>
                <w:kern w:val="0"/>
                <w:sz w:val="21"/>
                <w:szCs w:val="21"/>
                <w:lang w:bidi="ar"/>
              </w:rPr>
            </w:pPr>
            <w:r>
              <w:rPr>
                <w:rFonts w:ascii="Times New Roman" w:hAnsi="Times New Roman"/>
                <w:bCs/>
                <w:color w:val="000000"/>
                <w:kern w:val="0"/>
                <w:sz w:val="21"/>
                <w:szCs w:val="21"/>
                <w:lang w:bidi="ar"/>
              </w:rPr>
              <w:t>指标名称</w:t>
            </w:r>
          </w:p>
        </w:tc>
        <w:tc>
          <w:tcPr>
            <w:tcW w:w="1528" w:type="pct"/>
            <w:noWrap/>
            <w:vAlign w:val="center"/>
          </w:tcPr>
          <w:p>
            <w:pPr>
              <w:widowControl/>
              <w:spacing w:line="240" w:lineRule="auto"/>
              <w:jc w:val="center"/>
              <w:textAlignment w:val="center"/>
              <w:rPr>
                <w:rFonts w:ascii="Times New Roman" w:hAnsi="Times New Roman"/>
                <w:bCs/>
                <w:color w:val="000000"/>
                <w:kern w:val="0"/>
                <w:sz w:val="21"/>
                <w:szCs w:val="21"/>
                <w:lang w:bidi="ar"/>
              </w:rPr>
            </w:pPr>
            <w:r>
              <w:rPr>
                <w:rFonts w:ascii="Times New Roman" w:hAnsi="Times New Roman"/>
                <w:bCs/>
                <w:color w:val="000000"/>
                <w:kern w:val="0"/>
                <w:sz w:val="21"/>
                <w:szCs w:val="21"/>
                <w:lang w:bidi="ar"/>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restart"/>
            <w:noWrap/>
            <w:vAlign w:val="center"/>
          </w:tcPr>
          <w:p>
            <w:pPr>
              <w:widowControl/>
              <w:spacing w:line="240" w:lineRule="auto"/>
              <w:jc w:val="center"/>
              <w:textAlignment w:val="center"/>
              <w:rPr>
                <w:rFonts w:ascii="Times New Roman" w:hAnsi="Times New Roman"/>
                <w:color w:val="000000"/>
                <w:kern w:val="0"/>
                <w:sz w:val="21"/>
                <w:szCs w:val="21"/>
                <w:lang w:bidi="ar"/>
              </w:rPr>
            </w:pPr>
            <w:r>
              <w:rPr>
                <w:rFonts w:ascii="Times New Roman" w:hAnsi="Times New Roman"/>
                <w:color w:val="000000"/>
                <w:kern w:val="0"/>
                <w:sz w:val="21"/>
                <w:szCs w:val="21"/>
                <w:lang w:bidi="ar"/>
              </w:rPr>
              <w:t>地类性质（亩）</w:t>
            </w:r>
          </w:p>
        </w:tc>
        <w:tc>
          <w:tcPr>
            <w:tcW w:w="2401" w:type="pct"/>
            <w:gridSpan w:val="2"/>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耕地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385499.1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center"/>
              <w:textAlignment w:val="center"/>
              <w:rPr>
                <w:rFonts w:ascii="Times New Roman" w:hAnsi="Times New Roman"/>
                <w:color w:val="000000"/>
                <w:kern w:val="0"/>
                <w:sz w:val="21"/>
                <w:szCs w:val="21"/>
                <w:lang w:bidi="ar"/>
              </w:rPr>
            </w:pPr>
          </w:p>
        </w:tc>
        <w:tc>
          <w:tcPr>
            <w:tcW w:w="1190" w:type="pct"/>
            <w:vMerge w:val="restar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其中：</w:t>
            </w: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水田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238297.8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水浇地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旱地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147201.3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left"/>
              <w:textAlignment w:val="center"/>
              <w:rPr>
                <w:rFonts w:ascii="Times New Roman" w:hAnsi="Times New Roman"/>
                <w:color w:val="000000"/>
                <w:kern w:val="0"/>
                <w:sz w:val="21"/>
                <w:szCs w:val="21"/>
                <w:lang w:bidi="ar"/>
              </w:rPr>
            </w:pPr>
          </w:p>
        </w:tc>
        <w:tc>
          <w:tcPr>
            <w:tcW w:w="2401" w:type="pct"/>
            <w:gridSpan w:val="2"/>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园地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34399.35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center"/>
              <w:textAlignment w:val="center"/>
              <w:rPr>
                <w:rFonts w:ascii="Times New Roman" w:hAnsi="Times New Roman"/>
                <w:color w:val="000000"/>
                <w:kern w:val="0"/>
                <w:sz w:val="21"/>
                <w:szCs w:val="21"/>
                <w:lang w:bidi="ar"/>
              </w:rPr>
            </w:pPr>
          </w:p>
        </w:tc>
        <w:tc>
          <w:tcPr>
            <w:tcW w:w="1190" w:type="pct"/>
            <w:vMerge w:val="restar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其中：</w:t>
            </w: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果园</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24449.7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茶园</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5024.25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其他园地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4925.4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left"/>
              <w:textAlignment w:val="center"/>
              <w:rPr>
                <w:rFonts w:ascii="Times New Roman" w:hAnsi="Times New Roman"/>
                <w:color w:val="000000"/>
                <w:kern w:val="0"/>
                <w:sz w:val="21"/>
                <w:szCs w:val="21"/>
                <w:lang w:bidi="ar"/>
              </w:rPr>
            </w:pPr>
          </w:p>
        </w:tc>
        <w:tc>
          <w:tcPr>
            <w:tcW w:w="2401" w:type="pct"/>
            <w:gridSpan w:val="2"/>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林地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498795.3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center"/>
              <w:textAlignment w:val="center"/>
              <w:rPr>
                <w:rFonts w:ascii="Times New Roman" w:hAnsi="Times New Roman"/>
                <w:color w:val="000000"/>
                <w:kern w:val="0"/>
                <w:sz w:val="21"/>
                <w:szCs w:val="21"/>
                <w:lang w:bidi="ar"/>
              </w:rPr>
            </w:pPr>
          </w:p>
        </w:tc>
        <w:tc>
          <w:tcPr>
            <w:tcW w:w="1190" w:type="pct"/>
            <w:vMerge w:val="restar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其中：</w:t>
            </w: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有林地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441173.85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灌木林地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其他林地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57621.45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left"/>
              <w:textAlignment w:val="center"/>
              <w:rPr>
                <w:rFonts w:ascii="Times New Roman" w:hAnsi="Times New Roman"/>
                <w:color w:val="000000"/>
                <w:kern w:val="0"/>
                <w:sz w:val="21"/>
                <w:szCs w:val="21"/>
                <w:lang w:bidi="ar"/>
              </w:rPr>
            </w:pPr>
          </w:p>
        </w:tc>
        <w:tc>
          <w:tcPr>
            <w:tcW w:w="2401" w:type="pct"/>
            <w:gridSpan w:val="2"/>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草地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widowControl/>
              <w:spacing w:line="240" w:lineRule="auto"/>
              <w:jc w:val="center"/>
              <w:textAlignment w:val="center"/>
              <w:rPr>
                <w:rFonts w:ascii="Times New Roman" w:hAnsi="Times New Roman"/>
                <w:color w:val="000000"/>
                <w:kern w:val="0"/>
                <w:sz w:val="21"/>
                <w:szCs w:val="21"/>
                <w:lang w:bidi="ar"/>
              </w:rPr>
            </w:pPr>
          </w:p>
        </w:tc>
        <w:tc>
          <w:tcPr>
            <w:tcW w:w="1190" w:type="pct"/>
            <w:vMerge w:val="restar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其中：</w:t>
            </w: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天然牧草地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人工牧草地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9" w:type="pct"/>
            <w:vMerge w:val="continue"/>
            <w:noWrap/>
            <w:vAlign w:val="center"/>
          </w:tcPr>
          <w:p>
            <w:pPr>
              <w:spacing w:line="240" w:lineRule="auto"/>
              <w:jc w:val="center"/>
              <w:rPr>
                <w:rFonts w:ascii="Times New Roman" w:hAnsi="Times New Roman"/>
                <w:color w:val="000000"/>
                <w:sz w:val="21"/>
                <w:szCs w:val="21"/>
              </w:rPr>
            </w:pPr>
          </w:p>
        </w:tc>
        <w:tc>
          <w:tcPr>
            <w:tcW w:w="1190" w:type="pct"/>
            <w:vMerge w:val="continue"/>
            <w:noWrap/>
            <w:vAlign w:val="center"/>
          </w:tcPr>
          <w:p>
            <w:pPr>
              <w:spacing w:line="240" w:lineRule="auto"/>
              <w:jc w:val="center"/>
              <w:rPr>
                <w:rFonts w:ascii="Times New Roman" w:hAnsi="Times New Roman"/>
                <w:color w:val="000000"/>
                <w:sz w:val="21"/>
                <w:szCs w:val="21"/>
              </w:rPr>
            </w:pPr>
          </w:p>
        </w:tc>
        <w:tc>
          <w:tcPr>
            <w:tcW w:w="1211" w:type="pct"/>
            <w:noWrap/>
            <w:vAlign w:val="center"/>
          </w:tcPr>
          <w:p>
            <w:pPr>
              <w:widowControl/>
              <w:spacing w:line="240" w:lineRule="auto"/>
              <w:jc w:val="left"/>
              <w:textAlignment w:val="center"/>
              <w:rPr>
                <w:rFonts w:ascii="Times New Roman" w:hAnsi="Times New Roman"/>
                <w:color w:val="000000"/>
                <w:sz w:val="21"/>
                <w:szCs w:val="21"/>
              </w:rPr>
            </w:pPr>
            <w:r>
              <w:rPr>
                <w:rFonts w:ascii="Times New Roman" w:hAnsi="Times New Roman"/>
                <w:color w:val="000000"/>
                <w:kern w:val="0"/>
                <w:sz w:val="21"/>
                <w:szCs w:val="21"/>
                <w:lang w:bidi="ar"/>
              </w:rPr>
              <w:t>其他草地</w:t>
            </w:r>
          </w:p>
        </w:tc>
        <w:tc>
          <w:tcPr>
            <w:tcW w:w="1528" w:type="pct"/>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330.3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1" w:type="pct"/>
            <w:gridSpan w:val="3"/>
            <w:noWrap/>
            <w:vAlign w:val="center"/>
          </w:tcPr>
          <w:p>
            <w:pPr>
              <w:widowControl/>
              <w:spacing w:line="240" w:lineRule="auto"/>
              <w:jc w:val="center"/>
              <w:textAlignment w:val="center"/>
              <w:rPr>
                <w:rFonts w:ascii="Times New Roman" w:hAnsi="Times New Roman"/>
                <w:color w:val="000000"/>
                <w:sz w:val="21"/>
                <w:szCs w:val="21"/>
              </w:rPr>
            </w:pPr>
            <w:r>
              <w:rPr>
                <w:rFonts w:ascii="Times New Roman" w:hAnsi="Times New Roman"/>
                <w:color w:val="000000"/>
                <w:kern w:val="0"/>
                <w:sz w:val="21"/>
                <w:szCs w:val="21"/>
                <w:lang w:bidi="ar"/>
              </w:rPr>
              <w:t>可消纳土地面积（亩）</w:t>
            </w:r>
          </w:p>
        </w:tc>
        <w:tc>
          <w:tcPr>
            <w:tcW w:w="1528" w:type="pct"/>
            <w:noWrap/>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407557.79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1" w:type="pct"/>
            <w:gridSpan w:val="3"/>
            <w:noWrap/>
            <w:vAlign w:val="center"/>
          </w:tcPr>
          <w:p>
            <w:pPr>
              <w:widowControl/>
              <w:spacing w:line="240" w:lineRule="auto"/>
              <w:jc w:val="center"/>
              <w:textAlignment w:val="center"/>
              <w:rPr>
                <w:rFonts w:ascii="Times New Roman" w:hAnsi="Times New Roman"/>
                <w:color w:val="000000"/>
                <w:kern w:val="0"/>
                <w:sz w:val="21"/>
                <w:szCs w:val="21"/>
                <w:lang w:bidi="ar"/>
              </w:rPr>
            </w:pPr>
            <w:r>
              <w:rPr>
                <w:rFonts w:ascii="Times New Roman" w:hAnsi="Times New Roman"/>
                <w:color w:val="000000"/>
                <w:kern w:val="0"/>
                <w:sz w:val="21"/>
                <w:szCs w:val="21"/>
                <w:lang w:bidi="ar"/>
              </w:rPr>
              <w:t>单位存栏承载力（头猪/亩·年）</w:t>
            </w:r>
          </w:p>
        </w:tc>
        <w:tc>
          <w:tcPr>
            <w:tcW w:w="1528" w:type="pct"/>
            <w:noWrap/>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1" w:type="pct"/>
            <w:gridSpan w:val="3"/>
            <w:noWrap/>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适宜最大存栏承载力（万头猪/年）</w:t>
            </w:r>
          </w:p>
        </w:tc>
        <w:tc>
          <w:tcPr>
            <w:tcW w:w="1528" w:type="pct"/>
            <w:noWrap/>
            <w:vAlign w:val="center"/>
          </w:tcPr>
          <w:p>
            <w:pPr>
              <w:spacing w:line="240" w:lineRule="auto"/>
              <w:jc w:val="center"/>
              <w:rPr>
                <w:rFonts w:ascii="Times New Roman" w:hAnsi="Times New Roman"/>
                <w:color w:val="000000"/>
                <w:sz w:val="21"/>
                <w:szCs w:val="21"/>
              </w:rPr>
            </w:pPr>
            <w:r>
              <w:rPr>
                <w:rFonts w:ascii="Times New Roman" w:hAnsi="Times New Roman"/>
                <w:color w:val="000000"/>
                <w:sz w:val="21"/>
                <w:szCs w:val="21"/>
              </w:rPr>
              <w:t>81.5</w:t>
            </w:r>
          </w:p>
        </w:tc>
      </w:tr>
    </w:tbl>
    <w:p>
      <w:pPr>
        <w:pStyle w:val="30"/>
        <w:adjustRightInd w:val="0"/>
        <w:snapToGrid w:val="0"/>
        <w:spacing w:line="360" w:lineRule="auto"/>
        <w:ind w:left="-283" w:leftChars="-101" w:firstLine="180" w:firstLineChars="100"/>
        <w:jc w:val="left"/>
        <w:rPr>
          <w:bCs/>
          <w:kern w:val="16"/>
          <w:szCs w:val="18"/>
        </w:rPr>
      </w:pPr>
      <w:r>
        <w:rPr>
          <w:rFonts w:hint="eastAsia"/>
          <w:bCs/>
          <w:kern w:val="16"/>
          <w:szCs w:val="18"/>
        </w:rPr>
        <w:t>注：数据来源于市中区自然资源局农村土地利用现状二级分类面积汇总表。</w:t>
      </w:r>
    </w:p>
    <w:p>
      <w:pPr>
        <w:pStyle w:val="4"/>
        <w:adjustRightInd w:val="0"/>
        <w:snapToGrid w:val="0"/>
        <w:spacing w:before="0" w:after="0" w:line="360" w:lineRule="auto"/>
        <w:rPr>
          <w:rFonts w:ascii="Times New Roman" w:hAnsi="Times New Roman"/>
          <w:sz w:val="24"/>
          <w:szCs w:val="24"/>
        </w:rPr>
      </w:pPr>
      <w:bookmarkStart w:id="72" w:name="_Toc117868734"/>
      <w:r>
        <w:rPr>
          <w:rFonts w:ascii="Times New Roman" w:hAnsi="Times New Roman"/>
          <w:sz w:val="24"/>
          <w:szCs w:val="24"/>
        </w:rPr>
        <w:t>3.</w:t>
      </w:r>
      <w:r>
        <w:rPr>
          <w:rFonts w:hint="eastAsia" w:ascii="Times New Roman" w:hAnsi="Times New Roman"/>
          <w:sz w:val="24"/>
          <w:szCs w:val="24"/>
        </w:rPr>
        <w:t>4.3</w:t>
      </w:r>
      <w:r>
        <w:rPr>
          <w:rFonts w:ascii="Times New Roman" w:hAnsi="Times New Roman"/>
          <w:sz w:val="24"/>
          <w:szCs w:val="24"/>
        </w:rPr>
        <w:t xml:space="preserve"> </w:t>
      </w:r>
      <w:r>
        <w:rPr>
          <w:rFonts w:hint="eastAsia" w:ascii="Times New Roman" w:hAnsi="Times New Roman"/>
          <w:sz w:val="24"/>
          <w:szCs w:val="24"/>
        </w:rPr>
        <w:t>畜禽养殖规模的增长空间</w:t>
      </w:r>
      <w:bookmarkEnd w:id="72"/>
    </w:p>
    <w:p>
      <w:pPr>
        <w:pStyle w:val="30"/>
        <w:adjustRightInd w:val="0"/>
        <w:snapToGrid w:val="0"/>
        <w:spacing w:line="360" w:lineRule="auto"/>
        <w:jc w:val="left"/>
        <w:rPr>
          <w:sz w:val="24"/>
          <w:szCs w:val="24"/>
        </w:rPr>
      </w:pPr>
      <w:r>
        <w:rPr>
          <w:rFonts w:hint="eastAsia"/>
        </w:rPr>
        <w:t xml:space="preserve">     </w:t>
      </w:r>
      <w:r>
        <w:rPr>
          <w:rFonts w:hint="eastAsia"/>
          <w:sz w:val="24"/>
          <w:szCs w:val="24"/>
        </w:rPr>
        <w:t>根据市中区2020年各类畜禽养殖规模（见表3-3）和2025年的目标养殖规模，可计算出未来五年各类畜禽养殖量的增长空间（见3-13）。</w:t>
      </w:r>
    </w:p>
    <w:p>
      <w:pPr>
        <w:pStyle w:val="33"/>
        <w:adjustRightInd w:val="0"/>
        <w:snapToGrid w:val="0"/>
      </w:pPr>
    </w:p>
    <w:p>
      <w:pPr>
        <w:pStyle w:val="33"/>
        <w:adjustRightInd w:val="0"/>
        <w:snapToGrid w:val="0"/>
      </w:pPr>
      <w:r>
        <w:rPr>
          <w:rFonts w:hint="eastAsia"/>
        </w:rPr>
        <w:t>表3-13</w:t>
      </w:r>
      <w:r>
        <w:t xml:space="preserve"> 市中区</w:t>
      </w:r>
      <w:r>
        <w:rPr>
          <w:rFonts w:hint="eastAsia"/>
        </w:rPr>
        <w:t>“十四五”期间各类畜禽养殖规模的增长量</w:t>
      </w:r>
    </w:p>
    <w:tbl>
      <w:tblPr>
        <w:tblStyle w:val="23"/>
        <w:tblW w:w="8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2163"/>
        <w:gridCol w:w="2424"/>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畜种</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2020年末养殖</w:t>
            </w:r>
            <w:r>
              <w:rPr>
                <w:rFonts w:ascii="Times New Roman" w:hAnsi="Times New Roman" w:eastAsia="宋体" w:cs="Times New Roman"/>
                <w:sz w:val="21"/>
                <w:szCs w:val="21"/>
              </w:rPr>
              <w:t>量</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2025年目标规模</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增长空间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生猪</w:t>
            </w:r>
            <w:r>
              <w:rPr>
                <w:rFonts w:hint="eastAsia" w:ascii="Times New Roman" w:hAnsi="Times New Roman" w:eastAsia="宋体" w:cs="Times New Roman"/>
                <w:sz w:val="21"/>
                <w:szCs w:val="21"/>
              </w:rPr>
              <w:t>出栏量（万头）</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28.07</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肉牛</w:t>
            </w:r>
            <w:r>
              <w:rPr>
                <w:rFonts w:hint="eastAsia" w:ascii="Times New Roman" w:hAnsi="Times New Roman" w:eastAsia="宋体" w:cs="Times New Roman"/>
                <w:sz w:val="21"/>
                <w:szCs w:val="21"/>
              </w:rPr>
              <w:t>出栏量（万头）</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0.16</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羊出栏量（万只）</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0.85</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兔出栏量（万只）</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99.88</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105</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042"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*禽类存栏量（万只）</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373</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430</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042" w:type="dxa"/>
            <w:shd w:val="clear" w:color="auto" w:fill="auto"/>
            <w:vAlign w:val="center"/>
          </w:tcPr>
          <w:p>
            <w:pPr>
              <w:pStyle w:val="7"/>
              <w:adjustRightInd w:val="0"/>
              <w:snapToGrid w:val="0"/>
              <w:spacing w:after="0" w:line="276" w:lineRule="auto"/>
              <w:ind w:left="-140" w:leftChars="-50" w:right="-106" w:rightChars="-38"/>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r>
              <w:rPr>
                <w:rFonts w:hint="eastAsia" w:ascii="Times New Roman" w:hAnsi="Times New Roman" w:eastAsia="宋体" w:cs="Times New Roman"/>
                <w:sz w:val="21"/>
                <w:szCs w:val="21"/>
              </w:rPr>
              <w:t>（猪当量）</w:t>
            </w:r>
          </w:p>
        </w:tc>
        <w:tc>
          <w:tcPr>
            <w:tcW w:w="2163"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41.81</w:t>
            </w:r>
          </w:p>
        </w:tc>
        <w:tc>
          <w:tcPr>
            <w:tcW w:w="2424"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55.58</w:t>
            </w:r>
          </w:p>
        </w:tc>
        <w:tc>
          <w:tcPr>
            <w:tcW w:w="1965" w:type="dxa"/>
            <w:shd w:val="clear" w:color="auto" w:fill="auto"/>
            <w:vAlign w:val="center"/>
          </w:tcPr>
          <w:p>
            <w:pPr>
              <w:pStyle w:val="7"/>
              <w:adjustRightInd w:val="0"/>
              <w:snapToGrid w:val="0"/>
              <w:spacing w:after="0" w:line="276"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13.77</w:t>
            </w:r>
          </w:p>
        </w:tc>
      </w:tr>
    </w:tbl>
    <w:p>
      <w:pPr>
        <w:pStyle w:val="30"/>
        <w:adjustRightInd w:val="0"/>
        <w:snapToGrid w:val="0"/>
        <w:spacing w:line="360" w:lineRule="auto"/>
        <w:jc w:val="left"/>
        <w:rPr>
          <w:sz w:val="24"/>
        </w:rPr>
      </w:pPr>
      <w:r>
        <w:rPr>
          <w:rFonts w:hint="eastAsia"/>
          <w:bCs/>
          <w:kern w:val="16"/>
          <w:szCs w:val="18"/>
        </w:rPr>
        <w:t>注：*禽类取下限60只肉禽≈1头猪和上限30只蛋禽≈1头猪折算量的平均值；其他畜种的折算标准标准为：1头肉牛≈5头猪、3只羊≈1头猪、30只兔≈1头猪。</w:t>
      </w:r>
    </w:p>
    <w:p>
      <w:pPr>
        <w:adjustRightInd w:val="0"/>
        <w:snapToGrid w:val="0"/>
        <w:ind w:firstLine="480" w:firstLineChars="200"/>
        <w:rPr>
          <w:rFonts w:ascii="Times New Roman" w:hAnsi="Times New Roman"/>
          <w:b/>
          <w:sz w:val="24"/>
        </w:rPr>
      </w:pPr>
      <w:r>
        <w:rPr>
          <w:rFonts w:hint="eastAsia" w:ascii="Times New Roman" w:hAnsi="Times New Roman"/>
          <w:sz w:val="24"/>
        </w:rPr>
        <w:t>由表3-13可知，到2025年，各类禽畜养殖规模还有较大增长空间，其中生猪、肉牛、羊、兔和禽类的增长空间分别为11.93万头、0.04万头、0.15万只、5.12万只和57万只，按猪当量折算合计为13.77万头。</w:t>
      </w:r>
    </w:p>
    <w:p>
      <w:pPr>
        <w:adjustRightInd w:val="0"/>
        <w:snapToGrid w:val="0"/>
        <w:ind w:firstLine="480" w:firstLineChars="200"/>
      </w:pPr>
      <w:r>
        <w:rPr>
          <w:rFonts w:hint="eastAsia" w:ascii="Times New Roman" w:hAnsi="Times New Roman"/>
          <w:sz w:val="24"/>
        </w:rPr>
        <w:t>按表3-12测算值，全区耕地畜禽养殖最大承载力为81.5万头猪当量，2020年末各类畜禽养殖总量占最大承载力的51.3%。按规划目标，至2025年，各类禽畜的猪当量为55万头左右，以现有的土地消纳能力和粪污治理方式估算，可占最大承载力的67.5%。</w:t>
      </w:r>
    </w:p>
    <w:p>
      <w:pPr>
        <w:pStyle w:val="3"/>
        <w:spacing w:before="0" w:after="0" w:line="360" w:lineRule="auto"/>
        <w:rPr>
          <w:rFonts w:ascii="Times New Roman" w:hAnsi="Times New Roman"/>
          <w:sz w:val="28"/>
          <w:szCs w:val="28"/>
        </w:rPr>
      </w:pPr>
      <w:bookmarkStart w:id="73" w:name="_Toc117868735"/>
      <w:r>
        <w:rPr>
          <w:rFonts w:ascii="Times New Roman" w:hAnsi="Times New Roman"/>
          <w:sz w:val="28"/>
          <w:szCs w:val="28"/>
        </w:rPr>
        <w:t>3.</w:t>
      </w:r>
      <w:r>
        <w:rPr>
          <w:rFonts w:hint="eastAsia" w:ascii="Times New Roman" w:hAnsi="Times New Roman"/>
          <w:sz w:val="28"/>
          <w:szCs w:val="28"/>
        </w:rPr>
        <w:t>5</w:t>
      </w:r>
      <w:r>
        <w:rPr>
          <w:rFonts w:ascii="Times New Roman" w:hAnsi="Times New Roman"/>
          <w:sz w:val="28"/>
          <w:szCs w:val="28"/>
        </w:rPr>
        <w:t xml:space="preserve"> </w:t>
      </w:r>
      <w:r>
        <w:rPr>
          <w:rFonts w:hint="eastAsia" w:ascii="Times New Roman" w:hAnsi="Times New Roman"/>
          <w:sz w:val="28"/>
          <w:szCs w:val="28"/>
        </w:rPr>
        <w:t>畜禽养殖污染防治存在的问题</w:t>
      </w:r>
      <w:bookmarkEnd w:id="73"/>
    </w:p>
    <w:p>
      <w:pPr>
        <w:pStyle w:val="4"/>
        <w:adjustRightInd w:val="0"/>
        <w:snapToGrid w:val="0"/>
        <w:spacing w:before="0" w:after="0" w:line="360" w:lineRule="auto"/>
        <w:rPr>
          <w:rFonts w:ascii="Times New Roman" w:hAnsi="Times New Roman"/>
          <w:sz w:val="24"/>
          <w:szCs w:val="24"/>
        </w:rPr>
      </w:pPr>
      <w:bookmarkStart w:id="74" w:name="_Toc117868736"/>
      <w:r>
        <w:rPr>
          <w:rFonts w:ascii="Times New Roman" w:hAnsi="Times New Roman"/>
          <w:sz w:val="24"/>
          <w:szCs w:val="24"/>
        </w:rPr>
        <w:t>3.</w:t>
      </w:r>
      <w:r>
        <w:rPr>
          <w:rFonts w:hint="eastAsia" w:ascii="Times New Roman" w:hAnsi="Times New Roman"/>
          <w:sz w:val="24"/>
          <w:szCs w:val="24"/>
        </w:rPr>
        <w:t>5.1</w:t>
      </w:r>
      <w:r>
        <w:rPr>
          <w:rFonts w:ascii="Times New Roman" w:hAnsi="Times New Roman"/>
          <w:sz w:val="24"/>
          <w:szCs w:val="24"/>
        </w:rPr>
        <w:t xml:space="preserve"> 畜类</w:t>
      </w:r>
      <w:r>
        <w:rPr>
          <w:rFonts w:hint="eastAsia" w:ascii="Times New Roman" w:hAnsi="Times New Roman"/>
          <w:sz w:val="24"/>
          <w:szCs w:val="24"/>
        </w:rPr>
        <w:t>结构和规模布局不合理</w:t>
      </w:r>
      <w:bookmarkEnd w:id="74"/>
    </w:p>
    <w:p>
      <w:pPr>
        <w:adjustRightInd w:val="0"/>
        <w:snapToGrid w:val="0"/>
        <w:ind w:firstLine="480" w:firstLineChars="200"/>
        <w:rPr>
          <w:rFonts w:ascii="Times New Roman" w:hAnsi="Times New Roman"/>
          <w:sz w:val="24"/>
        </w:rPr>
      </w:pPr>
      <w:bookmarkStart w:id="75" w:name="OLE_LINK18"/>
      <w:bookmarkStart w:id="76" w:name="OLE_LINK17"/>
      <w:r>
        <w:rPr>
          <w:rFonts w:hint="eastAsia" w:ascii="Times New Roman" w:hAnsi="Times New Roman"/>
          <w:sz w:val="24"/>
        </w:rPr>
        <w:t>目前全区畜牧养殖仍以饲料型生猪、禽类为主，草食性牛、羊等所占养殖比例低，草饲结构不合理，严重影响了畜牧业产品的多样性，加重了环境治理压力，降低了抵抗市场风险能力。“十三五”期间由于受畜禽养殖污染专项整治、非洲猪瘟疫情等影响，畜牧业产值及部分畜禽产品产量有较大幅度下降，畜牧业结构亟待优化调整。</w:t>
      </w:r>
    </w:p>
    <w:p>
      <w:pPr>
        <w:adjustRightInd w:val="0"/>
        <w:snapToGrid w:val="0"/>
        <w:ind w:firstLine="480" w:firstLineChars="200"/>
        <w:rPr>
          <w:rFonts w:ascii="Times New Roman" w:hAnsi="Times New Roman"/>
          <w:sz w:val="24"/>
        </w:rPr>
      </w:pPr>
      <w:r>
        <w:rPr>
          <w:rFonts w:hint="eastAsia" w:ascii="Times New Roman" w:hAnsi="Times New Roman"/>
          <w:sz w:val="24"/>
        </w:rPr>
        <w:t>从养殖场规模的布局而言，目前全区养殖专业户和散养户比例明显偏高，规模养殖场（小区）较低，制约了全区养殖场规模化建设。另外，目前规模化禽畜养殖场（小区）与标准化目标还有较大差距，主要体现在缺乏科学标准的饲喂方式、操作程序、养殖设施和粪污处理设施，一定程度影响了标准化规模养猪场（小区）的建设。</w:t>
      </w:r>
    </w:p>
    <w:bookmarkEnd w:id="75"/>
    <w:bookmarkEnd w:id="76"/>
    <w:p>
      <w:pPr>
        <w:pStyle w:val="4"/>
        <w:adjustRightInd w:val="0"/>
        <w:snapToGrid w:val="0"/>
        <w:spacing w:before="0" w:after="0" w:line="360" w:lineRule="auto"/>
        <w:rPr>
          <w:rFonts w:ascii="Times New Roman" w:hAnsi="Times New Roman"/>
          <w:sz w:val="24"/>
          <w:szCs w:val="24"/>
        </w:rPr>
      </w:pPr>
      <w:bookmarkStart w:id="77" w:name="_Toc117868737"/>
      <w:r>
        <w:rPr>
          <w:rFonts w:ascii="Times New Roman" w:hAnsi="Times New Roman"/>
          <w:sz w:val="24"/>
          <w:szCs w:val="24"/>
        </w:rPr>
        <w:t>3.</w:t>
      </w:r>
      <w:r>
        <w:rPr>
          <w:rFonts w:hint="eastAsia" w:ascii="Times New Roman" w:hAnsi="Times New Roman"/>
          <w:sz w:val="24"/>
          <w:szCs w:val="24"/>
        </w:rPr>
        <w:t>5.2</w:t>
      </w:r>
      <w:r>
        <w:rPr>
          <w:rFonts w:ascii="Times New Roman" w:hAnsi="Times New Roman"/>
          <w:sz w:val="24"/>
          <w:szCs w:val="24"/>
        </w:rPr>
        <w:t xml:space="preserve"> </w:t>
      </w:r>
      <w:r>
        <w:rPr>
          <w:rFonts w:hint="eastAsia" w:ascii="Times New Roman" w:hAnsi="Times New Roman"/>
          <w:sz w:val="24"/>
          <w:szCs w:val="24"/>
        </w:rPr>
        <w:t>畜禽养殖水平有待提升</w:t>
      </w:r>
      <w:bookmarkEnd w:id="77"/>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（1）畜禽养殖管理水平低</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目前全区除少数规模化畜禽养殖场（小区）管理水平较高外，其余养殖户水平管理水平普遍较低</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养殖业产业链条不完善</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大多数养殖户在育种、饲料、兽药、防疫、屠宰、加工、存储、运输、销售与深加工等环节分离，整体处于产业链末端。养殖生产环节整体管理水平低，信息化应用能力不足。养殖中散养户占比较大，养殖方式落后、圈舍不标准、产能低下、粪污综合效率低，造成畜禽粪污防治效果不理想。</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（2）生态养殖技术占比低</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目前全区只有个别的规模化养殖场具备生态养殖和清洁粪污防治技术，大部分仍采用传统粗放的养殖模式，未能形成畜禽-沼-果（草、林、菜、茶）等生态型养殖模式，严重影响了粪污资源化的循环利用水平。</w:t>
      </w:r>
      <w:r>
        <w:rPr>
          <w:rFonts w:hint="eastAsia" w:ascii="Times New Roman" w:hAnsi="Times New Roman" w:eastAsia="宋体" w:cs="Times New Roman"/>
          <w:sz w:val="24"/>
          <w:szCs w:val="24"/>
          <w:lang w:eastAsia="zh-CN"/>
        </w:rPr>
        <w:t>此</w:t>
      </w:r>
      <w:r>
        <w:rPr>
          <w:rFonts w:hint="eastAsia" w:ascii="Times New Roman" w:hAnsi="Times New Roman" w:eastAsia="宋体" w:cs="Times New Roman"/>
          <w:sz w:val="24"/>
          <w:szCs w:val="24"/>
        </w:rPr>
        <w:t>外，大部分养殖场（户）均</w:t>
      </w:r>
      <w:r>
        <w:rPr>
          <w:rFonts w:hint="eastAsia" w:ascii="Times New Roman" w:hAnsi="Times New Roman" w:eastAsia="宋体" w:cs="Times New Roman"/>
          <w:sz w:val="24"/>
          <w:szCs w:val="24"/>
          <w:lang w:eastAsia="zh-CN"/>
        </w:rPr>
        <w:t>未</w:t>
      </w:r>
      <w:r>
        <w:rPr>
          <w:rFonts w:hint="eastAsia" w:ascii="Times New Roman" w:hAnsi="Times New Roman" w:eastAsia="宋体" w:cs="Times New Roman"/>
          <w:sz w:val="24"/>
          <w:szCs w:val="24"/>
        </w:rPr>
        <w:t>采取清洁养殖技术，未能有效控制养殖环境，畜禽粪便和养殖废水综合利用的配套设施建设滞后。</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（3）粪污处理设施设备标准化程度不高</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全区大部分养殖户在农业、环保等部门的思想教育和监督下，已逐步认识到畜禽粪污处理设施设备的重要性，建设了一定</w:t>
      </w:r>
      <w:r>
        <w:rPr>
          <w:rFonts w:hint="eastAsia" w:ascii="Times New Roman" w:hAnsi="Times New Roman" w:eastAsia="宋体" w:cs="Times New Roman"/>
          <w:sz w:val="24"/>
          <w:szCs w:val="24"/>
          <w:lang w:eastAsia="zh-CN"/>
        </w:rPr>
        <w:t>量</w:t>
      </w:r>
      <w:r>
        <w:rPr>
          <w:rFonts w:hint="eastAsia" w:ascii="Times New Roman" w:hAnsi="Times New Roman" w:eastAsia="宋体" w:cs="Times New Roman"/>
          <w:sz w:val="24"/>
          <w:szCs w:val="24"/>
        </w:rPr>
        <w:t>的配套设施，如化粪池、沼气池等。但由于缺乏有效的指导和养殖户思想认识</w:t>
      </w:r>
      <w:r>
        <w:rPr>
          <w:rFonts w:hint="eastAsia" w:ascii="Times New Roman" w:hAnsi="Times New Roman" w:eastAsia="宋体" w:cs="Times New Roman"/>
          <w:sz w:val="24"/>
          <w:szCs w:val="24"/>
          <w:lang w:eastAsia="zh-CN"/>
        </w:rPr>
        <w:t>仍</w:t>
      </w:r>
      <w:r>
        <w:rPr>
          <w:rFonts w:hint="eastAsia" w:ascii="Times New Roman" w:hAnsi="Times New Roman" w:eastAsia="宋体" w:cs="Times New Roman"/>
          <w:sz w:val="24"/>
          <w:szCs w:val="24"/>
        </w:rPr>
        <w:t>不到位，造成配套的设施设备不足，如部分只有化粪池、沼气池等其中一项，配套设施不完善；配套建设的化粪池、沼气池等规模较小，不能满足现状及未来一定时间的处理需要，造成粪污得不到有效处理；配套建设的种植基地内的储粪池，部分未采取防渗漏、防雨水等措施，造成渗漏和溢流等二次污染。</w:t>
      </w:r>
    </w:p>
    <w:p>
      <w:pPr>
        <w:pStyle w:val="4"/>
        <w:adjustRightInd w:val="0"/>
        <w:snapToGrid w:val="0"/>
        <w:spacing w:before="0" w:after="0" w:line="360" w:lineRule="auto"/>
        <w:rPr>
          <w:rFonts w:ascii="Times New Roman" w:hAnsi="Times New Roman"/>
          <w:sz w:val="24"/>
          <w:szCs w:val="24"/>
        </w:rPr>
      </w:pPr>
      <w:bookmarkStart w:id="78" w:name="_Toc117868738"/>
      <w:r>
        <w:rPr>
          <w:rFonts w:ascii="Times New Roman" w:hAnsi="Times New Roman"/>
          <w:sz w:val="24"/>
          <w:szCs w:val="24"/>
        </w:rPr>
        <w:t>3.</w:t>
      </w:r>
      <w:r>
        <w:rPr>
          <w:rFonts w:hint="eastAsia" w:ascii="Times New Roman" w:hAnsi="Times New Roman"/>
          <w:sz w:val="24"/>
          <w:szCs w:val="24"/>
        </w:rPr>
        <w:t>5.3</w:t>
      </w:r>
      <w:r>
        <w:rPr>
          <w:rFonts w:ascii="Times New Roman" w:hAnsi="Times New Roman"/>
          <w:sz w:val="24"/>
          <w:szCs w:val="24"/>
        </w:rPr>
        <w:t xml:space="preserve"> </w:t>
      </w:r>
      <w:r>
        <w:rPr>
          <w:rFonts w:hint="eastAsia" w:ascii="Times New Roman" w:hAnsi="Times New Roman"/>
          <w:sz w:val="24"/>
          <w:szCs w:val="24"/>
        </w:rPr>
        <w:t>畜禽养殖污染整体治理能力较低</w:t>
      </w:r>
      <w:bookmarkEnd w:id="78"/>
    </w:p>
    <w:p>
      <w:pPr>
        <w:pStyle w:val="7"/>
        <w:adjustRightInd w:val="0"/>
        <w:snapToGrid w:val="0"/>
        <w:spacing w:after="0" w:line="360" w:lineRule="auto"/>
        <w:ind w:firstLine="480" w:firstLineChars="200"/>
        <w:rPr>
          <w:rFonts w:ascii="Times New Roman" w:hAnsi="Times New Roman" w:eastAsia="宋体" w:cs="Times New Roman"/>
          <w:sz w:val="24"/>
          <w:szCs w:val="24"/>
        </w:rPr>
      </w:pPr>
      <w:bookmarkStart w:id="79" w:name="_Toc507753454"/>
      <w:r>
        <w:rPr>
          <w:rFonts w:hint="eastAsia" w:ascii="Times New Roman" w:hAnsi="Times New Roman" w:eastAsia="宋体" w:cs="Times New Roman"/>
          <w:sz w:val="24"/>
          <w:szCs w:val="24"/>
        </w:rPr>
        <w:t>（1）农闲期粪污处理困难</w:t>
      </w:r>
      <w:bookmarkEnd w:id="79"/>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市中区目前正在大力推广种养结合模式，但畜禽养殖的粪污长期稳定产生于农业种植周期性需求之间存在不匹配的情况</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在农业耕作期间，农业有机肥的需求较大，畜禽粪污得到了很好的利用，但农闲期时，农业有机肥需求较小，粪污未能得到有效利用，存在超过粪污储存设施的存储上限</w:t>
      </w:r>
      <w:r>
        <w:rPr>
          <w:rFonts w:hint="eastAsia" w:ascii="Times New Roman" w:hAnsi="Times New Roman" w:eastAsia="宋体" w:cs="Times New Roman"/>
          <w:sz w:val="24"/>
          <w:szCs w:val="24"/>
          <w:lang w:eastAsia="zh-CN"/>
        </w:rPr>
        <w:t>情形</w:t>
      </w:r>
      <w:r>
        <w:rPr>
          <w:rFonts w:hint="eastAsia" w:ascii="Times New Roman" w:hAnsi="Times New Roman" w:eastAsia="宋体" w:cs="Times New Roman"/>
          <w:sz w:val="24"/>
          <w:szCs w:val="24"/>
        </w:rPr>
        <w:t>，处理困难。</w:t>
      </w:r>
    </w:p>
    <w:p>
      <w:pPr>
        <w:pStyle w:val="7"/>
        <w:adjustRightInd w:val="0"/>
        <w:snapToGrid w:val="0"/>
        <w:spacing w:after="0" w:line="360" w:lineRule="auto"/>
        <w:ind w:firstLine="480" w:firstLineChars="200"/>
        <w:rPr>
          <w:rFonts w:ascii="Times New Roman" w:hAnsi="Times New Roman" w:eastAsia="宋体" w:cs="Times New Roman"/>
          <w:sz w:val="24"/>
          <w:szCs w:val="24"/>
        </w:rPr>
      </w:pPr>
      <w:bookmarkStart w:id="80" w:name="_Toc507753456"/>
      <w:r>
        <w:rPr>
          <w:rFonts w:hint="eastAsia" w:ascii="Times New Roman" w:hAnsi="Times New Roman" w:eastAsia="宋体" w:cs="Times New Roman"/>
          <w:sz w:val="24"/>
          <w:szCs w:val="24"/>
        </w:rPr>
        <w:t>（2）畜禽粪污无害化处理不到位</w:t>
      </w:r>
      <w:bookmarkEnd w:id="80"/>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现有规模化畜禽养殖场大都采取干法清粪工艺，并有粪污储存场所，但有的场所没有采取防止粪污渗漏、溢流措施</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甚至露天随地堆放、臭气四溢。养殖场粪污虽然基本上全部外售或自用于直接还田，但有的没有经过无害化处理，使之符合《粪便无害化卫生标准》后才外售或自用，因而存在隐患。现有畜禽养殖场产生的污水大都经过排水沟进入储水塘自然存放，在雨季很难防止塘水外泄造成二次污染。</w:t>
      </w:r>
    </w:p>
    <w:p>
      <w:pPr>
        <w:pStyle w:val="7"/>
        <w:adjustRightInd w:val="0"/>
        <w:snapToGrid w:val="0"/>
        <w:spacing w:after="0" w:line="360" w:lineRule="auto"/>
        <w:ind w:firstLine="480" w:firstLineChars="200"/>
        <w:rPr>
          <w:rFonts w:ascii="Times New Roman" w:hAnsi="Times New Roman" w:eastAsia="宋体" w:cs="Times New Roman"/>
          <w:sz w:val="24"/>
          <w:szCs w:val="24"/>
        </w:rPr>
      </w:pPr>
      <w:bookmarkStart w:id="81" w:name="_Toc507753457"/>
      <w:r>
        <w:rPr>
          <w:rFonts w:hint="eastAsia" w:ascii="Times New Roman" w:hAnsi="Times New Roman" w:eastAsia="宋体" w:cs="Times New Roman"/>
          <w:sz w:val="24"/>
          <w:szCs w:val="24"/>
        </w:rPr>
        <w:t>（3）病死畜禽处理不规范</w:t>
      </w:r>
      <w:bookmarkEnd w:id="81"/>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现有畜禽养殖场对病死畜禽尸体的处理大部分仍采用就地掩埋</w:t>
      </w:r>
      <w:r>
        <w:rPr>
          <w:rFonts w:hint="eastAsia" w:ascii="Times New Roman" w:hAnsi="Times New Roman" w:eastAsia="宋体" w:cs="Times New Roman"/>
          <w:color w:val="auto"/>
          <w:sz w:val="24"/>
          <w:szCs w:val="24"/>
        </w:rPr>
        <w:t>的</w:t>
      </w:r>
      <w:r>
        <w:rPr>
          <w:rFonts w:hint="eastAsia" w:ascii="Times New Roman" w:hAnsi="Times New Roman" w:eastAsia="宋体" w:cs="Times New Roman"/>
          <w:sz w:val="24"/>
          <w:szCs w:val="24"/>
        </w:rPr>
        <w:t>措施，缺乏规范化、标准化、专业化的病死畜禽处理中心，具有较大的生态环境安全隐患。</w:t>
      </w:r>
    </w:p>
    <w:p>
      <w:pPr>
        <w:pStyle w:val="4"/>
        <w:adjustRightInd w:val="0"/>
        <w:snapToGrid w:val="0"/>
        <w:spacing w:before="0" w:after="0" w:line="360" w:lineRule="auto"/>
        <w:rPr>
          <w:rFonts w:ascii="Times New Roman" w:hAnsi="Times New Roman"/>
          <w:sz w:val="24"/>
          <w:szCs w:val="24"/>
        </w:rPr>
      </w:pPr>
      <w:bookmarkStart w:id="82" w:name="_Toc117868739"/>
      <w:r>
        <w:rPr>
          <w:rFonts w:ascii="Times New Roman" w:hAnsi="Times New Roman"/>
          <w:sz w:val="24"/>
          <w:szCs w:val="24"/>
        </w:rPr>
        <w:t>3.</w:t>
      </w:r>
      <w:r>
        <w:rPr>
          <w:rFonts w:hint="eastAsia" w:ascii="Times New Roman" w:hAnsi="Times New Roman"/>
          <w:sz w:val="24"/>
          <w:szCs w:val="24"/>
        </w:rPr>
        <w:t>5.4</w:t>
      </w:r>
      <w:r>
        <w:rPr>
          <w:rFonts w:ascii="Times New Roman" w:hAnsi="Times New Roman"/>
          <w:sz w:val="24"/>
          <w:szCs w:val="24"/>
        </w:rPr>
        <w:t xml:space="preserve"> </w:t>
      </w:r>
      <w:r>
        <w:rPr>
          <w:rFonts w:hint="eastAsia" w:ascii="Times New Roman" w:hAnsi="Times New Roman"/>
          <w:sz w:val="24"/>
          <w:szCs w:val="24"/>
        </w:rPr>
        <w:t>畜禽粪污资源化综合利用水平低</w:t>
      </w:r>
      <w:bookmarkEnd w:id="82"/>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（1）粪污利用方式单一</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目前全区粪污的利用主要以还田为主，</w:t>
      </w:r>
      <w:r>
        <w:rPr>
          <w:rFonts w:hint="eastAsia" w:ascii="Times New Roman" w:hAnsi="Times New Roman" w:eastAsia="宋体" w:cs="Times New Roman"/>
          <w:sz w:val="24"/>
          <w:szCs w:val="24"/>
          <w:lang w:eastAsia="zh-CN"/>
        </w:rPr>
        <w:t>存在</w:t>
      </w:r>
      <w:r>
        <w:rPr>
          <w:rFonts w:hint="eastAsia" w:ascii="Times New Roman" w:hAnsi="Times New Roman" w:eastAsia="宋体" w:cs="Times New Roman"/>
          <w:sz w:val="24"/>
          <w:szCs w:val="24"/>
        </w:rPr>
        <w:t>农田病虫害滋生，重金属、抗生素富集</w:t>
      </w:r>
      <w:r>
        <w:rPr>
          <w:rFonts w:hint="eastAsia" w:ascii="Times New Roman" w:hAnsi="Times New Roman" w:eastAsia="宋体" w:cs="Times New Roman"/>
          <w:color w:val="auto"/>
          <w:sz w:val="24"/>
          <w:szCs w:val="24"/>
          <w:lang w:eastAsia="zh-CN"/>
        </w:rPr>
        <w:t>等</w:t>
      </w:r>
      <w:r>
        <w:rPr>
          <w:rFonts w:hint="eastAsia" w:ascii="Times New Roman" w:hAnsi="Times New Roman" w:eastAsia="宋体" w:cs="Times New Roman"/>
          <w:color w:val="auto"/>
          <w:sz w:val="24"/>
          <w:szCs w:val="24"/>
        </w:rPr>
        <w:t>一</w:t>
      </w:r>
      <w:r>
        <w:rPr>
          <w:rFonts w:hint="eastAsia" w:ascii="Times New Roman" w:hAnsi="Times New Roman" w:eastAsia="宋体" w:cs="Times New Roman"/>
          <w:sz w:val="24"/>
          <w:szCs w:val="24"/>
        </w:rPr>
        <w:t>系列生态环境安全问题。畜禽粪便的肥料化、能源化的利用程度有限，未能兼顾生态效益和经济效益，既增加了养殖场（户）的粪污治理成本，又浪费了资源。</w:t>
      </w:r>
    </w:p>
    <w:p>
      <w:pPr>
        <w:pStyle w:val="7"/>
        <w:adjustRightInd w:val="0"/>
        <w:snapToGrid w:val="0"/>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（2）粪污综合利用设施不完善 </w:t>
      </w:r>
    </w:p>
    <w:p>
      <w:pPr>
        <w:adjustRightInd w:val="0"/>
        <w:snapToGrid w:val="0"/>
        <w:ind w:firstLine="480" w:firstLineChars="200"/>
        <w:rPr>
          <w:rFonts w:ascii="Times New Roman" w:hAnsi="Times New Roman"/>
          <w:sz w:val="24"/>
        </w:rPr>
      </w:pPr>
      <w:r>
        <w:rPr>
          <w:rFonts w:hint="eastAsia" w:ascii="Times New Roman" w:hAnsi="Times New Roman"/>
          <w:sz w:val="24"/>
        </w:rPr>
        <w:t>粪污综合利用设施不完善主要体现五个方面：一是有的养殖场虽有污水处理设施和沼气池，但其容积小、处理能力弱，与污水生产量不配套。二是个别养殖场随意将粪堆放</w:t>
      </w:r>
      <w:r>
        <w:rPr>
          <w:rFonts w:hint="eastAsia" w:ascii="Times New Roman" w:hAnsi="Times New Roman"/>
          <w:color w:val="auto"/>
          <w:sz w:val="24"/>
        </w:rPr>
        <w:t>在场</w:t>
      </w:r>
      <w:r>
        <w:rPr>
          <w:rFonts w:hint="eastAsia" w:ascii="Times New Roman" w:hAnsi="Times New Roman"/>
          <w:sz w:val="24"/>
        </w:rPr>
        <w:t>外，严重影响周边环境。三是少数养殖场未作沉淀、发酵处理，存在直接将粪便、污水排入田间、鱼塘的现象；甚至极个别的养殖场没采取干湿分离（粪便与冲洗水分开）措施，存在排洪沟和排污沟合用的现象，造成雨水和废水共排，增加了废水排放量；五是实行沼气发酵处理的养殖场，发酵后的沼渣、沼液利用率低，特别是沼液采用粗放式浇灌，通过地表径流流入河流，造成沼渣、沼液污染环境。</w:t>
      </w:r>
    </w:p>
    <w:p>
      <w:pPr>
        <w:adjustRightInd w:val="0"/>
        <w:snapToGrid w:val="0"/>
        <w:ind w:firstLine="480" w:firstLineChars="200"/>
        <w:rPr>
          <w:rFonts w:ascii="Times New Roman" w:hAnsi="Times New Roman"/>
          <w:sz w:val="24"/>
        </w:rPr>
      </w:pPr>
      <w:r>
        <w:rPr>
          <w:rFonts w:hint="eastAsia" w:ascii="Times New Roman" w:hAnsi="Times New Roman"/>
          <w:sz w:val="24"/>
        </w:rPr>
        <w:t>（3）粪污综合利用规模小，效益低</w:t>
      </w:r>
    </w:p>
    <w:p>
      <w:pPr>
        <w:pStyle w:val="8"/>
        <w:rPr>
          <w:rFonts w:ascii="Times New Roman" w:hAnsi="Times New Roman"/>
          <w:sz w:val="24"/>
        </w:rPr>
      </w:pPr>
      <w:r>
        <w:rPr>
          <w:rFonts w:hint="eastAsia" w:ascii="Times New Roman" w:hAnsi="Times New Roman"/>
          <w:sz w:val="24"/>
        </w:rPr>
        <w:t xml:space="preserve">    目前全区规模化养殖场（区）对粪污综合利用主要有厌氧发酵产沼气和好氧发酵生产有机肥，但普遍存在规模小、标准化程度低、产能小的问题，二次环境污染的问题较突出，导致生态效益和经济效益均较低，制约了粪污资源化和高值化的综合再利用。</w:t>
      </w:r>
    </w:p>
    <w:p>
      <w:pPr>
        <w:pStyle w:val="4"/>
        <w:adjustRightInd w:val="0"/>
        <w:snapToGrid w:val="0"/>
        <w:spacing w:before="0" w:after="0" w:line="360" w:lineRule="auto"/>
        <w:rPr>
          <w:rFonts w:ascii="Times New Roman" w:hAnsi="Times New Roman"/>
          <w:sz w:val="24"/>
          <w:szCs w:val="24"/>
        </w:rPr>
      </w:pPr>
      <w:bookmarkStart w:id="83" w:name="_Toc117868740"/>
      <w:r>
        <w:rPr>
          <w:rFonts w:ascii="Times New Roman" w:hAnsi="Times New Roman"/>
          <w:sz w:val="24"/>
          <w:szCs w:val="24"/>
        </w:rPr>
        <w:t>3.</w:t>
      </w:r>
      <w:r>
        <w:rPr>
          <w:rFonts w:hint="eastAsia" w:ascii="Times New Roman" w:hAnsi="Times New Roman"/>
          <w:sz w:val="24"/>
          <w:szCs w:val="24"/>
        </w:rPr>
        <w:t>5.5</w:t>
      </w:r>
      <w:r>
        <w:rPr>
          <w:rFonts w:ascii="Times New Roman" w:hAnsi="Times New Roman"/>
          <w:sz w:val="24"/>
          <w:szCs w:val="24"/>
        </w:rPr>
        <w:t xml:space="preserve"> </w:t>
      </w:r>
      <w:r>
        <w:rPr>
          <w:rFonts w:hint="eastAsia" w:ascii="Times New Roman" w:hAnsi="Times New Roman"/>
          <w:sz w:val="24"/>
          <w:szCs w:val="24"/>
        </w:rPr>
        <w:t>粪污防治体系不健全</w:t>
      </w:r>
      <w:bookmarkEnd w:id="83"/>
    </w:p>
    <w:p>
      <w:pPr>
        <w:adjustRightInd w:val="0"/>
        <w:snapToGrid w:val="0"/>
        <w:ind w:firstLine="480" w:firstLineChars="200"/>
        <w:rPr>
          <w:rFonts w:ascii="Times New Roman" w:hAnsi="Times New Roman"/>
          <w:sz w:val="24"/>
        </w:rPr>
      </w:pPr>
      <w:r>
        <w:rPr>
          <w:rFonts w:hint="eastAsia" w:ascii="Times New Roman" w:hAnsi="Times New Roman"/>
          <w:sz w:val="24"/>
        </w:rPr>
        <w:t>（1）畜禽污染防治监管存在执法盲区</w:t>
      </w:r>
    </w:p>
    <w:p>
      <w:pPr>
        <w:adjustRightInd w:val="0"/>
        <w:snapToGrid w:val="0"/>
        <w:ind w:firstLine="480" w:firstLineChars="200"/>
        <w:rPr>
          <w:rFonts w:ascii="Times New Roman" w:hAnsi="Times New Roman"/>
          <w:sz w:val="24"/>
        </w:rPr>
      </w:pPr>
      <w:r>
        <w:rPr>
          <w:rFonts w:hint="eastAsia" w:ascii="Times New Roman" w:hAnsi="Times New Roman"/>
          <w:sz w:val="24"/>
        </w:rPr>
        <w:t>目前部分养殖专业户、散养户，由于建设畜禽粪污处理设施设备的资金缺乏，建设标准低等，不能完全有效的处理畜禽粪污，存在粪污直排、偷排的现象，对周边环境造成了不同程度的污染。但根据相关法律、法规规定，环保执法部门只对达到省政府规定规模的畜禽养殖场（小区）具有处罚权，对于散养户的只能通过教育或村规民约来约束，执法部门对农村散养户缺乏有效的监管措施。</w:t>
      </w:r>
    </w:p>
    <w:p>
      <w:pPr>
        <w:adjustRightInd w:val="0"/>
        <w:snapToGrid w:val="0"/>
        <w:ind w:firstLine="480" w:firstLineChars="200"/>
        <w:rPr>
          <w:rFonts w:ascii="Times New Roman" w:hAnsi="Times New Roman"/>
          <w:sz w:val="24"/>
        </w:rPr>
      </w:pPr>
      <w:r>
        <w:rPr>
          <w:rFonts w:hint="eastAsia" w:ascii="Times New Roman" w:hAnsi="Times New Roman"/>
          <w:sz w:val="24"/>
        </w:rPr>
        <w:t>（2）畜禽养殖臭气污染治理缺乏有效措施</w:t>
      </w:r>
    </w:p>
    <w:p>
      <w:pPr>
        <w:adjustRightInd w:val="0"/>
        <w:snapToGrid w:val="0"/>
        <w:ind w:firstLine="480" w:firstLineChars="200"/>
        <w:rPr>
          <w:rFonts w:ascii="Times New Roman" w:hAnsi="Times New Roman"/>
          <w:sz w:val="24"/>
        </w:rPr>
      </w:pPr>
      <w:r>
        <w:rPr>
          <w:rFonts w:hint="eastAsia" w:ascii="Times New Roman" w:hAnsi="Times New Roman"/>
          <w:sz w:val="24"/>
        </w:rPr>
        <w:t>目前在畜禽污染防治过程中，更多关注粪污的治理，但对养殖过程中产生的臭气缺乏有效的治理措施。除采用半封闭、封闭式的养殖模式的规模养殖场（小区）能有效控制畜禽养殖臭气外，其他的大部分养殖专业户、散养户等未能有效的处理畜禽养殖过程中产生的各种臭气，对周边城乡居民的生活环境造成了较大影响，如何有效治理中小型养殖户臭气污染是“十四五”期间继续解决的主要问题之一。</w:t>
      </w:r>
    </w:p>
    <w:p>
      <w:pPr>
        <w:adjustRightInd w:val="0"/>
        <w:snapToGrid w:val="0"/>
        <w:ind w:firstLine="480" w:firstLineChars="200"/>
        <w:rPr>
          <w:rFonts w:ascii="Times New Roman" w:hAnsi="Times New Roman"/>
          <w:sz w:val="24"/>
        </w:rPr>
      </w:pPr>
      <w:r>
        <w:rPr>
          <w:rFonts w:hint="eastAsia" w:ascii="Times New Roman" w:hAnsi="Times New Roman"/>
          <w:sz w:val="24"/>
        </w:rPr>
        <w:t>（3）财政投入资金不足制约了长效防治机制的建立</w:t>
      </w:r>
    </w:p>
    <w:p>
      <w:pPr>
        <w:adjustRightInd w:val="0"/>
        <w:snapToGrid w:val="0"/>
        <w:ind w:firstLine="480" w:firstLineChars="200"/>
        <w:rPr>
          <w:rFonts w:ascii="Times New Roman" w:hAnsi="Times New Roman"/>
          <w:sz w:val="24"/>
        </w:rPr>
      </w:pPr>
      <w:r>
        <w:rPr>
          <w:rFonts w:hint="eastAsia" w:ascii="Times New Roman" w:hAnsi="Times New Roman"/>
          <w:sz w:val="24"/>
        </w:rPr>
        <w:t>畜禽养殖污染防治工作面大量广</w:t>
      </w:r>
      <w:r>
        <w:rPr>
          <w:rFonts w:hint="eastAsia" w:ascii="Times New Roman" w:hAnsi="Times New Roman"/>
          <w:color w:val="auto"/>
          <w:sz w:val="24"/>
        </w:rPr>
        <w:t>，</w:t>
      </w:r>
      <w:r>
        <w:rPr>
          <w:rFonts w:hint="eastAsia" w:ascii="Times New Roman" w:hAnsi="Times New Roman"/>
          <w:color w:val="auto"/>
          <w:sz w:val="24"/>
          <w:lang w:eastAsia="zh-CN"/>
        </w:rPr>
        <w:t>需</w:t>
      </w:r>
      <w:r>
        <w:rPr>
          <w:rFonts w:hint="eastAsia" w:ascii="Times New Roman" w:hAnsi="Times New Roman"/>
          <w:color w:val="auto"/>
          <w:sz w:val="24"/>
        </w:rPr>
        <w:t>通过</w:t>
      </w:r>
      <w:r>
        <w:rPr>
          <w:rFonts w:hint="eastAsia" w:ascii="Times New Roman" w:hAnsi="Times New Roman"/>
          <w:sz w:val="24"/>
        </w:rPr>
        <w:t>不断加大地方财政的投入力度，完善投入机制，建立政府投入为导向，集体、企业、个人投入为主体的投入机制，注重调动各方面的积极性，鼓励和引导企业、农民投入才能建立起畜禽污染防治的长效机制。目前，我区用于畜禽污染治理方面的专项资金还非常有限，在一定程度上制约了防治长效机制的建立。</w:t>
      </w:r>
    </w:p>
    <w:p>
      <w:pPr>
        <w:adjustRightInd w:val="0"/>
        <w:snapToGrid w:val="0"/>
        <w:ind w:firstLine="480" w:firstLineChars="200"/>
        <w:rPr>
          <w:rFonts w:ascii="Times New Roman" w:hAnsi="Times New Roman"/>
          <w:sz w:val="24"/>
        </w:rPr>
      </w:pPr>
      <w:r>
        <w:rPr>
          <w:rFonts w:ascii="Times New Roman" w:hAnsi="Times New Roman"/>
          <w:sz w:val="24"/>
        </w:rPr>
        <w:br w:type="page"/>
      </w:r>
    </w:p>
    <w:p>
      <w:pPr>
        <w:pStyle w:val="22"/>
        <w:rPr>
          <w:rFonts w:ascii="黑体" w:hAnsi="黑体" w:eastAsia="黑体"/>
        </w:rPr>
      </w:pPr>
      <w:r>
        <w:fldChar w:fldCharType="begin"/>
      </w:r>
      <w:r>
        <w:instrText xml:space="preserve"> HYPERLINK \l "_Toc500364893" </w:instrText>
      </w:r>
      <w:r>
        <w:fldChar w:fldCharType="separate"/>
      </w:r>
      <w:bookmarkStart w:id="84" w:name="_Toc117868741"/>
      <w:r>
        <w:rPr>
          <w:rFonts w:hint="eastAsia" w:ascii="黑体" w:hAnsi="黑体" w:eastAsia="黑体"/>
        </w:rPr>
        <w:t>第4章</w:t>
      </w:r>
      <w:r>
        <w:rPr>
          <w:rFonts w:ascii="黑体" w:hAnsi="黑体" w:eastAsia="黑体"/>
        </w:rPr>
        <w:t xml:space="preserve"> </w:t>
      </w:r>
      <w:r>
        <w:rPr>
          <w:rFonts w:hint="eastAsia" w:ascii="黑体" w:hAnsi="黑体" w:eastAsia="黑体"/>
        </w:rPr>
        <w:t>“十四五”</w:t>
      </w:r>
      <w:r>
        <w:rPr>
          <w:rFonts w:hint="eastAsia" w:ascii="黑体" w:hAnsi="黑体" w:eastAsia="黑体"/>
        </w:rPr>
        <w:fldChar w:fldCharType="end"/>
      </w:r>
      <w:r>
        <w:rPr>
          <w:rFonts w:hint="eastAsia" w:ascii="黑体" w:hAnsi="黑体" w:eastAsia="黑体"/>
        </w:rPr>
        <w:t>期间畜禽粪污防治的机遇与挑战</w:t>
      </w:r>
      <w:bookmarkEnd w:id="84"/>
    </w:p>
    <w:p>
      <w:pPr>
        <w:adjustRightInd w:val="0"/>
        <w:snapToGrid w:val="0"/>
        <w:ind w:firstLine="480" w:firstLineChars="200"/>
        <w:rPr>
          <w:rFonts w:hint="eastAsia" w:ascii="Times New Roman" w:hAnsi="Times New Roman" w:eastAsia="宋体,微软雅黑"/>
          <w:color w:val="auto"/>
          <w:kern w:val="0"/>
          <w:sz w:val="24"/>
        </w:rPr>
      </w:pPr>
      <w:r>
        <w:rPr>
          <w:rFonts w:hint="eastAsia" w:ascii="Times New Roman" w:hAnsi="Times New Roman" w:eastAsia="宋体,微软雅黑"/>
          <w:color w:val="000000"/>
          <w:kern w:val="0"/>
          <w:sz w:val="24"/>
        </w:rPr>
        <w:t>“十四五”是把我国建成富强民主文明和谐美丽的社会主义现代化强国新征程和实施新“两步走”战略的第一个五年规划期，是污染防治攻坚战取得阶段性胜利、继续推进美丽中国建设的关键期，是乐山市全力打造“</w:t>
      </w:r>
      <w:r>
        <w:rPr>
          <w:rFonts w:ascii="Times New Roman" w:hAnsi="Times New Roman" w:eastAsia="宋体,微软雅黑"/>
          <w:color w:val="000000"/>
          <w:kern w:val="0"/>
          <w:sz w:val="24"/>
        </w:rPr>
        <w:t>一极一地一市一城一枢纽</w:t>
      </w:r>
      <w:r>
        <w:rPr>
          <w:rFonts w:hint="eastAsia" w:ascii="Times New Roman" w:hAnsi="Times New Roman" w:eastAsia="宋体,微软雅黑"/>
          <w:color w:val="000000"/>
          <w:kern w:val="0"/>
          <w:sz w:val="24"/>
        </w:rPr>
        <w:t>”和生态文明示范市的重要时期，也是</w:t>
      </w:r>
      <w:r>
        <w:rPr>
          <w:rFonts w:ascii="Times New Roman" w:hAnsi="Times New Roman" w:eastAsia="宋体,微软雅黑"/>
          <w:color w:val="000000"/>
          <w:kern w:val="0"/>
          <w:sz w:val="24"/>
        </w:rPr>
        <w:t>市中区奋力建设</w:t>
      </w:r>
      <w:r>
        <w:rPr>
          <w:rFonts w:hint="eastAsia" w:asciiTheme="majorEastAsia" w:hAnsiTheme="majorEastAsia" w:eastAsiaTheme="majorEastAsia" w:cstheme="majorEastAsia"/>
          <w:color w:val="000000"/>
          <w:kern w:val="0"/>
          <w:sz w:val="24"/>
        </w:rPr>
        <w:t>“一城一极两地两区”和生态文明示范区的重要时期</w:t>
      </w:r>
      <w:r>
        <w:rPr>
          <w:rFonts w:ascii="Times New Roman" w:hAnsi="Times New Roman" w:eastAsia="宋体,微软雅黑"/>
          <w:color w:val="000000"/>
          <w:kern w:val="0"/>
          <w:sz w:val="24"/>
        </w:rPr>
        <w:t>。同时</w:t>
      </w:r>
      <w:r>
        <w:rPr>
          <w:rFonts w:hint="eastAsia" w:ascii="Times New Roman" w:hAnsi="Times New Roman" w:eastAsia="宋体,微软雅黑"/>
          <w:color w:val="000000"/>
          <w:kern w:val="0"/>
          <w:sz w:val="24"/>
        </w:rPr>
        <w:t>，</w:t>
      </w:r>
      <w:r>
        <w:rPr>
          <w:rFonts w:ascii="Times New Roman" w:hAnsi="Times New Roman" w:eastAsia="宋体,微软雅黑"/>
          <w:color w:val="000000"/>
          <w:kern w:val="0"/>
          <w:sz w:val="24"/>
        </w:rPr>
        <w:t>国家</w:t>
      </w:r>
      <w:r>
        <w:rPr>
          <w:rFonts w:hint="eastAsia" w:ascii="Times New Roman" w:hAnsi="Times New Roman" w:eastAsia="宋体,微软雅黑"/>
          <w:color w:val="000000"/>
          <w:kern w:val="0"/>
          <w:sz w:val="24"/>
        </w:rPr>
        <w:t>在深入推进的乡村振兴战略、颁布的养殖“禁抗令”、出台的“碳达峰”行动方案以及深入打好污染防治攻坚战等方面出台了一系列政策和指导意见，</w:t>
      </w:r>
      <w:r>
        <w:rPr>
          <w:rFonts w:hint="eastAsia" w:ascii="Times New Roman" w:hAnsi="Times New Roman" w:eastAsia="宋体,微软雅黑"/>
          <w:color w:val="auto"/>
          <w:kern w:val="0"/>
          <w:sz w:val="24"/>
        </w:rPr>
        <w:t>这都为市中区今后禽畜粪污防治工作顺利开展带来了良好机遇。</w:t>
      </w:r>
      <w:r>
        <w:rPr>
          <w:rFonts w:hint="eastAsia" w:ascii="Times New Roman" w:hAnsi="Times New Roman" w:eastAsia="宋体,微软雅黑"/>
          <w:color w:val="auto"/>
          <w:kern w:val="0"/>
          <w:sz w:val="24"/>
          <w:lang w:eastAsia="zh-CN"/>
        </w:rPr>
        <w:t>与此</w:t>
      </w:r>
      <w:r>
        <w:rPr>
          <w:rFonts w:hint="eastAsia" w:ascii="Times New Roman" w:hAnsi="Times New Roman" w:eastAsia="宋体,微软雅黑"/>
          <w:color w:val="auto"/>
          <w:kern w:val="0"/>
          <w:sz w:val="24"/>
        </w:rPr>
        <w:t>同时，全区在畜禽粪污达标排放、治污设施标准化、污染防控机制、资金投入和科技支撑等方面</w:t>
      </w:r>
      <w:r>
        <w:rPr>
          <w:rFonts w:hint="eastAsia" w:ascii="Times New Roman" w:hAnsi="Times New Roman" w:eastAsia="宋体,微软雅黑"/>
          <w:color w:val="auto"/>
          <w:kern w:val="0"/>
          <w:sz w:val="24"/>
          <w:lang w:eastAsia="zh-CN"/>
        </w:rPr>
        <w:t>均</w:t>
      </w:r>
      <w:r>
        <w:rPr>
          <w:rFonts w:hint="eastAsia" w:ascii="Times New Roman" w:hAnsi="Times New Roman" w:eastAsia="宋体,微软雅黑"/>
          <w:color w:val="auto"/>
          <w:kern w:val="0"/>
          <w:sz w:val="24"/>
        </w:rPr>
        <w:t>存在不足</w:t>
      </w:r>
      <w:r>
        <w:rPr>
          <w:rFonts w:hint="eastAsia" w:ascii="Times New Roman" w:hAnsi="Times New Roman" w:eastAsia="宋体,微软雅黑"/>
          <w:color w:val="auto"/>
          <w:kern w:val="0"/>
          <w:sz w:val="24"/>
          <w:lang w:eastAsia="zh-CN"/>
        </w:rPr>
        <w:t>。</w:t>
      </w:r>
      <w:r>
        <w:rPr>
          <w:rFonts w:hint="eastAsia" w:ascii="Times New Roman" w:hAnsi="Times New Roman" w:eastAsia="宋体,微软雅黑"/>
          <w:color w:val="auto"/>
          <w:kern w:val="0"/>
          <w:sz w:val="24"/>
        </w:rPr>
        <w:t>结合市中区养殖现状和资源环境约束，实现畜禽养殖业的可持续发展和粪污的生态化治理仍具有诸多挑战。</w:t>
      </w:r>
    </w:p>
    <w:p>
      <w:pPr>
        <w:adjustRightInd w:val="0"/>
        <w:snapToGrid w:val="0"/>
        <w:ind w:firstLine="480" w:firstLineChars="200"/>
        <w:rPr>
          <w:rFonts w:ascii="Times New Roman" w:hAnsi="Times New Roman" w:eastAsia="宋体,微软雅黑"/>
          <w:color w:val="auto"/>
          <w:kern w:val="0"/>
          <w:sz w:val="24"/>
        </w:rPr>
      </w:pPr>
      <w:r>
        <w:rPr>
          <w:rFonts w:hint="eastAsia" w:ascii="Times New Roman" w:hAnsi="Times New Roman" w:eastAsia="宋体,微软雅黑"/>
          <w:color w:val="auto"/>
          <w:kern w:val="0"/>
          <w:sz w:val="24"/>
        </w:rPr>
        <w:t>深入分析全区在畜禽粪污防治中面临的机遇和挑战，结合实际情况，明确“十四五”期间的主要任务和规划目标，做到主要任务“规定动作”到位、“自选动作”出彩，规划目标既能“接地气”，又能“登高望远”，以期科学指导畜禽养殖污染防治工作</w:t>
      </w:r>
      <w:r>
        <w:rPr>
          <w:rFonts w:hint="eastAsia" w:ascii="Times New Roman" w:hAnsi="Times New Roman" w:eastAsia="宋体,微软雅黑"/>
          <w:color w:val="auto"/>
          <w:kern w:val="0"/>
          <w:sz w:val="24"/>
          <w:lang w:eastAsia="zh-CN"/>
        </w:rPr>
        <w:t>取得更加突出成效。</w:t>
      </w:r>
    </w:p>
    <w:p>
      <w:pPr>
        <w:pStyle w:val="3"/>
        <w:spacing w:before="0" w:after="0" w:line="360" w:lineRule="auto"/>
        <w:rPr>
          <w:rFonts w:ascii="Times New Roman" w:hAnsi="Times New Roman"/>
          <w:sz w:val="28"/>
          <w:szCs w:val="28"/>
        </w:rPr>
      </w:pPr>
      <w:bookmarkStart w:id="85" w:name="_Toc117868742"/>
      <w:r>
        <w:rPr>
          <w:rFonts w:hint="eastAsia" w:ascii="Times New Roman" w:hAnsi="Times New Roman"/>
          <w:sz w:val="28"/>
          <w:szCs w:val="28"/>
        </w:rPr>
        <w:t>4</w:t>
      </w:r>
      <w:r>
        <w:rPr>
          <w:rFonts w:ascii="Times New Roman" w:hAnsi="Times New Roman"/>
          <w:sz w:val="28"/>
          <w:szCs w:val="28"/>
        </w:rPr>
        <w:t>.</w:t>
      </w:r>
      <w:r>
        <w:rPr>
          <w:rFonts w:hint="eastAsia" w:ascii="Times New Roman" w:hAnsi="Times New Roman"/>
          <w:sz w:val="28"/>
          <w:szCs w:val="28"/>
        </w:rPr>
        <w:t>1</w:t>
      </w:r>
      <w:r>
        <w:rPr>
          <w:rFonts w:ascii="Times New Roman" w:hAnsi="Times New Roman"/>
          <w:sz w:val="28"/>
          <w:szCs w:val="28"/>
        </w:rPr>
        <w:t xml:space="preserve"> </w:t>
      </w:r>
      <w:r>
        <w:rPr>
          <w:rFonts w:hint="eastAsia" w:ascii="Times New Roman" w:hAnsi="Times New Roman"/>
          <w:sz w:val="28"/>
          <w:szCs w:val="28"/>
        </w:rPr>
        <w:t>畜禽养殖污染防治面临的新机遇</w:t>
      </w:r>
      <w:bookmarkEnd w:id="85"/>
    </w:p>
    <w:p>
      <w:pPr>
        <w:pStyle w:val="4"/>
        <w:adjustRightInd w:val="0"/>
        <w:snapToGrid w:val="0"/>
        <w:spacing w:before="0" w:after="0" w:line="360" w:lineRule="auto"/>
        <w:rPr>
          <w:rFonts w:ascii="Times New Roman" w:hAnsi="Times New Roman"/>
          <w:sz w:val="24"/>
          <w:szCs w:val="24"/>
        </w:rPr>
      </w:pPr>
      <w:bookmarkStart w:id="86" w:name="_Toc117868743"/>
      <w:r>
        <w:rPr>
          <w:rFonts w:hint="eastAsia" w:ascii="Times New Roman" w:hAnsi="Times New Roman"/>
          <w:sz w:val="24"/>
          <w:szCs w:val="24"/>
        </w:rPr>
        <w:t>4.1.1新时代生态文明思想的贯彻落实</w:t>
      </w:r>
      <w:bookmarkEnd w:id="86"/>
    </w:p>
    <w:p>
      <w:pPr>
        <w:adjustRightInd w:val="0"/>
        <w:snapToGrid w:val="0"/>
        <w:ind w:firstLine="480" w:firstLineChars="20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绿水青山就是金山银山”写入党的十九大报告和修订后的《中国共产党章程》，标志着习近平生态文明思想的形成，并成为新时代中国特色社会主义建设的基本方略。习总书记提出的“绿水青山就是金山银山”“山水林田湖草是一个生命共同体”等生态文明观点，成为统领经济、社会、环境的绿色发展观和系统治理观。习近平总书记来川视察时指出，四川作为长江上游重要生态屏障和水源涵养地，肩负着国家生态安全的重大使命。乐山作为长江上游重要生态屏障的重要组成部分，53%的国土面积划入重点生态功能区，境内分布有3处世界遗产和2处国家级自然保护区。而市中区作为乐山的中心，境内分布有1处世界遗产，生态保护责任重大，必须坚定以习近平生态文明思想和来川视察重要讲话精神为指导，认真践行新发展理念，融入新发展格局，这为深入推进禽畜养殖业的污染防治攻坚战，着力解决养殖业中突出的生态环境问题带来新机遇。</w:t>
      </w:r>
    </w:p>
    <w:p>
      <w:pPr>
        <w:pStyle w:val="4"/>
        <w:adjustRightInd w:val="0"/>
        <w:snapToGrid w:val="0"/>
        <w:spacing w:before="0" w:after="0" w:line="360" w:lineRule="auto"/>
        <w:rPr>
          <w:rFonts w:ascii="Times New Roman" w:hAnsi="Times New Roman"/>
          <w:sz w:val="24"/>
          <w:szCs w:val="24"/>
        </w:rPr>
      </w:pPr>
      <w:bookmarkStart w:id="87" w:name="_Toc117868744"/>
      <w:r>
        <w:rPr>
          <w:rFonts w:hint="eastAsia" w:ascii="Times New Roman" w:hAnsi="Times New Roman"/>
          <w:sz w:val="24"/>
          <w:szCs w:val="24"/>
        </w:rPr>
        <w:t>4.1.2 “3060”双碳奋斗目标的提出</w:t>
      </w:r>
      <w:bookmarkEnd w:id="87"/>
    </w:p>
    <w:p>
      <w:pPr>
        <w:pStyle w:val="8"/>
        <w:ind w:firstLine="480" w:firstLineChars="20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在</w:t>
      </w:r>
      <w:r>
        <w:rPr>
          <w:rFonts w:ascii="Times New Roman" w:hAnsi="Times New Roman" w:eastAsia="宋体,微软雅黑"/>
          <w:color w:val="000000"/>
          <w:kern w:val="0"/>
          <w:sz w:val="24"/>
        </w:rPr>
        <w:t>2020年第七十五届联合国大会上，习近平总书记向全世界庄严承诺</w:t>
      </w:r>
      <w:r>
        <w:rPr>
          <w:rFonts w:hint="eastAsia" w:ascii="Times New Roman" w:hAnsi="Times New Roman" w:eastAsia="宋体,微软雅黑"/>
          <w:color w:val="000000"/>
          <w:kern w:val="0"/>
          <w:sz w:val="24"/>
        </w:rPr>
        <w:t>：</w:t>
      </w:r>
      <w:r>
        <w:rPr>
          <w:rFonts w:ascii="Times New Roman" w:hAnsi="Times New Roman" w:eastAsia="宋体,微软雅黑"/>
          <w:color w:val="000000"/>
          <w:kern w:val="0"/>
          <w:sz w:val="24"/>
        </w:rPr>
        <w:t>中国将采取更加有力的政策和措施，二氧化碳排放力争于2030年前达到峰值，努力争取2060年前实现碳中和，支持有条件的地方率先达峰。研究表明</w:t>
      </w:r>
      <w:r>
        <w:rPr>
          <w:rFonts w:hint="eastAsia" w:ascii="Times New Roman" w:hAnsi="Times New Roman" w:eastAsia="宋体,微软雅黑"/>
          <w:color w:val="000000"/>
          <w:kern w:val="0"/>
          <w:sz w:val="24"/>
        </w:rPr>
        <w:t>，禽畜粪污的资源化利用对养殖业领域固碳减排有着潜在的巨大贡献。畜禽养殖温室气体减排可通过优化饲料配比、使用新型饲料、改善粪便处理技术、科学设计和搭建畜舍等方式实现。例如，将秸秆氨化处理后再投喂，可以减少黄牛16%~30%甲烷排放；而使用多功能舔砖，不但可提高黄牛日增重量，还可减少10%~40%的甲烷排放；与水冲清粪和水泡粪相比，人工干清粪可减少甲烷排放50%以上。</w:t>
      </w:r>
      <w:r>
        <w:rPr>
          <w:rFonts w:ascii="宋体" w:hAnsi="宋体"/>
          <w:color w:val="000000"/>
          <w:kern w:val="0"/>
          <w:sz w:val="24"/>
        </w:rPr>
        <w:t>“十四五”时期，市中区</w:t>
      </w:r>
      <w:r>
        <w:rPr>
          <w:rFonts w:hint="eastAsia" w:ascii="Times New Roman" w:hAnsi="Times New Roman" w:eastAsia="宋体,微软雅黑"/>
          <w:color w:val="000000"/>
          <w:kern w:val="0"/>
          <w:sz w:val="24"/>
        </w:rPr>
        <w:t>提出了</w:t>
      </w:r>
      <w:r>
        <w:rPr>
          <w:rFonts w:ascii="Times New Roman" w:hAnsi="Times New Roman" w:eastAsia="宋体,微软雅黑"/>
          <w:color w:val="000000"/>
          <w:kern w:val="0"/>
          <w:sz w:val="24"/>
        </w:rPr>
        <w:t>坚持污染防治和碳减排双轮共驱的发展新模式，</w:t>
      </w:r>
      <w:r>
        <w:rPr>
          <w:rFonts w:hint="eastAsia" w:ascii="Times New Roman" w:hAnsi="Times New Roman" w:eastAsia="宋体,微软雅黑"/>
          <w:color w:val="000000"/>
          <w:kern w:val="0"/>
          <w:sz w:val="24"/>
        </w:rPr>
        <w:t>这为</w:t>
      </w:r>
      <w:r>
        <w:rPr>
          <w:rFonts w:ascii="Times New Roman" w:hAnsi="Times New Roman" w:eastAsia="宋体,微软雅黑"/>
          <w:color w:val="000000"/>
          <w:kern w:val="0"/>
          <w:sz w:val="24"/>
        </w:rPr>
        <w:t>全区</w:t>
      </w:r>
      <w:r>
        <w:rPr>
          <w:rFonts w:hint="eastAsia" w:ascii="Times New Roman" w:hAnsi="Times New Roman" w:eastAsia="宋体,微软雅黑"/>
          <w:color w:val="000000"/>
          <w:kern w:val="0"/>
          <w:sz w:val="24"/>
        </w:rPr>
        <w:t>畜禽</w:t>
      </w:r>
      <w:r>
        <w:rPr>
          <w:rFonts w:ascii="Times New Roman" w:hAnsi="Times New Roman" w:eastAsia="宋体,微软雅黑"/>
          <w:color w:val="000000"/>
          <w:kern w:val="0"/>
          <w:sz w:val="24"/>
        </w:rPr>
        <w:t>粪污实现</w:t>
      </w:r>
      <w:r>
        <w:rPr>
          <w:rFonts w:hint="eastAsia" w:ascii="Times New Roman" w:hAnsi="Times New Roman" w:eastAsia="宋体,微软雅黑"/>
          <w:color w:val="000000"/>
          <w:kern w:val="0"/>
          <w:sz w:val="24"/>
        </w:rPr>
        <w:t>“四化”防治带来了新机遇。</w:t>
      </w:r>
    </w:p>
    <w:p>
      <w:pPr>
        <w:pStyle w:val="4"/>
        <w:adjustRightInd w:val="0"/>
        <w:snapToGrid w:val="0"/>
        <w:spacing w:before="0" w:after="0" w:line="360" w:lineRule="auto"/>
        <w:rPr>
          <w:rFonts w:ascii="Times New Roman" w:hAnsi="Times New Roman"/>
          <w:sz w:val="24"/>
          <w:szCs w:val="24"/>
        </w:rPr>
      </w:pPr>
      <w:bookmarkStart w:id="88" w:name="_Toc117868745"/>
      <w:r>
        <w:rPr>
          <w:rFonts w:hint="eastAsia" w:ascii="Times New Roman" w:hAnsi="Times New Roman"/>
          <w:sz w:val="24"/>
          <w:szCs w:val="24"/>
        </w:rPr>
        <w:t>4.1.3国家和地方一系列扶持政策的出台</w:t>
      </w:r>
      <w:bookmarkEnd w:id="88"/>
    </w:p>
    <w:p>
      <w:pPr>
        <w:adjustRightInd w:val="0"/>
        <w:snapToGrid w:val="0"/>
        <w:ind w:firstLine="480" w:firstLineChars="20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十三五”以来，中央、四川省、乐山市、市中区政府不断出台政策，为规范、支持引导畜牧业健康可持续发展提供了重要支撑。尤其是为稳定畜牧业特别是生猪生产，中央和地方先后出台了《国务院办公厅关于稳定生猪生产促进转型升级的意见》（国办发〔2019〕44号）、《关于印发促进生猪生产保障市场供应九条措施的通知》、《四川省稳定生猪生产十条措施》、《乐山市生猪产业健康稳定发展工作方案》等一系列政策文件。这些政策的出台和实施，为全区禽畜养殖产业转型升级、科学布局、完善产业体系、强化配套服务实施提供指引，同时也优化全区养殖布局带来了新机遇。</w:t>
      </w:r>
    </w:p>
    <w:p>
      <w:pPr>
        <w:pStyle w:val="4"/>
        <w:adjustRightInd w:val="0"/>
        <w:snapToGrid w:val="0"/>
        <w:spacing w:before="0" w:after="0" w:line="360" w:lineRule="auto"/>
        <w:rPr>
          <w:rFonts w:ascii="Times New Roman" w:hAnsi="Times New Roman"/>
          <w:sz w:val="24"/>
          <w:szCs w:val="24"/>
        </w:rPr>
      </w:pPr>
      <w:bookmarkStart w:id="89" w:name="_Toc117868746"/>
      <w:r>
        <w:rPr>
          <w:rFonts w:hint="eastAsia" w:ascii="Times New Roman" w:hAnsi="Times New Roman"/>
          <w:sz w:val="24"/>
          <w:szCs w:val="24"/>
        </w:rPr>
        <w:t>4.1.4 高质量畜禽养殖产品的市场需求</w:t>
      </w:r>
      <w:bookmarkEnd w:id="89"/>
    </w:p>
    <w:p>
      <w:pPr>
        <w:adjustRightInd w:val="0"/>
        <w:snapToGrid w:val="0"/>
        <w:ind w:firstLine="480" w:firstLineChars="200"/>
        <w:rPr>
          <w:rFonts w:ascii="Times New Roman" w:hAnsi="Times New Roman" w:eastAsia="宋体,微软雅黑"/>
          <w:color w:val="000000"/>
          <w:kern w:val="0"/>
          <w:sz w:val="24"/>
        </w:rPr>
      </w:pPr>
      <w:r>
        <w:rPr>
          <w:rFonts w:hint="eastAsia" w:ascii="Times New Roman" w:hAnsi="Times New Roman" w:eastAsia="宋体,微软雅黑"/>
          <w:color w:val="000000"/>
          <w:kern w:val="0"/>
          <w:sz w:val="24"/>
        </w:rPr>
        <w:t>随着我国人口总量增长、群众生活水平提升、城镇化进程加快和人民膳食结构的改善，对肉、蛋等畜产品的需求量不断增长，成为发展畜牧业的市场动力。人民群众对食品安全、公共卫生安全和生态环境安全高度关注，绿色发展、循环发展、低碳发展理念深入人心，为畜牧业可持续发展集聚了社会共识。未来健康饮食将逐渐成为消费主流，人们在选择畜禽产品的标准也将发生变化，逐渐向更优品质、更高质量、更安全健康的方向发展。因此，根据市场需求调整畜禽养殖品种、规模与模式，不断提高优质产品比重，将为推动全区畜禽养殖业实现生态养殖和农牧循环发展带来了新机遇。</w:t>
      </w:r>
    </w:p>
    <w:p>
      <w:pPr>
        <w:pStyle w:val="4"/>
        <w:adjustRightInd w:val="0"/>
        <w:snapToGrid w:val="0"/>
        <w:spacing w:before="0" w:after="0" w:line="360" w:lineRule="auto"/>
        <w:rPr>
          <w:rFonts w:ascii="Times New Roman" w:hAnsi="Times New Roman"/>
          <w:sz w:val="24"/>
          <w:szCs w:val="24"/>
        </w:rPr>
      </w:pPr>
      <w:bookmarkStart w:id="90" w:name="_Toc117868747"/>
      <w:r>
        <w:rPr>
          <w:rFonts w:hint="eastAsia" w:ascii="Times New Roman" w:hAnsi="Times New Roman"/>
          <w:sz w:val="24"/>
          <w:szCs w:val="24"/>
        </w:rPr>
        <w:t>4.1.5 乡村振兴战略的深入推进</w:t>
      </w:r>
      <w:bookmarkEnd w:id="90"/>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党的十九大提出实施乡村振兴战略，强调“坚持农业农村优先发展，按照产业兴旺、生态宜居、乡风文明、治理有效、生活富裕的总要求，加快推进农业农村现代化”。“十四五”时期，全区现代农业发展将紧紧围绕大力推进乡村产业振兴，加快促进农业发展方式转变，吸引更多资源要素进入农业农村，全面提升全区乡村产业发展质量和效益，促进农民增收致富。在当前宏观经济下行压力加大背景下，农民增收形势不容乐观，必须依托产业发展，多渠道促进农民持续增收，在推动乡村一、二、三产业融合发展的前提下，畜禽养殖生产、加工和粪污治理等环节都将发生诸多转变，为全区实现养殖业健康可持续发展带来了新机遇。</w:t>
      </w:r>
    </w:p>
    <w:p>
      <w:pPr>
        <w:pStyle w:val="4"/>
        <w:adjustRightInd w:val="0"/>
        <w:snapToGrid w:val="0"/>
        <w:spacing w:before="0" w:after="0" w:line="360" w:lineRule="auto"/>
        <w:rPr>
          <w:rFonts w:ascii="Times New Roman" w:hAnsi="Times New Roman"/>
          <w:sz w:val="24"/>
          <w:szCs w:val="24"/>
        </w:rPr>
      </w:pPr>
      <w:bookmarkStart w:id="91" w:name="_Toc117868748"/>
      <w:r>
        <w:rPr>
          <w:rFonts w:hint="eastAsia" w:ascii="Times New Roman" w:hAnsi="Times New Roman"/>
          <w:sz w:val="24"/>
          <w:szCs w:val="24"/>
        </w:rPr>
        <w:t>4.1.6养殖业 “无抗时代”的到来</w:t>
      </w:r>
      <w:bookmarkEnd w:id="91"/>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为治理保护动物源性食品安全和公共卫生安全，遏制动物源细菌耐药等问题，农业农村部发布了饲料“禁抗”令（第194号公告），明确自2020年7月1日起在饲料行业施行全面禁抗。该禁令的出台将引起畜禽养殖业的极大变革。“禁抗令”的全面施行，正推动着人类生活朝着更健康、更可持续发展的方向稳步前行。因此，未来全区畜牧业发展将更加关注畜禽品种改良、养殖设施与环境的改善、养殖模式的创新、饲料营养配方调整、开发新型功能性饲料添加剂等方面，以代替饲料中抗生素的使用，将为全区提高畜产品质量安全、增加绿色优质畜牧产品供给带来新机遇，同时为畜禽污染防治提供良好的基础。</w:t>
      </w:r>
    </w:p>
    <w:p>
      <w:pPr>
        <w:pStyle w:val="4"/>
        <w:adjustRightInd w:val="0"/>
        <w:snapToGrid w:val="0"/>
        <w:spacing w:before="0" w:after="0" w:line="360" w:lineRule="auto"/>
        <w:rPr>
          <w:rFonts w:ascii="Times New Roman" w:hAnsi="Times New Roman"/>
          <w:sz w:val="24"/>
          <w:szCs w:val="24"/>
        </w:rPr>
      </w:pPr>
      <w:bookmarkStart w:id="92" w:name="_Toc117868749"/>
      <w:r>
        <w:rPr>
          <w:rFonts w:hint="eastAsia" w:ascii="Times New Roman" w:hAnsi="Times New Roman"/>
          <w:sz w:val="24"/>
          <w:szCs w:val="24"/>
        </w:rPr>
        <w:t>4.1.7数字化智慧化新基建的实施</w:t>
      </w:r>
      <w:bookmarkEnd w:id="92"/>
    </w:p>
    <w:p>
      <w:pPr>
        <w:adjustRightInd w:val="0"/>
        <w:snapToGrid w:val="0"/>
        <w:ind w:firstLine="480" w:firstLineChars="200"/>
        <w:rPr>
          <w:rFonts w:ascii="Times New Roman" w:hAnsi="Times New Roman" w:eastAsia="宋体,微软雅黑"/>
          <w:color w:val="000000"/>
          <w:kern w:val="0"/>
          <w:sz w:val="24"/>
        </w:rPr>
      </w:pPr>
      <w:r>
        <w:rPr>
          <w:rFonts w:ascii="Times New Roman" w:hAnsi="Times New Roman" w:eastAsia="宋体,微软雅黑"/>
          <w:color w:val="000000"/>
          <w:kern w:val="0"/>
          <w:sz w:val="24"/>
        </w:rPr>
        <w:t>近年来，以5G、人工智能、工业互联网、物联网为代表的新型基础设施建设迅速推进，为</w:t>
      </w:r>
      <w:r>
        <w:rPr>
          <w:rFonts w:hint="eastAsia" w:ascii="Times New Roman" w:hAnsi="Times New Roman" w:eastAsia="宋体,微软雅黑"/>
          <w:color w:val="000000"/>
          <w:kern w:val="0"/>
          <w:sz w:val="24"/>
        </w:rPr>
        <w:t>畜禽</w:t>
      </w:r>
      <w:r>
        <w:rPr>
          <w:rFonts w:ascii="Times New Roman" w:hAnsi="Times New Roman" w:eastAsia="宋体,微软雅黑"/>
          <w:color w:val="000000"/>
          <w:kern w:val="0"/>
          <w:sz w:val="24"/>
        </w:rPr>
        <w:t>粪污高效化和智慧化防治提供了重要机遇。“十四五”时期，市中区拟</w:t>
      </w:r>
      <w:r>
        <w:rPr>
          <w:rFonts w:hint="eastAsia" w:ascii="Times New Roman" w:hAnsi="Times New Roman" w:eastAsia="宋体,微软雅黑"/>
          <w:color w:val="000000"/>
          <w:kern w:val="0"/>
          <w:sz w:val="24"/>
        </w:rPr>
        <w:t>建立</w:t>
      </w:r>
      <w:r>
        <w:rPr>
          <w:rFonts w:ascii="Times New Roman" w:hAnsi="Times New Roman" w:eastAsia="宋体,微软雅黑"/>
          <w:color w:val="000000"/>
          <w:kern w:val="0"/>
          <w:sz w:val="24"/>
        </w:rPr>
        <w:t>的以环保云平台、大数据平台、“互联网＋”等媒介的环境监管</w:t>
      </w:r>
      <w:r>
        <w:rPr>
          <w:rFonts w:hint="eastAsia" w:ascii="Times New Roman" w:hAnsi="Times New Roman" w:eastAsia="宋体,微软雅黑"/>
          <w:color w:val="000000"/>
          <w:kern w:val="0"/>
          <w:sz w:val="24"/>
        </w:rPr>
        <w:t>系统</w:t>
      </w:r>
      <w:r>
        <w:rPr>
          <w:rFonts w:ascii="Times New Roman" w:hAnsi="Times New Roman" w:eastAsia="宋体,微软雅黑"/>
          <w:color w:val="000000"/>
          <w:kern w:val="0"/>
          <w:sz w:val="24"/>
        </w:rPr>
        <w:t>，对推进全区</w:t>
      </w:r>
      <w:r>
        <w:rPr>
          <w:rFonts w:hint="eastAsia" w:ascii="Times New Roman" w:hAnsi="Times New Roman" w:eastAsia="宋体,微软雅黑"/>
          <w:color w:val="000000"/>
          <w:kern w:val="0"/>
          <w:sz w:val="24"/>
        </w:rPr>
        <w:t>畜禽</w:t>
      </w:r>
      <w:r>
        <w:rPr>
          <w:rFonts w:ascii="Times New Roman" w:hAnsi="Times New Roman" w:eastAsia="宋体,微软雅黑"/>
          <w:color w:val="000000"/>
          <w:kern w:val="0"/>
          <w:sz w:val="24"/>
        </w:rPr>
        <w:t>粪污</w:t>
      </w:r>
      <w:r>
        <w:rPr>
          <w:rFonts w:hint="eastAsia" w:ascii="Times New Roman" w:hAnsi="Times New Roman" w:eastAsia="宋体,微软雅黑"/>
          <w:color w:val="000000"/>
          <w:kern w:val="0"/>
          <w:sz w:val="24"/>
        </w:rPr>
        <w:t>防治</w:t>
      </w:r>
      <w:r>
        <w:rPr>
          <w:rFonts w:ascii="Times New Roman" w:hAnsi="Times New Roman" w:eastAsia="宋体,微软雅黑"/>
          <w:color w:val="000000"/>
          <w:kern w:val="0"/>
          <w:sz w:val="24"/>
        </w:rPr>
        <w:t>现代化、智能化，拓展</w:t>
      </w:r>
      <w:r>
        <w:rPr>
          <w:rFonts w:hint="eastAsia" w:ascii="Times New Roman" w:hAnsi="Times New Roman" w:eastAsia="宋体,微软雅黑"/>
          <w:color w:val="000000"/>
          <w:kern w:val="0"/>
          <w:sz w:val="24"/>
        </w:rPr>
        <w:t>畜禽粪污从产生源头到末端治理全过程的</w:t>
      </w:r>
      <w:r>
        <w:rPr>
          <w:rFonts w:ascii="Times New Roman" w:hAnsi="Times New Roman" w:eastAsia="宋体,微软雅黑"/>
          <w:color w:val="000000"/>
          <w:kern w:val="0"/>
          <w:sz w:val="24"/>
        </w:rPr>
        <w:t>GPS跟踪、</w:t>
      </w:r>
      <w:r>
        <w:rPr>
          <w:rFonts w:hint="eastAsia" w:ascii="Times New Roman" w:hAnsi="Times New Roman" w:eastAsia="宋体,微软雅黑"/>
          <w:color w:val="000000"/>
          <w:kern w:val="0"/>
          <w:sz w:val="24"/>
        </w:rPr>
        <w:t>粪污</w:t>
      </w:r>
      <w:r>
        <w:rPr>
          <w:rFonts w:ascii="Times New Roman" w:hAnsi="Times New Roman" w:eastAsia="宋体,微软雅黑"/>
          <w:color w:val="000000"/>
          <w:kern w:val="0"/>
          <w:sz w:val="24"/>
        </w:rPr>
        <w:t>资源化综合利用网络建设</w:t>
      </w:r>
      <w:r>
        <w:rPr>
          <w:rFonts w:hint="eastAsia" w:ascii="Times New Roman" w:hAnsi="Times New Roman" w:eastAsia="宋体,微软雅黑"/>
          <w:color w:val="000000"/>
          <w:kern w:val="0"/>
          <w:sz w:val="24"/>
        </w:rPr>
        <w:t>和</w:t>
      </w:r>
      <w:r>
        <w:rPr>
          <w:rFonts w:ascii="Times New Roman" w:hAnsi="Times New Roman" w:eastAsia="宋体,微软雅黑"/>
          <w:color w:val="000000"/>
          <w:kern w:val="0"/>
          <w:sz w:val="24"/>
        </w:rPr>
        <w:t>无人机执法等会提供强大的技术支持，</w:t>
      </w:r>
      <w:r>
        <w:rPr>
          <w:rFonts w:hint="eastAsia" w:ascii="Times New Roman" w:hAnsi="Times New Roman" w:eastAsia="宋体,微软雅黑"/>
          <w:color w:val="000000"/>
          <w:kern w:val="0"/>
          <w:sz w:val="24"/>
        </w:rPr>
        <w:t>对</w:t>
      </w:r>
      <w:r>
        <w:rPr>
          <w:rFonts w:ascii="Times New Roman" w:hAnsi="Times New Roman" w:eastAsia="宋体,微软雅黑"/>
          <w:color w:val="000000"/>
          <w:kern w:val="0"/>
          <w:sz w:val="24"/>
        </w:rPr>
        <w:t>全面建成</w:t>
      </w:r>
      <w:r>
        <w:rPr>
          <w:rFonts w:hint="eastAsia" w:ascii="Times New Roman" w:hAnsi="Times New Roman" w:eastAsia="宋体,微软雅黑"/>
          <w:color w:val="000000"/>
          <w:kern w:val="0"/>
          <w:sz w:val="24"/>
        </w:rPr>
        <w:t>市中区禽畜</w:t>
      </w:r>
      <w:r>
        <w:rPr>
          <w:rFonts w:ascii="Times New Roman" w:hAnsi="Times New Roman" w:eastAsia="宋体,微软雅黑"/>
          <w:color w:val="000000"/>
          <w:kern w:val="0"/>
          <w:sz w:val="24"/>
        </w:rPr>
        <w:t>粪污治理体系</w:t>
      </w:r>
      <w:r>
        <w:rPr>
          <w:rFonts w:hint="eastAsia" w:ascii="Times New Roman" w:hAnsi="Times New Roman" w:eastAsia="宋体,微软雅黑"/>
          <w:color w:val="000000"/>
          <w:kern w:val="0"/>
          <w:sz w:val="24"/>
        </w:rPr>
        <w:t>带来</w:t>
      </w:r>
      <w:r>
        <w:rPr>
          <w:rFonts w:ascii="Times New Roman" w:hAnsi="Times New Roman" w:eastAsia="宋体,微软雅黑"/>
          <w:color w:val="000000"/>
          <w:kern w:val="0"/>
          <w:sz w:val="24"/>
        </w:rPr>
        <w:t>了新机遇。</w:t>
      </w:r>
    </w:p>
    <w:p>
      <w:pPr>
        <w:pStyle w:val="4"/>
        <w:adjustRightInd w:val="0"/>
        <w:snapToGrid w:val="0"/>
        <w:spacing w:before="0" w:after="0" w:line="360" w:lineRule="auto"/>
        <w:rPr>
          <w:rFonts w:ascii="Times New Roman" w:hAnsi="Times New Roman"/>
          <w:sz w:val="24"/>
          <w:szCs w:val="24"/>
        </w:rPr>
      </w:pPr>
      <w:bookmarkStart w:id="93" w:name="_Toc117868750"/>
      <w:r>
        <w:rPr>
          <w:rFonts w:hint="eastAsia" w:ascii="Times New Roman" w:hAnsi="Times New Roman"/>
          <w:sz w:val="24"/>
          <w:szCs w:val="24"/>
        </w:rPr>
        <w:t>4.1.8 环保法治体系的日趋成熟</w:t>
      </w:r>
      <w:bookmarkEnd w:id="93"/>
    </w:p>
    <w:p>
      <w:pPr>
        <w:adjustRightInd w:val="0"/>
        <w:snapToGrid w:val="0"/>
        <w:ind w:firstLine="480" w:firstLineChars="200"/>
        <w:rPr>
          <w:rFonts w:ascii="Times New Roman" w:hAnsi="Times New Roman" w:eastAsia="宋体,微软雅黑"/>
          <w:color w:val="000000"/>
          <w:kern w:val="0"/>
          <w:sz w:val="24"/>
        </w:rPr>
      </w:pPr>
      <w:r>
        <w:rPr>
          <w:rFonts w:ascii="Times New Roman" w:hAnsi="Times New Roman" w:eastAsia="宋体,微软雅黑"/>
          <w:color w:val="000000"/>
          <w:kern w:val="0"/>
          <w:sz w:val="24"/>
        </w:rPr>
        <w:t>以新环保法的全面实施为龙头，各项环保法律法规将加快制修订进程，环保法律体系将日趋完善，环保法律法规和标准也将更加从严从紧，环境违法惩处力度将空前加大。同时依法治理环境将成为环境保护的根本途径和要求，权利公平、机会公平和规则公平的环境法治体系将逐步确立，环境权、责、利将更加清晰。在依法治国理念的引领下，各种资源开发和经济发展活动将被置于法律和制度笼子里，重大决策环保终身责任追究制度将逐步建立，环境公益诉讼将逐步成为环境保护的重要法律武器</w:t>
      </w:r>
      <w:r>
        <w:rPr>
          <w:rFonts w:hint="eastAsia" w:ascii="Times New Roman" w:hAnsi="Times New Roman" w:eastAsia="宋体,微软雅黑"/>
          <w:color w:val="000000"/>
          <w:kern w:val="0"/>
          <w:sz w:val="24"/>
        </w:rPr>
        <w:t>，</w:t>
      </w:r>
      <w:r>
        <w:rPr>
          <w:rFonts w:ascii="Times New Roman" w:hAnsi="Times New Roman" w:eastAsia="宋体,微软雅黑"/>
          <w:color w:val="000000"/>
          <w:kern w:val="0"/>
          <w:sz w:val="24"/>
        </w:rPr>
        <w:t>这为</w:t>
      </w:r>
      <w:r>
        <w:rPr>
          <w:rFonts w:ascii="Times New Roman" w:hAnsi="Times New Roman" w:eastAsia="宋体,微软雅黑"/>
          <w:color w:val="auto"/>
          <w:kern w:val="0"/>
          <w:sz w:val="24"/>
        </w:rPr>
        <w:t>建立健</w:t>
      </w:r>
      <w:r>
        <w:rPr>
          <w:rFonts w:ascii="Times New Roman" w:hAnsi="Times New Roman" w:eastAsia="宋体,微软雅黑"/>
          <w:color w:val="000000"/>
          <w:kern w:val="0"/>
          <w:sz w:val="24"/>
        </w:rPr>
        <w:t>全市中区</w:t>
      </w:r>
      <w:r>
        <w:rPr>
          <w:rFonts w:hint="eastAsia" w:ascii="Times New Roman" w:hAnsi="Times New Roman" w:eastAsia="宋体,微软雅黑"/>
          <w:color w:val="000000"/>
          <w:kern w:val="0"/>
          <w:sz w:val="24"/>
        </w:rPr>
        <w:t>畜禽</w:t>
      </w:r>
      <w:r>
        <w:rPr>
          <w:rFonts w:ascii="Times New Roman" w:hAnsi="Times New Roman" w:eastAsia="宋体,微软雅黑"/>
          <w:color w:val="000000"/>
          <w:kern w:val="0"/>
          <w:sz w:val="24"/>
        </w:rPr>
        <w:t>粪污防控制度提供了保障</w:t>
      </w:r>
      <w:r>
        <w:rPr>
          <w:rFonts w:hint="eastAsia" w:ascii="Times New Roman" w:hAnsi="Times New Roman" w:eastAsia="宋体,微软雅黑"/>
          <w:color w:val="000000"/>
          <w:kern w:val="0"/>
          <w:sz w:val="24"/>
        </w:rPr>
        <w:t>。</w:t>
      </w:r>
    </w:p>
    <w:p>
      <w:pPr>
        <w:pStyle w:val="3"/>
        <w:spacing w:before="0" w:after="0" w:line="360" w:lineRule="auto"/>
        <w:rPr>
          <w:rFonts w:ascii="Times New Roman" w:hAnsi="Times New Roman"/>
          <w:sz w:val="28"/>
          <w:szCs w:val="28"/>
        </w:rPr>
      </w:pPr>
      <w:bookmarkStart w:id="94" w:name="_Toc117868751"/>
      <w:r>
        <w:rPr>
          <w:rFonts w:hint="eastAsia" w:ascii="Times New Roman" w:hAnsi="Times New Roman"/>
          <w:sz w:val="28"/>
          <w:szCs w:val="28"/>
        </w:rPr>
        <w:t>4</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 xml:space="preserve"> </w:t>
      </w:r>
      <w:r>
        <w:rPr>
          <w:rFonts w:hint="eastAsia" w:ascii="Times New Roman" w:hAnsi="Times New Roman"/>
          <w:sz w:val="28"/>
          <w:szCs w:val="28"/>
        </w:rPr>
        <w:t>畜禽养殖污染防治面临的挑战</w:t>
      </w:r>
      <w:bookmarkEnd w:id="94"/>
    </w:p>
    <w:p>
      <w:pPr>
        <w:pStyle w:val="4"/>
        <w:adjustRightInd w:val="0"/>
        <w:snapToGrid w:val="0"/>
        <w:spacing w:before="0" w:after="0" w:line="360" w:lineRule="auto"/>
        <w:rPr>
          <w:rFonts w:ascii="Times New Roman" w:hAnsi="Times New Roman"/>
          <w:sz w:val="24"/>
          <w:szCs w:val="24"/>
        </w:rPr>
      </w:pPr>
      <w:bookmarkStart w:id="95" w:name="_Toc117868752"/>
      <w:r>
        <w:rPr>
          <w:rFonts w:hint="eastAsia" w:ascii="Times New Roman" w:hAnsi="Times New Roman"/>
          <w:sz w:val="24"/>
          <w:szCs w:val="24"/>
        </w:rPr>
        <w:t>4.2.1 动物疫情等突发因素的不确定性</w:t>
      </w:r>
      <w:bookmarkEnd w:id="95"/>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近年来，受突发动物疫情、畜产品安全事件和市场供求关系影响，畜禽产品价格大起大落，给养殖户带来很大的市场风险，也严重影响了养殖业的稳定发展。在目前市场宏观调控能力较弱，市场预警体系、价格调控机制有待完善的条件下，原材料成本、农村劳动力成本、交通运输成本、粪污防治成本等持续增长，这为实现养殖业的持续健康发展和畜禽粪污的资源化综合利用带来了较大的挑战。</w:t>
      </w:r>
    </w:p>
    <w:p>
      <w:pPr>
        <w:pStyle w:val="4"/>
        <w:adjustRightInd w:val="0"/>
        <w:snapToGrid w:val="0"/>
        <w:spacing w:before="0" w:after="0" w:line="360" w:lineRule="auto"/>
        <w:rPr>
          <w:rFonts w:ascii="Times New Roman" w:hAnsi="Times New Roman"/>
          <w:sz w:val="24"/>
          <w:szCs w:val="24"/>
        </w:rPr>
      </w:pPr>
      <w:bookmarkStart w:id="96" w:name="_Toc117868753"/>
      <w:r>
        <w:rPr>
          <w:rFonts w:hint="eastAsia" w:ascii="Times New Roman" w:hAnsi="Times New Roman"/>
          <w:sz w:val="24"/>
          <w:szCs w:val="24"/>
        </w:rPr>
        <w:t>4.2.2养殖业规模化发展与环境保护的矛盾性</w:t>
      </w:r>
      <w:bookmarkEnd w:id="96"/>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在资源紧约束和环境紧约束的大背景下，土地资源、生态资源的刚性约束与养殖业产业化、规模化发展之间的矛盾日益尖锐。随着城市扩容以及生态红线区域的划定，全区适养区发展空间十分有限，养殖用地落实困难。为保证城市畜产品供应，以现有畜禽粪便综合利用水平和效果</w:t>
      </w:r>
      <w:r>
        <w:rPr>
          <w:rFonts w:hint="eastAsia" w:ascii="Times New Roman" w:hAnsi="Times New Roman" w:eastAsia="宋体,微软雅黑" w:cs="Times New Roman"/>
          <w:color w:val="auto"/>
          <w:kern w:val="0"/>
          <w:sz w:val="24"/>
          <w:szCs w:val="24"/>
        </w:rPr>
        <w:t>来看</w:t>
      </w:r>
      <w:r>
        <w:rPr>
          <w:rFonts w:hint="eastAsia" w:ascii="Times New Roman" w:hAnsi="Times New Roman" w:eastAsia="宋体,微软雅黑" w:cs="Times New Roman"/>
          <w:color w:val="000000"/>
          <w:kern w:val="0"/>
          <w:sz w:val="24"/>
          <w:szCs w:val="24"/>
        </w:rPr>
        <w:t>，难以从优化畜禽养殖的结构和布局实现对生态环境的零污染，畜禽粪污治理以及资源化利用任重道远，未来一段时期内畜禽养殖与环境保护之间的矛盾仍将长期存在。</w:t>
      </w:r>
    </w:p>
    <w:p>
      <w:pPr>
        <w:pStyle w:val="4"/>
        <w:adjustRightInd w:val="0"/>
        <w:snapToGrid w:val="0"/>
        <w:spacing w:before="0" w:after="0" w:line="360" w:lineRule="auto"/>
        <w:rPr>
          <w:rFonts w:ascii="Times New Roman" w:hAnsi="Times New Roman"/>
          <w:sz w:val="24"/>
          <w:szCs w:val="24"/>
        </w:rPr>
      </w:pPr>
      <w:bookmarkStart w:id="97" w:name="_Toc117868754"/>
      <w:r>
        <w:rPr>
          <w:rFonts w:hint="eastAsia" w:ascii="Times New Roman" w:hAnsi="Times New Roman"/>
          <w:sz w:val="24"/>
          <w:szCs w:val="24"/>
        </w:rPr>
        <w:t>4.2.3区域生态安全保障任务的艰巨性</w:t>
      </w:r>
      <w:bookmarkEnd w:id="97"/>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ascii="Times New Roman" w:hAnsi="Times New Roman" w:eastAsia="宋体,微软雅黑" w:cs="Times New Roman"/>
          <w:color w:val="000000"/>
          <w:kern w:val="0"/>
          <w:sz w:val="24"/>
          <w:szCs w:val="24"/>
        </w:rPr>
        <w:t>习近平总书记在重庆座谈会上提出</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当前和今后相当长一个时期，要把修复长江生态环境摆在压倒性位置，共抓大保护、不搞大开发</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。长江经济带发展战略进一步明确</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长江经济带发展必须坚持生态优先、绿色发展，把生态环境保护摆上优先地位</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乐山是长江上游重要生态屏障和水源涵养地重要组成部分，市中区是乐山市的政治、经济、文化中心，0.08%的国土面积划入生态保护红线，境内分布有1处世界遗产，生态保护责任重大。同时，市中区仍面临森林植被单一、生物多样性退化、生态廊道阻隔等突出生态问题，</w:t>
      </w:r>
      <w:r>
        <w:rPr>
          <w:rFonts w:hint="eastAsia" w:ascii="Times New Roman" w:hAnsi="Times New Roman" w:eastAsia="宋体,微软雅黑" w:cs="Times New Roman"/>
          <w:color w:val="000000"/>
          <w:kern w:val="0"/>
          <w:sz w:val="24"/>
          <w:szCs w:val="24"/>
        </w:rPr>
        <w:t>在畜禽</w:t>
      </w:r>
      <w:r>
        <w:rPr>
          <w:rFonts w:ascii="Times New Roman" w:hAnsi="Times New Roman" w:eastAsia="宋体,微软雅黑" w:cs="Times New Roman"/>
          <w:color w:val="000000"/>
          <w:kern w:val="0"/>
          <w:sz w:val="24"/>
          <w:szCs w:val="24"/>
        </w:rPr>
        <w:t>养殖规模有较大增长空间</w:t>
      </w:r>
      <w:r>
        <w:rPr>
          <w:rFonts w:hint="eastAsia" w:ascii="Times New Roman" w:hAnsi="Times New Roman" w:eastAsia="宋体,微软雅黑" w:cs="Times New Roman"/>
          <w:color w:val="000000"/>
          <w:kern w:val="0"/>
          <w:sz w:val="24"/>
          <w:szCs w:val="24"/>
        </w:rPr>
        <w:t>和</w:t>
      </w:r>
      <w:r>
        <w:rPr>
          <w:rFonts w:ascii="Times New Roman" w:hAnsi="Times New Roman" w:eastAsia="宋体,微软雅黑" w:cs="Times New Roman"/>
          <w:color w:val="000000"/>
          <w:kern w:val="0"/>
          <w:sz w:val="24"/>
          <w:szCs w:val="24"/>
        </w:rPr>
        <w:t>养殖产品刚性需求不断扩大的条件下要确保生态环境系统的稳定任重道远。</w:t>
      </w:r>
    </w:p>
    <w:p>
      <w:pPr>
        <w:pStyle w:val="4"/>
        <w:adjustRightInd w:val="0"/>
        <w:snapToGrid w:val="0"/>
        <w:spacing w:before="0" w:after="0" w:line="360" w:lineRule="auto"/>
        <w:rPr>
          <w:rFonts w:ascii="Times New Roman" w:hAnsi="Times New Roman"/>
          <w:sz w:val="24"/>
          <w:szCs w:val="24"/>
        </w:rPr>
      </w:pPr>
      <w:bookmarkStart w:id="98" w:name="_Toc117868755"/>
      <w:r>
        <w:rPr>
          <w:rFonts w:hint="eastAsia" w:ascii="Times New Roman" w:hAnsi="Times New Roman"/>
          <w:sz w:val="24"/>
          <w:szCs w:val="24"/>
        </w:rPr>
        <w:t>4.2.4绿色高质量发展提出的新要求</w:t>
      </w:r>
      <w:bookmarkEnd w:id="98"/>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碳达峰、碳中和”以及长江大保护、成渝地区双城经济圈建设等一系列国家战略都对乐山市生态文明建设和生态环境保护提出新目标、新要求，“十四五”期间市中区必然要在创新环境治理体制、机制、政策上取得突破，要在畜禽污染防治和绿色低碳发展等领域走在全市乃至全省前列，率先实现生态环境根本好转的目标，任务十分艰巨。</w:t>
      </w:r>
    </w:p>
    <w:p>
      <w:pPr>
        <w:pStyle w:val="4"/>
        <w:adjustRightInd w:val="0"/>
        <w:snapToGrid w:val="0"/>
        <w:spacing w:before="0" w:after="0" w:line="360" w:lineRule="auto"/>
        <w:rPr>
          <w:rFonts w:ascii="Times New Roman" w:hAnsi="Times New Roman"/>
          <w:sz w:val="24"/>
          <w:szCs w:val="24"/>
        </w:rPr>
      </w:pPr>
      <w:bookmarkStart w:id="99" w:name="_Toc117868756"/>
      <w:r>
        <w:rPr>
          <w:rFonts w:hint="eastAsia" w:ascii="Times New Roman" w:hAnsi="Times New Roman"/>
          <w:sz w:val="24"/>
          <w:szCs w:val="24"/>
        </w:rPr>
        <w:t>4.2.5 禽畜养殖基础设施和管理水平的滞后性</w:t>
      </w:r>
      <w:bookmarkEnd w:id="99"/>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目前全区畜禽养殖场（户）普遍存在基础设施建设标准化程度低、粪污处理配套设施不完善的问题，规模化养殖场（小区）存在粪污治理管网建设滞后、粪污处理缺乏专业化的服务队伍和整体运行管理水平低的问题，散养户环保意识淡薄，粪污防治监管存在盲区，这对“十四五”期间实现种养结合、农牧循环的目标，提升</w:t>
      </w:r>
      <w:r>
        <w:rPr>
          <w:rFonts w:ascii="Times New Roman" w:hAnsi="Times New Roman" w:eastAsia="宋体,微软雅黑" w:cs="Times New Roman"/>
          <w:color w:val="000000"/>
          <w:kern w:val="0"/>
          <w:sz w:val="24"/>
          <w:szCs w:val="24"/>
        </w:rPr>
        <w:t>养殖规模的集约度和粪污治理的集中度</w:t>
      </w:r>
      <w:r>
        <w:rPr>
          <w:rFonts w:hint="eastAsia" w:ascii="Times New Roman" w:hAnsi="Times New Roman" w:eastAsia="宋体,微软雅黑" w:cs="Times New Roman"/>
          <w:color w:val="000000"/>
          <w:kern w:val="0"/>
          <w:sz w:val="24"/>
          <w:szCs w:val="24"/>
        </w:rPr>
        <w:t>、</w:t>
      </w:r>
      <w:r>
        <w:rPr>
          <w:rFonts w:ascii="Times New Roman" w:hAnsi="Times New Roman" w:eastAsia="宋体,微软雅黑" w:cs="Times New Roman"/>
          <w:color w:val="000000"/>
          <w:kern w:val="0"/>
          <w:sz w:val="24"/>
          <w:szCs w:val="24"/>
        </w:rPr>
        <w:t>综合性，建立完善的农业产业结构生态链</w:t>
      </w:r>
      <w:r>
        <w:rPr>
          <w:rFonts w:hint="eastAsia" w:ascii="Times New Roman" w:hAnsi="Times New Roman" w:eastAsia="宋体,微软雅黑" w:cs="Times New Roman"/>
          <w:color w:val="000000"/>
          <w:kern w:val="0"/>
          <w:sz w:val="24"/>
          <w:szCs w:val="24"/>
        </w:rPr>
        <w:t>具有很大的</w:t>
      </w:r>
      <w:r>
        <w:rPr>
          <w:rFonts w:ascii="Times New Roman" w:hAnsi="Times New Roman" w:eastAsia="宋体,微软雅黑" w:cs="Times New Roman"/>
          <w:color w:val="000000"/>
          <w:kern w:val="0"/>
          <w:sz w:val="24"/>
          <w:szCs w:val="24"/>
        </w:rPr>
        <w:t>挑战性</w:t>
      </w:r>
      <w:r>
        <w:rPr>
          <w:rFonts w:hint="eastAsia" w:ascii="Times New Roman" w:hAnsi="Times New Roman" w:eastAsia="宋体,微软雅黑" w:cs="Times New Roman"/>
          <w:color w:val="000000"/>
          <w:kern w:val="0"/>
          <w:sz w:val="24"/>
          <w:szCs w:val="24"/>
        </w:rPr>
        <w:t>。</w:t>
      </w:r>
    </w:p>
    <w:p>
      <w:pPr>
        <w:pStyle w:val="4"/>
        <w:adjustRightInd w:val="0"/>
        <w:snapToGrid w:val="0"/>
        <w:spacing w:before="0" w:after="0" w:line="360" w:lineRule="auto"/>
        <w:rPr>
          <w:rFonts w:ascii="Times New Roman" w:hAnsi="Times New Roman"/>
          <w:sz w:val="24"/>
          <w:szCs w:val="24"/>
        </w:rPr>
      </w:pPr>
      <w:bookmarkStart w:id="100" w:name="_Toc27637"/>
      <w:bookmarkStart w:id="101" w:name="_Toc10622"/>
      <w:bookmarkStart w:id="102" w:name="_Toc117868757"/>
      <w:r>
        <w:rPr>
          <w:rFonts w:hint="eastAsia" w:ascii="Times New Roman" w:hAnsi="Times New Roman"/>
          <w:sz w:val="24"/>
          <w:szCs w:val="24"/>
        </w:rPr>
        <w:t>4.2.6建立现代环境治理体系</w:t>
      </w:r>
      <w:bookmarkEnd w:id="100"/>
      <w:bookmarkEnd w:id="101"/>
      <w:r>
        <w:rPr>
          <w:rFonts w:hint="eastAsia" w:ascii="Times New Roman" w:hAnsi="Times New Roman"/>
          <w:sz w:val="24"/>
          <w:szCs w:val="24"/>
        </w:rPr>
        <w:t>的紧迫性</w:t>
      </w:r>
      <w:bookmarkEnd w:id="102"/>
    </w:p>
    <w:p>
      <w:pPr>
        <w:pStyle w:val="7"/>
        <w:adjustRightInd w:val="0"/>
        <w:snapToGrid w:val="0"/>
        <w:spacing w:after="0" w:line="360" w:lineRule="auto"/>
        <w:ind w:firstLine="480" w:firstLineChars="200"/>
        <w:rPr>
          <w:rFonts w:ascii="Times New Roman" w:hAnsi="Times New Roman" w:eastAsia="宋体,微软雅黑" w:cs="Times New Roman"/>
          <w:color w:val="000000"/>
          <w:kern w:val="0"/>
          <w:sz w:val="24"/>
          <w:szCs w:val="24"/>
        </w:rPr>
      </w:pPr>
      <w:r>
        <w:rPr>
          <w:rFonts w:hint="eastAsia" w:ascii="Times New Roman" w:hAnsi="Times New Roman" w:eastAsia="宋体,微软雅黑" w:cs="Times New Roman"/>
          <w:color w:val="000000"/>
          <w:kern w:val="0"/>
          <w:sz w:val="24"/>
          <w:szCs w:val="24"/>
        </w:rPr>
        <w:t>随着国家绿色高质量发展的持续推进和“双碳”目标的提出，在禽畜养殖业领域急需建立完善的现代环境治理体系。同时，随着生态环境保护机构改革的深入推进，新增了应对气候变化、流域水环境保护、地下水污染防治监督、农业面源污染治理等职责，在畜禽养殖污染防治领域面临着人员配置不足、专业性不强、业务能力水平不高、生态环境监测体系不完善、多部门协同防治能力较薄弱，防治监控手段相对单一落后，养殖户环保意识比较薄弱等诸多问题。此外，生态环境保护跨区域、跨部门协同监管、联合执法等机制尚不健全，畜禽粪污防治多元化投入、生态补偿等环境经济政策仍不完善，环境信息公开、排污者主体责任、奖励激励、公众参与等机制不健全</w:t>
      </w:r>
      <w:bookmarkStart w:id="103" w:name="_Toc18945"/>
      <w:bookmarkEnd w:id="103"/>
      <w:r>
        <w:rPr>
          <w:rFonts w:hint="eastAsia" w:ascii="Times New Roman" w:hAnsi="Times New Roman" w:eastAsia="宋体,微软雅黑" w:cs="Times New Roman"/>
          <w:color w:val="000000"/>
          <w:kern w:val="0"/>
          <w:sz w:val="24"/>
          <w:szCs w:val="24"/>
        </w:rPr>
        <w:t>，全区要在“十四五”期间建立完善的现代环境治理体系时间紧、任务重。</w:t>
      </w:r>
      <w:r>
        <w:rPr>
          <w:rFonts w:ascii="Times New Roman" w:hAnsi="Times New Roman" w:eastAsia="宋体,微软雅黑" w:cs="Times New Roman"/>
          <w:color w:val="000000"/>
          <w:kern w:val="0"/>
          <w:sz w:val="24"/>
          <w:szCs w:val="24"/>
        </w:rPr>
        <w:br w:type="page"/>
      </w:r>
    </w:p>
    <w:p>
      <w:pPr>
        <w:pStyle w:val="22"/>
        <w:rPr>
          <w:rFonts w:ascii="黑体" w:hAnsi="黑体" w:eastAsia="黑体"/>
        </w:rPr>
      </w:pPr>
      <w:r>
        <w:fldChar w:fldCharType="begin"/>
      </w:r>
      <w:r>
        <w:instrText xml:space="preserve"> HYPERLINK \l "_Toc500364893" </w:instrText>
      </w:r>
      <w:r>
        <w:fldChar w:fldCharType="separate"/>
      </w:r>
      <w:bookmarkStart w:id="104" w:name="_Toc117868758"/>
      <w:r>
        <w:rPr>
          <w:rFonts w:hint="eastAsia" w:ascii="黑体" w:hAnsi="黑体" w:eastAsia="黑体"/>
        </w:rPr>
        <w:t>第5章</w:t>
      </w:r>
      <w:r>
        <w:rPr>
          <w:rFonts w:ascii="黑体" w:hAnsi="黑体" w:eastAsia="黑体"/>
        </w:rPr>
        <w:t xml:space="preserve"> </w:t>
      </w:r>
      <w:r>
        <w:rPr>
          <w:rFonts w:ascii="黑体" w:hAnsi="黑体" w:eastAsia="黑体"/>
        </w:rPr>
        <w:fldChar w:fldCharType="end"/>
      </w:r>
      <w:r>
        <w:rPr>
          <w:rFonts w:hint="eastAsia" w:ascii="黑体" w:hAnsi="黑体" w:eastAsia="黑体"/>
        </w:rPr>
        <w:t>畜禽养殖污染防治的主要任务</w:t>
      </w:r>
      <w:bookmarkEnd w:id="104"/>
    </w:p>
    <w:p>
      <w:pPr>
        <w:pStyle w:val="7"/>
        <w:adjustRightInd w:val="0"/>
        <w:snapToGrid w:val="0"/>
        <w:spacing w:after="0" w:line="360" w:lineRule="auto"/>
        <w:ind w:firstLine="480" w:firstLineChars="200"/>
        <w:rPr>
          <w:rFonts w:ascii="宋体" w:hAnsi="宋体" w:eastAsia="宋体"/>
          <w:color w:val="auto"/>
          <w:sz w:val="24"/>
        </w:rPr>
      </w:pPr>
      <w:r>
        <w:rPr>
          <w:rFonts w:hint="eastAsia" w:ascii="Times New Roman" w:hAnsi="Times New Roman" w:eastAsia="宋体" w:cs="Times New Roman"/>
          <w:bCs/>
          <w:sz w:val="24"/>
          <w:szCs w:val="24"/>
        </w:rPr>
        <w:t>“十四五”时期，市中</w:t>
      </w:r>
      <w:r>
        <w:rPr>
          <w:rFonts w:hint="eastAsia" w:ascii="Times New Roman" w:hAnsi="Times New Roman" w:eastAsia="宋体" w:cs="Times New Roman"/>
          <w:bCs/>
          <w:color w:val="auto"/>
          <w:sz w:val="24"/>
          <w:szCs w:val="24"/>
        </w:rPr>
        <w:t>区提出的畜禽养殖污染防治总目标是：全面构建“一核两区三带六园”的现代农业发展新格局，显著提升禽畜粪污综合治理能力，推进农业高质量发展。到2025年，</w:t>
      </w:r>
      <w:r>
        <w:rPr>
          <w:rFonts w:hint="eastAsia" w:ascii="宋体" w:hAnsi="宋体" w:eastAsia="宋体"/>
          <w:color w:val="auto"/>
          <w:sz w:val="24"/>
        </w:rPr>
        <w:t>构建一套畜禽粪污“四化”防治长效机制，建立一套有特色的种养结合循环农业模式，形成一条畜禽粪污高值化综合利用产业链，显著减少禽畜养殖场污染物排放，全面实现全区畜禽养殖业的可持续健康发展。同时，在畜禽养殖总量控制、优化养殖空间布局、禽畜粪污防治、主要污染排排放、生态环境治理和科技贡献率等方面提出了具体目标（见章节1.5）。</w:t>
      </w:r>
    </w:p>
    <w:p>
      <w:pPr>
        <w:pStyle w:val="7"/>
        <w:adjustRightInd w:val="0"/>
        <w:snapToGrid w:val="0"/>
        <w:spacing w:after="0" w:line="360" w:lineRule="auto"/>
        <w:ind w:firstLine="480" w:firstLineChars="200"/>
        <w:rPr>
          <w:color w:val="FF0000"/>
        </w:rPr>
      </w:pPr>
      <w:r>
        <w:rPr>
          <w:rFonts w:hint="eastAsia" w:ascii="Times New Roman" w:hAnsi="Times New Roman" w:eastAsia="宋体" w:cs="Times New Roman"/>
          <w:bCs/>
          <w:color w:val="auto"/>
          <w:sz w:val="24"/>
          <w:szCs w:val="24"/>
        </w:rPr>
        <w:t>对照上述目标，结合市中区实际情况，从源头控制、空间管控、污染治理、管理和制度、科技创新等方面提出“十四五”期间畜禽养殖污染防治的主要任务。</w:t>
      </w:r>
    </w:p>
    <w:p>
      <w:pPr>
        <w:pStyle w:val="3"/>
        <w:spacing w:before="0" w:after="0" w:line="360" w:lineRule="auto"/>
        <w:rPr>
          <w:rFonts w:ascii="Times New Roman" w:hAnsi="Times New Roman"/>
          <w:sz w:val="28"/>
          <w:szCs w:val="28"/>
        </w:rPr>
      </w:pPr>
      <w:bookmarkStart w:id="105" w:name="_Toc12044"/>
      <w:bookmarkStart w:id="106" w:name="_Toc117868759"/>
      <w:r>
        <w:rPr>
          <w:rFonts w:hint="eastAsia" w:ascii="Times New Roman" w:hAnsi="Times New Roman"/>
          <w:sz w:val="28"/>
          <w:szCs w:val="28"/>
        </w:rPr>
        <w:t>5.1强化</w:t>
      </w:r>
      <w:r>
        <w:rPr>
          <w:rFonts w:ascii="Times New Roman" w:hAnsi="Times New Roman"/>
          <w:sz w:val="28"/>
          <w:szCs w:val="28"/>
        </w:rPr>
        <w:t>畜禽养殖</w:t>
      </w:r>
      <w:bookmarkEnd w:id="105"/>
      <w:r>
        <w:rPr>
          <w:rFonts w:ascii="Times New Roman" w:hAnsi="Times New Roman"/>
          <w:sz w:val="28"/>
          <w:szCs w:val="28"/>
        </w:rPr>
        <w:t>污染</w:t>
      </w:r>
      <w:r>
        <w:rPr>
          <w:rFonts w:hint="eastAsia" w:ascii="Times New Roman" w:hAnsi="Times New Roman"/>
          <w:sz w:val="28"/>
          <w:szCs w:val="28"/>
        </w:rPr>
        <w:t>源头</w:t>
      </w:r>
      <w:r>
        <w:rPr>
          <w:rFonts w:ascii="Times New Roman" w:hAnsi="Times New Roman"/>
          <w:sz w:val="28"/>
          <w:szCs w:val="28"/>
        </w:rPr>
        <w:t>控制</w:t>
      </w:r>
      <w:bookmarkEnd w:id="106"/>
    </w:p>
    <w:p>
      <w:pPr>
        <w:adjustRightInd w:val="0"/>
        <w:snapToGrid w:val="0"/>
        <w:ind w:firstLine="480" w:firstLineChars="200"/>
        <w:rPr>
          <w:rFonts w:ascii="宋体" w:hAnsi="宋体"/>
          <w:bCs/>
          <w:sz w:val="24"/>
        </w:rPr>
      </w:pPr>
      <w:bookmarkStart w:id="107" w:name="OLE_LINK20"/>
      <w:bookmarkStart w:id="108" w:name="OLE_LINK19"/>
      <w:r>
        <w:rPr>
          <w:rFonts w:ascii="宋体" w:hAnsi="宋体"/>
          <w:bCs/>
          <w:sz w:val="24"/>
        </w:rPr>
        <w:t>兼顾统筹全区环境承载能力</w:t>
      </w:r>
      <w:r>
        <w:rPr>
          <w:rFonts w:hint="eastAsia" w:ascii="宋体" w:hAnsi="宋体"/>
          <w:bCs/>
          <w:sz w:val="24"/>
        </w:rPr>
        <w:t>、畜禽</w:t>
      </w:r>
      <w:r>
        <w:rPr>
          <w:rFonts w:ascii="宋体" w:hAnsi="宋体"/>
          <w:bCs/>
          <w:sz w:val="24"/>
        </w:rPr>
        <w:t>养殖区域划分</w:t>
      </w:r>
      <w:r>
        <w:rPr>
          <w:rFonts w:hint="eastAsia" w:ascii="宋体" w:hAnsi="宋体"/>
          <w:bCs/>
          <w:sz w:val="24"/>
        </w:rPr>
        <w:t>和“三线一单”要求</w:t>
      </w:r>
      <w:r>
        <w:rPr>
          <w:rFonts w:ascii="宋体" w:hAnsi="宋体"/>
          <w:bCs/>
          <w:sz w:val="24"/>
        </w:rPr>
        <w:t>，合理确定区内养殖容量和养殖种类，统筹环境保护与畜禽产业发展</w:t>
      </w:r>
      <w:r>
        <w:rPr>
          <w:rFonts w:hint="eastAsia" w:ascii="宋体" w:hAnsi="宋体"/>
          <w:bCs/>
          <w:sz w:val="24"/>
        </w:rPr>
        <w:t>、</w:t>
      </w:r>
      <w:r>
        <w:rPr>
          <w:rFonts w:ascii="宋体" w:hAnsi="宋体"/>
          <w:bCs/>
          <w:sz w:val="24"/>
        </w:rPr>
        <w:t>养殖业与种植业</w:t>
      </w:r>
      <w:r>
        <w:rPr>
          <w:rFonts w:hint="eastAsia" w:ascii="宋体" w:hAnsi="宋体"/>
          <w:bCs/>
          <w:sz w:val="24"/>
        </w:rPr>
        <w:t>、源头</w:t>
      </w:r>
      <w:r>
        <w:rPr>
          <w:rFonts w:ascii="宋体" w:hAnsi="宋体"/>
          <w:bCs/>
          <w:sz w:val="24"/>
        </w:rPr>
        <w:t>预防与末端治理</w:t>
      </w:r>
      <w:r>
        <w:rPr>
          <w:rFonts w:hint="eastAsia" w:ascii="宋体" w:hAnsi="宋体"/>
          <w:bCs/>
          <w:sz w:val="24"/>
        </w:rPr>
        <w:t>、</w:t>
      </w:r>
      <w:r>
        <w:rPr>
          <w:rFonts w:ascii="宋体" w:hAnsi="宋体"/>
          <w:bCs/>
          <w:sz w:val="24"/>
        </w:rPr>
        <w:t>规模</w:t>
      </w:r>
      <w:r>
        <w:rPr>
          <w:rFonts w:hint="eastAsia" w:ascii="宋体" w:hAnsi="宋体"/>
          <w:bCs/>
          <w:sz w:val="24"/>
        </w:rPr>
        <w:t>养殖场与</w:t>
      </w:r>
      <w:r>
        <w:rPr>
          <w:rFonts w:ascii="宋体" w:hAnsi="宋体"/>
          <w:bCs/>
          <w:sz w:val="24"/>
        </w:rPr>
        <w:t>散养户的关系</w:t>
      </w:r>
      <w:r>
        <w:rPr>
          <w:rFonts w:hint="eastAsia" w:ascii="宋体" w:hAnsi="宋体"/>
          <w:bCs/>
          <w:sz w:val="24"/>
        </w:rPr>
        <w:t>，</w:t>
      </w:r>
      <w:r>
        <w:rPr>
          <w:rFonts w:ascii="宋体" w:hAnsi="宋体"/>
          <w:bCs/>
          <w:sz w:val="24"/>
        </w:rPr>
        <w:t>发展节水型生态养殖</w:t>
      </w:r>
      <w:r>
        <w:rPr>
          <w:rFonts w:hint="eastAsia" w:ascii="宋体" w:hAnsi="宋体"/>
          <w:bCs/>
          <w:sz w:val="24"/>
        </w:rPr>
        <w:t>，</w:t>
      </w:r>
      <w:r>
        <w:rPr>
          <w:rFonts w:ascii="宋体" w:hAnsi="宋体"/>
          <w:bCs/>
          <w:sz w:val="24"/>
        </w:rPr>
        <w:t>推广低氮低磷饲养技术</w:t>
      </w:r>
      <w:r>
        <w:rPr>
          <w:rFonts w:hint="eastAsia" w:ascii="宋体" w:hAnsi="宋体"/>
          <w:bCs/>
          <w:sz w:val="24"/>
        </w:rPr>
        <w:t>。</w:t>
      </w:r>
    </w:p>
    <w:p>
      <w:pPr>
        <w:adjustRightInd w:val="0"/>
        <w:snapToGrid w:val="0"/>
        <w:ind w:firstLine="480" w:firstLineChars="200"/>
        <w:rPr>
          <w:rFonts w:ascii="宋体" w:hAnsi="宋体"/>
          <w:bCs/>
          <w:sz w:val="24"/>
        </w:rPr>
      </w:pPr>
      <w:r>
        <w:rPr>
          <w:rFonts w:ascii="Times New Roman" w:hAnsi="Times New Roman"/>
          <w:bCs/>
          <w:sz w:val="24"/>
        </w:rPr>
        <w:t>到2025年，全区生猪、牛、羊和兔的存栏量分别严格控制在40万头、2000头、1万只、105万只以内，禽类存栏量控制在430万羽以内；规模化养殖比例达到90%以上</w:t>
      </w:r>
      <w:r>
        <w:rPr>
          <w:rFonts w:ascii="Times New Roman" w:hAnsi="Times New Roman"/>
          <w:bCs/>
          <w:color w:val="auto"/>
          <w:sz w:val="24"/>
        </w:rPr>
        <w:t>。同时</w:t>
      </w:r>
      <w:r>
        <w:rPr>
          <w:rFonts w:hint="eastAsia" w:ascii="Times New Roman" w:hAnsi="Times New Roman"/>
          <w:bCs/>
          <w:color w:val="auto"/>
          <w:sz w:val="24"/>
        </w:rPr>
        <w:t>，</w:t>
      </w:r>
      <w:r>
        <w:rPr>
          <w:rFonts w:ascii="Times New Roman" w:hAnsi="Times New Roman"/>
          <w:bCs/>
          <w:color w:val="auto"/>
          <w:sz w:val="24"/>
        </w:rPr>
        <w:t>在</w:t>
      </w:r>
      <w:r>
        <w:rPr>
          <w:rFonts w:hint="eastAsia" w:ascii="宋体" w:hAnsi="宋体"/>
          <w:bCs/>
          <w:color w:val="auto"/>
          <w:sz w:val="24"/>
        </w:rPr>
        <w:t>禽畜养殖业规模化、集约化发展过程中，</w:t>
      </w:r>
      <w:r>
        <w:rPr>
          <w:rFonts w:ascii="宋体" w:hAnsi="宋体"/>
          <w:bCs/>
          <w:color w:val="auto"/>
          <w:sz w:val="24"/>
        </w:rPr>
        <w:t>严格执行环境保护“三同时”规定，畜禽养殖</w:t>
      </w:r>
      <w:r>
        <w:rPr>
          <w:rFonts w:hint="eastAsia" w:ascii="宋体" w:hAnsi="宋体"/>
          <w:bCs/>
          <w:color w:val="auto"/>
          <w:sz w:val="24"/>
        </w:rPr>
        <w:t>场（户）</w:t>
      </w:r>
      <w:r>
        <w:rPr>
          <w:rFonts w:ascii="宋体" w:hAnsi="宋体"/>
          <w:bCs/>
          <w:color w:val="auto"/>
          <w:sz w:val="24"/>
        </w:rPr>
        <w:t>必须根据环评及批复要求，落实各项环保措施和建设治污设施</w:t>
      </w:r>
      <w:r>
        <w:rPr>
          <w:rFonts w:hint="eastAsia" w:ascii="宋体" w:hAnsi="宋体"/>
          <w:bCs/>
          <w:color w:val="auto"/>
          <w:sz w:val="24"/>
        </w:rPr>
        <w:t>，</w:t>
      </w:r>
      <w:r>
        <w:rPr>
          <w:rFonts w:ascii="宋体" w:hAnsi="宋体"/>
          <w:bCs/>
          <w:color w:val="auto"/>
          <w:sz w:val="24"/>
        </w:rPr>
        <w:t>要求建设配备与</w:t>
      </w:r>
      <w:r>
        <w:rPr>
          <w:rFonts w:ascii="宋体" w:hAnsi="宋体"/>
          <w:bCs/>
          <w:sz w:val="24"/>
        </w:rPr>
        <w:t>之规模相配套的污染治理设施，</w:t>
      </w:r>
      <w:r>
        <w:rPr>
          <w:rFonts w:hint="eastAsia" w:ascii="宋体" w:hAnsi="宋体"/>
          <w:bCs/>
          <w:sz w:val="24"/>
        </w:rPr>
        <w:t>验收</w:t>
      </w:r>
      <w:r>
        <w:rPr>
          <w:rFonts w:ascii="宋体" w:hAnsi="宋体"/>
          <w:bCs/>
          <w:sz w:val="24"/>
        </w:rPr>
        <w:t>过程中必须按照相关要求做好污染物消纳处置工作，</w:t>
      </w:r>
      <w:r>
        <w:rPr>
          <w:rFonts w:hint="eastAsia" w:ascii="宋体" w:hAnsi="宋体"/>
          <w:bCs/>
          <w:sz w:val="24"/>
        </w:rPr>
        <w:t>防止</w:t>
      </w:r>
      <w:r>
        <w:rPr>
          <w:rFonts w:ascii="宋体" w:hAnsi="宋体"/>
          <w:bCs/>
          <w:sz w:val="24"/>
        </w:rPr>
        <w:t>污染环境。</w:t>
      </w:r>
    </w:p>
    <w:bookmarkEnd w:id="107"/>
    <w:bookmarkEnd w:id="108"/>
    <w:p>
      <w:pPr>
        <w:pStyle w:val="3"/>
        <w:spacing w:before="0" w:after="0" w:line="360" w:lineRule="auto"/>
        <w:rPr>
          <w:rFonts w:ascii="Times New Roman" w:hAnsi="Times New Roman"/>
          <w:sz w:val="28"/>
          <w:szCs w:val="28"/>
        </w:rPr>
      </w:pPr>
      <w:bookmarkStart w:id="109" w:name="_Toc23303"/>
      <w:bookmarkStart w:id="110" w:name="_Toc117868760"/>
      <w:r>
        <w:rPr>
          <w:rFonts w:hint="eastAsia" w:ascii="Times New Roman" w:hAnsi="Times New Roman"/>
          <w:sz w:val="28"/>
          <w:szCs w:val="28"/>
        </w:rPr>
        <w:t>5.2 构建“两核两片多点”畜禽养殖空间格局</w:t>
      </w:r>
      <w:bookmarkEnd w:id="109"/>
      <w:bookmarkEnd w:id="110"/>
    </w:p>
    <w:p>
      <w:pPr>
        <w:adjustRightInd w:val="0"/>
        <w:snapToGrid w:val="0"/>
        <w:ind w:firstLine="480" w:firstLineChars="200"/>
        <w:rPr>
          <w:rFonts w:ascii="Times New Roman" w:hAnsi="Times New Roman"/>
          <w:bCs/>
          <w:sz w:val="24"/>
        </w:rPr>
      </w:pPr>
      <w:r>
        <w:rPr>
          <w:rFonts w:hint="eastAsia" w:ascii="Times New Roman" w:hAnsi="Times New Roman"/>
          <w:bCs/>
          <w:sz w:val="24"/>
        </w:rPr>
        <w:t>按照全区生态保护红线划定方案，考虑农业资源承载力、环境禀赋以及产业发展基础等综合因素，严格根据划定的“三区”（禁养区、限养区、宜养区），充分结合各镇（街）养殖现状，积极构建以猪禽为重点、肉兔为特色、草食牲畜并重发展的现代畜牧生产体系，着力构建“两核两片多点”的畜禽整体空间结构（见图5-1），实现畜牧业生产布局与土地、资源、环境、经济社会相互协调发展。</w:t>
      </w:r>
    </w:p>
    <w:p>
      <w:pPr>
        <w:adjustRightInd w:val="0"/>
        <w:snapToGrid w:val="0"/>
        <w:ind w:firstLine="480" w:firstLineChars="200"/>
        <w:rPr>
          <w:rFonts w:ascii="Times New Roman" w:hAnsi="Times New Roman"/>
          <w:bCs/>
          <w:sz w:val="24"/>
        </w:rPr>
      </w:pPr>
      <w:r>
        <w:rPr>
          <w:rFonts w:hint="eastAsia" w:ascii="Times New Roman" w:hAnsi="Times New Roman"/>
          <w:bCs/>
          <w:sz w:val="24"/>
        </w:rPr>
        <w:t>两核：以剑峰-土主生猪现代农业园区为重点的畜牧业养殖产业示范核心，以主城区范围为主的城市发展和生态保护核心。</w:t>
      </w:r>
    </w:p>
    <w:p>
      <w:pPr>
        <w:adjustRightInd w:val="0"/>
        <w:snapToGrid w:val="0"/>
        <w:ind w:firstLine="480" w:firstLineChars="200"/>
        <w:rPr>
          <w:rFonts w:ascii="Times New Roman" w:hAnsi="Times New Roman"/>
          <w:bCs/>
          <w:sz w:val="24"/>
        </w:rPr>
      </w:pPr>
      <w:r>
        <w:rPr>
          <w:rFonts w:hint="eastAsia" w:ascii="Times New Roman" w:hAnsi="Times New Roman"/>
          <w:bCs/>
          <w:sz w:val="24"/>
        </w:rPr>
        <w:t>两片：西部畜禽养殖一般发展片和东部畜禽养殖主要发展片。</w:t>
      </w:r>
    </w:p>
    <w:p>
      <w:pPr>
        <w:adjustRightInd w:val="0"/>
        <w:snapToGrid w:val="0"/>
        <w:ind w:firstLine="480" w:firstLineChars="200"/>
        <w:rPr>
          <w:rFonts w:ascii="Times New Roman" w:hAnsi="Times New Roman"/>
          <w:bCs/>
          <w:sz w:val="24"/>
        </w:rPr>
      </w:pPr>
      <w:r>
        <w:rPr>
          <w:rFonts w:hint="eastAsia" w:ascii="Times New Roman" w:hAnsi="Times New Roman"/>
          <w:bCs/>
          <w:sz w:val="24"/>
        </w:rPr>
        <w:t>多点：多个畜禽养殖重点发展镇，包括土主镇、剑峰镇、白马镇、青平镇、茅桥镇等五个镇。</w:t>
      </w:r>
    </w:p>
    <w:p>
      <w:pPr>
        <w:widowControl/>
        <w:adjustRightInd w:val="0"/>
        <w:snapToGrid w:val="0"/>
        <w:jc w:val="center"/>
      </w:pPr>
      <w:r>
        <w:rPr>
          <w:rFonts w:ascii="宋体" w:hAnsi="宋体" w:cs="宋体"/>
          <w:kern w:val="0"/>
          <w:sz w:val="24"/>
        </w:rPr>
        <w:drawing>
          <wp:inline distT="0" distB="0" distL="114300" distR="114300">
            <wp:extent cx="4441825" cy="3111500"/>
            <wp:effectExtent l="0" t="0" r="15875" b="1270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3"/>
                    <a:srcRect l="3458" t="6509" r="6500" b="3526"/>
                    <a:stretch>
                      <a:fillRect/>
                    </a:stretch>
                  </pic:blipFill>
                  <pic:spPr>
                    <a:xfrm>
                      <a:off x="0" y="0"/>
                      <a:ext cx="4441825" cy="3111500"/>
                    </a:xfrm>
                    <a:prstGeom prst="rect">
                      <a:avLst/>
                    </a:prstGeom>
                    <a:noFill/>
                    <a:ln>
                      <a:noFill/>
                    </a:ln>
                  </pic:spPr>
                </pic:pic>
              </a:graphicData>
            </a:graphic>
          </wp:inline>
        </w:drawing>
      </w:r>
    </w:p>
    <w:p>
      <w:pPr>
        <w:widowControl/>
        <w:adjustRightInd w:val="0"/>
        <w:snapToGrid w:val="0"/>
        <w:jc w:val="center"/>
        <w:rPr>
          <w:rFonts w:ascii="Times New Roman" w:hAnsi="Times New Roman"/>
          <w:b/>
          <w:bCs/>
          <w:sz w:val="21"/>
          <w:szCs w:val="21"/>
        </w:rPr>
      </w:pPr>
      <w:r>
        <w:rPr>
          <w:rFonts w:ascii="Times New Roman" w:hAnsi="Times New Roman"/>
          <w:b/>
          <w:bCs/>
          <w:sz w:val="21"/>
          <w:szCs w:val="21"/>
        </w:rPr>
        <w:t>图</w:t>
      </w:r>
      <w:r>
        <w:rPr>
          <w:rFonts w:hint="eastAsia" w:ascii="Times New Roman" w:hAnsi="Times New Roman"/>
          <w:b/>
          <w:bCs/>
          <w:sz w:val="21"/>
          <w:szCs w:val="21"/>
        </w:rPr>
        <w:t>5</w:t>
      </w:r>
      <w:r>
        <w:rPr>
          <w:rFonts w:ascii="Times New Roman" w:hAnsi="Times New Roman"/>
          <w:b/>
          <w:bCs/>
          <w:sz w:val="21"/>
          <w:szCs w:val="21"/>
        </w:rPr>
        <w:t>-1</w:t>
      </w:r>
      <w:bookmarkStart w:id="111" w:name="OLE_LINK21"/>
      <w:bookmarkStart w:id="112" w:name="OLE_LINK22"/>
      <w:r>
        <w:rPr>
          <w:rFonts w:ascii="Times New Roman" w:hAnsi="Times New Roman"/>
          <w:b/>
          <w:bCs/>
          <w:sz w:val="21"/>
          <w:szCs w:val="21"/>
        </w:rPr>
        <w:t>畜禽养殖空间布局图</w:t>
      </w:r>
    </w:p>
    <w:bookmarkEnd w:id="111"/>
    <w:bookmarkEnd w:id="112"/>
    <w:p>
      <w:pPr>
        <w:pStyle w:val="4"/>
        <w:adjustRightInd w:val="0"/>
        <w:snapToGrid w:val="0"/>
        <w:spacing w:before="0" w:after="0" w:line="360" w:lineRule="auto"/>
        <w:rPr>
          <w:rFonts w:ascii="Times New Roman" w:hAnsi="Times New Roman"/>
          <w:sz w:val="24"/>
          <w:szCs w:val="24"/>
        </w:rPr>
      </w:pPr>
      <w:bookmarkStart w:id="113" w:name="_Toc1532"/>
      <w:bookmarkStart w:id="114" w:name="_Toc117868761"/>
      <w:r>
        <w:rPr>
          <w:rFonts w:hint="eastAsia" w:ascii="Times New Roman" w:hAnsi="Times New Roman"/>
          <w:sz w:val="24"/>
          <w:szCs w:val="24"/>
        </w:rPr>
        <w:t>5.2.1 构建城市发展和生态保护核心</w:t>
      </w:r>
      <w:bookmarkEnd w:id="113"/>
      <w:bookmarkEnd w:id="114"/>
    </w:p>
    <w:p>
      <w:pPr>
        <w:adjustRightInd w:val="0"/>
        <w:snapToGrid w:val="0"/>
        <w:ind w:firstLine="480" w:firstLineChars="200"/>
        <w:rPr>
          <w:rFonts w:ascii="Times New Roman" w:hAnsi="Times New Roman"/>
          <w:bCs/>
          <w:sz w:val="24"/>
        </w:rPr>
      </w:pPr>
      <w:r>
        <w:rPr>
          <w:rFonts w:hint="eastAsia" w:ascii="Times New Roman" w:hAnsi="Times New Roman"/>
          <w:bCs/>
          <w:sz w:val="24"/>
        </w:rPr>
        <w:t>（1）区域范围</w:t>
      </w:r>
    </w:p>
    <w:p>
      <w:pPr>
        <w:adjustRightInd w:val="0"/>
        <w:snapToGrid w:val="0"/>
        <w:ind w:firstLine="480" w:firstLineChars="200"/>
        <w:rPr>
          <w:rFonts w:ascii="Times New Roman" w:hAnsi="Times New Roman"/>
          <w:bCs/>
          <w:sz w:val="24"/>
        </w:rPr>
      </w:pPr>
      <w:r>
        <w:rPr>
          <w:rFonts w:hint="eastAsia" w:ascii="Times New Roman" w:hAnsi="Times New Roman"/>
          <w:bCs/>
          <w:sz w:val="24"/>
        </w:rPr>
        <w:t>主城区。</w:t>
      </w:r>
    </w:p>
    <w:p>
      <w:pPr>
        <w:adjustRightInd w:val="0"/>
        <w:snapToGrid w:val="0"/>
        <w:ind w:firstLine="480" w:firstLineChars="200"/>
        <w:rPr>
          <w:rFonts w:ascii="Times New Roman" w:hAnsi="Times New Roman"/>
          <w:bCs/>
          <w:sz w:val="24"/>
        </w:rPr>
      </w:pPr>
      <w:r>
        <w:rPr>
          <w:rFonts w:hint="eastAsia" w:ascii="Times New Roman" w:hAnsi="Times New Roman"/>
          <w:bCs/>
          <w:sz w:val="24"/>
        </w:rPr>
        <w:t>（2）发展重点</w:t>
      </w:r>
    </w:p>
    <w:p>
      <w:pPr>
        <w:adjustRightInd w:val="0"/>
        <w:snapToGrid w:val="0"/>
        <w:ind w:firstLine="480" w:firstLineChars="200"/>
        <w:rPr>
          <w:rFonts w:hint="eastAsia" w:ascii="Times New Roman" w:hAnsi="Times New Roman"/>
          <w:bCs/>
          <w:sz w:val="24"/>
        </w:rPr>
      </w:pPr>
      <w:r>
        <w:rPr>
          <w:rFonts w:hint="eastAsia" w:ascii="Times New Roman" w:hAnsi="Times New Roman"/>
          <w:bCs/>
          <w:sz w:val="24"/>
        </w:rPr>
        <w:t>该区域是城市发展和生态环境保护的核心，是全区畜牧业发展资金、科技、人才、信息、服务等要素的集聚区和辐射扩散源，为畜牧业提供全方位服务，对全区畜牧业发展</w:t>
      </w:r>
      <w:r>
        <w:rPr>
          <w:rFonts w:hint="eastAsia" w:ascii="Times New Roman" w:hAnsi="Times New Roman"/>
          <w:bCs/>
          <w:sz w:val="24"/>
          <w:lang w:eastAsia="zh-CN"/>
        </w:rPr>
        <w:t>发挥</w:t>
      </w:r>
      <w:r>
        <w:rPr>
          <w:rFonts w:hint="eastAsia" w:ascii="Times New Roman" w:hAnsi="Times New Roman"/>
          <w:bCs/>
          <w:sz w:val="24"/>
        </w:rPr>
        <w:t>牵引作用。</w:t>
      </w:r>
    </w:p>
    <w:p>
      <w:pPr>
        <w:pStyle w:val="4"/>
        <w:adjustRightInd w:val="0"/>
        <w:snapToGrid w:val="0"/>
        <w:spacing w:before="0" w:after="0" w:line="360" w:lineRule="auto"/>
        <w:rPr>
          <w:rFonts w:ascii="Times New Roman" w:hAnsi="Times New Roman"/>
          <w:sz w:val="24"/>
          <w:szCs w:val="24"/>
        </w:rPr>
      </w:pPr>
      <w:bookmarkStart w:id="115" w:name="_Toc117868762"/>
      <w:r>
        <w:rPr>
          <w:rFonts w:hint="eastAsia" w:ascii="Times New Roman" w:hAnsi="Times New Roman"/>
          <w:sz w:val="24"/>
          <w:szCs w:val="24"/>
        </w:rPr>
        <w:t>5.2.2 构建畜牧养殖产业示范核心</w:t>
      </w:r>
      <w:bookmarkEnd w:id="115"/>
    </w:p>
    <w:p>
      <w:pPr>
        <w:adjustRightInd w:val="0"/>
        <w:snapToGrid w:val="0"/>
        <w:ind w:firstLine="480" w:firstLineChars="200"/>
        <w:rPr>
          <w:rFonts w:ascii="Times New Roman" w:hAnsi="Times New Roman"/>
          <w:bCs/>
          <w:sz w:val="24"/>
        </w:rPr>
      </w:pPr>
      <w:r>
        <w:rPr>
          <w:rFonts w:hint="eastAsia" w:ascii="Times New Roman" w:hAnsi="Times New Roman"/>
          <w:bCs/>
          <w:sz w:val="24"/>
        </w:rPr>
        <w:t>（1）区域范围</w:t>
      </w:r>
    </w:p>
    <w:p>
      <w:pPr>
        <w:adjustRightInd w:val="0"/>
        <w:snapToGrid w:val="0"/>
        <w:ind w:firstLine="480" w:firstLineChars="200"/>
        <w:rPr>
          <w:rFonts w:ascii="Times New Roman" w:hAnsi="Times New Roman"/>
          <w:bCs/>
          <w:sz w:val="24"/>
        </w:rPr>
      </w:pPr>
      <w:r>
        <w:rPr>
          <w:rFonts w:hint="eastAsia" w:ascii="Times New Roman" w:hAnsi="Times New Roman"/>
          <w:bCs/>
          <w:sz w:val="24"/>
        </w:rPr>
        <w:t>剑峰镇和土主镇（见图5-2）。</w:t>
      </w:r>
    </w:p>
    <w:p>
      <w:pPr>
        <w:adjustRightInd w:val="0"/>
        <w:snapToGrid w:val="0"/>
        <w:ind w:firstLine="480" w:firstLineChars="200"/>
        <w:rPr>
          <w:rFonts w:ascii="Times New Roman" w:hAnsi="Times New Roman"/>
          <w:bCs/>
          <w:sz w:val="24"/>
        </w:rPr>
      </w:pPr>
      <w:r>
        <w:rPr>
          <w:rFonts w:hint="eastAsia" w:ascii="Times New Roman" w:hAnsi="Times New Roman"/>
          <w:bCs/>
          <w:sz w:val="24"/>
        </w:rPr>
        <w:t>（2）发展规模</w:t>
      </w:r>
    </w:p>
    <w:p>
      <w:pPr>
        <w:adjustRightInd w:val="0"/>
        <w:snapToGrid w:val="0"/>
        <w:ind w:firstLine="480" w:firstLineChars="200"/>
        <w:rPr>
          <w:rFonts w:ascii="Times New Roman" w:hAnsi="Times New Roman"/>
          <w:bCs/>
          <w:sz w:val="24"/>
        </w:rPr>
      </w:pPr>
      <w:r>
        <w:rPr>
          <w:rFonts w:hint="eastAsia" w:ascii="Times New Roman" w:hAnsi="Times New Roman"/>
          <w:bCs/>
          <w:sz w:val="24"/>
        </w:rPr>
        <w:t>以</w:t>
      </w:r>
      <w:r>
        <w:rPr>
          <w:rFonts w:ascii="Times New Roman" w:hAnsi="Times New Roman"/>
          <w:bCs/>
          <w:sz w:val="24"/>
        </w:rPr>
        <w:t>发展优质生猪养殖为主要养殖内容，在现有4家企业</w:t>
      </w:r>
      <w:r>
        <w:rPr>
          <w:rFonts w:hint="eastAsia" w:ascii="Times New Roman" w:hAnsi="Times New Roman"/>
          <w:bCs/>
          <w:sz w:val="24"/>
        </w:rPr>
        <w:t>、</w:t>
      </w:r>
      <w:r>
        <w:rPr>
          <w:rFonts w:ascii="Times New Roman" w:hAnsi="Times New Roman"/>
          <w:bCs/>
          <w:sz w:val="24"/>
        </w:rPr>
        <w:t>2家合作社</w:t>
      </w:r>
      <w:r>
        <w:rPr>
          <w:rFonts w:hint="eastAsia" w:ascii="Times New Roman" w:hAnsi="Times New Roman"/>
          <w:bCs/>
          <w:sz w:val="24"/>
        </w:rPr>
        <w:t>、</w:t>
      </w:r>
      <w:r>
        <w:rPr>
          <w:rFonts w:ascii="Times New Roman" w:hAnsi="Times New Roman"/>
          <w:bCs/>
          <w:sz w:val="24"/>
        </w:rPr>
        <w:t>100多家家庭农场的养殖规模下，以巨星集团投资为契机，建成30万头优质生猪种养循环产业园基地，推动一二产业循环可持续发展</w:t>
      </w:r>
      <w:r>
        <w:rPr>
          <w:rFonts w:hint="eastAsia" w:ascii="Times New Roman" w:hAnsi="Times New Roman"/>
          <w:bCs/>
          <w:sz w:val="24"/>
        </w:rPr>
        <w:t>，带动第三产业发展，打造成为乐山市重要的优质生猪生产基地。</w:t>
      </w:r>
    </w:p>
    <w:p>
      <w:pPr>
        <w:widowControl/>
        <w:jc w:val="center"/>
      </w:pPr>
      <w:r>
        <w:rPr>
          <w:rFonts w:ascii="宋体" w:hAnsi="宋体" w:cs="宋体"/>
          <w:kern w:val="0"/>
          <w:sz w:val="24"/>
        </w:rPr>
        <w:drawing>
          <wp:inline distT="0" distB="0" distL="114300" distR="114300">
            <wp:extent cx="4168775" cy="2838450"/>
            <wp:effectExtent l="0" t="0" r="3175"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4"/>
                    <a:srcRect l="5336" t="4506" r="4112" b="1802"/>
                    <a:stretch>
                      <a:fillRect/>
                    </a:stretch>
                  </pic:blipFill>
                  <pic:spPr>
                    <a:xfrm>
                      <a:off x="0" y="0"/>
                      <a:ext cx="4168775" cy="2838450"/>
                    </a:xfrm>
                    <a:prstGeom prst="rect">
                      <a:avLst/>
                    </a:prstGeom>
                    <a:noFill/>
                    <a:ln>
                      <a:noFill/>
                    </a:ln>
                  </pic:spPr>
                </pic:pic>
              </a:graphicData>
            </a:graphic>
          </wp:inline>
        </w:drawing>
      </w:r>
    </w:p>
    <w:p>
      <w:pPr>
        <w:widowControl/>
        <w:adjustRightInd w:val="0"/>
        <w:snapToGrid w:val="0"/>
        <w:jc w:val="center"/>
        <w:rPr>
          <w:rFonts w:ascii="Times New Roman" w:hAnsi="Times New Roman"/>
          <w:b/>
          <w:bCs/>
          <w:sz w:val="21"/>
          <w:szCs w:val="21"/>
        </w:rPr>
      </w:pPr>
      <w:r>
        <w:rPr>
          <w:rFonts w:hint="eastAsia" w:ascii="Times New Roman" w:hAnsi="Times New Roman"/>
          <w:b/>
          <w:bCs/>
          <w:sz w:val="21"/>
          <w:szCs w:val="21"/>
        </w:rPr>
        <w:t xml:space="preserve"> </w:t>
      </w:r>
      <w:bookmarkStart w:id="116" w:name="OLE_LINK23"/>
      <w:bookmarkStart w:id="117" w:name="OLE_LINK24"/>
      <w:r>
        <w:rPr>
          <w:rFonts w:hint="eastAsia" w:ascii="Times New Roman" w:hAnsi="Times New Roman"/>
          <w:b/>
          <w:bCs/>
          <w:sz w:val="21"/>
          <w:szCs w:val="21"/>
        </w:rPr>
        <w:t xml:space="preserve"> </w:t>
      </w:r>
      <w:r>
        <w:rPr>
          <w:rFonts w:ascii="Times New Roman" w:hAnsi="Times New Roman"/>
          <w:b/>
          <w:bCs/>
          <w:sz w:val="21"/>
          <w:szCs w:val="21"/>
        </w:rPr>
        <w:t>图</w:t>
      </w:r>
      <w:r>
        <w:rPr>
          <w:rFonts w:hint="eastAsia" w:ascii="Times New Roman" w:hAnsi="Times New Roman"/>
          <w:b/>
          <w:bCs/>
          <w:sz w:val="21"/>
          <w:szCs w:val="21"/>
        </w:rPr>
        <w:t>5</w:t>
      </w:r>
      <w:r>
        <w:rPr>
          <w:rFonts w:ascii="Times New Roman" w:hAnsi="Times New Roman"/>
          <w:b/>
          <w:bCs/>
          <w:sz w:val="21"/>
          <w:szCs w:val="21"/>
        </w:rPr>
        <w:t>-2 畜牧业养殖产业示范核心（剑峰-土主生猪现代农业园区</w:t>
      </w:r>
      <w:r>
        <w:rPr>
          <w:rFonts w:hint="eastAsia" w:ascii="Times New Roman" w:hAnsi="Times New Roman"/>
          <w:b/>
          <w:bCs/>
          <w:sz w:val="21"/>
          <w:szCs w:val="21"/>
        </w:rPr>
        <w:t>）布局图</w:t>
      </w:r>
      <w:bookmarkStart w:id="118" w:name="_Toc8113"/>
    </w:p>
    <w:bookmarkEnd w:id="116"/>
    <w:bookmarkEnd w:id="117"/>
    <w:p>
      <w:pPr>
        <w:widowControl/>
        <w:adjustRightInd w:val="0"/>
        <w:snapToGrid w:val="0"/>
        <w:ind w:firstLine="480" w:firstLineChars="200"/>
        <w:rPr>
          <w:rFonts w:ascii="Times New Roman" w:hAnsi="Times New Roman"/>
          <w:b/>
          <w:bCs/>
          <w:sz w:val="21"/>
          <w:szCs w:val="21"/>
        </w:rPr>
      </w:pPr>
      <w:r>
        <w:rPr>
          <w:rFonts w:hint="eastAsia" w:ascii="Times New Roman" w:hAnsi="Times New Roman"/>
          <w:bCs/>
          <w:sz w:val="24"/>
        </w:rPr>
        <w:t>（3）发展重点</w:t>
      </w:r>
    </w:p>
    <w:p>
      <w:pPr>
        <w:adjustRightInd w:val="0"/>
        <w:snapToGrid w:val="0"/>
        <w:ind w:firstLine="480" w:firstLineChars="200"/>
        <w:rPr>
          <w:rFonts w:ascii="Times New Roman" w:hAnsi="Times New Roman"/>
          <w:bCs/>
          <w:sz w:val="24"/>
        </w:rPr>
      </w:pPr>
      <w:r>
        <w:rPr>
          <w:rFonts w:ascii="Times New Roman" w:hAnsi="Times New Roman"/>
          <w:bCs/>
          <w:sz w:val="24"/>
        </w:rPr>
        <w:t>以打造</w:t>
      </w:r>
      <w:r>
        <w:rPr>
          <w:rFonts w:hint="eastAsia" w:ascii="Times New Roman" w:hAnsi="Times New Roman"/>
          <w:bCs/>
          <w:sz w:val="24"/>
        </w:rPr>
        <w:t>剑峰</w:t>
      </w:r>
      <w:r>
        <w:rPr>
          <w:rFonts w:ascii="Times New Roman" w:hAnsi="Times New Roman"/>
          <w:bCs/>
          <w:sz w:val="24"/>
        </w:rPr>
        <w:t>-土主生猪现代农业园为核心，</w:t>
      </w:r>
      <w:r>
        <w:rPr>
          <w:rFonts w:hint="eastAsia" w:ascii="Times New Roman" w:hAnsi="Times New Roman"/>
          <w:bCs/>
          <w:sz w:val="24"/>
        </w:rPr>
        <w:t>以畜禽养殖污染治理为重点，解决全区畜禽养殖污染问题，变废为宝，实现生猪粪污与优质绿色果蔬基地的种养结合、化肥替代和资源循环，</w:t>
      </w:r>
      <w:r>
        <w:rPr>
          <w:rFonts w:ascii="Times New Roman" w:hAnsi="Times New Roman"/>
          <w:bCs/>
          <w:sz w:val="24"/>
        </w:rPr>
        <w:t>辐射带动周边区域的畜牧业养殖产业园，建成畜牧业发展示范中心、国家级畜禽养殖种养循环产业园。</w:t>
      </w:r>
    </w:p>
    <w:p>
      <w:pPr>
        <w:pStyle w:val="4"/>
        <w:adjustRightInd w:val="0"/>
        <w:snapToGrid w:val="0"/>
        <w:spacing w:before="0" w:after="0" w:line="360" w:lineRule="auto"/>
        <w:rPr>
          <w:rFonts w:ascii="Times New Roman" w:hAnsi="Times New Roman"/>
          <w:sz w:val="24"/>
          <w:szCs w:val="24"/>
        </w:rPr>
      </w:pPr>
      <w:bookmarkStart w:id="119" w:name="_Toc117868763"/>
      <w:r>
        <w:rPr>
          <w:rFonts w:hint="eastAsia" w:ascii="Times New Roman" w:hAnsi="Times New Roman"/>
          <w:sz w:val="24"/>
          <w:szCs w:val="24"/>
        </w:rPr>
        <w:t>5.2.3 构建西部畜禽养殖一般发展片</w:t>
      </w:r>
      <w:bookmarkEnd w:id="118"/>
      <w:bookmarkEnd w:id="119"/>
    </w:p>
    <w:p>
      <w:pPr>
        <w:widowControl/>
        <w:adjustRightInd w:val="0"/>
        <w:snapToGrid w:val="0"/>
        <w:ind w:firstLine="480" w:firstLineChars="200"/>
        <w:rPr>
          <w:rFonts w:ascii="Times New Roman" w:hAnsi="Times New Roman"/>
          <w:bCs/>
          <w:sz w:val="24"/>
        </w:rPr>
      </w:pPr>
      <w:bookmarkStart w:id="120" w:name="OLE_LINK25"/>
      <w:bookmarkStart w:id="121" w:name="OLE_LINK26"/>
      <w:r>
        <w:rPr>
          <w:rFonts w:hint="eastAsia" w:ascii="Times New Roman" w:hAnsi="Times New Roman"/>
          <w:bCs/>
          <w:sz w:val="24"/>
        </w:rPr>
        <w:t>（1）区域范围</w:t>
      </w:r>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除主城区、土主镇、剑峰镇、白马镇、青平镇、茅桥镇以外的区域。</w:t>
      </w:r>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（2）发展重点</w:t>
      </w:r>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该区域未来</w:t>
      </w:r>
      <w:r>
        <w:rPr>
          <w:rFonts w:hint="eastAsia" w:ascii="Times New Roman" w:hAnsi="Times New Roman"/>
          <w:bCs/>
          <w:color w:val="auto"/>
          <w:sz w:val="24"/>
        </w:rPr>
        <w:t>将控制养殖规模，养殖总体规模不再扩大，现有规模养殖场主要向科技型、生态型为主的特色养殖、休闲观光畜牧业转型提升。散养户有序退出。原则上不再新建大的养殖项目，已有养殖场进行提升改造，养</w:t>
      </w:r>
      <w:r>
        <w:rPr>
          <w:rFonts w:hint="eastAsia" w:ascii="Times New Roman" w:hAnsi="Times New Roman"/>
          <w:bCs/>
          <w:sz w:val="24"/>
        </w:rPr>
        <w:t>殖畜种以禽类、生猪、肉兔养殖为主，同时发展少量肉牛、肉羊养殖</w:t>
      </w:r>
      <w:r>
        <w:rPr>
          <w:rFonts w:hint="eastAsia" w:ascii="Times New Roman" w:hAnsi="Times New Roman"/>
          <w:bCs/>
          <w:sz w:val="24"/>
          <w:lang w:eastAsia="zh-CN"/>
        </w:rPr>
        <w:t>。</w:t>
      </w:r>
      <w:r>
        <w:rPr>
          <w:rFonts w:hint="eastAsia" w:ascii="Times New Roman" w:hAnsi="Times New Roman"/>
          <w:bCs/>
          <w:sz w:val="24"/>
        </w:rPr>
        <w:t>畜禽养殖产量规模略有下降。</w:t>
      </w:r>
    </w:p>
    <w:bookmarkEnd w:id="120"/>
    <w:bookmarkEnd w:id="121"/>
    <w:p>
      <w:pPr>
        <w:pStyle w:val="4"/>
        <w:adjustRightInd w:val="0"/>
        <w:snapToGrid w:val="0"/>
        <w:spacing w:before="0" w:after="0" w:line="360" w:lineRule="auto"/>
        <w:rPr>
          <w:rFonts w:ascii="Times New Roman" w:hAnsi="Times New Roman"/>
          <w:sz w:val="24"/>
          <w:szCs w:val="24"/>
        </w:rPr>
      </w:pPr>
      <w:bookmarkStart w:id="122" w:name="_Toc117868764"/>
      <w:bookmarkStart w:id="123" w:name="_Toc17780"/>
      <w:r>
        <w:rPr>
          <w:rFonts w:hint="eastAsia" w:ascii="Times New Roman" w:hAnsi="Times New Roman"/>
          <w:sz w:val="24"/>
          <w:szCs w:val="24"/>
        </w:rPr>
        <w:t>5.2.4 构建东部畜禽养殖主要发展片</w:t>
      </w:r>
      <w:bookmarkEnd w:id="122"/>
      <w:bookmarkEnd w:id="123"/>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（1）区域范围</w:t>
      </w:r>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土主镇、剑峰镇、白马镇、青平镇、茅桥镇。</w:t>
      </w:r>
    </w:p>
    <w:p>
      <w:pPr>
        <w:widowControl/>
        <w:adjustRightInd w:val="0"/>
        <w:snapToGrid w:val="0"/>
        <w:ind w:firstLine="480" w:firstLineChars="200"/>
        <w:rPr>
          <w:rFonts w:ascii="Times New Roman" w:hAnsi="Times New Roman"/>
          <w:bCs/>
          <w:sz w:val="24"/>
        </w:rPr>
      </w:pPr>
      <w:r>
        <w:rPr>
          <w:rFonts w:hint="eastAsia" w:ascii="Times New Roman" w:hAnsi="Times New Roman"/>
          <w:bCs/>
          <w:sz w:val="24"/>
        </w:rPr>
        <w:t>（2）发展重点</w:t>
      </w:r>
    </w:p>
    <w:p>
      <w:pPr>
        <w:widowControl/>
        <w:adjustRightInd w:val="0"/>
        <w:snapToGrid w:val="0"/>
        <w:ind w:firstLine="480" w:firstLineChars="200"/>
        <w:rPr>
          <w:rFonts w:ascii="Times New Roman" w:hAnsi="Times New Roman"/>
          <w:bCs/>
          <w:sz w:val="24"/>
        </w:rPr>
      </w:pPr>
      <w:r>
        <w:rPr>
          <w:rFonts w:hint="eastAsia" w:ascii="Times New Roman" w:hAnsi="Times New Roman"/>
          <w:bCs/>
          <w:color w:val="auto"/>
          <w:sz w:val="24"/>
        </w:rPr>
        <w:t>该区域是市中区畜牧业发展的重点地区，以剑峰</w:t>
      </w:r>
      <w:r>
        <w:rPr>
          <w:rFonts w:hint="eastAsia" w:ascii="Times New Roman" w:hAnsi="Times New Roman"/>
          <w:bCs/>
          <w:sz w:val="24"/>
        </w:rPr>
        <w:t>-土主生猪现代农业园区建设为抓手，优化养殖布局，优先发展生态型和资源综合利用型的畜禽养殖场，实现清洁生产，生态高效养殖。养殖畜种以生猪、禽类、肉兔养殖为主，并积极发展肉牛、肉羊养殖，畜禽养殖产量规模占市中区的</w:t>
      </w:r>
      <w:r>
        <w:rPr>
          <w:rFonts w:ascii="Times New Roman" w:hAnsi="Times New Roman"/>
          <w:bCs/>
          <w:sz w:val="24"/>
        </w:rPr>
        <w:t>70%</w:t>
      </w:r>
      <w:r>
        <w:rPr>
          <w:rFonts w:hint="eastAsia" w:ascii="Times New Roman" w:hAnsi="Times New Roman"/>
          <w:bCs/>
          <w:sz w:val="24"/>
        </w:rPr>
        <w:t>以上。</w:t>
      </w:r>
    </w:p>
    <w:p>
      <w:pPr>
        <w:pStyle w:val="3"/>
        <w:spacing w:before="0" w:after="0" w:line="360" w:lineRule="auto"/>
        <w:rPr>
          <w:rFonts w:ascii="Times New Roman" w:hAnsi="Times New Roman"/>
          <w:sz w:val="28"/>
          <w:szCs w:val="28"/>
        </w:rPr>
      </w:pPr>
      <w:bookmarkStart w:id="124" w:name="_Toc117868765"/>
      <w:r>
        <w:rPr>
          <w:rFonts w:hint="eastAsia" w:ascii="Times New Roman" w:hAnsi="Times New Roman"/>
          <w:sz w:val="28"/>
          <w:szCs w:val="28"/>
        </w:rPr>
        <w:t>5.3 创建省星级现代农业园区</w:t>
      </w:r>
      <w:bookmarkEnd w:id="124"/>
    </w:p>
    <w:p>
      <w:pPr>
        <w:pStyle w:val="4"/>
        <w:adjustRightInd w:val="0"/>
        <w:snapToGrid w:val="0"/>
        <w:spacing w:before="0" w:after="0" w:line="360" w:lineRule="auto"/>
        <w:rPr>
          <w:rFonts w:ascii="Times New Roman" w:hAnsi="Times New Roman"/>
          <w:sz w:val="24"/>
          <w:szCs w:val="24"/>
        </w:rPr>
      </w:pPr>
      <w:bookmarkStart w:id="125" w:name="_Toc25673"/>
      <w:bookmarkStart w:id="126" w:name="_Toc117868766"/>
      <w:r>
        <w:rPr>
          <w:rFonts w:hint="eastAsia" w:ascii="Times New Roman" w:hAnsi="Times New Roman"/>
          <w:sz w:val="24"/>
          <w:szCs w:val="24"/>
        </w:rPr>
        <w:t xml:space="preserve">5.3.1 </w:t>
      </w:r>
      <w:bookmarkEnd w:id="125"/>
      <w:r>
        <w:rPr>
          <w:rFonts w:hint="eastAsia" w:ascii="Times New Roman" w:hAnsi="Times New Roman"/>
          <w:sz w:val="24"/>
          <w:szCs w:val="24"/>
        </w:rPr>
        <w:t xml:space="preserve"> 任务目标</w:t>
      </w:r>
      <w:bookmarkEnd w:id="126"/>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（1）总体目标</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以打造30万头优质生猪种养循环产业园基地为目标，全面加强剑峰</w:t>
      </w:r>
      <w:r>
        <w:rPr>
          <w:rFonts w:ascii="Times New Roman" w:hAnsi="Times New Roman" w:eastAsia="宋体" w:cs="Times New Roman"/>
          <w:bCs/>
          <w:sz w:val="24"/>
          <w:szCs w:val="24"/>
        </w:rPr>
        <w:t>-土主生猪现代农业</w:t>
      </w:r>
      <w:r>
        <w:rPr>
          <w:rFonts w:hint="eastAsia" w:ascii="Times New Roman" w:hAnsi="Times New Roman" w:eastAsia="宋体" w:cs="Times New Roman"/>
          <w:bCs/>
          <w:sz w:val="24"/>
          <w:szCs w:val="24"/>
        </w:rPr>
        <w:t>园区基础设施、公共服务体系、生态环境保护等建设，把农业园区建设成特色明显、绿色生态的循环农业展示区、休闲农业体验区，建设成为带动贫困村、贫困户脱贫致富的示范基地、农业产业化经营示范基地和农村科技实用人才培训基地，基本实现农业示范园区内农业功能多元化、技术推广高新化、经营方式组织化、生态环境优美化和农民生活富裕化，到2025年成功创建为四川省星级现代农业园区。</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bookmarkStart w:id="127" w:name="_Toc89039109"/>
      <w:r>
        <w:rPr>
          <w:rFonts w:hint="eastAsia" w:ascii="Times New Roman" w:hAnsi="Times New Roman" w:eastAsia="宋体" w:cs="Times New Roman"/>
          <w:bCs/>
          <w:sz w:val="24"/>
          <w:szCs w:val="24"/>
        </w:rPr>
        <w:t>（2）具体目标</w:t>
      </w:r>
      <w:bookmarkEnd w:id="127"/>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①建设1个1.2万头智慧型种猪场；②年出栏生猪达到30万头；③打造种养循环农业示范园区1万亩；④为15万亩耕地提供有机肥源，实现种养循环，促进生态农业持续发展；⑤年新增社会经济产值6亿元，带动养殖户和村集体增收5000万元。</w:t>
      </w:r>
    </w:p>
    <w:p>
      <w:pPr>
        <w:pStyle w:val="4"/>
        <w:adjustRightInd w:val="0"/>
        <w:snapToGrid w:val="0"/>
        <w:spacing w:before="0" w:after="0" w:line="360" w:lineRule="auto"/>
        <w:rPr>
          <w:rFonts w:ascii="Times New Roman" w:hAnsi="Times New Roman"/>
          <w:sz w:val="24"/>
          <w:szCs w:val="24"/>
        </w:rPr>
      </w:pPr>
      <w:bookmarkStart w:id="128" w:name="_Toc117868767"/>
      <w:r>
        <w:rPr>
          <w:rFonts w:hint="eastAsia" w:ascii="Times New Roman" w:hAnsi="Times New Roman"/>
          <w:sz w:val="24"/>
          <w:szCs w:val="24"/>
        </w:rPr>
        <w:t xml:space="preserve">5.3.2 </w:t>
      </w:r>
      <w:r>
        <w:rPr>
          <w:rFonts w:ascii="Times New Roman" w:hAnsi="Times New Roman"/>
          <w:sz w:val="24"/>
          <w:szCs w:val="24"/>
        </w:rPr>
        <w:t>总体布局</w:t>
      </w:r>
      <w:bookmarkEnd w:id="128"/>
    </w:p>
    <w:p>
      <w:pPr>
        <w:adjustRightInd w:val="0"/>
        <w:snapToGrid w:val="0"/>
        <w:ind w:firstLine="480" w:firstLineChars="200"/>
        <w:rPr>
          <w:rFonts w:ascii="Times New Roman" w:hAnsi="Times New Roman"/>
          <w:bCs/>
          <w:sz w:val="24"/>
        </w:rPr>
      </w:pPr>
      <w:r>
        <w:rPr>
          <w:rFonts w:ascii="Times New Roman" w:hAnsi="Times New Roman"/>
          <w:bCs/>
          <w:sz w:val="24"/>
        </w:rPr>
        <w:t>根据园区产业现状、旅游资源特色、历史文化脉络、交通资源现状、空间分布规律等多方面的内容，以县道X006线为发展轴线，规划形</w:t>
      </w:r>
      <w:r>
        <w:rPr>
          <w:rFonts w:hint="eastAsia" w:ascii="Times New Roman" w:hAnsi="Times New Roman"/>
          <w:bCs/>
          <w:sz w:val="24"/>
        </w:rPr>
        <w:t>成</w:t>
      </w:r>
      <w:r>
        <w:rPr>
          <w:rFonts w:hint="eastAsia" w:ascii="Times New Roman" w:hAnsi="Times New Roman"/>
          <w:sz w:val="24"/>
        </w:rPr>
        <w:t>“一心、一轴、五区”</w:t>
      </w:r>
      <w:r>
        <w:rPr>
          <w:rFonts w:hint="eastAsia" w:ascii="Times New Roman" w:hAnsi="Times New Roman"/>
          <w:bCs/>
          <w:sz w:val="24"/>
        </w:rPr>
        <w:t>的</w:t>
      </w:r>
      <w:r>
        <w:rPr>
          <w:rFonts w:ascii="Times New Roman" w:hAnsi="Times New Roman"/>
          <w:bCs/>
          <w:sz w:val="24"/>
        </w:rPr>
        <w:t>功能分区</w:t>
      </w:r>
      <w:r>
        <w:rPr>
          <w:rFonts w:hint="eastAsia" w:ascii="Times New Roman" w:hAnsi="Times New Roman"/>
          <w:bCs/>
          <w:sz w:val="24"/>
        </w:rPr>
        <w:t>（见图5-3）</w:t>
      </w:r>
      <w:r>
        <w:rPr>
          <w:rFonts w:ascii="Times New Roman" w:hAnsi="Times New Roman"/>
          <w:bCs/>
          <w:sz w:val="24"/>
        </w:rPr>
        <w:t>。</w:t>
      </w:r>
    </w:p>
    <w:p>
      <w:pPr>
        <w:adjustRightInd w:val="0"/>
        <w:snapToGrid w:val="0"/>
        <w:ind w:firstLine="480" w:firstLineChars="200"/>
        <w:rPr>
          <w:rFonts w:ascii="Times New Roman" w:hAnsi="Times New Roman"/>
          <w:bCs/>
          <w:sz w:val="24"/>
        </w:rPr>
      </w:pPr>
      <w:r>
        <w:rPr>
          <w:rFonts w:hint="eastAsia" w:ascii="Times New Roman" w:hAnsi="Times New Roman"/>
          <w:sz w:val="24"/>
        </w:rPr>
        <w:t>①“一心”：</w:t>
      </w:r>
      <w:r>
        <w:rPr>
          <w:rFonts w:hint="eastAsia" w:ascii="Times New Roman" w:hAnsi="Times New Roman"/>
          <w:bCs/>
          <w:sz w:val="24"/>
        </w:rPr>
        <w:t>土主镇综合服务中心。</w:t>
      </w:r>
    </w:p>
    <w:p>
      <w:pPr>
        <w:adjustRightInd w:val="0"/>
        <w:snapToGrid w:val="0"/>
        <w:ind w:firstLine="480" w:firstLineChars="200"/>
        <w:rPr>
          <w:rFonts w:ascii="Times New Roman" w:hAnsi="Times New Roman"/>
          <w:bCs/>
          <w:sz w:val="24"/>
        </w:rPr>
      </w:pPr>
      <w:r>
        <w:rPr>
          <w:rFonts w:hint="eastAsia" w:ascii="Times New Roman" w:hAnsi="Times New Roman"/>
          <w:bCs/>
          <w:sz w:val="24"/>
        </w:rPr>
        <w:t>②</w:t>
      </w:r>
      <w:r>
        <w:rPr>
          <w:rFonts w:hint="eastAsia" w:ascii="Times New Roman" w:hAnsi="Times New Roman"/>
          <w:sz w:val="24"/>
        </w:rPr>
        <w:t>“一轴”：</w:t>
      </w:r>
      <w:r>
        <w:rPr>
          <w:rFonts w:hint="eastAsia" w:ascii="Times New Roman" w:hAnsi="Times New Roman"/>
          <w:bCs/>
          <w:sz w:val="24"/>
        </w:rPr>
        <w:t>县道产业发展轴。</w:t>
      </w:r>
    </w:p>
    <w:p>
      <w:pPr>
        <w:adjustRightInd w:val="0"/>
        <w:snapToGrid w:val="0"/>
        <w:ind w:firstLine="480" w:firstLineChars="200"/>
        <w:rPr>
          <w:rFonts w:ascii="Times New Roman" w:hAnsi="Times New Roman"/>
          <w:sz w:val="24"/>
        </w:rPr>
      </w:pPr>
      <w:r>
        <w:rPr>
          <w:rFonts w:hint="eastAsia" w:ascii="Times New Roman" w:hAnsi="Times New Roman"/>
          <w:bCs/>
          <w:sz w:val="24"/>
        </w:rPr>
        <w:t>③</w:t>
      </w:r>
      <w:r>
        <w:rPr>
          <w:rFonts w:hint="eastAsia" w:ascii="Times New Roman" w:hAnsi="Times New Roman"/>
          <w:sz w:val="24"/>
        </w:rPr>
        <w:t>“五区”：</w:t>
      </w:r>
      <w:r>
        <w:rPr>
          <w:rFonts w:hint="eastAsia" w:ascii="Times New Roman" w:hAnsi="Times New Roman"/>
          <w:bCs/>
          <w:sz w:val="24"/>
        </w:rPr>
        <w:t>综合服务区、种猪育种区、生猪育肥区、粮油种植区、水果种植区</w:t>
      </w:r>
      <w:r>
        <w:rPr>
          <w:rFonts w:ascii="Times New Roman" w:hAnsi="Times New Roman"/>
          <w:bCs/>
          <w:sz w:val="24"/>
        </w:rPr>
        <w:t>。</w:t>
      </w:r>
      <w:r>
        <w:rPr>
          <w:rFonts w:hint="eastAsia" w:ascii="Times New Roman" w:hAnsi="Times New Roman"/>
          <w:bCs/>
          <w:sz w:val="24"/>
        </w:rPr>
        <w:t>其中，</w:t>
      </w:r>
      <w:r>
        <w:rPr>
          <w:rFonts w:ascii="Times New Roman" w:hAnsi="Times New Roman"/>
          <w:bCs/>
          <w:sz w:val="24"/>
        </w:rPr>
        <w:t>综合服务区主要位于剑峰镇和土主镇的镇区，为加工物流、电商平台、产业服务的集中区域</w:t>
      </w:r>
      <w:r>
        <w:rPr>
          <w:rFonts w:hint="eastAsia" w:ascii="Times New Roman" w:hAnsi="Times New Roman"/>
          <w:bCs/>
          <w:sz w:val="24"/>
        </w:rPr>
        <w:t>；</w:t>
      </w:r>
      <w:r>
        <w:rPr>
          <w:rFonts w:ascii="Times New Roman" w:hAnsi="Times New Roman"/>
          <w:bCs/>
          <w:sz w:val="24"/>
        </w:rPr>
        <w:t>种猪育种区</w:t>
      </w:r>
      <w:r>
        <w:rPr>
          <w:rFonts w:hint="eastAsia" w:ascii="Times New Roman" w:hAnsi="Times New Roman"/>
          <w:bCs/>
          <w:sz w:val="24"/>
        </w:rPr>
        <w:t>是</w:t>
      </w:r>
      <w:r>
        <w:rPr>
          <w:rFonts w:ascii="Times New Roman" w:hAnsi="Times New Roman"/>
          <w:bCs/>
          <w:sz w:val="24"/>
        </w:rPr>
        <w:t>以巨星集团30万头优质生猪养殖投资为契机，以</w:t>
      </w:r>
      <w:r>
        <w:rPr>
          <w:rFonts w:hint="eastAsia" w:ascii="Times New Roman" w:hAnsi="Times New Roman"/>
          <w:bCs/>
          <w:sz w:val="24"/>
        </w:rPr>
        <w:t>剑峰</w:t>
      </w:r>
      <w:r>
        <w:rPr>
          <w:rFonts w:ascii="Times New Roman" w:hAnsi="Times New Roman"/>
          <w:bCs/>
          <w:sz w:val="24"/>
        </w:rPr>
        <w:t>镇为主要生产基地，以五星村、石桥村为主要的生态养殖区，建立</w:t>
      </w:r>
      <w:r>
        <w:rPr>
          <w:rFonts w:hint="eastAsia" w:ascii="Times New Roman" w:hAnsi="Times New Roman"/>
          <w:bCs/>
          <w:sz w:val="24"/>
        </w:rPr>
        <w:t>1.2万</w:t>
      </w:r>
      <w:r>
        <w:rPr>
          <w:rFonts w:ascii="Times New Roman" w:hAnsi="Times New Roman"/>
          <w:bCs/>
          <w:sz w:val="24"/>
        </w:rPr>
        <w:t>头种猪育种中心</w:t>
      </w:r>
      <w:r>
        <w:rPr>
          <w:rFonts w:hint="eastAsia" w:ascii="Times New Roman" w:hAnsi="Times New Roman"/>
          <w:bCs/>
          <w:sz w:val="24"/>
        </w:rPr>
        <w:t>；</w:t>
      </w:r>
      <w:r>
        <w:rPr>
          <w:rFonts w:ascii="Times New Roman" w:hAnsi="Times New Roman"/>
          <w:bCs/>
          <w:sz w:val="24"/>
        </w:rPr>
        <w:t>生猪育肥</w:t>
      </w:r>
      <w:r>
        <w:rPr>
          <w:rFonts w:ascii="Times New Roman" w:hAnsi="Times New Roman"/>
          <w:bCs/>
          <w:color w:val="auto"/>
          <w:sz w:val="24"/>
        </w:rPr>
        <w:t>区</w:t>
      </w:r>
      <w:r>
        <w:rPr>
          <w:rFonts w:hint="eastAsia" w:ascii="Times New Roman" w:hAnsi="Times New Roman"/>
          <w:bCs/>
          <w:color w:val="auto"/>
          <w:sz w:val="24"/>
        </w:rPr>
        <w:t>是</w:t>
      </w:r>
      <w:r>
        <w:rPr>
          <w:rFonts w:ascii="Times New Roman" w:hAnsi="Times New Roman"/>
          <w:bCs/>
          <w:color w:val="auto"/>
          <w:sz w:val="24"/>
        </w:rPr>
        <w:t>在五星村、</w:t>
      </w:r>
      <w:r>
        <w:rPr>
          <w:rFonts w:ascii="Times New Roman" w:hAnsi="Times New Roman"/>
          <w:bCs/>
          <w:sz w:val="24"/>
        </w:rPr>
        <w:t>石桥村、共和村、红斗村和铁牛村</w:t>
      </w:r>
      <w:r>
        <w:rPr>
          <w:rFonts w:hint="eastAsia" w:ascii="Times New Roman" w:hAnsi="Times New Roman"/>
          <w:bCs/>
          <w:sz w:val="24"/>
        </w:rPr>
        <w:t>等</w:t>
      </w:r>
      <w:r>
        <w:rPr>
          <w:rFonts w:ascii="Times New Roman" w:hAnsi="Times New Roman"/>
          <w:bCs/>
          <w:sz w:val="24"/>
        </w:rPr>
        <w:t>主要的生态养殖区，建</w:t>
      </w:r>
      <w:r>
        <w:rPr>
          <w:rFonts w:hint="eastAsia" w:ascii="Times New Roman" w:hAnsi="Times New Roman"/>
          <w:bCs/>
          <w:sz w:val="24"/>
        </w:rPr>
        <w:t>立“公司+家庭农场”“公司+集体经济农场”代养合作</w:t>
      </w:r>
      <w:r>
        <w:rPr>
          <w:rFonts w:ascii="Times New Roman" w:hAnsi="Times New Roman"/>
          <w:bCs/>
          <w:sz w:val="24"/>
        </w:rPr>
        <w:t>机制，自建、改建育肥场</w:t>
      </w:r>
      <w:r>
        <w:rPr>
          <w:rFonts w:hint="eastAsia" w:ascii="Times New Roman" w:hAnsi="Times New Roman"/>
          <w:bCs/>
          <w:sz w:val="24"/>
        </w:rPr>
        <w:t>，</w:t>
      </w:r>
      <w:r>
        <w:rPr>
          <w:rFonts w:ascii="Times New Roman" w:hAnsi="Times New Roman"/>
          <w:bCs/>
          <w:sz w:val="24"/>
        </w:rPr>
        <w:t>带动家庭农场发展生猪联动规模化养殖</w:t>
      </w:r>
      <w:r>
        <w:rPr>
          <w:rFonts w:hint="eastAsia" w:ascii="Times New Roman" w:hAnsi="Times New Roman"/>
          <w:bCs/>
          <w:sz w:val="24"/>
        </w:rPr>
        <w:t>；</w:t>
      </w:r>
      <w:r>
        <w:rPr>
          <w:rFonts w:ascii="Times New Roman" w:hAnsi="Times New Roman"/>
          <w:bCs/>
          <w:sz w:val="24"/>
        </w:rPr>
        <w:t>粮油种植区主要为当地农作物、经济作物</w:t>
      </w:r>
      <w:r>
        <w:rPr>
          <w:rFonts w:hint="eastAsia" w:ascii="Times New Roman" w:hAnsi="Times New Roman"/>
          <w:bCs/>
          <w:sz w:val="24"/>
        </w:rPr>
        <w:t>种植区域</w:t>
      </w:r>
      <w:r>
        <w:rPr>
          <w:rFonts w:ascii="Times New Roman" w:hAnsi="Times New Roman"/>
          <w:bCs/>
          <w:sz w:val="24"/>
        </w:rPr>
        <w:t>，利用当地生猪养殖契机，打造种养循环产业</w:t>
      </w:r>
      <w:r>
        <w:rPr>
          <w:rFonts w:hint="eastAsia" w:ascii="Times New Roman" w:hAnsi="Times New Roman"/>
          <w:bCs/>
          <w:sz w:val="24"/>
        </w:rPr>
        <w:t>；</w:t>
      </w:r>
      <w:r>
        <w:rPr>
          <w:rFonts w:ascii="Times New Roman" w:hAnsi="Times New Roman"/>
          <w:bCs/>
          <w:sz w:val="24"/>
        </w:rPr>
        <w:t>水果种植区</w:t>
      </w:r>
      <w:r>
        <w:rPr>
          <w:rFonts w:hint="eastAsia" w:ascii="Times New Roman" w:hAnsi="Times New Roman"/>
          <w:bCs/>
          <w:sz w:val="24"/>
        </w:rPr>
        <w:t>为</w:t>
      </w:r>
      <w:r>
        <w:rPr>
          <w:rFonts w:ascii="Times New Roman" w:hAnsi="Times New Roman"/>
          <w:bCs/>
          <w:sz w:val="24"/>
        </w:rPr>
        <w:t>结合当地特色水果种植，打造种养循环发展</w:t>
      </w:r>
      <w:r>
        <w:rPr>
          <w:rFonts w:hint="eastAsia" w:ascii="Times New Roman" w:hAnsi="Times New Roman"/>
          <w:bCs/>
          <w:sz w:val="24"/>
        </w:rPr>
        <w:t>模式水果种植区</w:t>
      </w:r>
      <w:r>
        <w:rPr>
          <w:rFonts w:ascii="Times New Roman" w:hAnsi="Times New Roman"/>
          <w:bCs/>
          <w:sz w:val="24"/>
        </w:rPr>
        <w:t>。</w:t>
      </w:r>
    </w:p>
    <w:p>
      <w:pPr>
        <w:widowControl/>
        <w:adjustRightInd w:val="0"/>
        <w:snapToGrid w:val="0"/>
        <w:jc w:val="center"/>
        <w:rPr>
          <w:rFonts w:ascii="Times New Roman" w:hAnsi="Times New Roman"/>
          <w:b/>
          <w:bCs/>
          <w:sz w:val="21"/>
          <w:szCs w:val="21"/>
        </w:rPr>
      </w:pPr>
      <w:r>
        <w:rPr>
          <w:rFonts w:ascii="Times New Roman" w:hAnsi="Times New Roman"/>
          <w:b/>
          <w:bCs/>
          <w:sz w:val="21"/>
          <w:szCs w:val="21"/>
        </w:rPr>
        <w:drawing>
          <wp:anchor distT="0" distB="0" distL="114300" distR="114300" simplePos="0" relativeHeight="251659264" behindDoc="0" locked="0" layoutInCell="1" allowOverlap="1">
            <wp:simplePos x="0" y="0"/>
            <wp:positionH relativeFrom="column">
              <wp:posOffset>172085</wp:posOffset>
            </wp:positionH>
            <wp:positionV relativeFrom="paragraph">
              <wp:posOffset>89535</wp:posOffset>
            </wp:positionV>
            <wp:extent cx="4815840" cy="6264275"/>
            <wp:effectExtent l="0" t="0" r="3810" b="3175"/>
            <wp:wrapTopAndBottom/>
            <wp:docPr id="1" name="图片 21" descr="04 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04 功能分区规划图"/>
                    <pic:cNvPicPr>
                      <a:picLocks noChangeAspect="1"/>
                    </pic:cNvPicPr>
                  </pic:nvPicPr>
                  <pic:blipFill>
                    <a:blip r:embed="rId15"/>
                    <a:srcRect t="5557" b="2582"/>
                    <a:stretch>
                      <a:fillRect/>
                    </a:stretch>
                  </pic:blipFill>
                  <pic:spPr>
                    <a:xfrm>
                      <a:off x="0" y="0"/>
                      <a:ext cx="4815840" cy="6264275"/>
                    </a:xfrm>
                    <a:prstGeom prst="rect">
                      <a:avLst/>
                    </a:prstGeom>
                    <a:noFill/>
                    <a:ln>
                      <a:noFill/>
                    </a:ln>
                  </pic:spPr>
                </pic:pic>
              </a:graphicData>
            </a:graphic>
          </wp:anchor>
        </w:drawing>
      </w:r>
      <w:r>
        <w:rPr>
          <w:rFonts w:hint="eastAsia" w:ascii="Times New Roman" w:hAnsi="Times New Roman"/>
          <w:b/>
          <w:bCs/>
          <w:sz w:val="21"/>
          <w:szCs w:val="21"/>
        </w:rPr>
        <w:t>图5-3 剑峰-土主生猪现代农业园区规划布局图</w:t>
      </w:r>
    </w:p>
    <w:p>
      <w:pPr>
        <w:pStyle w:val="3"/>
        <w:spacing w:before="0" w:after="0" w:line="360" w:lineRule="auto"/>
        <w:rPr>
          <w:rFonts w:ascii="Times New Roman" w:hAnsi="Times New Roman"/>
          <w:sz w:val="28"/>
          <w:szCs w:val="28"/>
        </w:rPr>
      </w:pPr>
      <w:bookmarkStart w:id="129" w:name="_Toc117868768"/>
      <w:r>
        <w:rPr>
          <w:rFonts w:hint="eastAsia" w:ascii="Times New Roman" w:hAnsi="Times New Roman"/>
          <w:sz w:val="28"/>
          <w:szCs w:val="28"/>
        </w:rPr>
        <w:t>5.4 构建现代化禽畜养殖生产体系</w:t>
      </w:r>
      <w:bookmarkEnd w:id="129"/>
    </w:p>
    <w:p>
      <w:pPr>
        <w:pStyle w:val="4"/>
        <w:adjustRightInd w:val="0"/>
        <w:snapToGrid w:val="0"/>
        <w:spacing w:before="0" w:after="0" w:line="360" w:lineRule="auto"/>
        <w:rPr>
          <w:rFonts w:ascii="Times New Roman" w:hAnsi="Times New Roman"/>
          <w:sz w:val="24"/>
          <w:szCs w:val="24"/>
        </w:rPr>
      </w:pPr>
      <w:bookmarkStart w:id="130" w:name="_Toc117868769"/>
      <w:r>
        <w:rPr>
          <w:rFonts w:hint="eastAsia" w:ascii="Times New Roman" w:hAnsi="Times New Roman"/>
          <w:sz w:val="24"/>
          <w:szCs w:val="24"/>
        </w:rPr>
        <w:t>5.4.1 加快主要禽畜发展</w:t>
      </w:r>
      <w:bookmarkEnd w:id="130"/>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（1）生猪养殖</w:t>
      </w:r>
    </w:p>
    <w:p>
      <w:pPr>
        <w:adjustRightInd w:val="0"/>
        <w:snapToGrid w:val="0"/>
        <w:ind w:firstLine="480" w:firstLineChars="200"/>
        <w:rPr>
          <w:rFonts w:ascii="Times New Roman" w:hAnsi="Times New Roman"/>
          <w:bCs/>
          <w:sz w:val="24"/>
        </w:rPr>
      </w:pPr>
      <w:r>
        <w:rPr>
          <w:rFonts w:hint="eastAsia" w:ascii="Times New Roman" w:hAnsi="Times New Roman"/>
          <w:bCs/>
          <w:sz w:val="24"/>
        </w:rPr>
        <w:t>按照“生猪良种化、养殖设施化、生产规范化、粪污无害化”的发展要求，建立优质生猪生产体系。</w:t>
      </w:r>
      <w:r>
        <w:rPr>
          <w:rFonts w:ascii="Times New Roman" w:hAnsi="Times New Roman"/>
          <w:bCs/>
          <w:sz w:val="24"/>
        </w:rPr>
        <w:t>鼓励龙头企业通过联农带农等方式带动中小型养殖场（户）。</w:t>
      </w:r>
      <w:r>
        <w:rPr>
          <w:rFonts w:hint="eastAsia" w:ascii="Times New Roman" w:hAnsi="Times New Roman"/>
          <w:bCs/>
          <w:sz w:val="24"/>
        </w:rPr>
        <w:t>加快正邦、巨星企业生猪养殖项目建设，推进“公司+基地+合作社+农户”的产业发展模式，实现种猪、育肥猪专业化管理，产业化经营，推动优质生猪发展。推广高效适用集成的生产技术，提升设施化、机械化、智能化等现代装备水平。鼓励多层建筑养殖，力争建成一批标准化示范场。到2025年，生猪标准化规模养殖场（小区）达到50个，年出栏量达40万头。</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（2）禽类养殖</w:t>
      </w:r>
    </w:p>
    <w:p>
      <w:pPr>
        <w:adjustRightInd w:val="0"/>
        <w:snapToGrid w:val="0"/>
        <w:ind w:firstLine="480" w:firstLineChars="200"/>
        <w:rPr>
          <w:rFonts w:ascii="Times New Roman" w:hAnsi="Times New Roman"/>
          <w:bCs/>
          <w:sz w:val="24"/>
        </w:rPr>
      </w:pPr>
      <w:r>
        <w:rPr>
          <w:rFonts w:hint="eastAsia" w:ascii="Times New Roman" w:hAnsi="Times New Roman"/>
          <w:bCs/>
          <w:sz w:val="24"/>
        </w:rPr>
        <w:t>以规模化、一体化生产和标准化鸡舍建设为重点，大力发展标准化、智能化蛋鸡养殖。鼓励规模养殖场进行升级改造，积极引进智能化养殖技术、立体笼养技术，推广养殖环境自动控制、自动喂料、自动集蛋、自动清粪等设施设备以及节能增产、无抗养殖等先进适用技术，着力打造智能化养殖示范场。到2025年，禽类标准化规模养殖场（小区）达30个，存栏量达430万只。</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3）肉兔养殖：因地制宜发展规模化养殖，引导养殖场（户）改造提升基础设施条件，开展适度规模养殖，提升标准化养殖水平。实施“专合社+基地+农户”的产业化发展模式，按照统一生产、统一营销、技术服务的形式，进行产业化生产经营。到2025年，出栏商品肉兔105万只。</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（4）牛羊养殖</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积极发展肉牛、肉羊育肥场和规模饲养场，加大适用养殖技术推广力度，转变传统的饲养方式，发展“公司+农户”“合作社+农户”等多种经营模式，推进养殖规模化、标准化和产业化。到2025年，建设肉牛、肉羊标准化规模养殖场（小区）达到10个，出栏量分别稳定在2000头、1万只。</w:t>
      </w:r>
    </w:p>
    <w:p>
      <w:pPr>
        <w:pStyle w:val="4"/>
        <w:adjustRightInd w:val="0"/>
        <w:snapToGrid w:val="0"/>
        <w:spacing w:before="0" w:after="0" w:line="360" w:lineRule="auto"/>
        <w:rPr>
          <w:rFonts w:ascii="Times New Roman" w:hAnsi="Times New Roman"/>
          <w:sz w:val="24"/>
          <w:szCs w:val="24"/>
        </w:rPr>
      </w:pPr>
      <w:bookmarkStart w:id="131" w:name="_Toc5230"/>
      <w:bookmarkStart w:id="132" w:name="_Toc117868770"/>
      <w:r>
        <w:rPr>
          <w:rFonts w:hint="eastAsia" w:ascii="Times New Roman" w:hAnsi="Times New Roman"/>
          <w:sz w:val="24"/>
          <w:szCs w:val="24"/>
        </w:rPr>
        <w:t>5.4.2持续推进养殖场（小区）标准化建设</w:t>
      </w:r>
      <w:bookmarkEnd w:id="131"/>
      <w:bookmarkEnd w:id="132"/>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按照“畜禽良种化、养殖设施化、生产规范化、管理智慧化、防疫制度化、废污无害化、粪便资源化、监管常态化”的标准，继续开展养殖场标准化改造提升。重点开展养殖、防疫、粪污资源化利用等环节标准化改造，以改进设施工艺、改善生产条件，完善动物防疫和废弃物综合利用设施，推进生产标准化建设。推广应用互联网和智能化设施设备，推广节料、节水、节能养殖工艺以及微生物发酵、干清粪等实用技术，不断提升畜禽规范化、精细化饲养水平。</w:t>
      </w:r>
    </w:p>
    <w:p>
      <w:pPr>
        <w:pStyle w:val="4"/>
        <w:adjustRightInd w:val="0"/>
        <w:snapToGrid w:val="0"/>
        <w:spacing w:before="0" w:after="0" w:line="360" w:lineRule="auto"/>
        <w:rPr>
          <w:rFonts w:ascii="Times New Roman" w:hAnsi="Times New Roman"/>
          <w:sz w:val="24"/>
          <w:szCs w:val="24"/>
        </w:rPr>
      </w:pPr>
      <w:bookmarkStart w:id="133" w:name="_Toc117868771"/>
      <w:bookmarkStart w:id="134" w:name="_Toc28118"/>
      <w:r>
        <w:rPr>
          <w:rFonts w:hint="eastAsia" w:ascii="Times New Roman" w:hAnsi="Times New Roman"/>
          <w:sz w:val="24"/>
          <w:szCs w:val="24"/>
        </w:rPr>
        <w:t>5.4.3 提升养殖规模化水平</w:t>
      </w:r>
      <w:bookmarkEnd w:id="133"/>
      <w:bookmarkEnd w:id="134"/>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扶持壮大标准化规模化养殖产业基地，通过“改、扩、转、退”等举措，推进畜禽经营规模化发展。加快发展养殖专业合作社和现代家庭农场等新型经营主体，鼓励龙头企业与合作社、中小养殖户建立利益联结机制，以产权、资金、劳动、技术、产品为纽带开展合作和联合经营，通过“企业+合作社+农户”发展模式形成产业链上的优势互补。构建以标准养殖场为引领、适度规模养殖为主体、农牧结合型家庭农场为补充的标准化生产体系，不断提高畜禽产业综合生产能力。到2025年，力争全区规模化养殖比重达90%以上。</w:t>
      </w:r>
    </w:p>
    <w:p>
      <w:pPr>
        <w:pStyle w:val="4"/>
        <w:adjustRightInd w:val="0"/>
        <w:snapToGrid w:val="0"/>
        <w:spacing w:before="0" w:after="0" w:line="360" w:lineRule="auto"/>
        <w:rPr>
          <w:rFonts w:ascii="Times New Roman" w:hAnsi="Times New Roman"/>
          <w:sz w:val="24"/>
          <w:szCs w:val="24"/>
        </w:rPr>
      </w:pPr>
      <w:bookmarkStart w:id="135" w:name="_Toc12744"/>
      <w:bookmarkStart w:id="136" w:name="_Toc117868772"/>
      <w:r>
        <w:rPr>
          <w:rFonts w:hint="eastAsia" w:ascii="Times New Roman" w:hAnsi="Times New Roman"/>
          <w:sz w:val="24"/>
          <w:szCs w:val="24"/>
        </w:rPr>
        <w:t>5.4.4 提升养殖场（小区）机械化数字化水平</w:t>
      </w:r>
      <w:bookmarkEnd w:id="135"/>
      <w:bookmarkEnd w:id="136"/>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落实农机购置补贴政策，争取养殖场购置自动饲喂、环境控制、废弃物处理等农机装备按规定纳入补贴范围。针对已有机械化和半自动化系统的养殖</w:t>
      </w:r>
      <w:r>
        <w:rPr>
          <w:rFonts w:hint="eastAsia" w:ascii="Times New Roman" w:hAnsi="Times New Roman" w:eastAsia="宋体" w:cs="Times New Roman"/>
          <w:bCs/>
          <w:color w:val="auto"/>
          <w:sz w:val="24"/>
          <w:szCs w:val="24"/>
        </w:rPr>
        <w:t>场要补短板，针对尚未普及机械化和自动化系统的养殖场要强弱项，创建全程机械化养殖场和示范基地。强化互联网、物联网、大数据等现代技术在生猪大项目中的应</w:t>
      </w:r>
      <w:r>
        <w:rPr>
          <w:rFonts w:hint="eastAsia" w:ascii="Times New Roman" w:hAnsi="Times New Roman" w:eastAsia="宋体" w:cs="Times New Roman"/>
          <w:bCs/>
          <w:sz w:val="24"/>
          <w:szCs w:val="24"/>
        </w:rPr>
        <w:t>用，推进生猪智能化养殖，积极引进智能饲喂系统，实现精准投喂，不断降低料肉比。采用智能控制，减少人员流动，不断降低人工成本费用以及养殖风险。全面提升畜牧业机械化、信息化和智能化水平，力争建成一批智能化养殖场，打造智慧型畜牧业。力争到2025年，畜牧业机械化水平达65%以上。</w:t>
      </w:r>
    </w:p>
    <w:p>
      <w:pPr>
        <w:pStyle w:val="4"/>
        <w:adjustRightInd w:val="0"/>
        <w:snapToGrid w:val="0"/>
        <w:spacing w:before="0" w:after="0" w:line="360" w:lineRule="auto"/>
        <w:rPr>
          <w:rFonts w:ascii="Times New Roman" w:hAnsi="Times New Roman"/>
          <w:sz w:val="24"/>
          <w:szCs w:val="24"/>
        </w:rPr>
      </w:pPr>
      <w:bookmarkStart w:id="137" w:name="_Toc26918"/>
      <w:bookmarkStart w:id="138" w:name="_Toc117868773"/>
      <w:r>
        <w:rPr>
          <w:rFonts w:hint="eastAsia" w:ascii="Times New Roman" w:hAnsi="Times New Roman"/>
          <w:sz w:val="24"/>
          <w:szCs w:val="24"/>
        </w:rPr>
        <w:t>5.4.5 推广设施型养殖模式</w:t>
      </w:r>
      <w:bookmarkEnd w:id="137"/>
      <w:bookmarkEnd w:id="138"/>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积极引进国内外先进的多层次养猪模式，在新建规模化养猪场中推广应用，逐步实现规模化、标准化、设施化、自动化以及集约化的现代生猪养殖发展模式。大力支持肉牛羊、兔养殖场采用自动清粪设备、自动喷淋设备等。支持家禽养殖经营主体充分利用现有场地进行立体笼养等改扩建，提升规模化养殖水平。</w:t>
      </w:r>
    </w:p>
    <w:p>
      <w:pPr>
        <w:pStyle w:val="3"/>
        <w:spacing w:before="0" w:after="0" w:line="360" w:lineRule="auto"/>
        <w:rPr>
          <w:rFonts w:ascii="Times New Roman" w:hAnsi="Times New Roman"/>
          <w:sz w:val="28"/>
          <w:szCs w:val="28"/>
        </w:rPr>
      </w:pPr>
      <w:bookmarkStart w:id="139" w:name="_Toc117868774"/>
      <w:bookmarkStart w:id="140" w:name="_Toc31165"/>
      <w:r>
        <w:rPr>
          <w:rFonts w:hint="eastAsia" w:ascii="Times New Roman" w:hAnsi="Times New Roman"/>
          <w:sz w:val="28"/>
          <w:szCs w:val="28"/>
        </w:rPr>
        <w:t>5.5 推进畜禽废弃物资源化利用</w:t>
      </w:r>
      <w:bookmarkEnd w:id="139"/>
      <w:bookmarkEnd w:id="140"/>
    </w:p>
    <w:p>
      <w:pPr>
        <w:pStyle w:val="4"/>
        <w:adjustRightInd w:val="0"/>
        <w:snapToGrid w:val="0"/>
        <w:spacing w:before="0" w:after="0" w:line="360" w:lineRule="auto"/>
        <w:rPr>
          <w:rFonts w:ascii="Times New Roman" w:hAnsi="Times New Roman"/>
          <w:sz w:val="24"/>
          <w:szCs w:val="24"/>
        </w:rPr>
      </w:pPr>
      <w:bookmarkStart w:id="141" w:name="_Toc117868775"/>
      <w:bookmarkStart w:id="142" w:name="_Toc31256"/>
      <w:r>
        <w:rPr>
          <w:rFonts w:hint="eastAsia" w:ascii="Times New Roman" w:hAnsi="Times New Roman"/>
          <w:sz w:val="24"/>
          <w:szCs w:val="24"/>
        </w:rPr>
        <w:t>5.5.1提升养殖废弃物综合利用水平</w:t>
      </w:r>
      <w:bookmarkEnd w:id="141"/>
      <w:bookmarkEnd w:id="142"/>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坚持“源头减量、过程控制、末端利用”基本思路，以规模养殖场区为重点，以有机肥还田为主要利用方向，建立粪污收集、贮存、处理与利用机制。支持规模养殖场区开展标准化改造，加大散养户粪污处理设施建设力度。探索建立堆肥发酵就地就近还田、养殖+有机肥生产+种植、养殖+沼气（能源）+沼渣（沼液）还田利用、粪污分户收集集中处理等多种模式。加快推进养殖废弃物资源化利用。到2025年，全区规模化畜禽养殖场粪污处理设施设备配套率达100%，畜禽粪污资源化利用率达98%以上。</w:t>
      </w:r>
    </w:p>
    <w:p>
      <w:pPr>
        <w:pStyle w:val="4"/>
        <w:adjustRightInd w:val="0"/>
        <w:snapToGrid w:val="0"/>
        <w:spacing w:before="0" w:after="0" w:line="360" w:lineRule="auto"/>
        <w:rPr>
          <w:rFonts w:ascii="Times New Roman" w:hAnsi="Times New Roman"/>
          <w:sz w:val="24"/>
          <w:szCs w:val="24"/>
        </w:rPr>
      </w:pPr>
      <w:bookmarkStart w:id="143" w:name="_Toc10916"/>
      <w:bookmarkStart w:id="144" w:name="_Toc117868776"/>
      <w:r>
        <w:rPr>
          <w:rFonts w:hint="eastAsia" w:ascii="Times New Roman" w:hAnsi="Times New Roman"/>
          <w:sz w:val="24"/>
          <w:szCs w:val="24"/>
        </w:rPr>
        <w:t>5.5.2推进畜禽粪便有机肥生产中心建设</w:t>
      </w:r>
      <w:bookmarkEnd w:id="143"/>
      <w:bookmarkEnd w:id="144"/>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有机废弃物综合利用加工厂以有机肥加工工艺为核心，利用鸡、猪等畜禽粪便及农作物秸秆为原料，运用生物发酵技术，经科学加工处理（生物发酵、高温杀菌、除臭、干燥），制成品质优良、肥效稳长的环保、高效有机肥料，或经过简易加工制成有机物料，实现有机废弃物高效资源化利用，达到生产和环境保护的双赢。大力支持社会化服务组织建设畜禽固体粪便的收集、转化、处理以及利用体系，通过购买养殖场的固体粪便，建设有机肥生产车间、配套有机肥生产加工设备等，对收集的畜禽固体粪便进行无害化处理，对初级堆肥产品进行加工处理，生产商品有机肥或者专用有机肥。</w:t>
      </w:r>
    </w:p>
    <w:p>
      <w:pPr>
        <w:pStyle w:val="4"/>
        <w:adjustRightInd w:val="0"/>
        <w:snapToGrid w:val="0"/>
        <w:spacing w:before="0" w:after="0" w:line="360" w:lineRule="auto"/>
        <w:rPr>
          <w:rFonts w:ascii="Times New Roman" w:hAnsi="Times New Roman"/>
          <w:sz w:val="24"/>
          <w:szCs w:val="24"/>
        </w:rPr>
      </w:pPr>
      <w:bookmarkStart w:id="145" w:name="_Toc117868777"/>
      <w:r>
        <w:rPr>
          <w:rFonts w:hint="eastAsia" w:ascii="Times New Roman" w:hAnsi="Times New Roman"/>
          <w:sz w:val="24"/>
          <w:szCs w:val="24"/>
        </w:rPr>
        <w:t>5.5.3推进畜禽养殖粪污沼气工程建设</w:t>
      </w:r>
      <w:bookmarkEnd w:id="145"/>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对基础设施良好的规模化养殖场（小区），对产生的畜禽粪污进行厌氧发酵生产沼气，厌氧发酵后生产的出料进行固液分离，固态沼渣生产有机肥，沼液生产高品质液态肥，研发沼液清液型水溶肥和悬浮型水溶肥制备技术，生产出富含氨基酸和腐殖酸的多功能水溶肥，提高沼液肥效和利用价值；通过沼液的匀化、腐熟发酵和沉淀过滤的预处理技术，建立一套集“精细过滤、乳化、络合、复配和罐装技术”为一体的沼液水溶肥制备技术，最终沼液安全化、高肥效和无污染的高值化利用目标。</w:t>
      </w:r>
    </w:p>
    <w:p>
      <w:pPr>
        <w:pStyle w:val="4"/>
        <w:adjustRightInd w:val="0"/>
        <w:snapToGrid w:val="0"/>
        <w:spacing w:before="0" w:after="0" w:line="360" w:lineRule="auto"/>
        <w:rPr>
          <w:rFonts w:ascii="Times New Roman" w:hAnsi="Times New Roman"/>
          <w:sz w:val="24"/>
          <w:szCs w:val="24"/>
        </w:rPr>
      </w:pPr>
      <w:bookmarkStart w:id="146" w:name="_Toc117868778"/>
      <w:r>
        <w:rPr>
          <w:rFonts w:hint="eastAsia" w:ascii="Times New Roman" w:hAnsi="Times New Roman"/>
          <w:sz w:val="24"/>
          <w:szCs w:val="24"/>
        </w:rPr>
        <w:t>5.5.4 探索实施畜禽粪污厌氧还田和异位发酵床技术</w:t>
      </w:r>
      <w:bookmarkEnd w:id="146"/>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厌氧还田模式是将畜禽粪污厌氧消化后，沼液、沼渣作为有机肥还田利用的一种资源生态化处理模式。针对采用厌氧还田工艺的大规模养殖场、个人散户养殖场，在肥水还田管网、田间池、化粪池、干湿分离机、干粪棚、有机肥运输车、吸粪车等方面建设内容给予一定资金支持和政策扶持。</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异位发酵床是一项集粪污减量化、无害化和资源化利用为一体的综合技术，无需改造或拆建猪场，只在猪场地势较低处建设发酵槽，将粪污均匀喷洒在发酵床上，通过微生物发酵来降解污染物，实现污染零排放，获得生物有机肥，具有占地面积小、投资较少、运行成本低和无臭味等优点，对实施该技术的养殖场（户）给予一定资金支持和政策扶持。</w:t>
      </w:r>
    </w:p>
    <w:p>
      <w:pPr>
        <w:pStyle w:val="4"/>
        <w:adjustRightInd w:val="0"/>
        <w:snapToGrid w:val="0"/>
        <w:spacing w:before="0" w:after="0" w:line="360" w:lineRule="auto"/>
        <w:rPr>
          <w:rFonts w:ascii="Times New Roman" w:hAnsi="Times New Roman"/>
          <w:sz w:val="24"/>
          <w:szCs w:val="24"/>
        </w:rPr>
      </w:pPr>
      <w:bookmarkStart w:id="147" w:name="_Toc117868779"/>
      <w:bookmarkStart w:id="148" w:name="_Toc28439"/>
      <w:r>
        <w:rPr>
          <w:rFonts w:hint="eastAsia" w:ascii="Times New Roman" w:hAnsi="Times New Roman"/>
          <w:sz w:val="24"/>
          <w:szCs w:val="24"/>
        </w:rPr>
        <w:t>5.5.5 推进种养循环示范基地建设</w:t>
      </w:r>
      <w:bookmarkEnd w:id="147"/>
      <w:bookmarkEnd w:id="148"/>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结合农村人居环境整治工程，突出抓好高效畜禽粪污无害化处理设施建设，提升综合处理能力，持续培育种养一体、循环利用、绿色畜牧示范场10家。根据不同农作物所需的养分以及灌溉水需求，合理选择规模畜禽养殖场，配套肥水运输车或者管网，建设水肥一体化配水设施、施肥系统，打通种养循环通道。</w:t>
      </w:r>
    </w:p>
    <w:p>
      <w:pPr>
        <w:pStyle w:val="4"/>
        <w:adjustRightInd w:val="0"/>
        <w:snapToGrid w:val="0"/>
        <w:spacing w:before="0" w:after="0" w:line="360" w:lineRule="auto"/>
        <w:rPr>
          <w:rFonts w:ascii="Times New Roman" w:hAnsi="Times New Roman"/>
          <w:sz w:val="24"/>
          <w:szCs w:val="24"/>
        </w:rPr>
      </w:pPr>
      <w:bookmarkStart w:id="149" w:name="_Toc117868780"/>
      <w:bookmarkStart w:id="150" w:name="_Toc7851"/>
      <w:r>
        <w:rPr>
          <w:rFonts w:hint="eastAsia" w:ascii="Times New Roman" w:hAnsi="Times New Roman"/>
          <w:sz w:val="24"/>
          <w:szCs w:val="24"/>
        </w:rPr>
        <w:t>5.5.6 加强病死畜禽无害化处理</w:t>
      </w:r>
      <w:bookmarkEnd w:id="149"/>
      <w:bookmarkEnd w:id="150"/>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严格落实属地管理责任，区政府对本辖区病死畜无害化处理负总责。强化生产经营者主体责任。按照“谁处理，补给谁”的原则，落实病死畜禽补助政策，严格遵守现场核查登记、装袋消毒、安全运送和无害化处理规定，完善资金补助机制。依托养殖场、屠宰场（厂）、专合组织和镇（街）畜牧兽医站等，建设好病死畜禽收集网点和暂存设施，并与无害化处理企业签订《病死畜禽集中无害化处理协议》，确保病死畜禽无害化处理率达100%。建立健全监督举报奖励机制，鼓励群众和新闻媒体对抛弃、收购、贩卖、屠宰、加工病死畜禽等违法行为进行监督和举报。</w:t>
      </w:r>
    </w:p>
    <w:p>
      <w:pPr>
        <w:pStyle w:val="4"/>
        <w:adjustRightInd w:val="0"/>
        <w:snapToGrid w:val="0"/>
        <w:spacing w:before="0" w:after="0" w:line="360" w:lineRule="auto"/>
        <w:rPr>
          <w:rFonts w:ascii="Times New Roman" w:hAnsi="Times New Roman"/>
          <w:sz w:val="24"/>
          <w:szCs w:val="24"/>
        </w:rPr>
      </w:pPr>
      <w:bookmarkStart w:id="151" w:name="_Toc117868781"/>
      <w:r>
        <w:rPr>
          <w:rFonts w:hint="eastAsia" w:ascii="Times New Roman" w:hAnsi="Times New Roman"/>
          <w:sz w:val="24"/>
          <w:szCs w:val="24"/>
        </w:rPr>
        <w:t>5.5.7 加强与科研院所科技合作</w:t>
      </w:r>
      <w:bookmarkEnd w:id="151"/>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在畜禽生态化养殖技术、禽畜粪污多元化综合利用、主要污染物监测和防控等方面，加强与地方科研院所的合作，充分利用社会科技人才的禽畜养殖污染防治平台和力量，构建政、技、用、产、学、研“六位一体”畜禽粪污资源化利用技术支撑体系，开展禽畜粪污防治技术示范与推广应用。到2025年，在标准化养殖场建设、畜禽粪污综合化治理和生态养殖等方面的科技贡献率达到60%以上。</w:t>
      </w:r>
    </w:p>
    <w:p>
      <w:pPr>
        <w:pStyle w:val="3"/>
        <w:spacing w:before="0" w:after="0" w:line="360" w:lineRule="auto"/>
        <w:rPr>
          <w:rFonts w:ascii="Times New Roman" w:hAnsi="Times New Roman"/>
          <w:sz w:val="28"/>
          <w:szCs w:val="28"/>
        </w:rPr>
      </w:pPr>
      <w:bookmarkStart w:id="152" w:name="_Toc22692"/>
      <w:bookmarkStart w:id="153" w:name="_Toc117868782"/>
      <w:r>
        <w:rPr>
          <w:rFonts w:hint="eastAsia" w:ascii="Times New Roman" w:hAnsi="Times New Roman"/>
          <w:sz w:val="28"/>
          <w:szCs w:val="28"/>
        </w:rPr>
        <w:t xml:space="preserve">5.6 </w:t>
      </w:r>
      <w:r>
        <w:rPr>
          <w:rFonts w:ascii="Times New Roman" w:hAnsi="Times New Roman"/>
          <w:sz w:val="28"/>
          <w:szCs w:val="28"/>
        </w:rPr>
        <w:t>落实畜禽养殖污染物</w:t>
      </w:r>
      <w:r>
        <w:rPr>
          <w:rFonts w:hint="eastAsia" w:ascii="Times New Roman" w:hAnsi="Times New Roman"/>
          <w:sz w:val="28"/>
          <w:szCs w:val="28"/>
        </w:rPr>
        <w:t>“一场一策”</w:t>
      </w:r>
      <w:bookmarkEnd w:id="152"/>
      <w:r>
        <w:rPr>
          <w:rFonts w:hint="eastAsia" w:ascii="Times New Roman" w:hAnsi="Times New Roman"/>
          <w:sz w:val="28"/>
          <w:szCs w:val="28"/>
        </w:rPr>
        <w:t>防治</w:t>
      </w:r>
      <w:r>
        <w:rPr>
          <w:rFonts w:ascii="Times New Roman" w:hAnsi="Times New Roman"/>
          <w:sz w:val="28"/>
          <w:szCs w:val="28"/>
        </w:rPr>
        <w:t>制度</w:t>
      </w:r>
      <w:bookmarkEnd w:id="153"/>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按照环境保护法律法规要求，落实畜禽养殖场污染防治</w:t>
      </w:r>
      <w:r>
        <w:rPr>
          <w:rFonts w:hint="eastAsia" w:ascii="Times New Roman" w:hAnsi="Times New Roman" w:eastAsia="宋体" w:cs="Times New Roman"/>
          <w:bCs/>
          <w:sz w:val="24"/>
          <w:szCs w:val="24"/>
        </w:rPr>
        <w:t>企业主</w:t>
      </w:r>
      <w:r>
        <w:rPr>
          <w:rFonts w:ascii="Times New Roman" w:hAnsi="Times New Roman" w:eastAsia="宋体" w:cs="Times New Roman"/>
          <w:bCs/>
          <w:sz w:val="24"/>
          <w:szCs w:val="24"/>
        </w:rPr>
        <w:t>主体责任，</w:t>
      </w:r>
      <w:r>
        <w:rPr>
          <w:rFonts w:hint="eastAsia" w:ascii="Times New Roman" w:hAnsi="Times New Roman" w:eastAsia="宋体" w:cs="Times New Roman"/>
          <w:bCs/>
          <w:sz w:val="24"/>
          <w:szCs w:val="24"/>
        </w:rPr>
        <w:t>落实</w:t>
      </w:r>
      <w:r>
        <w:rPr>
          <w:rFonts w:ascii="Times New Roman" w:hAnsi="Times New Roman" w:eastAsia="宋体" w:cs="Times New Roman"/>
          <w:bCs/>
          <w:sz w:val="24"/>
          <w:szCs w:val="24"/>
        </w:rPr>
        <w:t>养殖场污染物</w:t>
      </w:r>
      <w:r>
        <w:rPr>
          <w:rFonts w:hint="eastAsia" w:ascii="Times New Roman" w:hAnsi="Times New Roman" w:eastAsia="宋体" w:cs="Times New Roman"/>
          <w:bCs/>
          <w:sz w:val="24"/>
          <w:szCs w:val="24"/>
        </w:rPr>
        <w:t>“一场一策”制度，提升污染物治理水平。</w:t>
      </w:r>
    </w:p>
    <w:p>
      <w:pPr>
        <w:pStyle w:val="4"/>
        <w:adjustRightInd w:val="0"/>
        <w:snapToGrid w:val="0"/>
        <w:spacing w:before="0" w:after="0" w:line="360" w:lineRule="auto"/>
        <w:rPr>
          <w:rFonts w:ascii="Times New Roman" w:hAnsi="Times New Roman"/>
          <w:sz w:val="24"/>
          <w:szCs w:val="24"/>
        </w:rPr>
      </w:pPr>
      <w:bookmarkStart w:id="154" w:name="_Toc117868783"/>
      <w:r>
        <w:rPr>
          <w:rFonts w:hint="eastAsia" w:ascii="Times New Roman" w:hAnsi="Times New Roman"/>
          <w:sz w:val="24"/>
          <w:szCs w:val="24"/>
        </w:rPr>
        <w:t>5.6.1强化污染治理设施建设</w:t>
      </w:r>
      <w:bookmarkEnd w:id="154"/>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改善规模化畜禽养殖</w:t>
      </w:r>
      <w:r>
        <w:rPr>
          <w:rFonts w:ascii="Times New Roman" w:hAnsi="Times New Roman" w:eastAsia="宋体" w:cs="Times New Roman"/>
          <w:bCs/>
          <w:color w:val="auto"/>
          <w:sz w:val="24"/>
          <w:szCs w:val="24"/>
        </w:rPr>
        <w:t>场布局和设计，包括生产区和生活管理区的隔离、养殖场排水系统</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rPr>
        <w:t>实行雨污分离等。落实综合利用和污染治理措施，污水处理设施、沼气池和堆肥场地建设要结合生产区合理布局</w:t>
      </w:r>
      <w:r>
        <w:rPr>
          <w:rFonts w:ascii="Times New Roman" w:hAnsi="Times New Roman" w:eastAsia="宋体" w:cs="Times New Roman"/>
          <w:bCs/>
          <w:sz w:val="24"/>
          <w:szCs w:val="24"/>
        </w:rPr>
        <w:t>，确保综合利用和污染防治效果。</w:t>
      </w:r>
      <w:r>
        <w:rPr>
          <w:rFonts w:hint="eastAsia" w:ascii="Times New Roman" w:hAnsi="Times New Roman" w:eastAsia="宋体" w:cs="Times New Roman"/>
          <w:bCs/>
          <w:sz w:val="24"/>
          <w:szCs w:val="24"/>
        </w:rPr>
        <w:t>推进规模养殖场开展以粪便污水无害化处理、储运、后续综合利用为主要内容的生态化设施改造。推进</w:t>
      </w:r>
      <w:r>
        <w:rPr>
          <w:rFonts w:ascii="Times New Roman" w:hAnsi="Times New Roman" w:eastAsia="宋体" w:cs="Times New Roman"/>
          <w:bCs/>
          <w:sz w:val="24"/>
          <w:szCs w:val="24"/>
        </w:rPr>
        <w:t>粪污存贮及处理设施建设，实施节水改造、粪污贮存、固液分离、厌氧发酵、深度处理等减排工程。在条件适合的地区，可以发展生物发酵床养殖技术，大量削减污水排放，从而在源头上减少污染物产生量。</w:t>
      </w:r>
    </w:p>
    <w:p>
      <w:pPr>
        <w:pStyle w:val="4"/>
        <w:adjustRightInd w:val="0"/>
        <w:snapToGrid w:val="0"/>
        <w:spacing w:before="0" w:after="0" w:line="360" w:lineRule="auto"/>
        <w:rPr>
          <w:rFonts w:ascii="Times New Roman" w:hAnsi="Times New Roman"/>
          <w:sz w:val="24"/>
          <w:szCs w:val="24"/>
        </w:rPr>
      </w:pPr>
      <w:bookmarkStart w:id="155" w:name="_Toc117868784"/>
      <w:r>
        <w:rPr>
          <w:rFonts w:hint="eastAsia" w:ascii="Times New Roman" w:hAnsi="Times New Roman"/>
          <w:sz w:val="24"/>
          <w:szCs w:val="24"/>
        </w:rPr>
        <w:t>5.6.2严控源头污染物排放</w:t>
      </w:r>
      <w:bookmarkEnd w:id="155"/>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畜禽养殖场（户）主应按照绿色食品的规范使用环保型饲料及添加剂，科学设计饲料配方，调控畜禽体内的营养，从源头上降低畜禽粪尿中营养素的排泄，提高饲料的消化率和利用率，减少氮、磷等对环境的污染。</w:t>
      </w:r>
    </w:p>
    <w:p>
      <w:pPr>
        <w:pStyle w:val="4"/>
        <w:adjustRightInd w:val="0"/>
        <w:snapToGrid w:val="0"/>
        <w:spacing w:before="0" w:after="0" w:line="360" w:lineRule="auto"/>
        <w:rPr>
          <w:rFonts w:ascii="Times New Roman" w:hAnsi="Times New Roman"/>
          <w:sz w:val="24"/>
          <w:szCs w:val="24"/>
        </w:rPr>
      </w:pPr>
      <w:bookmarkStart w:id="156" w:name="_Toc117868785"/>
      <w:r>
        <w:rPr>
          <w:rFonts w:hint="eastAsia" w:ascii="Times New Roman" w:hAnsi="Times New Roman"/>
          <w:sz w:val="24"/>
          <w:szCs w:val="24"/>
        </w:rPr>
        <w:t>5.6.3推进养殖臭气治理工程</w:t>
      </w:r>
      <w:bookmarkEnd w:id="156"/>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养殖场</w:t>
      </w:r>
      <w:r>
        <w:rPr>
          <w:rFonts w:ascii="Times New Roman" w:hAnsi="Times New Roman" w:eastAsia="宋体" w:cs="Times New Roman"/>
          <w:bCs/>
          <w:sz w:val="24"/>
          <w:szCs w:val="24"/>
        </w:rPr>
        <w:t>畜舍内要及时清粪，加强通风，畜禽粪便和污水要封闭输送、贮存。周围种植高大叶阔树木，防止恶臭气体扩散。</w:t>
      </w:r>
    </w:p>
    <w:p>
      <w:pPr>
        <w:pStyle w:val="4"/>
        <w:adjustRightInd w:val="0"/>
        <w:snapToGrid w:val="0"/>
        <w:spacing w:before="0" w:after="0" w:line="360" w:lineRule="auto"/>
        <w:rPr>
          <w:rFonts w:ascii="Times New Roman" w:hAnsi="Times New Roman"/>
          <w:sz w:val="24"/>
          <w:szCs w:val="24"/>
        </w:rPr>
      </w:pPr>
      <w:bookmarkStart w:id="157" w:name="_Toc117868786"/>
      <w:r>
        <w:rPr>
          <w:rFonts w:hint="eastAsia" w:ascii="Times New Roman" w:hAnsi="Times New Roman"/>
          <w:sz w:val="24"/>
          <w:szCs w:val="24"/>
        </w:rPr>
        <w:t>5.6.4 落实台帐记录</w:t>
      </w:r>
      <w:bookmarkEnd w:id="157"/>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养</w:t>
      </w:r>
      <w:r>
        <w:rPr>
          <w:rFonts w:ascii="Times New Roman" w:hAnsi="Times New Roman" w:eastAsia="宋体" w:cs="Times New Roman"/>
          <w:bCs/>
          <w:color w:val="auto"/>
          <w:sz w:val="24"/>
          <w:szCs w:val="24"/>
        </w:rPr>
        <w:t>殖场应当按照相关操作</w:t>
      </w:r>
      <w:r>
        <w:rPr>
          <w:rFonts w:ascii="Times New Roman" w:hAnsi="Times New Roman" w:eastAsia="宋体" w:cs="Times New Roman"/>
          <w:bCs/>
          <w:sz w:val="24"/>
          <w:szCs w:val="24"/>
        </w:rPr>
        <w:t>规范的要求，保持各类污染物防治设施稳定正常运行，并如实记录各类污染防治设施的运行、维修、更新和污染物排放情况及药物投放和用电量情况。</w:t>
      </w:r>
    </w:p>
    <w:p>
      <w:pPr>
        <w:pStyle w:val="4"/>
        <w:adjustRightInd w:val="0"/>
        <w:snapToGrid w:val="0"/>
        <w:spacing w:before="0" w:after="0" w:line="360" w:lineRule="auto"/>
        <w:rPr>
          <w:rFonts w:ascii="Times New Roman" w:hAnsi="Times New Roman"/>
          <w:sz w:val="24"/>
          <w:szCs w:val="24"/>
        </w:rPr>
      </w:pPr>
      <w:bookmarkStart w:id="158" w:name="_Toc117868787"/>
      <w:r>
        <w:rPr>
          <w:rFonts w:hint="eastAsia" w:ascii="Times New Roman" w:hAnsi="Times New Roman"/>
          <w:sz w:val="24"/>
          <w:szCs w:val="24"/>
        </w:rPr>
        <w:t>5.6.5强化技术培训</w:t>
      </w:r>
      <w:bookmarkEnd w:id="158"/>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加强畜禽养殖污染防治专家和技术人员队伍建设，定期组织专家咨询、技术人员培训等活动，推动环保、农业等部门人员与畜禽养殖场、养殖专业户的联系帮扶工作。科学制定培训计划，组织各地开展以畜禽养殖从业者、镇（街）和村级基层干部为主要培训对象，以畜禽养殖污染防治法规政策、基本知识和实用技术为主要内容的专项培训活动，并将相关内容纳入农技培训。</w:t>
      </w:r>
    </w:p>
    <w:p>
      <w:pPr>
        <w:pStyle w:val="3"/>
        <w:spacing w:before="0" w:after="0" w:line="360" w:lineRule="auto"/>
        <w:rPr>
          <w:rFonts w:ascii="Times New Roman" w:hAnsi="Times New Roman"/>
          <w:sz w:val="28"/>
          <w:szCs w:val="28"/>
        </w:rPr>
      </w:pPr>
      <w:bookmarkStart w:id="159" w:name="_Toc4304"/>
      <w:bookmarkStart w:id="160" w:name="_Toc117868788"/>
      <w:bookmarkStart w:id="161" w:name="_Toc72159242"/>
      <w:r>
        <w:rPr>
          <w:rFonts w:hint="eastAsia" w:ascii="Times New Roman" w:hAnsi="Times New Roman"/>
          <w:sz w:val="28"/>
          <w:szCs w:val="28"/>
        </w:rPr>
        <w:t>5.7 加强生态环境监管制度和能力建设</w:t>
      </w:r>
      <w:bookmarkEnd w:id="159"/>
      <w:bookmarkEnd w:id="160"/>
      <w:bookmarkEnd w:id="161"/>
    </w:p>
    <w:p>
      <w:pPr>
        <w:pStyle w:val="4"/>
        <w:adjustRightInd w:val="0"/>
        <w:snapToGrid w:val="0"/>
        <w:spacing w:before="0" w:after="0" w:line="360" w:lineRule="auto"/>
        <w:rPr>
          <w:rFonts w:ascii="Times New Roman" w:hAnsi="Times New Roman"/>
          <w:sz w:val="24"/>
          <w:szCs w:val="24"/>
        </w:rPr>
      </w:pPr>
      <w:bookmarkStart w:id="162" w:name="_Toc72159243"/>
      <w:bookmarkStart w:id="163" w:name="_Toc117868789"/>
      <w:r>
        <w:rPr>
          <w:rFonts w:hint="eastAsia" w:ascii="Times New Roman" w:hAnsi="Times New Roman"/>
          <w:sz w:val="24"/>
          <w:szCs w:val="24"/>
        </w:rPr>
        <w:t>5.7.1强化生态环境执法监督</w:t>
      </w:r>
      <w:bookmarkEnd w:id="162"/>
      <w:bookmarkEnd w:id="163"/>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（1）加大生态环境执法力度</w:t>
      </w:r>
    </w:p>
    <w:p>
      <w:pPr>
        <w:adjustRightInd w:val="0"/>
        <w:snapToGrid w:val="0"/>
        <w:ind w:firstLine="480" w:firstLineChars="200"/>
        <w:rPr>
          <w:rFonts w:ascii="宋体" w:hAnsi="宋体"/>
          <w:bCs/>
          <w:sz w:val="24"/>
        </w:rPr>
      </w:pPr>
      <w:r>
        <w:rPr>
          <w:rFonts w:hint="eastAsia" w:ascii="Times New Roman" w:hAnsi="Times New Roman"/>
          <w:bCs/>
          <w:sz w:val="24"/>
        </w:rPr>
        <w:t>建立健全畜禽养殖业基层日常监管机制。落实镇（街）监管主体责任，加强镇（街）环境</w:t>
      </w:r>
      <w:r>
        <w:rPr>
          <w:rFonts w:ascii="Times New Roman" w:hAnsi="Times New Roman"/>
          <w:bCs/>
          <w:sz w:val="24"/>
        </w:rPr>
        <w:t>执法队伍建设，开展执法人员业务培训，提高执法能力，依法严格查处违法排污等环境违法行为。各乡镇</w:t>
      </w:r>
      <w:r>
        <w:rPr>
          <w:rFonts w:hint="eastAsia" w:ascii="Times New Roman" w:hAnsi="Times New Roman"/>
          <w:bCs/>
          <w:sz w:val="24"/>
        </w:rPr>
        <w:t>（街道）</w:t>
      </w:r>
      <w:r>
        <w:rPr>
          <w:rFonts w:ascii="Times New Roman" w:hAnsi="Times New Roman"/>
          <w:bCs/>
          <w:sz w:val="24"/>
        </w:rPr>
        <w:t>人民</w:t>
      </w:r>
      <w:r>
        <w:rPr>
          <w:rFonts w:ascii="Times New Roman" w:hAnsi="Times New Roman"/>
          <w:bCs/>
          <w:color w:val="auto"/>
          <w:sz w:val="24"/>
        </w:rPr>
        <w:t>政府要依法履行属地管理职责，</w:t>
      </w:r>
      <w:r>
        <w:rPr>
          <w:rFonts w:ascii="宋体" w:hAnsi="宋体"/>
          <w:bCs/>
          <w:color w:val="auto"/>
          <w:sz w:val="24"/>
        </w:rPr>
        <w:t>结合“河长制”工作，切实落实养殖业主“承诺制”，基本杜绝乱丢乱弃病死动物现象。</w:t>
      </w:r>
      <w:r>
        <w:rPr>
          <w:rFonts w:hint="eastAsia" w:ascii="宋体" w:hAnsi="宋体"/>
          <w:bCs/>
          <w:color w:val="auto"/>
          <w:sz w:val="24"/>
        </w:rPr>
        <w:t>要</w:t>
      </w:r>
      <w:r>
        <w:rPr>
          <w:rFonts w:ascii="宋体" w:hAnsi="宋体"/>
          <w:bCs/>
          <w:color w:val="auto"/>
          <w:sz w:val="24"/>
        </w:rPr>
        <w:t>充分发挥村级组织的监督力量，将养殖散户纳入规范管理</w:t>
      </w:r>
      <w:r>
        <w:rPr>
          <w:rFonts w:ascii="宋体" w:hAnsi="宋体"/>
          <w:bCs/>
          <w:sz w:val="24"/>
        </w:rPr>
        <w:t>，实现畜禽养殖污染防治全覆盖。</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（2）完善生态环保督察与整改机制</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建立生态环保督察机制，采取强化监督和个案督查等形式，加强重大禽畜养猪环境污染事件进行执法检查。构建生态环保督察整改工作机制，明确责任分工、形成方案对策、实施跟踪评估，确保督查发现问题</w:t>
      </w:r>
      <w:r>
        <w:rPr>
          <w:rFonts w:hint="eastAsia" w:ascii="Times New Roman" w:hAnsi="Times New Roman" w:eastAsia="宋体" w:cs="Times New Roman"/>
          <w:bCs/>
          <w:color w:val="auto"/>
          <w:sz w:val="24"/>
          <w:szCs w:val="24"/>
        </w:rPr>
        <w:t>能及时、有</w:t>
      </w:r>
      <w:r>
        <w:rPr>
          <w:rFonts w:hint="eastAsia" w:ascii="Times New Roman" w:hAnsi="Times New Roman" w:eastAsia="宋体" w:cs="Times New Roman"/>
          <w:bCs/>
          <w:sz w:val="24"/>
          <w:szCs w:val="24"/>
        </w:rPr>
        <w:t>效解决。</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（3）健全生态监督管理制度体系</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制定生态保护红线的监管考核制度，考核结果作为安排生态补偿资金的重要依据。建立生态监测评估预警机制，对重点生态功能区进行定期评估。健全生态环境保护监督执法制度，采取强化监督和个案督查等形式，对突出环境污染问题进行监督检查，完善社会监督机制，健全禽畜养殖场环境质量公告制度。</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bookmarkStart w:id="164" w:name="_Toc72159244"/>
      <w:r>
        <w:rPr>
          <w:rFonts w:hint="eastAsia" w:ascii="Times New Roman" w:hAnsi="Times New Roman" w:eastAsia="宋体" w:cs="Times New Roman"/>
          <w:bCs/>
          <w:sz w:val="24"/>
          <w:szCs w:val="24"/>
        </w:rPr>
        <w:t>（4）完善生态环境监测体系</w:t>
      </w:r>
      <w:bookmarkEnd w:id="164"/>
    </w:p>
    <w:p>
      <w:pPr>
        <w:adjustRightInd w:val="0"/>
        <w:snapToGrid w:val="0"/>
        <w:ind w:firstLine="480" w:firstLineChars="200"/>
        <w:rPr>
          <w:rFonts w:ascii="Times New Roman" w:hAnsi="Times New Roman"/>
          <w:bCs/>
          <w:sz w:val="24"/>
        </w:rPr>
      </w:pPr>
      <w:r>
        <w:rPr>
          <w:rFonts w:ascii="Times New Roman" w:hAnsi="Times New Roman"/>
          <w:bCs/>
          <w:sz w:val="24"/>
        </w:rPr>
        <w:t>对采用达标排放或达标还田的畜禽养殖场，委托有资质的环境监测机构，每年实施一次监督性监测，废水监测包括化学需氧量、氨氮等指标。</w:t>
      </w:r>
      <w:r>
        <w:rPr>
          <w:rFonts w:hint="eastAsia" w:ascii="Times New Roman" w:hAnsi="Times New Roman"/>
          <w:bCs/>
          <w:sz w:val="24"/>
        </w:rPr>
        <w:t>建设立体复合的综合监测网络体系，整合优化生态环境监测资源，建设涵盖大气、水、土壤、噪声等要素，布局合理、功能完善、统一规范、数据互补、资源共享、科学高效的生态环境监测网络，完善各环境要素环境质量监测点位布局。</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bookmarkStart w:id="165" w:name="_Toc72159246"/>
      <w:bookmarkStart w:id="166" w:name="_Toc12262"/>
      <w:bookmarkStart w:id="167" w:name="_Toc6254"/>
      <w:r>
        <w:rPr>
          <w:rFonts w:hint="eastAsia" w:ascii="Times New Roman" w:hAnsi="Times New Roman" w:eastAsia="宋体" w:cs="Times New Roman"/>
          <w:bCs/>
          <w:sz w:val="24"/>
          <w:szCs w:val="24"/>
        </w:rPr>
        <w:t>（5）深化环境管理制度改革</w:t>
      </w:r>
      <w:bookmarkEnd w:id="165"/>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持续深化“放管服”改革，推进环评审批、排污许可、环保竣工验收、环保督察、“回头看”、政务办理等管理机制优化。深化落实环评改革，完善环评审批与排污许可衔接整合新机制。落实生态环境行政执法公示制度、执法全过程记录制度和重大执法决定法治审核制度。打通总量控制、生态环境统计、生态环境监测、生态环境执法等监管链条，构建以排污许可制为核心的禽畜养殖场污染源监管制度体系。</w:t>
      </w:r>
      <w:bookmarkEnd w:id="166"/>
      <w:bookmarkEnd w:id="167"/>
    </w:p>
    <w:p>
      <w:pPr>
        <w:pStyle w:val="4"/>
        <w:adjustRightInd w:val="0"/>
        <w:snapToGrid w:val="0"/>
        <w:spacing w:before="0" w:after="0" w:line="360" w:lineRule="auto"/>
        <w:rPr>
          <w:rFonts w:ascii="Times New Roman" w:hAnsi="Times New Roman"/>
          <w:sz w:val="24"/>
          <w:szCs w:val="24"/>
        </w:rPr>
      </w:pPr>
      <w:bookmarkStart w:id="168" w:name="_Toc117868790"/>
      <w:bookmarkStart w:id="169" w:name="_Toc72159248"/>
      <w:bookmarkStart w:id="170" w:name="_Toc23129"/>
      <w:bookmarkStart w:id="171" w:name="_Toc16716"/>
      <w:bookmarkStart w:id="172" w:name="_Toc15891"/>
      <w:r>
        <w:rPr>
          <w:rFonts w:hint="eastAsia" w:ascii="Times New Roman" w:hAnsi="Times New Roman"/>
          <w:sz w:val="24"/>
          <w:szCs w:val="24"/>
        </w:rPr>
        <w:t>5.7.2强化养殖生态环境风险防控体系</w:t>
      </w:r>
      <w:bookmarkEnd w:id="168"/>
      <w:bookmarkEnd w:id="169"/>
      <w:bookmarkEnd w:id="170"/>
      <w:bookmarkEnd w:id="171"/>
      <w:bookmarkEnd w:id="172"/>
    </w:p>
    <w:p>
      <w:pPr>
        <w:pStyle w:val="7"/>
        <w:adjustRightInd w:val="0"/>
        <w:snapToGrid w:val="0"/>
        <w:spacing w:after="0" w:line="360" w:lineRule="auto"/>
        <w:ind w:firstLine="480" w:firstLineChars="200"/>
        <w:rPr>
          <w:rFonts w:ascii="Times New Roman" w:hAnsi="Times New Roman" w:eastAsia="宋体" w:cs="Times New Roman"/>
          <w:bCs/>
          <w:sz w:val="24"/>
          <w:szCs w:val="24"/>
        </w:rPr>
      </w:pPr>
      <w:bookmarkStart w:id="173" w:name="_Toc72159249"/>
      <w:r>
        <w:rPr>
          <w:rFonts w:hint="eastAsia" w:ascii="Times New Roman" w:hAnsi="Times New Roman" w:eastAsia="宋体" w:cs="Times New Roman"/>
          <w:bCs/>
          <w:sz w:val="24"/>
          <w:szCs w:val="24"/>
        </w:rPr>
        <w:t>（1）完善风险防控与应急管理体系</w:t>
      </w:r>
      <w:bookmarkEnd w:id="173"/>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推动完善环境安全体系，进一步完善环境风险防范体系，把生态环境风险纳入常态化管理，严防养殖污染突发环境事件发生。进一步落实养殖场（户）环境安全主体责任和“一场一策”制度，督促养殖业主加强环境安全隐患自查整改，落实企业风险防控措施。</w:t>
      </w:r>
      <w:bookmarkStart w:id="174" w:name="_Toc65155604"/>
      <w:bookmarkStart w:id="175" w:name="_Toc72159254"/>
      <w:bookmarkStart w:id="176" w:name="_Toc5152"/>
      <w:bookmarkStart w:id="177" w:name="_Toc65155602"/>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（2）推进养殖场（小区）园区环境风险防范</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提升“一区两园”风险预警建设。开展规模化养殖场的环境应急预案修订和备案工作。甄别环境风险分区防控重点，提升环境风险防范应急保障能力。优化环境风险应急管理体系，提升环境风险防范应急保障能力。</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（3）加强养殖场（小区）生态安全预警系统建设</w:t>
      </w:r>
    </w:p>
    <w:p>
      <w:pPr>
        <w:pStyle w:val="7"/>
        <w:adjustRightInd w:val="0"/>
        <w:snapToGrid w:val="0"/>
        <w:spacing w:after="0"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应用遥感、地理信息系统、卫星定位系统等技术，建设规模化养殖场（小区、园区）的生态环境动态监测网络。开展养殖区域内重点河流和饮用水水源地环境应急“一河一策一图”工作，编制流域突发环境事件应急预案，强化实战演练，有效提升应急处置能力，科学防范流域突发环境事件。</w:t>
      </w:r>
    </w:p>
    <w:p>
      <w:pPr>
        <w:pStyle w:val="4"/>
        <w:adjustRightInd w:val="0"/>
        <w:snapToGrid w:val="0"/>
        <w:spacing w:before="0" w:after="0" w:line="360" w:lineRule="auto"/>
        <w:rPr>
          <w:rFonts w:ascii="Times New Roman" w:hAnsi="Times New Roman"/>
          <w:sz w:val="24"/>
          <w:szCs w:val="24"/>
        </w:rPr>
      </w:pPr>
      <w:bookmarkStart w:id="178" w:name="_Toc117868791"/>
      <w:r>
        <w:rPr>
          <w:rFonts w:hint="eastAsia" w:ascii="Times New Roman" w:hAnsi="Times New Roman"/>
          <w:sz w:val="24"/>
          <w:szCs w:val="24"/>
        </w:rPr>
        <w:t>5.7.3健全区域协作联防联控机制</w:t>
      </w:r>
      <w:bookmarkEnd w:id="174"/>
      <w:bookmarkEnd w:id="175"/>
      <w:bookmarkEnd w:id="176"/>
      <w:bookmarkEnd w:id="178"/>
    </w:p>
    <w:p>
      <w:pPr>
        <w:pStyle w:val="7"/>
        <w:spacing w:after="0" w:line="360" w:lineRule="auto"/>
        <w:ind w:firstLine="480" w:firstLineChars="200"/>
        <w:rPr>
          <w:rFonts w:ascii="Times New Roman" w:hAnsi="Times New Roman" w:eastAsia="宋体" w:cs="Times New Roman"/>
          <w:bCs/>
          <w:sz w:val="24"/>
          <w:szCs w:val="24"/>
        </w:rPr>
      </w:pPr>
      <w:bookmarkStart w:id="179" w:name="_Toc72159255"/>
      <w:r>
        <w:rPr>
          <w:rFonts w:hint="eastAsia" w:ascii="Times New Roman" w:hAnsi="Times New Roman" w:eastAsia="宋体" w:cs="Times New Roman"/>
          <w:bCs/>
          <w:sz w:val="24"/>
          <w:szCs w:val="24"/>
        </w:rPr>
        <w:t>（1）推动区域污染联防联控机制</w:t>
      </w:r>
      <w:bookmarkEnd w:id="179"/>
    </w:p>
    <w:p>
      <w:pPr>
        <w:pStyle w:val="8"/>
        <w:ind w:firstLine="480" w:firstLineChars="200"/>
      </w:pPr>
      <w:r>
        <w:rPr>
          <w:rFonts w:hint="eastAsia" w:ascii="Times New Roman" w:hAnsi="Times New Roman"/>
          <w:bCs/>
          <w:sz w:val="24"/>
        </w:rPr>
        <w:t>推动健全区禽畜养殖污染物联防联控机制，积极参与成都平原城市群联动一体的应急响应体系与成渝地区大气联防联控机制建设。协同开展区域水体和土壤综合整治，形成区域统一的环境决策协商机制、信息通告与报告机制、环评区域会商机制、区域联合执法机制，完善跨界污染防治制度。</w:t>
      </w:r>
      <w:bookmarkStart w:id="180" w:name="_Toc72159256"/>
      <w:r>
        <w:rPr>
          <w:rFonts w:hint="eastAsia" w:ascii="Times New Roman" w:hAnsi="Times New Roman"/>
          <w:bCs/>
          <w:sz w:val="24"/>
        </w:rPr>
        <w:t>引导推进重大动物疫病防控、病死动物无害化处理、畜禽粪污资源化利用等社会化服务，落实联防联控制度要求。</w:t>
      </w:r>
    </w:p>
    <w:p>
      <w:pPr>
        <w:adjustRightInd w:val="0"/>
        <w:snapToGrid w:val="0"/>
        <w:ind w:firstLine="480" w:firstLineChars="200"/>
        <w:rPr>
          <w:rFonts w:ascii="Times New Roman" w:hAnsi="Times New Roman"/>
          <w:bCs/>
          <w:sz w:val="24"/>
        </w:rPr>
      </w:pPr>
      <w:r>
        <w:rPr>
          <w:rFonts w:hint="eastAsia" w:ascii="Times New Roman" w:hAnsi="Times New Roman"/>
          <w:bCs/>
          <w:sz w:val="24"/>
        </w:rPr>
        <w:t>（2）探索试点区域绿色发展协同机制</w:t>
      </w:r>
      <w:bookmarkEnd w:id="180"/>
    </w:p>
    <w:p>
      <w:pPr>
        <w:adjustRightInd w:val="0"/>
        <w:snapToGrid w:val="0"/>
        <w:ind w:firstLine="480" w:firstLineChars="200"/>
        <w:rPr>
          <w:rFonts w:ascii="Times New Roman" w:hAnsi="Times New Roman"/>
          <w:bCs/>
          <w:sz w:val="24"/>
        </w:rPr>
      </w:pPr>
      <w:r>
        <w:rPr>
          <w:rFonts w:hint="eastAsia" w:ascii="Times New Roman" w:hAnsi="Times New Roman"/>
          <w:bCs/>
          <w:sz w:val="24"/>
        </w:rPr>
        <w:t>在剑峰-土主生猪现代农业园区探索建设绿色农产品技术创新综合示范区。培育建设绿色技术产权交易服务平台、绿色项目投融资服务平台等绿色技术平台，培育绿色技术创新第三方检测、评价、认证等中介服务机构。推进区域环境信用体系建设，促进养殖业绿色供应链体系化建设。</w:t>
      </w:r>
      <w:bookmarkEnd w:id="177"/>
    </w:p>
    <w:p>
      <w:pPr>
        <w:pStyle w:val="3"/>
        <w:spacing w:before="0" w:after="0" w:line="360" w:lineRule="auto"/>
        <w:rPr>
          <w:rFonts w:ascii="Times New Roman" w:hAnsi="Times New Roman"/>
          <w:sz w:val="28"/>
          <w:szCs w:val="28"/>
        </w:rPr>
      </w:pPr>
      <w:bookmarkStart w:id="181" w:name="_Toc117868792"/>
      <w:r>
        <w:rPr>
          <w:rFonts w:hint="eastAsia" w:ascii="Times New Roman" w:hAnsi="Times New Roman"/>
          <w:sz w:val="28"/>
          <w:szCs w:val="28"/>
        </w:rPr>
        <w:t>5.8 重点建设的工程项目</w:t>
      </w:r>
      <w:bookmarkEnd w:id="181"/>
    </w:p>
    <w:p>
      <w:pPr>
        <w:pStyle w:val="4"/>
        <w:adjustRightInd w:val="0"/>
        <w:snapToGrid w:val="0"/>
        <w:spacing w:before="0" w:after="0" w:line="360" w:lineRule="auto"/>
        <w:rPr>
          <w:rFonts w:ascii="Times New Roman" w:hAnsi="Times New Roman"/>
          <w:sz w:val="24"/>
          <w:szCs w:val="24"/>
        </w:rPr>
      </w:pPr>
      <w:bookmarkStart w:id="182" w:name="_Toc117868793"/>
      <w:r>
        <w:rPr>
          <w:rFonts w:hint="eastAsia" w:ascii="Times New Roman" w:hAnsi="Times New Roman"/>
          <w:sz w:val="24"/>
          <w:szCs w:val="24"/>
        </w:rPr>
        <w:t>5.8.1现代农业园区养殖基地建设项目</w:t>
      </w:r>
      <w:bookmarkEnd w:id="182"/>
    </w:p>
    <w:p>
      <w:pPr>
        <w:adjustRightInd w:val="0"/>
        <w:snapToGrid w:val="0"/>
        <w:spacing w:line="420" w:lineRule="exact"/>
        <w:ind w:firstLine="480" w:firstLineChars="200"/>
        <w:rPr>
          <w:rFonts w:ascii="Times New Roman" w:hAnsi="Times New Roman"/>
          <w:bCs/>
          <w:sz w:val="24"/>
        </w:rPr>
      </w:pPr>
      <w:r>
        <w:rPr>
          <w:rFonts w:hint="eastAsia" w:ascii="Times New Roman" w:hAnsi="Times New Roman"/>
          <w:bCs/>
          <w:sz w:val="24"/>
        </w:rPr>
        <w:t>（1）</w:t>
      </w:r>
      <w:r>
        <w:rPr>
          <w:rFonts w:ascii="Times New Roman" w:hAnsi="Times New Roman"/>
          <w:bCs/>
          <w:sz w:val="24"/>
        </w:rPr>
        <w:t>依托巨星集团，规划建设一个存栏1</w:t>
      </w:r>
      <w:r>
        <w:rPr>
          <w:rFonts w:hint="eastAsia" w:ascii="Times New Roman" w:hAnsi="Times New Roman"/>
          <w:bCs/>
          <w:sz w:val="24"/>
        </w:rPr>
        <w:t>.</w:t>
      </w:r>
      <w:r>
        <w:rPr>
          <w:rFonts w:ascii="Times New Roman" w:hAnsi="Times New Roman"/>
          <w:bCs/>
          <w:sz w:val="24"/>
        </w:rPr>
        <w:t>2</w:t>
      </w:r>
      <w:r>
        <w:rPr>
          <w:rFonts w:hint="eastAsia" w:ascii="Times New Roman" w:hAnsi="Times New Roman"/>
          <w:bCs/>
          <w:sz w:val="24"/>
        </w:rPr>
        <w:t>万</w:t>
      </w:r>
      <w:r>
        <w:rPr>
          <w:rFonts w:ascii="Times New Roman" w:hAnsi="Times New Roman"/>
          <w:bCs/>
          <w:sz w:val="24"/>
        </w:rPr>
        <w:t>头种猪的智慧型种猪场</w:t>
      </w:r>
      <w:r>
        <w:rPr>
          <w:rFonts w:hint="eastAsia" w:ascii="Times New Roman" w:hAnsi="Times New Roman"/>
          <w:bCs/>
          <w:sz w:val="24"/>
        </w:rPr>
        <w:t>（见图5-4）</w:t>
      </w:r>
      <w:r>
        <w:rPr>
          <w:rFonts w:ascii="Times New Roman" w:hAnsi="Times New Roman"/>
          <w:bCs/>
          <w:sz w:val="24"/>
        </w:rPr>
        <w:t>，全套采用中央电脑数据调控猪场的温度、湿度、进食、饮水、排污、病情等操作，年出栏猪仔达到22万头。</w:t>
      </w:r>
    </w:p>
    <w:p>
      <w:pPr>
        <w:adjustRightInd w:val="0"/>
        <w:snapToGrid w:val="0"/>
        <w:spacing w:line="420" w:lineRule="exact"/>
        <w:ind w:firstLine="480" w:firstLineChars="200"/>
        <w:rPr>
          <w:rFonts w:ascii="Times New Roman" w:hAnsi="Times New Roman"/>
          <w:bCs/>
          <w:sz w:val="24"/>
        </w:rPr>
      </w:pPr>
      <w:r>
        <w:rPr>
          <w:rFonts w:hint="eastAsia" w:ascii="Times New Roman" w:hAnsi="Times New Roman"/>
          <w:bCs/>
          <w:sz w:val="24"/>
        </w:rPr>
        <w:t>（2）规划</w:t>
      </w:r>
      <w:r>
        <w:rPr>
          <w:rFonts w:ascii="Times New Roman" w:hAnsi="Times New Roman"/>
          <w:bCs/>
          <w:sz w:val="24"/>
        </w:rPr>
        <w:t>建设巨星共和1号猪场，规模可达到年出栏3</w:t>
      </w:r>
      <w:r>
        <w:rPr>
          <w:rFonts w:hint="eastAsia" w:ascii="Times New Roman" w:hAnsi="Times New Roman"/>
          <w:bCs/>
          <w:sz w:val="24"/>
        </w:rPr>
        <w:t>.</w:t>
      </w:r>
      <w:r>
        <w:rPr>
          <w:rFonts w:ascii="Times New Roman" w:hAnsi="Times New Roman"/>
          <w:bCs/>
          <w:sz w:val="24"/>
        </w:rPr>
        <w:t>8</w:t>
      </w:r>
      <w:r>
        <w:rPr>
          <w:rFonts w:hint="eastAsia" w:ascii="Times New Roman" w:hAnsi="Times New Roman"/>
          <w:bCs/>
          <w:sz w:val="24"/>
        </w:rPr>
        <w:t>万</w:t>
      </w:r>
      <w:r>
        <w:rPr>
          <w:rFonts w:ascii="Times New Roman" w:hAnsi="Times New Roman"/>
          <w:bCs/>
          <w:sz w:val="24"/>
        </w:rPr>
        <w:t>头生猪</w:t>
      </w:r>
      <w:r>
        <w:rPr>
          <w:rFonts w:hint="eastAsia" w:ascii="Times New Roman" w:hAnsi="Times New Roman"/>
          <w:bCs/>
          <w:sz w:val="24"/>
        </w:rPr>
        <w:t>；</w:t>
      </w:r>
      <w:r>
        <w:rPr>
          <w:rFonts w:ascii="Times New Roman" w:hAnsi="Times New Roman"/>
          <w:bCs/>
          <w:sz w:val="24"/>
        </w:rPr>
        <w:t>建设巨星共和2号猪场，规模可达到年出栏4</w:t>
      </w:r>
      <w:r>
        <w:rPr>
          <w:rFonts w:hint="eastAsia" w:ascii="Times New Roman" w:hAnsi="Times New Roman"/>
          <w:bCs/>
          <w:sz w:val="24"/>
        </w:rPr>
        <w:t>万</w:t>
      </w:r>
      <w:r>
        <w:rPr>
          <w:rFonts w:ascii="Times New Roman" w:hAnsi="Times New Roman"/>
          <w:bCs/>
          <w:sz w:val="24"/>
        </w:rPr>
        <w:t>头生猪</w:t>
      </w:r>
      <w:r>
        <w:rPr>
          <w:rFonts w:hint="eastAsia" w:ascii="Times New Roman" w:hAnsi="Times New Roman"/>
          <w:bCs/>
          <w:sz w:val="24"/>
        </w:rPr>
        <w:t>；</w:t>
      </w:r>
      <w:r>
        <w:rPr>
          <w:rFonts w:ascii="Times New Roman" w:hAnsi="Times New Roman"/>
          <w:bCs/>
          <w:sz w:val="24"/>
        </w:rPr>
        <w:t>建设巨星石桥猪场，为园区规模最大的生猪育肥场，年出栏最高可达24万头</w:t>
      </w:r>
      <w:r>
        <w:rPr>
          <w:rFonts w:hint="eastAsia" w:ascii="Times New Roman" w:hAnsi="Times New Roman"/>
          <w:bCs/>
          <w:sz w:val="24"/>
        </w:rPr>
        <w:t>生猪</w:t>
      </w:r>
      <w:r>
        <w:rPr>
          <w:rFonts w:ascii="Times New Roman" w:hAnsi="Times New Roman"/>
          <w:bCs/>
          <w:sz w:val="24"/>
        </w:rPr>
        <w:t>。</w:t>
      </w:r>
    </w:p>
    <w:p>
      <w:pPr>
        <w:adjustRightInd w:val="0"/>
        <w:snapToGrid w:val="0"/>
        <w:spacing w:line="420" w:lineRule="exact"/>
        <w:ind w:firstLine="480" w:firstLineChars="200"/>
        <w:rPr>
          <w:rFonts w:ascii="Times New Roman" w:hAnsi="Times New Roman"/>
          <w:bCs/>
          <w:sz w:val="24"/>
        </w:rPr>
      </w:pPr>
      <w:r>
        <w:rPr>
          <w:rFonts w:hint="eastAsia" w:ascii="Times New Roman" w:hAnsi="Times New Roman"/>
          <w:bCs/>
          <w:sz w:val="24"/>
        </w:rPr>
        <w:t>（3）</w:t>
      </w:r>
      <w:r>
        <w:rPr>
          <w:rFonts w:ascii="Times New Roman" w:hAnsi="Times New Roman"/>
          <w:bCs/>
          <w:sz w:val="24"/>
        </w:rPr>
        <w:t>建设</w:t>
      </w:r>
      <w:r>
        <w:rPr>
          <w:rFonts w:hint="eastAsia" w:ascii="Times New Roman" w:hAnsi="Times New Roman"/>
          <w:bCs/>
          <w:sz w:val="24"/>
        </w:rPr>
        <w:t>好</w:t>
      </w:r>
      <w:r>
        <w:rPr>
          <w:rFonts w:ascii="Times New Roman" w:hAnsi="Times New Roman"/>
          <w:bCs/>
          <w:sz w:val="24"/>
        </w:rPr>
        <w:t>乐山嘉好猪场、王方养殖场、鑫盛家庭农场、兴跃养殖场、王成家庭农场等</w:t>
      </w:r>
      <w:r>
        <w:rPr>
          <w:rFonts w:hint="eastAsia" w:ascii="Times New Roman" w:hAnsi="Times New Roman"/>
          <w:bCs/>
          <w:sz w:val="24"/>
        </w:rPr>
        <w:t>“公司+家庭农场”</w:t>
      </w:r>
      <w:r>
        <w:rPr>
          <w:rFonts w:ascii="Times New Roman" w:hAnsi="Times New Roman"/>
          <w:bCs/>
          <w:sz w:val="24"/>
        </w:rPr>
        <w:t>为合作模式的规模化养殖场。</w:t>
      </w:r>
    </w:p>
    <w:p>
      <w:pPr>
        <w:adjustRightInd w:val="0"/>
        <w:snapToGrid w:val="0"/>
        <w:spacing w:line="420" w:lineRule="exact"/>
        <w:ind w:firstLine="480" w:firstLineChars="200"/>
        <w:rPr>
          <w:rFonts w:ascii="Times New Roman" w:hAnsi="Times New Roman"/>
          <w:bCs/>
          <w:sz w:val="24"/>
        </w:rPr>
      </w:pPr>
      <w:r>
        <w:rPr>
          <w:rFonts w:hint="eastAsia" w:ascii="Times New Roman" w:hAnsi="Times New Roman"/>
          <w:bCs/>
          <w:sz w:val="24"/>
        </w:rPr>
        <w:t>通过上述三个项目的建设，剑峰</w:t>
      </w:r>
      <w:r>
        <w:rPr>
          <w:rFonts w:ascii="Times New Roman" w:hAnsi="Times New Roman"/>
          <w:bCs/>
          <w:sz w:val="24"/>
        </w:rPr>
        <w:t>-土主生猪现代农业园区规划</w:t>
      </w:r>
      <w:r>
        <w:rPr>
          <w:rFonts w:hint="eastAsia" w:ascii="Times New Roman" w:hAnsi="Times New Roman"/>
          <w:bCs/>
          <w:sz w:val="24"/>
        </w:rPr>
        <w:t>产能</w:t>
      </w:r>
      <w:r>
        <w:rPr>
          <w:rFonts w:ascii="Times New Roman" w:hAnsi="Times New Roman"/>
          <w:bCs/>
          <w:sz w:val="24"/>
        </w:rPr>
        <w:t>将达到最高出栏量36.8万头生猪，常年出栏量30万头生猪的养殖规模</w:t>
      </w:r>
      <w:r>
        <w:rPr>
          <w:rFonts w:hint="eastAsia" w:ascii="Times New Roman" w:hAnsi="Times New Roman"/>
          <w:bCs/>
          <w:sz w:val="24"/>
        </w:rPr>
        <w:t>（见表5-1）</w:t>
      </w:r>
      <w:r>
        <w:rPr>
          <w:rFonts w:ascii="Times New Roman" w:hAnsi="Times New Roman"/>
          <w:bCs/>
          <w:sz w:val="24"/>
        </w:rPr>
        <w:t>。</w:t>
      </w:r>
    </w:p>
    <w:p>
      <w:pPr>
        <w:jc w:val="center"/>
      </w:pPr>
      <w:r>
        <w:drawing>
          <wp:inline distT="0" distB="0" distL="114300" distR="114300">
            <wp:extent cx="4694555" cy="5034280"/>
            <wp:effectExtent l="0" t="0" r="10795" b="13970"/>
            <wp:docPr id="6" name="图片 23" descr="18 种猪育种中心规划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18 种猪育种中心规划总平面图"/>
                    <pic:cNvPicPr>
                      <a:picLocks noChangeAspect="1"/>
                    </pic:cNvPicPr>
                  </pic:nvPicPr>
                  <pic:blipFill>
                    <a:blip r:embed="rId16"/>
                    <a:srcRect l="320" t="6471" r="642" b="2953"/>
                    <a:stretch>
                      <a:fillRect/>
                    </a:stretch>
                  </pic:blipFill>
                  <pic:spPr>
                    <a:xfrm>
                      <a:off x="0" y="0"/>
                      <a:ext cx="4694555" cy="5034280"/>
                    </a:xfrm>
                    <a:prstGeom prst="rect">
                      <a:avLst/>
                    </a:prstGeom>
                    <a:noFill/>
                    <a:ln>
                      <a:noFill/>
                    </a:ln>
                  </pic:spPr>
                </pic:pic>
              </a:graphicData>
            </a:graphic>
          </wp:inline>
        </w:drawing>
      </w:r>
    </w:p>
    <w:p>
      <w:pPr>
        <w:jc w:val="center"/>
        <w:rPr>
          <w:rFonts w:ascii="Times New Roman" w:hAnsi="Times New Roman"/>
          <w:b/>
          <w:bCs/>
          <w:sz w:val="21"/>
          <w:szCs w:val="21"/>
        </w:rPr>
      </w:pPr>
      <w:r>
        <w:rPr>
          <w:rFonts w:ascii="Times New Roman" w:hAnsi="Times New Roman"/>
          <w:b/>
          <w:bCs/>
          <w:sz w:val="21"/>
          <w:szCs w:val="21"/>
        </w:rPr>
        <w:t>图5-</w:t>
      </w:r>
      <w:r>
        <w:rPr>
          <w:rFonts w:hint="eastAsia" w:ascii="Times New Roman" w:hAnsi="Times New Roman"/>
          <w:b/>
          <w:bCs/>
          <w:sz w:val="21"/>
          <w:szCs w:val="21"/>
        </w:rPr>
        <w:t>4</w:t>
      </w:r>
      <w:r>
        <w:rPr>
          <w:rFonts w:ascii="Times New Roman" w:hAnsi="Times New Roman"/>
          <w:b/>
          <w:bCs/>
          <w:sz w:val="21"/>
          <w:szCs w:val="21"/>
        </w:rPr>
        <w:t xml:space="preserve">  </w:t>
      </w:r>
      <w:r>
        <w:rPr>
          <w:rFonts w:hint="eastAsia" w:ascii="Times New Roman" w:hAnsi="Times New Roman"/>
          <w:b/>
          <w:bCs/>
          <w:sz w:val="21"/>
          <w:szCs w:val="21"/>
        </w:rPr>
        <w:t>园区</w:t>
      </w:r>
      <w:r>
        <w:rPr>
          <w:rFonts w:ascii="Times New Roman" w:hAnsi="Times New Roman"/>
          <w:b/>
          <w:bCs/>
          <w:sz w:val="21"/>
          <w:szCs w:val="21"/>
        </w:rPr>
        <w:t>智慧型种猪育种中心规划总平面图</w:t>
      </w:r>
    </w:p>
    <w:p>
      <w:pPr>
        <w:jc w:val="center"/>
        <w:rPr>
          <w:rFonts w:ascii="Times New Roman" w:hAnsi="Times New Roman"/>
          <w:b/>
          <w:bCs/>
          <w:sz w:val="21"/>
          <w:szCs w:val="21"/>
        </w:rPr>
      </w:pPr>
      <w:r>
        <w:rPr>
          <w:rFonts w:ascii="Times New Roman" w:hAnsi="Times New Roman"/>
          <w:b/>
          <w:bCs/>
          <w:sz w:val="21"/>
          <w:szCs w:val="21"/>
        </w:rPr>
        <w:t>表</w:t>
      </w:r>
      <w:r>
        <w:rPr>
          <w:rFonts w:hint="eastAsia" w:ascii="Times New Roman" w:hAnsi="Times New Roman"/>
          <w:b/>
          <w:bCs/>
          <w:sz w:val="21"/>
          <w:szCs w:val="21"/>
        </w:rPr>
        <w:t>5</w:t>
      </w:r>
      <w:r>
        <w:rPr>
          <w:rFonts w:ascii="Times New Roman" w:hAnsi="Times New Roman"/>
          <w:b/>
          <w:bCs/>
          <w:sz w:val="21"/>
          <w:szCs w:val="21"/>
        </w:rPr>
        <w:t>-</w:t>
      </w:r>
      <w:r>
        <w:rPr>
          <w:rFonts w:hint="eastAsia" w:ascii="Times New Roman" w:hAnsi="Times New Roman"/>
          <w:b/>
          <w:bCs/>
          <w:sz w:val="21"/>
          <w:szCs w:val="21"/>
        </w:rPr>
        <w:t>1</w:t>
      </w:r>
      <w:r>
        <w:rPr>
          <w:rFonts w:ascii="Times New Roman" w:hAnsi="Times New Roman"/>
          <w:b/>
          <w:bCs/>
          <w:sz w:val="21"/>
          <w:szCs w:val="21"/>
        </w:rPr>
        <w:t xml:space="preserve"> </w:t>
      </w:r>
      <w:r>
        <w:rPr>
          <w:rFonts w:hint="eastAsia" w:ascii="Times New Roman" w:hAnsi="Times New Roman"/>
          <w:b/>
          <w:bCs/>
          <w:sz w:val="21"/>
          <w:szCs w:val="21"/>
        </w:rPr>
        <w:t xml:space="preserve"> </w:t>
      </w:r>
      <w:r>
        <w:rPr>
          <w:rFonts w:ascii="Times New Roman" w:hAnsi="Times New Roman"/>
          <w:b/>
          <w:bCs/>
          <w:sz w:val="21"/>
          <w:szCs w:val="21"/>
        </w:rPr>
        <w:t>园区规划养殖发展项目一览表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305"/>
        <w:gridCol w:w="168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pct"/>
            <w:noWrap/>
            <w:vAlign w:val="center"/>
          </w:tcPr>
          <w:p>
            <w:pPr>
              <w:widowControl/>
              <w:spacing w:line="276" w:lineRule="auto"/>
              <w:jc w:val="center"/>
              <w:rPr>
                <w:rFonts w:ascii="宋体" w:hAnsi="宋体" w:cs="仿宋_GB2312"/>
                <w:bCs/>
                <w:kern w:val="0"/>
                <w:sz w:val="21"/>
                <w:szCs w:val="21"/>
              </w:rPr>
            </w:pPr>
            <w:r>
              <w:rPr>
                <w:rFonts w:hint="eastAsia" w:ascii="宋体" w:hAnsi="宋体" w:cs="仿宋_GB2312"/>
                <w:bCs/>
                <w:kern w:val="0"/>
                <w:sz w:val="21"/>
                <w:szCs w:val="21"/>
              </w:rPr>
              <w:t>项目名称</w:t>
            </w:r>
          </w:p>
        </w:tc>
        <w:tc>
          <w:tcPr>
            <w:tcW w:w="1353" w:type="pct"/>
            <w:noWrap/>
            <w:vAlign w:val="center"/>
          </w:tcPr>
          <w:p>
            <w:pPr>
              <w:widowControl/>
              <w:spacing w:line="276" w:lineRule="auto"/>
              <w:jc w:val="center"/>
              <w:rPr>
                <w:rFonts w:ascii="宋体" w:hAnsi="宋体" w:cs="仿宋_GB2312"/>
                <w:bCs/>
                <w:kern w:val="0"/>
                <w:sz w:val="21"/>
                <w:szCs w:val="21"/>
              </w:rPr>
            </w:pPr>
            <w:r>
              <w:rPr>
                <w:rFonts w:hint="eastAsia" w:ascii="宋体" w:hAnsi="宋体" w:cs="仿宋_GB2312"/>
                <w:bCs/>
                <w:kern w:val="0"/>
                <w:sz w:val="21"/>
                <w:szCs w:val="21"/>
              </w:rPr>
              <w:t>建设规模</w:t>
            </w:r>
          </w:p>
        </w:tc>
        <w:tc>
          <w:tcPr>
            <w:tcW w:w="990" w:type="pct"/>
            <w:noWrap/>
            <w:vAlign w:val="center"/>
          </w:tcPr>
          <w:p>
            <w:pPr>
              <w:widowControl/>
              <w:spacing w:line="276" w:lineRule="auto"/>
              <w:jc w:val="center"/>
              <w:rPr>
                <w:rFonts w:ascii="宋体" w:hAnsi="宋体" w:cs="仿宋_GB2312"/>
                <w:bCs/>
                <w:kern w:val="0"/>
                <w:sz w:val="21"/>
                <w:szCs w:val="21"/>
              </w:rPr>
            </w:pPr>
            <w:r>
              <w:rPr>
                <w:rFonts w:hint="eastAsia" w:ascii="宋体" w:hAnsi="宋体" w:cs="仿宋_GB2312"/>
                <w:bCs/>
                <w:kern w:val="0"/>
                <w:sz w:val="21"/>
                <w:szCs w:val="21"/>
              </w:rPr>
              <w:t>用地面积（亩）</w:t>
            </w:r>
          </w:p>
        </w:tc>
        <w:tc>
          <w:tcPr>
            <w:tcW w:w="1096" w:type="pct"/>
            <w:noWrap/>
            <w:vAlign w:val="center"/>
          </w:tcPr>
          <w:p>
            <w:pPr>
              <w:widowControl/>
              <w:spacing w:line="276" w:lineRule="auto"/>
              <w:jc w:val="center"/>
              <w:rPr>
                <w:rFonts w:ascii="宋体" w:hAnsi="宋体" w:cs="仿宋_GB2312"/>
                <w:bCs/>
                <w:kern w:val="0"/>
                <w:sz w:val="21"/>
                <w:szCs w:val="21"/>
              </w:rPr>
            </w:pPr>
            <w:r>
              <w:rPr>
                <w:rFonts w:hint="eastAsia" w:ascii="宋体" w:hAnsi="宋体" w:cs="仿宋_GB2312"/>
                <w:bCs/>
                <w:kern w:val="0"/>
                <w:sz w:val="21"/>
                <w:szCs w:val="21"/>
              </w:rPr>
              <w:t>建设地点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乐山巨星剑峰种猪场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年出栏22</w:t>
            </w:r>
            <w:r>
              <w:rPr>
                <w:rFonts w:hint="eastAsia" w:ascii="宋体" w:hAnsi="宋体"/>
                <w:kern w:val="0"/>
                <w:sz w:val="21"/>
                <w:szCs w:val="21"/>
              </w:rPr>
              <w:t>万</w:t>
            </w:r>
            <w:r>
              <w:rPr>
                <w:rFonts w:ascii="宋体" w:hAnsi="宋体"/>
                <w:kern w:val="0"/>
                <w:sz w:val="21"/>
                <w:szCs w:val="21"/>
              </w:rPr>
              <w:t>头</w:t>
            </w:r>
            <w:r>
              <w:rPr>
                <w:rFonts w:hint="eastAsia" w:ascii="宋体" w:hAnsi="宋体"/>
                <w:kern w:val="0"/>
                <w:sz w:val="21"/>
                <w:szCs w:val="21"/>
              </w:rPr>
              <w:t>仔猪</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227.5</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石桥村、五星村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乐山巨星共和1号猪场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年出栏3</w:t>
            </w:r>
            <w:r>
              <w:rPr>
                <w:rFonts w:hint="eastAsia" w:ascii="宋体" w:hAnsi="宋体"/>
                <w:kern w:val="0"/>
                <w:sz w:val="21"/>
                <w:szCs w:val="21"/>
              </w:rPr>
              <w:t>.</w:t>
            </w:r>
            <w:r>
              <w:rPr>
                <w:rFonts w:ascii="宋体" w:hAnsi="宋体"/>
                <w:kern w:val="0"/>
                <w:sz w:val="21"/>
                <w:szCs w:val="21"/>
              </w:rPr>
              <w:t>8</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61.49</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共和村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乐山巨星共和2号猪场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年出栏4</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28.96</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共和村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乐山嘉好猪场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年出栏1</w:t>
            </w:r>
            <w:r>
              <w:rPr>
                <w:rFonts w:hint="eastAsia" w:ascii="宋体" w:hAnsi="宋体"/>
                <w:kern w:val="0"/>
                <w:sz w:val="21"/>
                <w:szCs w:val="21"/>
              </w:rPr>
              <w:t>.</w:t>
            </w:r>
            <w:r>
              <w:rPr>
                <w:rFonts w:ascii="宋体" w:hAnsi="宋体"/>
                <w:kern w:val="0"/>
                <w:sz w:val="21"/>
                <w:szCs w:val="21"/>
              </w:rPr>
              <w:t>2</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11.80</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共和村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乐山巨星石桥猪场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年出栏24</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180</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石桥村、五星村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王方养殖场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年出栏1</w:t>
            </w:r>
            <w:r>
              <w:rPr>
                <w:rFonts w:hint="eastAsia" w:ascii="宋体" w:hAnsi="宋体"/>
                <w:kern w:val="0"/>
                <w:sz w:val="21"/>
                <w:szCs w:val="21"/>
              </w:rPr>
              <w:t>.</w:t>
            </w:r>
            <w:r>
              <w:rPr>
                <w:rFonts w:ascii="宋体" w:hAnsi="宋体"/>
                <w:kern w:val="0"/>
                <w:sz w:val="21"/>
                <w:szCs w:val="21"/>
              </w:rPr>
              <w:t>1</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21.98</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红斗村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鑫盛家庭农场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年出栏1</w:t>
            </w:r>
            <w:r>
              <w:rPr>
                <w:rFonts w:hint="eastAsia" w:ascii="宋体" w:hAnsi="宋体"/>
                <w:kern w:val="0"/>
                <w:sz w:val="21"/>
                <w:szCs w:val="21"/>
              </w:rPr>
              <w:t>.</w:t>
            </w:r>
            <w:r>
              <w:rPr>
                <w:rFonts w:ascii="宋体" w:hAnsi="宋体"/>
                <w:kern w:val="0"/>
                <w:sz w:val="21"/>
                <w:szCs w:val="21"/>
              </w:rPr>
              <w:t>1</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17.56</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红斗村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兴跃养殖场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w:t>
            </w:r>
            <w:r>
              <w:rPr>
                <w:rFonts w:hint="eastAsia" w:ascii="宋体" w:hAnsi="宋体"/>
                <w:kern w:val="0"/>
                <w:sz w:val="21"/>
                <w:szCs w:val="21"/>
              </w:rPr>
              <w:t>0.</w:t>
            </w:r>
            <w:r>
              <w:rPr>
                <w:rFonts w:ascii="宋体" w:hAnsi="宋体"/>
                <w:kern w:val="0"/>
                <w:sz w:val="21"/>
                <w:szCs w:val="21"/>
              </w:rPr>
              <w:t>9</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6.48</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红岩村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1"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王成家庭农场</w:t>
            </w:r>
          </w:p>
        </w:tc>
        <w:tc>
          <w:tcPr>
            <w:tcW w:w="1353"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年出栏</w:t>
            </w:r>
            <w:r>
              <w:rPr>
                <w:rFonts w:hint="eastAsia" w:ascii="宋体" w:hAnsi="宋体"/>
                <w:kern w:val="0"/>
                <w:sz w:val="21"/>
                <w:szCs w:val="21"/>
              </w:rPr>
              <w:t>0.</w:t>
            </w:r>
            <w:r>
              <w:rPr>
                <w:rFonts w:ascii="宋体" w:hAnsi="宋体"/>
                <w:kern w:val="0"/>
                <w:sz w:val="21"/>
                <w:szCs w:val="21"/>
              </w:rPr>
              <w:t>66</w:t>
            </w:r>
            <w:r>
              <w:rPr>
                <w:rFonts w:hint="eastAsia" w:ascii="宋体" w:hAnsi="宋体"/>
                <w:kern w:val="0"/>
                <w:sz w:val="21"/>
                <w:szCs w:val="21"/>
              </w:rPr>
              <w:t>万</w:t>
            </w:r>
            <w:r>
              <w:rPr>
                <w:rFonts w:ascii="宋体" w:hAnsi="宋体"/>
                <w:kern w:val="0"/>
                <w:sz w:val="21"/>
                <w:szCs w:val="21"/>
              </w:rPr>
              <w:t>头</w:t>
            </w:r>
          </w:p>
        </w:tc>
        <w:tc>
          <w:tcPr>
            <w:tcW w:w="990"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4.68</w:t>
            </w:r>
          </w:p>
        </w:tc>
        <w:tc>
          <w:tcPr>
            <w:tcW w:w="1096" w:type="pct"/>
            <w:noWrap/>
            <w:vAlign w:val="center"/>
          </w:tcPr>
          <w:p>
            <w:pPr>
              <w:widowControl/>
              <w:spacing w:line="276" w:lineRule="auto"/>
              <w:jc w:val="center"/>
              <w:rPr>
                <w:rFonts w:ascii="宋体" w:hAnsi="宋体"/>
                <w:kern w:val="0"/>
                <w:sz w:val="21"/>
                <w:szCs w:val="21"/>
              </w:rPr>
            </w:pPr>
            <w:r>
              <w:rPr>
                <w:rFonts w:ascii="宋体" w:hAnsi="宋体"/>
                <w:kern w:val="0"/>
                <w:sz w:val="21"/>
                <w:szCs w:val="21"/>
              </w:rPr>
              <w:t>红斗村</w:t>
            </w:r>
          </w:p>
        </w:tc>
      </w:tr>
    </w:tbl>
    <w:p>
      <w:pPr>
        <w:pStyle w:val="4"/>
        <w:adjustRightInd w:val="0"/>
        <w:snapToGrid w:val="0"/>
        <w:spacing w:before="0" w:after="0" w:line="360" w:lineRule="auto"/>
        <w:rPr>
          <w:rFonts w:ascii="Times New Roman" w:hAnsi="Times New Roman"/>
          <w:sz w:val="24"/>
          <w:szCs w:val="24"/>
        </w:rPr>
      </w:pPr>
      <w:bookmarkStart w:id="183" w:name="_Toc117868794"/>
      <w:r>
        <w:rPr>
          <w:rFonts w:hint="eastAsia" w:ascii="Times New Roman" w:hAnsi="Times New Roman"/>
          <w:sz w:val="24"/>
          <w:szCs w:val="24"/>
        </w:rPr>
        <w:t>5.8.2现代农业园区基础设施建设项目</w:t>
      </w:r>
      <w:bookmarkEnd w:id="183"/>
    </w:p>
    <w:p>
      <w:pPr>
        <w:adjustRightInd w:val="0"/>
        <w:snapToGrid w:val="0"/>
        <w:ind w:firstLine="480" w:firstLineChars="200"/>
        <w:rPr>
          <w:rFonts w:ascii="Times New Roman" w:hAnsi="Times New Roman"/>
          <w:bCs/>
          <w:sz w:val="24"/>
        </w:rPr>
      </w:pPr>
      <w:r>
        <w:rPr>
          <w:rFonts w:hint="eastAsia" w:ascii="Times New Roman" w:hAnsi="Times New Roman"/>
          <w:bCs/>
          <w:sz w:val="24"/>
        </w:rPr>
        <w:t>加快园区给排水、供电、燃气工程建设，进一步完善基础设施。园区项目用水为镇区自来水管网，园区内建设生产、生活、消防合一的给水管网，枝状分布。建设项目采用雨污分流制，雨水通过雨水渠收集后利用农田水渠导排，养殖废水和生活污水经拟建的“格栅＋调节池＋固液分离＋厌氧池＋A/O反应池（缺氧池＋好氧池）＋二沉池＋人工湿地＋紫外线消毒”污水处理设施达标后暂存于储存池内，用于周围农田灌溉不外排。电力从市政电网引至各个种猪场、育肥场以及家庭农场。园区内使用的燃料为沼气，沼气由园区内污水厌氧处理系统产生、供给，园区内建设沼气收集净化系统和管道输送100公里。</w:t>
      </w:r>
    </w:p>
    <w:p>
      <w:pPr>
        <w:pStyle w:val="4"/>
        <w:adjustRightInd w:val="0"/>
        <w:snapToGrid w:val="0"/>
        <w:spacing w:before="0" w:after="0" w:line="360" w:lineRule="auto"/>
        <w:rPr>
          <w:rFonts w:ascii="Times New Roman" w:hAnsi="Times New Roman"/>
          <w:sz w:val="24"/>
          <w:szCs w:val="24"/>
        </w:rPr>
      </w:pPr>
      <w:bookmarkStart w:id="184" w:name="_Toc117868795"/>
      <w:r>
        <w:rPr>
          <w:rFonts w:hint="eastAsia" w:ascii="Times New Roman" w:hAnsi="Times New Roman"/>
          <w:sz w:val="24"/>
          <w:szCs w:val="24"/>
        </w:rPr>
        <w:t>5.8.3禽畜养殖污染防治工程建设项目</w:t>
      </w:r>
      <w:bookmarkEnd w:id="184"/>
    </w:p>
    <w:p>
      <w:pPr>
        <w:adjustRightInd w:val="0"/>
        <w:snapToGrid w:val="0"/>
        <w:ind w:firstLine="480" w:firstLineChars="200"/>
      </w:pPr>
      <w:r>
        <w:rPr>
          <w:rFonts w:hint="eastAsia" w:ascii="Times New Roman" w:hAnsi="Times New Roman"/>
          <w:bCs/>
          <w:sz w:val="24"/>
        </w:rPr>
        <w:t>结合目前市中区在禽畜养殖污染防治中存在的问题以及“十四五”时期的规划目标，规划实施岷江流域（市中区段）水污染整治工程、</w:t>
      </w:r>
      <w:r>
        <w:rPr>
          <w:rFonts w:ascii="Times New Roman" w:hAnsi="Times New Roman"/>
          <w:color w:val="000000"/>
          <w:kern w:val="0"/>
          <w:sz w:val="24"/>
        </w:rPr>
        <w:t>农村环境综合治理工程</w:t>
      </w:r>
      <w:r>
        <w:rPr>
          <w:rFonts w:hint="eastAsia" w:ascii="Times New Roman" w:hAnsi="Times New Roman"/>
          <w:color w:val="000000"/>
          <w:kern w:val="0"/>
          <w:sz w:val="24"/>
        </w:rPr>
        <w:t>、</w:t>
      </w:r>
      <w:r>
        <w:rPr>
          <w:rFonts w:hint="eastAsia" w:ascii="Times New Roman" w:hAnsi="Times New Roman"/>
          <w:bCs/>
          <w:sz w:val="24"/>
        </w:rPr>
        <w:t>畜禽粪污资源化利用整区推进项目、病死畜禽无害化处理中心建设工程项目、</w:t>
      </w:r>
    </w:p>
    <w:p>
      <w:pPr>
        <w:rPr>
          <w:rFonts w:ascii="Times New Roman" w:hAnsi="Times New Roman"/>
          <w:bCs/>
          <w:sz w:val="24"/>
        </w:rPr>
        <w:sectPr>
          <w:pgSz w:w="11906" w:h="16838"/>
          <w:pgMar w:top="1440" w:right="1800" w:bottom="1440" w:left="1800" w:header="851" w:footer="992" w:gutter="0"/>
          <w:cols w:space="720" w:num="1"/>
          <w:docGrid w:type="lines" w:linePitch="381" w:charSpace="0"/>
        </w:sectPr>
      </w:pPr>
      <w:r>
        <w:rPr>
          <w:rFonts w:hint="eastAsia" w:ascii="Times New Roman" w:hAnsi="Times New Roman"/>
          <w:bCs/>
          <w:sz w:val="24"/>
        </w:rPr>
        <w:t>生态保护红线管控建设项目、自然保护地管控项目环境监测能力建设项目、水环境质量自动监测网络及饮用水源地水质自动监测系统建设项目、</w:t>
      </w:r>
      <w:r>
        <w:rPr>
          <w:rFonts w:ascii="Times New Roman" w:hAnsi="Times New Roman"/>
          <w:bCs/>
          <w:sz w:val="24"/>
        </w:rPr>
        <w:t>重点污染源视频监控系统建设项目</w:t>
      </w:r>
      <w:r>
        <w:rPr>
          <w:rFonts w:hint="eastAsia" w:ascii="Times New Roman" w:hAnsi="Times New Roman"/>
          <w:bCs/>
          <w:sz w:val="24"/>
        </w:rPr>
        <w:t>、</w:t>
      </w:r>
      <w:r>
        <w:rPr>
          <w:rFonts w:ascii="Times New Roman" w:hAnsi="Times New Roman"/>
          <w:bCs/>
          <w:sz w:val="24"/>
        </w:rPr>
        <w:t>执法能力建设项目</w:t>
      </w:r>
      <w:r>
        <w:rPr>
          <w:rFonts w:hint="eastAsia" w:ascii="Times New Roman" w:hAnsi="Times New Roman"/>
          <w:bCs/>
          <w:sz w:val="24"/>
        </w:rPr>
        <w:t>、</w:t>
      </w:r>
      <w:r>
        <w:rPr>
          <w:rFonts w:ascii="Times New Roman" w:hAnsi="Times New Roman"/>
          <w:bCs/>
          <w:sz w:val="24"/>
        </w:rPr>
        <w:t>网格化监管能力建设项目</w:t>
      </w:r>
      <w:r>
        <w:rPr>
          <w:rFonts w:hint="eastAsia" w:ascii="Times New Roman" w:hAnsi="Times New Roman"/>
          <w:bCs/>
          <w:sz w:val="24"/>
        </w:rPr>
        <w:t>和</w:t>
      </w:r>
      <w:r>
        <w:rPr>
          <w:rFonts w:ascii="Times New Roman" w:hAnsi="Times New Roman"/>
          <w:bCs/>
          <w:sz w:val="24"/>
        </w:rPr>
        <w:t>乐山市智慧环保工程建设项目等</w:t>
      </w:r>
      <w:r>
        <w:rPr>
          <w:rFonts w:hint="eastAsia" w:ascii="Times New Roman" w:hAnsi="Times New Roman"/>
          <w:bCs/>
          <w:sz w:val="24"/>
        </w:rPr>
        <w:t>7个工程项目，各工程项目的建设内容、资金预算和规模详见附件3。</w:t>
      </w:r>
    </w:p>
    <w:p>
      <w:pPr>
        <w:pStyle w:val="22"/>
        <w:rPr>
          <w:rFonts w:ascii="黑体" w:hAnsi="黑体" w:eastAsia="黑体"/>
        </w:rPr>
      </w:pPr>
      <w:r>
        <w:fldChar w:fldCharType="begin"/>
      </w:r>
      <w:r>
        <w:instrText xml:space="preserve"> HYPERLINK \l "_Toc500364893" </w:instrText>
      </w:r>
      <w:r>
        <w:fldChar w:fldCharType="separate"/>
      </w:r>
      <w:bookmarkStart w:id="185" w:name="_Toc117868796"/>
      <w:r>
        <w:rPr>
          <w:rFonts w:hint="eastAsia" w:ascii="黑体" w:hAnsi="黑体" w:eastAsia="黑体"/>
        </w:rPr>
        <w:t>第6章</w:t>
      </w:r>
      <w:r>
        <w:rPr>
          <w:rFonts w:ascii="黑体" w:hAnsi="黑体" w:eastAsia="黑体"/>
        </w:rPr>
        <w:t xml:space="preserve"> </w:t>
      </w:r>
      <w:r>
        <w:rPr>
          <w:rFonts w:ascii="黑体" w:hAnsi="黑体" w:eastAsia="黑体"/>
        </w:rPr>
        <w:fldChar w:fldCharType="end"/>
      </w:r>
      <w:r>
        <w:rPr>
          <w:rFonts w:hint="eastAsia" w:ascii="黑体" w:hAnsi="黑体" w:eastAsia="黑体"/>
        </w:rPr>
        <w:t>保障措施</w:t>
      </w:r>
      <w:bookmarkEnd w:id="185"/>
    </w:p>
    <w:p>
      <w:pPr>
        <w:pStyle w:val="3"/>
        <w:spacing w:before="0" w:after="0" w:line="360" w:lineRule="auto"/>
        <w:rPr>
          <w:rFonts w:ascii="Times New Roman" w:hAnsi="Times New Roman"/>
          <w:sz w:val="28"/>
          <w:szCs w:val="28"/>
        </w:rPr>
      </w:pPr>
      <w:bookmarkStart w:id="186" w:name="_Toc29355"/>
      <w:bookmarkStart w:id="187" w:name="_Toc117868797"/>
      <w:bookmarkStart w:id="188" w:name="_Toc6431"/>
      <w:r>
        <w:rPr>
          <w:rFonts w:hint="eastAsia" w:ascii="Times New Roman" w:hAnsi="Times New Roman"/>
          <w:sz w:val="28"/>
          <w:szCs w:val="28"/>
        </w:rPr>
        <w:t>6.1</w:t>
      </w:r>
      <w:r>
        <w:rPr>
          <w:rFonts w:ascii="Times New Roman" w:hAnsi="Times New Roman"/>
          <w:sz w:val="28"/>
          <w:szCs w:val="28"/>
        </w:rPr>
        <w:t>加强领导，落实防治目标</w:t>
      </w:r>
      <w:bookmarkEnd w:id="186"/>
      <w:bookmarkEnd w:id="187"/>
      <w:bookmarkEnd w:id="188"/>
    </w:p>
    <w:p>
      <w:pPr>
        <w:adjustRightInd w:val="0"/>
        <w:snapToGrid w:val="0"/>
        <w:ind w:firstLine="480" w:firstLineChars="200"/>
        <w:rPr>
          <w:rFonts w:ascii="Times New Roman" w:hAnsi="Times New Roman"/>
          <w:bCs/>
          <w:sz w:val="24"/>
        </w:rPr>
      </w:pPr>
      <w:r>
        <w:rPr>
          <w:rFonts w:ascii="Times New Roman" w:hAnsi="Times New Roman"/>
          <w:bCs/>
          <w:sz w:val="24"/>
        </w:rPr>
        <w:t>坚持属地管理原则，切实加强各部分沟通协调，明确责任分工，深入推进畜禽养殖场污染防治工作。</w:t>
      </w:r>
    </w:p>
    <w:p>
      <w:pPr>
        <w:adjustRightInd w:val="0"/>
        <w:snapToGrid w:val="0"/>
        <w:ind w:firstLine="480" w:firstLineChars="200"/>
        <w:rPr>
          <w:rFonts w:ascii="Times New Roman" w:hAnsi="Times New Roman"/>
          <w:bCs/>
          <w:color w:val="auto"/>
          <w:sz w:val="24"/>
        </w:rPr>
      </w:pPr>
      <w:r>
        <w:rPr>
          <w:rFonts w:ascii="Times New Roman" w:hAnsi="Times New Roman"/>
          <w:bCs/>
          <w:sz w:val="24"/>
        </w:rPr>
        <w:t>农业部门</w:t>
      </w:r>
      <w:r>
        <w:rPr>
          <w:rFonts w:ascii="Times New Roman" w:hAnsi="Times New Roman"/>
          <w:bCs/>
          <w:color w:val="auto"/>
          <w:sz w:val="24"/>
        </w:rPr>
        <w:t>要根据现代畜牧业、生态畜牧业发展的要求，优化区域布局，推进养殖方式转变，做好辖区内规模畜禽养殖项目的审核工作。负责全区规模化畜禽养殖场污染防治的日常监管，配合环保、建设、国土等部门适时抽查，准确掌握辖区内污染防治动态；做好养殖场污染治理、资源化利用等技术指导服务。</w:t>
      </w:r>
    </w:p>
    <w:p>
      <w:pPr>
        <w:adjustRightInd w:val="0"/>
        <w:snapToGrid w:val="0"/>
        <w:ind w:firstLine="480" w:firstLineChars="200"/>
        <w:rPr>
          <w:rFonts w:ascii="Times New Roman" w:hAnsi="Times New Roman"/>
          <w:bCs/>
          <w:color w:val="auto"/>
          <w:sz w:val="24"/>
        </w:rPr>
      </w:pPr>
      <w:r>
        <w:rPr>
          <w:rFonts w:ascii="Times New Roman" w:hAnsi="Times New Roman"/>
          <w:bCs/>
          <w:color w:val="auto"/>
          <w:sz w:val="24"/>
        </w:rPr>
        <w:t>环保部门要负责规模化畜禽养殖场污染处理设施运行情况的日常监管。对日常检查中发现涉嫌偷排、漏排、直排等违法排污行为以及存在建设项目未批先建、污染防治</w:t>
      </w:r>
      <w:r>
        <w:rPr>
          <w:rFonts w:ascii="宋体" w:hAnsi="宋体"/>
          <w:bCs/>
          <w:color w:val="auto"/>
          <w:sz w:val="24"/>
        </w:rPr>
        <w:t>“三同时”</w:t>
      </w:r>
      <w:r>
        <w:rPr>
          <w:rFonts w:ascii="Times New Roman" w:hAnsi="Times New Roman"/>
          <w:bCs/>
          <w:color w:val="auto"/>
          <w:sz w:val="24"/>
        </w:rPr>
        <w:t>未验收等环境违法行为进行立案查处。</w:t>
      </w:r>
    </w:p>
    <w:p>
      <w:pPr>
        <w:adjustRightInd w:val="0"/>
        <w:snapToGrid w:val="0"/>
        <w:ind w:firstLine="480" w:firstLineChars="200"/>
        <w:rPr>
          <w:rFonts w:ascii="Times New Roman" w:hAnsi="Times New Roman"/>
          <w:bCs/>
          <w:sz w:val="24"/>
        </w:rPr>
      </w:pPr>
      <w:r>
        <w:rPr>
          <w:rFonts w:hint="eastAsia" w:ascii="Times New Roman" w:hAnsi="Times New Roman"/>
          <w:bCs/>
          <w:color w:val="auto"/>
          <w:sz w:val="24"/>
        </w:rPr>
        <w:t>各级畜牧技术推广部门要从充分发挥</w:t>
      </w:r>
      <w:r>
        <w:rPr>
          <w:rFonts w:hint="eastAsia" w:ascii="Times New Roman" w:hAnsi="Times New Roman"/>
          <w:bCs/>
          <w:sz w:val="24"/>
        </w:rPr>
        <w:t>雄厚的技术力量和技术推广经验，协调</w:t>
      </w:r>
    </w:p>
    <w:p>
      <w:pPr>
        <w:adjustRightInd w:val="0"/>
        <w:snapToGrid w:val="0"/>
        <w:rPr>
          <w:rFonts w:ascii="Times New Roman" w:hAnsi="Times New Roman"/>
          <w:bCs/>
          <w:color w:val="auto"/>
          <w:sz w:val="24"/>
        </w:rPr>
      </w:pPr>
      <w:r>
        <w:rPr>
          <w:rFonts w:hint="eastAsia" w:ascii="Times New Roman" w:hAnsi="Times New Roman"/>
          <w:bCs/>
          <w:sz w:val="24"/>
        </w:rPr>
        <w:t>科研院所（科技公司）与养殖企业建立连接，负责养殖技术和粪污治理技术的高效转化、推广和示范应用。</w:t>
      </w:r>
    </w:p>
    <w:p>
      <w:pPr>
        <w:adjustRightInd w:val="0"/>
        <w:snapToGrid w:val="0"/>
        <w:ind w:firstLine="480" w:firstLineChars="200"/>
        <w:rPr>
          <w:rFonts w:ascii="Times New Roman" w:hAnsi="Times New Roman"/>
          <w:bCs/>
          <w:color w:val="auto"/>
          <w:sz w:val="24"/>
        </w:rPr>
      </w:pPr>
      <w:r>
        <w:rPr>
          <w:rFonts w:ascii="Times New Roman" w:hAnsi="Times New Roman"/>
          <w:bCs/>
          <w:color w:val="auto"/>
          <w:sz w:val="24"/>
        </w:rPr>
        <w:t>建立健全形成区-乡镇-农村网格化管理工作机制，区政府须成立相应领导机构，进一步加强对畜禽养殖污染防治工作的组织领导，对本辖区内养殖污染治理</w:t>
      </w:r>
      <w:r>
        <w:rPr>
          <w:rFonts w:ascii="Times New Roman" w:hAnsi="Times New Roman"/>
          <w:bCs/>
          <w:color w:val="auto"/>
          <w:sz w:val="24"/>
        </w:rPr>
        <w:t>工作负总责，各乡（镇）、街道作为本辖区畜禽养殖污染防治工作的责任主体，要做好本行政区域的畜禽养殖污染防治工作。</w:t>
      </w:r>
    </w:p>
    <w:p>
      <w:pPr>
        <w:adjustRightInd w:val="0"/>
        <w:snapToGrid w:val="0"/>
        <w:ind w:firstLine="480" w:firstLineChars="200"/>
        <w:rPr>
          <w:rFonts w:ascii="Times New Roman" w:hAnsi="Times New Roman"/>
          <w:bCs/>
          <w:sz w:val="24"/>
        </w:rPr>
      </w:pPr>
      <w:r>
        <w:rPr>
          <w:rFonts w:ascii="Times New Roman" w:hAnsi="Times New Roman"/>
          <w:bCs/>
          <w:sz w:val="24"/>
        </w:rPr>
        <w:t>把畜禽养殖污染防治任务完成情况作为对本辖区各乡镇（街道）政府年度目标责任考核内容，层层明确目标任务，落实防治工作责任。鼓励本辖区规模化畜禽养殖企业实施污染物排放总量削减，对污染物排放总量削减成效显著的企业，予以表彰或奖励。</w:t>
      </w:r>
    </w:p>
    <w:p>
      <w:pPr>
        <w:pStyle w:val="3"/>
        <w:spacing w:before="0" w:after="0" w:line="360" w:lineRule="auto"/>
        <w:rPr>
          <w:rFonts w:ascii="Times New Roman" w:hAnsi="Times New Roman"/>
          <w:sz w:val="28"/>
          <w:szCs w:val="28"/>
        </w:rPr>
      </w:pPr>
      <w:bookmarkStart w:id="189" w:name="_Toc117868798"/>
      <w:bookmarkStart w:id="190" w:name="_Toc15379"/>
      <w:bookmarkStart w:id="191" w:name="_Toc24276"/>
      <w:r>
        <w:rPr>
          <w:rFonts w:hint="eastAsia" w:ascii="Times New Roman" w:hAnsi="Times New Roman"/>
          <w:sz w:val="28"/>
          <w:szCs w:val="28"/>
        </w:rPr>
        <w:t>6.2</w:t>
      </w:r>
      <w:r>
        <w:rPr>
          <w:rFonts w:ascii="Times New Roman" w:hAnsi="Times New Roman"/>
          <w:sz w:val="28"/>
          <w:szCs w:val="28"/>
        </w:rPr>
        <w:t>明确重点，细化防治措施</w:t>
      </w:r>
      <w:bookmarkEnd w:id="189"/>
      <w:bookmarkEnd w:id="190"/>
      <w:bookmarkEnd w:id="191"/>
    </w:p>
    <w:p>
      <w:pPr>
        <w:adjustRightInd w:val="0"/>
        <w:snapToGrid w:val="0"/>
        <w:ind w:firstLine="480" w:firstLineChars="200"/>
        <w:rPr>
          <w:rFonts w:ascii="Times New Roman" w:hAnsi="Times New Roman"/>
          <w:bCs/>
          <w:sz w:val="24"/>
        </w:rPr>
      </w:pPr>
      <w:r>
        <w:rPr>
          <w:rFonts w:ascii="Times New Roman" w:hAnsi="Times New Roman"/>
          <w:bCs/>
          <w:sz w:val="24"/>
        </w:rPr>
        <w:t>加强</w:t>
      </w:r>
      <w:r>
        <w:rPr>
          <w:rFonts w:ascii="Times New Roman" w:hAnsi="Times New Roman"/>
          <w:sz w:val="24"/>
        </w:rPr>
        <w:t>《畜禽规模养殖污染防治条例》和</w:t>
      </w:r>
      <w:r>
        <w:rPr>
          <w:rFonts w:hint="eastAsia" w:ascii="Times New Roman" w:hAnsi="Times New Roman"/>
          <w:sz w:val="24"/>
        </w:rPr>
        <w:t>《四川省畜禽养殖污染防治技术指南（试行）》</w:t>
      </w:r>
      <w:r>
        <w:rPr>
          <w:rFonts w:ascii="Times New Roman" w:hAnsi="Times New Roman"/>
          <w:bCs/>
          <w:sz w:val="24"/>
        </w:rPr>
        <w:t>的贯彻落实，统筹考虑保护环境与促进畜牧业发展的需要，根据水环境功能区要求和区域环境承载能力，细化养殖场整治的验收标准，明确污染物治理设施建设和达标排放要求。</w:t>
      </w:r>
    </w:p>
    <w:p>
      <w:pPr>
        <w:adjustRightInd w:val="0"/>
        <w:snapToGrid w:val="0"/>
        <w:ind w:firstLine="480" w:firstLineChars="200"/>
        <w:rPr>
          <w:rFonts w:ascii="Times New Roman" w:hAnsi="Times New Roman"/>
          <w:bCs/>
          <w:sz w:val="24"/>
        </w:rPr>
      </w:pPr>
      <w:r>
        <w:rPr>
          <w:rFonts w:ascii="Times New Roman" w:hAnsi="Times New Roman"/>
          <w:bCs/>
          <w:sz w:val="24"/>
        </w:rPr>
        <w:t>落实畜禽养殖场污染防治主体责任，实施养殖业主</w:t>
      </w:r>
      <w:r>
        <w:rPr>
          <w:rFonts w:ascii="宋体" w:hAnsi="宋体"/>
          <w:bCs/>
          <w:sz w:val="24"/>
        </w:rPr>
        <w:t>“承诺制”</w:t>
      </w:r>
      <w:r>
        <w:rPr>
          <w:rFonts w:ascii="Times New Roman" w:hAnsi="Times New Roman"/>
          <w:bCs/>
          <w:sz w:val="24"/>
        </w:rPr>
        <w:t>。鼓励规范化、规模化、标准化养殖场兼并小养殖场（户），支持大型养殖场投入治理资金。引导小型养殖场（户）连片、联户整合，建立养殖小区、养殖合作社，整合资金共同做好畜禽养殖污染防治工作。鼓励有运营资质的环保公司开展畜禽养殖场委托运营管理业务，保障养殖场污染治理设施有效运行。</w:t>
      </w:r>
    </w:p>
    <w:p>
      <w:pPr>
        <w:adjustRightInd w:val="0"/>
        <w:snapToGrid w:val="0"/>
        <w:ind w:firstLine="480" w:firstLineChars="200"/>
        <w:rPr>
          <w:rFonts w:ascii="Times New Roman" w:hAnsi="Times New Roman"/>
          <w:bCs/>
          <w:sz w:val="24"/>
        </w:rPr>
      </w:pPr>
      <w:r>
        <w:rPr>
          <w:rFonts w:ascii="Times New Roman" w:hAnsi="Times New Roman"/>
          <w:bCs/>
          <w:sz w:val="24"/>
        </w:rPr>
        <w:t>实施</w:t>
      </w:r>
      <w:r>
        <w:rPr>
          <w:rFonts w:hint="eastAsia" w:ascii="Times New Roman" w:hAnsi="Times New Roman"/>
          <w:bCs/>
          <w:sz w:val="24"/>
        </w:rPr>
        <w:t>“一场一策”</w:t>
      </w:r>
      <w:r>
        <w:rPr>
          <w:rFonts w:ascii="Times New Roman" w:hAnsi="Times New Roman"/>
          <w:bCs/>
          <w:sz w:val="24"/>
        </w:rPr>
        <w:t>档案管理工作</w:t>
      </w:r>
      <w:r>
        <w:rPr>
          <w:rFonts w:hint="eastAsia" w:ascii="Times New Roman" w:hAnsi="Times New Roman"/>
          <w:bCs/>
          <w:sz w:val="24"/>
        </w:rPr>
        <w:t>，</w:t>
      </w:r>
      <w:r>
        <w:rPr>
          <w:rFonts w:ascii="Times New Roman" w:hAnsi="Times New Roman"/>
          <w:bCs/>
          <w:sz w:val="24"/>
        </w:rPr>
        <w:t>各</w:t>
      </w:r>
      <w:r>
        <w:rPr>
          <w:rFonts w:hint="eastAsia" w:ascii="Times New Roman" w:hAnsi="Times New Roman"/>
          <w:bCs/>
          <w:sz w:val="24"/>
        </w:rPr>
        <w:t>乡镇</w:t>
      </w:r>
      <w:r>
        <w:rPr>
          <w:rFonts w:ascii="Times New Roman" w:hAnsi="Times New Roman"/>
          <w:bCs/>
          <w:sz w:val="24"/>
        </w:rPr>
        <w:t>必须将保留的所有规模养殖场都纳入到</w:t>
      </w:r>
      <w:r>
        <w:rPr>
          <w:rFonts w:hint="eastAsia" w:ascii="Times New Roman" w:hAnsi="Times New Roman"/>
          <w:bCs/>
          <w:sz w:val="24"/>
        </w:rPr>
        <w:t>“一场一策</w:t>
      </w:r>
      <w:r>
        <w:rPr>
          <w:rFonts w:hint="eastAsia" w:ascii="Times New Roman" w:hAnsi="Times New Roman"/>
          <w:bCs/>
          <w:color w:val="auto"/>
          <w:sz w:val="24"/>
        </w:rPr>
        <w:t>”</w:t>
      </w:r>
      <w:r>
        <w:rPr>
          <w:rFonts w:ascii="Times New Roman" w:hAnsi="Times New Roman"/>
          <w:bCs/>
          <w:color w:val="auto"/>
          <w:sz w:val="24"/>
        </w:rPr>
        <w:t>的管理体系中来，根据实际情况制定方案，实施治理。在完成治理并通过验收后，要及时将粪污处理工</w:t>
      </w:r>
      <w:r>
        <w:rPr>
          <w:rFonts w:ascii="Times New Roman" w:hAnsi="Times New Roman"/>
          <w:bCs/>
          <w:sz w:val="24"/>
        </w:rPr>
        <w:t>艺、设施建设、消纳协议、运输排放记录、验收意见以及相关证明照片及视频影像资料等有关资料进行汇总，形成完整的、可供实时查阅的整治验收档案。</w:t>
      </w:r>
    </w:p>
    <w:p>
      <w:pPr>
        <w:pStyle w:val="3"/>
        <w:spacing w:before="0" w:after="0" w:line="360" w:lineRule="auto"/>
        <w:rPr>
          <w:rFonts w:ascii="Times New Roman" w:hAnsi="Times New Roman"/>
          <w:sz w:val="28"/>
          <w:szCs w:val="28"/>
        </w:rPr>
      </w:pPr>
      <w:bookmarkStart w:id="192" w:name="_Toc117868799"/>
      <w:bookmarkStart w:id="193" w:name="_Toc10381"/>
      <w:bookmarkStart w:id="194" w:name="_Toc2476"/>
      <w:r>
        <w:rPr>
          <w:rFonts w:hint="eastAsia" w:ascii="Times New Roman" w:hAnsi="Times New Roman"/>
          <w:sz w:val="28"/>
          <w:szCs w:val="28"/>
        </w:rPr>
        <w:t>6.3</w:t>
      </w:r>
      <w:r>
        <w:rPr>
          <w:rFonts w:ascii="Times New Roman" w:hAnsi="Times New Roman"/>
          <w:sz w:val="28"/>
          <w:szCs w:val="28"/>
        </w:rPr>
        <w:t>增加投入，加大政策扶持</w:t>
      </w:r>
      <w:bookmarkEnd w:id="192"/>
      <w:bookmarkEnd w:id="193"/>
      <w:bookmarkEnd w:id="194"/>
    </w:p>
    <w:p>
      <w:pPr>
        <w:adjustRightInd w:val="0"/>
        <w:snapToGrid w:val="0"/>
        <w:ind w:firstLine="480" w:firstLineChars="200"/>
        <w:rPr>
          <w:rFonts w:ascii="Times New Roman" w:hAnsi="Times New Roman"/>
          <w:bCs/>
          <w:sz w:val="24"/>
        </w:rPr>
      </w:pPr>
      <w:r>
        <w:rPr>
          <w:rFonts w:hint="eastAsia" w:ascii="Times New Roman" w:hAnsi="Times New Roman"/>
          <w:bCs/>
          <w:sz w:val="24"/>
        </w:rPr>
        <w:t>充分运用各类扶持政策，健全以绿色发展为导向的现代畜牧政策框架体系。加大财政支持力度，重点加强对龙头企业基地、良种繁育、粪污治理以及屠宰行业升级改造等的财政支持力度，带动社会资本投资；</w:t>
      </w:r>
      <w:r>
        <w:rPr>
          <w:rFonts w:ascii="Times New Roman" w:hAnsi="Times New Roman"/>
          <w:bCs/>
          <w:sz w:val="24"/>
        </w:rPr>
        <w:t>通过涉农财政资金渠道，逐步加大对畜禽养殖污染防治的投入，充分运用税收、信贷、价格等经济手段，吸引地方和社会资金投入畜禽养殖污染防治</w:t>
      </w:r>
      <w:r>
        <w:rPr>
          <w:rFonts w:hint="eastAsia" w:ascii="Times New Roman" w:hAnsi="Times New Roman"/>
          <w:bCs/>
          <w:sz w:val="24"/>
        </w:rPr>
        <w:t>。</w:t>
      </w:r>
    </w:p>
    <w:p>
      <w:pPr>
        <w:adjustRightInd w:val="0"/>
        <w:snapToGrid w:val="0"/>
        <w:ind w:firstLine="480" w:firstLineChars="200"/>
        <w:rPr>
          <w:rFonts w:ascii="Times New Roman" w:hAnsi="Times New Roman"/>
          <w:bCs/>
          <w:sz w:val="24"/>
        </w:rPr>
      </w:pPr>
      <w:r>
        <w:rPr>
          <w:rFonts w:hint="eastAsia" w:ascii="Times New Roman" w:hAnsi="Times New Roman"/>
          <w:bCs/>
          <w:sz w:val="24"/>
        </w:rPr>
        <w:t>强化金融保险政策保障，加强对规模养殖场、种畜禽场等的信贷投放，创新畜禽养殖险种，推进政策性保险全覆盖。简化用地手续，落实取消生猪养殖辅助设施用地15亩上限规定政策。加大招商引资力度，引导社会资本投资养殖业，推动畜牧业现代化发展。</w:t>
      </w:r>
    </w:p>
    <w:p>
      <w:pPr>
        <w:adjustRightInd w:val="0"/>
        <w:snapToGrid w:val="0"/>
        <w:ind w:firstLine="480" w:firstLineChars="200"/>
        <w:rPr>
          <w:rFonts w:ascii="Times New Roman" w:hAnsi="Times New Roman"/>
          <w:bCs/>
          <w:sz w:val="24"/>
        </w:rPr>
      </w:pPr>
      <w:r>
        <w:rPr>
          <w:rFonts w:ascii="Times New Roman" w:hAnsi="Times New Roman"/>
          <w:bCs/>
          <w:color w:val="auto"/>
          <w:sz w:val="24"/>
        </w:rPr>
        <w:t>在畜牧养殖污染治理工作中，区政府要出台畜牧业</w:t>
      </w:r>
      <w:r>
        <w:rPr>
          <w:rFonts w:ascii="Times New Roman" w:hAnsi="Times New Roman"/>
          <w:bCs/>
          <w:sz w:val="24"/>
        </w:rPr>
        <w:t>转型升级、污染防治、生态循环资源化利用等相关政策，鼓励发展畜禽粪便、沼液收集处理配送的社会化服务组织，发展有机肥加工、沼液综合利用和新能源开发，加大对现有规模养殖场的生态化设施改造，特别要制定出台科学合理的畜禽规模养殖场关停搬迁补助政策，落实补助经费。</w:t>
      </w:r>
    </w:p>
    <w:p>
      <w:pPr>
        <w:adjustRightInd w:val="0"/>
        <w:snapToGrid w:val="0"/>
        <w:ind w:firstLine="480" w:firstLineChars="200"/>
        <w:rPr>
          <w:rFonts w:ascii="Times New Roman" w:hAnsi="Times New Roman"/>
          <w:bCs/>
          <w:color w:val="auto"/>
          <w:sz w:val="24"/>
        </w:rPr>
      </w:pPr>
      <w:bookmarkStart w:id="204" w:name="_GoBack"/>
      <w:r>
        <w:rPr>
          <w:rFonts w:ascii="Times New Roman" w:hAnsi="Times New Roman"/>
          <w:bCs/>
          <w:color w:val="auto"/>
          <w:sz w:val="24"/>
        </w:rPr>
        <w:t>要积极向</w:t>
      </w:r>
      <w:r>
        <w:rPr>
          <w:rFonts w:hint="eastAsia" w:ascii="Times New Roman" w:hAnsi="Times New Roman"/>
          <w:bCs/>
          <w:color w:val="auto"/>
          <w:sz w:val="24"/>
        </w:rPr>
        <w:t>省市两级</w:t>
      </w:r>
      <w:r>
        <w:rPr>
          <w:rFonts w:ascii="Times New Roman" w:hAnsi="Times New Roman"/>
          <w:bCs/>
          <w:color w:val="auto"/>
          <w:sz w:val="24"/>
        </w:rPr>
        <w:t>争取各项项目资金，如重点流域水治理项目、减排项目、农村环境整治项目、美丽乡村项目、生态村镇项目等，整合各项目资金有效应用于污染防治工作，减少污染防治资金压力。</w:t>
      </w:r>
    </w:p>
    <w:p>
      <w:pPr>
        <w:adjustRightInd w:val="0"/>
        <w:snapToGrid w:val="0"/>
        <w:ind w:firstLine="480" w:firstLineChars="200"/>
        <w:rPr>
          <w:rFonts w:ascii="Times New Roman" w:hAnsi="Times New Roman"/>
          <w:bCs/>
          <w:sz w:val="24"/>
        </w:rPr>
      </w:pPr>
      <w:r>
        <w:rPr>
          <w:rFonts w:ascii="Times New Roman" w:hAnsi="Times New Roman"/>
          <w:bCs/>
          <w:color w:val="auto"/>
          <w:sz w:val="24"/>
        </w:rPr>
        <w:t>在国家、省市逐步加大投入的同时，要结合实际，鼓励区</w:t>
      </w:r>
      <w:bookmarkEnd w:id="204"/>
      <w:r>
        <w:rPr>
          <w:rFonts w:ascii="Times New Roman" w:hAnsi="Times New Roman"/>
          <w:bCs/>
          <w:sz w:val="24"/>
        </w:rPr>
        <w:t>内养殖企业与高校、科研院所合作，加快研究畜禽废弃物综合利用技术，建立配套技术推广政策。通过技术研发和生产实践，创新畜禽养殖污染防治的新方法、新途径。</w:t>
      </w:r>
    </w:p>
    <w:p>
      <w:pPr>
        <w:pStyle w:val="3"/>
        <w:spacing w:before="0" w:after="0" w:line="360" w:lineRule="auto"/>
        <w:rPr>
          <w:rFonts w:ascii="Times New Roman" w:hAnsi="Times New Roman"/>
          <w:sz w:val="28"/>
          <w:szCs w:val="28"/>
        </w:rPr>
      </w:pPr>
      <w:bookmarkStart w:id="195" w:name="_Toc117868800"/>
      <w:r>
        <w:rPr>
          <w:rFonts w:hint="eastAsia" w:ascii="Times New Roman" w:hAnsi="Times New Roman"/>
          <w:sz w:val="28"/>
          <w:szCs w:val="28"/>
        </w:rPr>
        <w:t>6.4深化</w:t>
      </w:r>
      <w:r>
        <w:rPr>
          <w:rFonts w:ascii="Times New Roman" w:hAnsi="Times New Roman"/>
          <w:sz w:val="28"/>
          <w:szCs w:val="28"/>
        </w:rPr>
        <w:t>合作，</w:t>
      </w:r>
      <w:r>
        <w:rPr>
          <w:rFonts w:hint="eastAsia" w:ascii="Times New Roman" w:hAnsi="Times New Roman"/>
          <w:sz w:val="28"/>
          <w:szCs w:val="28"/>
        </w:rPr>
        <w:t>强化科技支撑</w:t>
      </w:r>
      <w:bookmarkEnd w:id="195"/>
    </w:p>
    <w:p>
      <w:pPr>
        <w:adjustRightInd w:val="0"/>
        <w:snapToGrid w:val="0"/>
        <w:ind w:firstLine="480" w:firstLineChars="200"/>
        <w:rPr>
          <w:rFonts w:ascii="Times New Roman" w:hAnsi="Times New Roman"/>
          <w:bCs/>
          <w:sz w:val="24"/>
        </w:rPr>
      </w:pPr>
      <w:bookmarkStart w:id="196" w:name="_Toc21230"/>
      <w:bookmarkStart w:id="197" w:name="_Toc24827"/>
      <w:r>
        <w:rPr>
          <w:rFonts w:ascii="Times New Roman" w:hAnsi="Times New Roman"/>
          <w:bCs/>
          <w:sz w:val="24"/>
        </w:rPr>
        <w:t>健全畜牧业科技推广服务体系，构建以龙头企业为主导，合作社</w:t>
      </w:r>
      <w:r>
        <w:rPr>
          <w:rFonts w:hint="eastAsia" w:ascii="Times New Roman" w:hAnsi="Times New Roman"/>
          <w:bCs/>
          <w:sz w:val="24"/>
        </w:rPr>
        <w:t>、</w:t>
      </w:r>
      <w:r>
        <w:rPr>
          <w:rFonts w:ascii="Times New Roman" w:hAnsi="Times New Roman"/>
          <w:bCs/>
          <w:sz w:val="24"/>
        </w:rPr>
        <w:t>家庭农场为基础，政府、农业科研等单位广泛参与、分工协作、服务到位、充满活力的多元化基层农业技术推广体系。通过联合申报项目、新品种、新技术、新模式、新设施推广示范等方式，加深企业、农民专业合作社与科研院所</w:t>
      </w:r>
      <w:r>
        <w:rPr>
          <w:rFonts w:hint="eastAsia" w:ascii="Times New Roman" w:hAnsi="Times New Roman"/>
          <w:bCs/>
          <w:sz w:val="24"/>
        </w:rPr>
        <w:t>、高等</w:t>
      </w:r>
      <w:r>
        <w:rPr>
          <w:rFonts w:ascii="Times New Roman" w:hAnsi="Times New Roman"/>
          <w:bCs/>
          <w:sz w:val="24"/>
        </w:rPr>
        <w:t>院校之间的联系，提高农业科技入户率。</w:t>
      </w:r>
      <w:r>
        <w:rPr>
          <w:rFonts w:hint="eastAsia" w:ascii="Times New Roman" w:hAnsi="Times New Roman"/>
          <w:bCs/>
          <w:sz w:val="24"/>
        </w:rPr>
        <w:t>深入</w:t>
      </w:r>
      <w:r>
        <w:rPr>
          <w:rFonts w:ascii="Times New Roman" w:hAnsi="Times New Roman"/>
          <w:bCs/>
          <w:sz w:val="24"/>
        </w:rPr>
        <w:t>实施职业农民培训</w:t>
      </w:r>
      <w:r>
        <w:rPr>
          <w:rFonts w:hint="eastAsia" w:ascii="Times New Roman" w:hAnsi="Times New Roman"/>
          <w:bCs/>
          <w:sz w:val="24"/>
        </w:rPr>
        <w:t>工程</w:t>
      </w:r>
      <w:r>
        <w:rPr>
          <w:rFonts w:ascii="Times New Roman" w:hAnsi="Times New Roman"/>
          <w:bCs/>
          <w:sz w:val="24"/>
        </w:rPr>
        <w:t>、科技入户工程，着力培养适应</w:t>
      </w:r>
      <w:r>
        <w:rPr>
          <w:rFonts w:hint="eastAsia" w:ascii="Times New Roman" w:hAnsi="Times New Roman"/>
          <w:bCs/>
          <w:sz w:val="24"/>
        </w:rPr>
        <w:t>现代化畜牧业所</w:t>
      </w:r>
      <w:r>
        <w:rPr>
          <w:rFonts w:ascii="Times New Roman" w:hAnsi="Times New Roman"/>
          <w:bCs/>
          <w:sz w:val="24"/>
        </w:rPr>
        <w:t>需的技能型人才。</w:t>
      </w:r>
    </w:p>
    <w:bookmarkEnd w:id="196"/>
    <w:bookmarkEnd w:id="197"/>
    <w:p>
      <w:pPr>
        <w:pStyle w:val="3"/>
        <w:spacing w:before="0" w:after="0" w:line="360" w:lineRule="auto"/>
        <w:rPr>
          <w:rFonts w:ascii="Times New Roman" w:hAnsi="Times New Roman"/>
          <w:sz w:val="28"/>
          <w:szCs w:val="28"/>
        </w:rPr>
      </w:pPr>
      <w:bookmarkStart w:id="198" w:name="_Toc117868801"/>
      <w:r>
        <w:rPr>
          <w:rFonts w:hint="eastAsia" w:ascii="Times New Roman" w:hAnsi="Times New Roman"/>
          <w:sz w:val="28"/>
          <w:szCs w:val="28"/>
        </w:rPr>
        <w:t>6.5强化技术</w:t>
      </w:r>
      <w:r>
        <w:rPr>
          <w:rFonts w:ascii="Times New Roman" w:hAnsi="Times New Roman"/>
          <w:sz w:val="28"/>
          <w:szCs w:val="28"/>
        </w:rPr>
        <w:t>，</w:t>
      </w:r>
      <w:r>
        <w:rPr>
          <w:rFonts w:hint="eastAsia" w:ascii="Times New Roman" w:hAnsi="Times New Roman"/>
          <w:sz w:val="28"/>
          <w:szCs w:val="28"/>
        </w:rPr>
        <w:t>提升</w:t>
      </w:r>
      <w:r>
        <w:rPr>
          <w:rFonts w:ascii="Times New Roman" w:hAnsi="Times New Roman"/>
          <w:sz w:val="28"/>
          <w:szCs w:val="28"/>
        </w:rPr>
        <w:t>服务</w:t>
      </w:r>
      <w:r>
        <w:rPr>
          <w:rFonts w:hint="eastAsia" w:ascii="Times New Roman" w:hAnsi="Times New Roman"/>
          <w:sz w:val="28"/>
          <w:szCs w:val="28"/>
        </w:rPr>
        <w:t>水平</w:t>
      </w:r>
      <w:bookmarkEnd w:id="198"/>
    </w:p>
    <w:p>
      <w:pPr>
        <w:adjustRightInd w:val="0"/>
        <w:snapToGrid w:val="0"/>
        <w:ind w:firstLine="480" w:firstLineChars="200"/>
        <w:rPr>
          <w:rFonts w:ascii="Times New Roman" w:hAnsi="Times New Roman"/>
          <w:bCs/>
          <w:sz w:val="24"/>
        </w:rPr>
      </w:pPr>
      <w:r>
        <w:rPr>
          <w:rFonts w:ascii="Times New Roman" w:hAnsi="Times New Roman"/>
          <w:bCs/>
          <w:sz w:val="24"/>
        </w:rPr>
        <w:t>建立</w:t>
      </w:r>
      <w:r>
        <w:rPr>
          <w:rFonts w:hint="eastAsia" w:ascii="Times New Roman" w:hAnsi="Times New Roman"/>
          <w:bCs/>
          <w:sz w:val="24"/>
        </w:rPr>
        <w:t>全</w:t>
      </w:r>
      <w:r>
        <w:rPr>
          <w:rFonts w:ascii="Times New Roman" w:hAnsi="Times New Roman"/>
          <w:bCs/>
          <w:sz w:val="24"/>
        </w:rPr>
        <w:t>区畜禽养殖污染防治专家信息库，为环境管理和技术咨询提供支撑。区政府有关部门要定期组织开展技术交流和人员培训，重点培训畜禽养殖污染防治法律法规、设施管理和运行维护、实用技术等，把畜禽排泄物治理技术作为新型农民科技培训、农村劳动力转移培训和农民素质教育工程的重要内容，逐步提高从业人员的技术能力。</w:t>
      </w:r>
    </w:p>
    <w:p>
      <w:pPr>
        <w:pStyle w:val="3"/>
        <w:spacing w:before="0" w:after="0" w:line="360" w:lineRule="auto"/>
        <w:rPr>
          <w:rFonts w:ascii="Times New Roman" w:hAnsi="Times New Roman"/>
          <w:sz w:val="28"/>
          <w:szCs w:val="28"/>
        </w:rPr>
      </w:pPr>
      <w:bookmarkStart w:id="199" w:name="_Toc117868802"/>
      <w:r>
        <w:rPr>
          <w:rFonts w:hint="eastAsia" w:ascii="Times New Roman" w:hAnsi="Times New Roman"/>
          <w:sz w:val="28"/>
          <w:szCs w:val="28"/>
        </w:rPr>
        <w:t>6.6</w:t>
      </w:r>
      <w:r>
        <w:rPr>
          <w:rFonts w:ascii="Times New Roman" w:hAnsi="Times New Roman"/>
          <w:sz w:val="28"/>
          <w:szCs w:val="28"/>
        </w:rPr>
        <w:t>加强宣传，营造治理氛围</w:t>
      </w:r>
      <w:bookmarkEnd w:id="199"/>
    </w:p>
    <w:p>
      <w:pPr>
        <w:adjustRightInd w:val="0"/>
        <w:snapToGrid w:val="0"/>
        <w:ind w:firstLine="480" w:firstLineChars="200"/>
        <w:rPr>
          <w:rFonts w:ascii="Times New Roman" w:hAnsi="Times New Roman"/>
          <w:bCs/>
          <w:sz w:val="24"/>
        </w:rPr>
      </w:pPr>
      <w:r>
        <w:rPr>
          <w:rFonts w:ascii="Times New Roman" w:hAnsi="Times New Roman"/>
          <w:bCs/>
          <w:sz w:val="24"/>
        </w:rPr>
        <w:t>积极开展畜禽养殖污染防治工作的宣传教育，营造良好的舆论氛围。通过广播电视、报刊网络、微博微信等不同媒介，对畜禽养殖污染防治工作广泛宣传，推广农村畜禽养殖管理和污染防治实用技术，提高从业人员和群众的环保意识，营造政府引导、业主自律、群众监督的良好氛围。</w:t>
      </w:r>
    </w:p>
    <w:p>
      <w:pPr>
        <w:adjustRightInd w:val="0"/>
        <w:snapToGrid w:val="0"/>
        <w:ind w:firstLine="480" w:firstLineChars="200"/>
        <w:rPr>
          <w:rFonts w:ascii="Times New Roman" w:hAnsi="Times New Roman"/>
          <w:bCs/>
          <w:sz w:val="24"/>
        </w:rPr>
      </w:pPr>
      <w:r>
        <w:rPr>
          <w:rFonts w:ascii="Times New Roman" w:hAnsi="Times New Roman"/>
          <w:bCs/>
          <w:sz w:val="24"/>
        </w:rPr>
        <w:t>充分发挥社会舆论的监督作用，及时通报各地禽养殖污染治理工作进展、亮点与问题，对治理不力、严重污染水环境的生产主体进行曝光，掌握舆论宣传工作的主动权。</w:t>
      </w:r>
    </w:p>
    <w:p>
      <w:pPr>
        <w:adjustRightInd w:val="0"/>
        <w:snapToGrid w:val="0"/>
        <w:ind w:firstLine="480" w:firstLineChars="200"/>
        <w:rPr>
          <w:rFonts w:ascii="Times New Roman" w:hAnsi="Times New Roman"/>
          <w:bCs/>
          <w:sz w:val="24"/>
        </w:rPr>
      </w:pPr>
      <w:r>
        <w:rPr>
          <w:rFonts w:ascii="Times New Roman" w:hAnsi="Times New Roman"/>
          <w:bCs/>
          <w:sz w:val="24"/>
        </w:rPr>
        <w:t>积极鼓励村民自治组织和畜禽养殖协会制定相关规程，提高广大养殖户的责任意识，进一步规范畜禽养殖行为。</w:t>
      </w:r>
    </w:p>
    <w:p>
      <w:pPr>
        <w:adjustRightInd w:val="0"/>
        <w:snapToGrid w:val="0"/>
        <w:ind w:firstLine="480" w:firstLineChars="200"/>
        <w:rPr>
          <w:rFonts w:ascii="Times New Roman" w:hAnsi="Times New Roman"/>
          <w:bCs/>
          <w:sz w:val="24"/>
        </w:rPr>
      </w:pPr>
    </w:p>
    <w:p>
      <w:pPr>
        <w:adjustRightInd w:val="0"/>
        <w:snapToGrid w:val="0"/>
        <w:ind w:firstLine="480" w:firstLineChars="200"/>
        <w:rPr>
          <w:rFonts w:ascii="Times New Roman" w:hAnsi="Times New Roman"/>
          <w:bCs/>
          <w:sz w:val="24"/>
        </w:rPr>
      </w:pPr>
    </w:p>
    <w:p>
      <w:pPr>
        <w:adjustRightInd w:val="0"/>
        <w:snapToGrid w:val="0"/>
        <w:ind w:firstLine="480" w:firstLineChars="200"/>
        <w:rPr>
          <w:rFonts w:ascii="Times New Roman" w:hAnsi="Times New Roman"/>
          <w:bCs/>
          <w:sz w:val="24"/>
        </w:rPr>
      </w:pPr>
    </w:p>
    <w:p>
      <w:pPr>
        <w:adjustRightInd w:val="0"/>
        <w:snapToGrid w:val="0"/>
        <w:ind w:firstLine="480" w:firstLineChars="200"/>
        <w:rPr>
          <w:rFonts w:ascii="Times New Roman" w:hAnsi="Times New Roman"/>
          <w:bCs/>
          <w:sz w:val="24"/>
        </w:rPr>
      </w:pPr>
      <w:r>
        <w:rPr>
          <w:rFonts w:ascii="Times New Roman" w:hAnsi="Times New Roman"/>
          <w:bCs/>
          <w:sz w:val="24"/>
        </w:rPr>
        <w:br w:type="page"/>
      </w:r>
    </w:p>
    <w:p>
      <w:pPr>
        <w:pStyle w:val="22"/>
        <w:rPr>
          <w:rFonts w:ascii="黑体" w:hAnsi="黑体" w:eastAsia="黑体"/>
        </w:rPr>
      </w:pPr>
      <w:r>
        <w:fldChar w:fldCharType="begin"/>
      </w:r>
      <w:r>
        <w:instrText xml:space="preserve"> HYPERLINK \l "_Toc500364893" </w:instrText>
      </w:r>
      <w:r>
        <w:fldChar w:fldCharType="separate"/>
      </w:r>
      <w:bookmarkStart w:id="200" w:name="_Toc117868803"/>
      <w:r>
        <w:rPr>
          <w:rFonts w:hint="eastAsia" w:ascii="黑体" w:hAnsi="黑体" w:eastAsia="黑体"/>
        </w:rPr>
        <w:t>第7章</w:t>
      </w:r>
      <w:r>
        <w:rPr>
          <w:rFonts w:ascii="黑体" w:hAnsi="黑体" w:eastAsia="黑体"/>
        </w:rPr>
        <w:t xml:space="preserve"> </w:t>
      </w:r>
      <w:r>
        <w:rPr>
          <w:rFonts w:ascii="黑体" w:hAnsi="黑体" w:eastAsia="黑体"/>
        </w:rPr>
        <w:fldChar w:fldCharType="end"/>
      </w:r>
      <w:r>
        <w:rPr>
          <w:rFonts w:hint="eastAsia" w:ascii="黑体" w:hAnsi="黑体" w:eastAsia="黑体"/>
        </w:rPr>
        <w:t>附件</w:t>
      </w:r>
      <w:bookmarkEnd w:id="200"/>
    </w:p>
    <w:p>
      <w:pPr>
        <w:pStyle w:val="22"/>
        <w:jc w:val="both"/>
        <w:rPr>
          <w:rFonts w:ascii="Times New Roman" w:hAnsi="Times New Roman"/>
          <w:sz w:val="28"/>
          <w:szCs w:val="28"/>
        </w:rPr>
      </w:pPr>
      <w:bookmarkStart w:id="201" w:name="_Toc117868804"/>
      <w:r>
        <w:rPr>
          <w:rFonts w:ascii="Times New Roman" w:hAnsi="Times New Roman"/>
          <w:sz w:val="28"/>
          <w:szCs w:val="28"/>
        </w:rPr>
        <w:t>附件</w:t>
      </w:r>
      <w:r>
        <w:rPr>
          <w:rFonts w:hint="eastAsia" w:ascii="Times New Roman" w:hAnsi="Times New Roman"/>
          <w:sz w:val="28"/>
          <w:szCs w:val="28"/>
        </w:rPr>
        <w:t>1 《乐山市市中区畜禽养殖禁养区划定调整方案》文件</w:t>
      </w:r>
      <w:bookmarkEnd w:id="201"/>
    </w:p>
    <w:p>
      <w:pPr>
        <w:pStyle w:val="6"/>
      </w:pPr>
      <w:r>
        <w:drawing>
          <wp:inline distT="0" distB="0" distL="114300" distR="114300">
            <wp:extent cx="4857115" cy="6551930"/>
            <wp:effectExtent l="0" t="0" r="635" b="127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17"/>
                    <a:stretch>
                      <a:fillRect/>
                    </a:stretch>
                  </pic:blipFill>
                  <pic:spPr>
                    <a:xfrm>
                      <a:off x="0" y="0"/>
                      <a:ext cx="4857115" cy="6551930"/>
                    </a:xfrm>
                    <a:prstGeom prst="rect">
                      <a:avLst/>
                    </a:prstGeom>
                    <a:noFill/>
                    <a:ln>
                      <a:noFill/>
                    </a:ln>
                  </pic:spPr>
                </pic:pic>
              </a:graphicData>
            </a:graphic>
          </wp:inline>
        </w:drawing>
      </w:r>
    </w:p>
    <w:p>
      <w:pPr>
        <w:pStyle w:val="6"/>
      </w:pPr>
    </w:p>
    <w:p>
      <w:pPr>
        <w:pStyle w:val="6"/>
      </w:pPr>
    </w:p>
    <w:p>
      <w:pPr>
        <w:pStyle w:val="7"/>
      </w:pPr>
    </w:p>
    <w:p>
      <w:pPr>
        <w:pStyle w:val="22"/>
        <w:jc w:val="both"/>
        <w:rPr>
          <w:rFonts w:ascii="Times New Roman" w:hAnsi="Times New Roman"/>
          <w:sz w:val="28"/>
          <w:szCs w:val="28"/>
        </w:rPr>
      </w:pPr>
      <w:bookmarkStart w:id="202" w:name="_Toc117868805"/>
      <w:r>
        <w:rPr>
          <w:rFonts w:ascii="Times New Roman" w:hAnsi="Times New Roman"/>
          <w:sz w:val="28"/>
          <w:szCs w:val="28"/>
        </w:rPr>
        <w:t>附件</w:t>
      </w:r>
      <w:r>
        <w:rPr>
          <w:rFonts w:hint="eastAsia" w:ascii="Times New Roman" w:hAnsi="Times New Roman"/>
          <w:sz w:val="28"/>
          <w:szCs w:val="28"/>
        </w:rPr>
        <w:t>2 乐山市市中区畜禽养殖禁养区分布图</w:t>
      </w:r>
      <w:bookmarkEnd w:id="202"/>
    </w:p>
    <w:p>
      <w:pPr>
        <w:pStyle w:val="6"/>
        <w:ind w:firstLine="0"/>
      </w:pPr>
      <w:r>
        <w:drawing>
          <wp:inline distT="0" distB="0" distL="114300" distR="114300">
            <wp:extent cx="5184775" cy="3718560"/>
            <wp:effectExtent l="0" t="0" r="15875" b="1524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18"/>
                    <a:stretch>
                      <a:fillRect/>
                    </a:stretch>
                  </pic:blipFill>
                  <pic:spPr>
                    <a:xfrm>
                      <a:off x="0" y="0"/>
                      <a:ext cx="5184775" cy="3718560"/>
                    </a:xfrm>
                    <a:prstGeom prst="rect">
                      <a:avLst/>
                    </a:prstGeom>
                    <a:noFill/>
                    <a:ln>
                      <a:noFill/>
                    </a:ln>
                  </pic:spPr>
                </pic:pic>
              </a:graphicData>
            </a:graphic>
          </wp:inline>
        </w:drawing>
      </w:r>
    </w:p>
    <w:p>
      <w:pPr>
        <w:pStyle w:val="6"/>
      </w:pPr>
    </w:p>
    <w:p>
      <w:pPr>
        <w:pStyle w:val="6"/>
      </w:pPr>
    </w:p>
    <w:p>
      <w:pPr>
        <w:pStyle w:val="6"/>
      </w:pPr>
    </w:p>
    <w:p>
      <w:pPr>
        <w:pStyle w:val="6"/>
      </w:pPr>
    </w:p>
    <w:p>
      <w:pPr>
        <w:pStyle w:val="6"/>
      </w:pPr>
    </w:p>
    <w:p>
      <w:pPr>
        <w:sectPr>
          <w:pgSz w:w="11906" w:h="16838"/>
          <w:pgMar w:top="1440" w:right="1800" w:bottom="1440" w:left="1800" w:header="851" w:footer="992" w:gutter="0"/>
          <w:cols w:space="720" w:num="1"/>
          <w:docGrid w:type="lines" w:linePitch="381" w:charSpace="0"/>
        </w:sectPr>
      </w:pPr>
    </w:p>
    <w:p>
      <w:pPr>
        <w:pStyle w:val="22"/>
        <w:jc w:val="both"/>
        <w:rPr>
          <w:rFonts w:ascii="Times New Roman" w:hAnsi="Times New Roman"/>
          <w:sz w:val="28"/>
          <w:szCs w:val="28"/>
        </w:rPr>
      </w:pPr>
      <w:bookmarkStart w:id="203" w:name="_Toc117868806"/>
      <w:r>
        <w:rPr>
          <w:rFonts w:hint="eastAsia" w:ascii="Times New Roman" w:hAnsi="Times New Roman"/>
          <w:sz w:val="28"/>
          <w:szCs w:val="28"/>
        </w:rPr>
        <w:t xml:space="preserve">附件3 </w:t>
      </w:r>
      <w:r>
        <w:rPr>
          <w:rFonts w:ascii="Times New Roman" w:hAnsi="Times New Roman"/>
          <w:sz w:val="28"/>
          <w:szCs w:val="28"/>
        </w:rPr>
        <w:t>乐山市市中区禽畜养殖污染防治工程建设项目清单</w:t>
      </w:r>
      <w:bookmarkEnd w:id="20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717"/>
        <w:gridCol w:w="4721"/>
        <w:gridCol w:w="1288"/>
        <w:gridCol w:w="2002"/>
        <w:gridCol w:w="1454"/>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trPr>
        <w:tc>
          <w:tcPr>
            <w:tcW w:w="825"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序号</w:t>
            </w:r>
          </w:p>
        </w:tc>
        <w:tc>
          <w:tcPr>
            <w:tcW w:w="1717"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项目名称</w:t>
            </w:r>
          </w:p>
        </w:tc>
        <w:tc>
          <w:tcPr>
            <w:tcW w:w="4721"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建设内容</w:t>
            </w:r>
          </w:p>
        </w:tc>
        <w:tc>
          <w:tcPr>
            <w:tcW w:w="1288"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建设地点</w:t>
            </w:r>
          </w:p>
        </w:tc>
        <w:tc>
          <w:tcPr>
            <w:tcW w:w="2002"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投资预算（万元）</w:t>
            </w:r>
          </w:p>
        </w:tc>
        <w:tc>
          <w:tcPr>
            <w:tcW w:w="1454"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建设时段</w:t>
            </w:r>
          </w:p>
        </w:tc>
        <w:tc>
          <w:tcPr>
            <w:tcW w:w="2002"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25" w:type="dxa"/>
            <w:shd w:val="clear" w:color="auto" w:fill="auto"/>
            <w:vAlign w:val="center"/>
          </w:tcPr>
          <w:p>
            <w:pPr>
              <w:spacing w:line="240" w:lineRule="auto"/>
              <w:jc w:val="center"/>
              <w:rPr>
                <w:rFonts w:ascii="Times New Roman" w:hAnsi="Times New Roman"/>
                <w:sz w:val="24"/>
              </w:rPr>
            </w:pPr>
            <w:r>
              <w:rPr>
                <w:rFonts w:ascii="Times New Roman" w:hAnsi="Times New Roman"/>
                <w:sz w:val="24"/>
              </w:rPr>
              <w:t>1</w:t>
            </w:r>
          </w:p>
        </w:tc>
        <w:tc>
          <w:tcPr>
            <w:tcW w:w="1717" w:type="dxa"/>
            <w:shd w:val="clear" w:color="auto" w:fill="auto"/>
            <w:vAlign w:val="center"/>
          </w:tcPr>
          <w:p>
            <w:pPr>
              <w:spacing w:line="240" w:lineRule="auto"/>
              <w:jc w:val="left"/>
              <w:rPr>
                <w:rFonts w:ascii="Times New Roman" w:hAnsi="Times New Roman"/>
                <w:sz w:val="24"/>
              </w:rPr>
            </w:pPr>
            <w:r>
              <w:rPr>
                <w:rFonts w:ascii="Times New Roman" w:hAnsi="Times New Roman"/>
                <w:color w:val="000000"/>
                <w:kern w:val="0"/>
                <w:sz w:val="24"/>
              </w:rPr>
              <w:t>农村环境综合治理工程</w:t>
            </w:r>
          </w:p>
        </w:tc>
        <w:tc>
          <w:tcPr>
            <w:tcW w:w="4721" w:type="dxa"/>
            <w:shd w:val="clear" w:color="auto" w:fill="auto"/>
            <w:vAlign w:val="center"/>
          </w:tcPr>
          <w:p>
            <w:pPr>
              <w:spacing w:line="276" w:lineRule="auto"/>
              <w:jc w:val="left"/>
              <w:rPr>
                <w:rFonts w:ascii="Times New Roman" w:hAnsi="Times New Roman"/>
                <w:color w:val="000000"/>
                <w:kern w:val="0"/>
                <w:sz w:val="24"/>
              </w:rPr>
            </w:pPr>
            <w:r>
              <w:rPr>
                <w:rFonts w:ascii="Times New Roman" w:hAnsi="Times New Roman"/>
                <w:color w:val="000000"/>
                <w:kern w:val="0"/>
                <w:sz w:val="24"/>
              </w:rPr>
              <w:t>统筹推进生活垃圾治理、污水治理、厕所革命、村庄清洁和畜禽粪污资源化利用</w:t>
            </w:r>
            <w:r>
              <w:rPr>
                <w:rFonts w:ascii="宋体" w:hAnsi="宋体"/>
                <w:color w:val="000000"/>
                <w:kern w:val="0"/>
                <w:sz w:val="24"/>
              </w:rPr>
              <w:t>“五大专项提升行动”</w:t>
            </w:r>
            <w:r>
              <w:rPr>
                <w:rFonts w:hint="eastAsia" w:ascii="宋体" w:hAnsi="宋体"/>
                <w:color w:val="000000"/>
                <w:kern w:val="0"/>
                <w:sz w:val="24"/>
              </w:rPr>
              <w:t>，</w:t>
            </w:r>
            <w:r>
              <w:rPr>
                <w:rFonts w:ascii="Times New Roman" w:hAnsi="Times New Roman"/>
                <w:color w:val="000000"/>
                <w:kern w:val="0"/>
                <w:sz w:val="24"/>
              </w:rPr>
              <w:t>采取城镇周边农村生活污水管网延伸、聚居点污水集中处理、散居农户分散处理的方式进行农户生活污水治理；农村垃圾、畜禽养殖业污染治理；农村水源地整治等，治理农户约3.7万户。</w:t>
            </w:r>
          </w:p>
        </w:tc>
        <w:tc>
          <w:tcPr>
            <w:tcW w:w="1288" w:type="dxa"/>
            <w:shd w:val="clear" w:color="auto" w:fill="auto"/>
            <w:vAlign w:val="center"/>
          </w:tcPr>
          <w:p>
            <w:pPr>
              <w:spacing w:line="260" w:lineRule="exact"/>
              <w:jc w:val="center"/>
              <w:rPr>
                <w:rFonts w:ascii="Times New Roman" w:hAnsi="Times New Roman"/>
                <w:color w:val="000000"/>
                <w:kern w:val="0"/>
                <w:sz w:val="24"/>
              </w:rPr>
            </w:pPr>
            <w:r>
              <w:rPr>
                <w:rFonts w:ascii="Times New Roman" w:hAnsi="Times New Roman"/>
                <w:color w:val="000000"/>
                <w:kern w:val="0"/>
                <w:sz w:val="24"/>
              </w:rPr>
              <w:t>市中区</w:t>
            </w:r>
          </w:p>
        </w:tc>
        <w:tc>
          <w:tcPr>
            <w:tcW w:w="2002" w:type="dxa"/>
            <w:shd w:val="clear" w:color="auto" w:fill="auto"/>
            <w:vAlign w:val="center"/>
          </w:tcPr>
          <w:p>
            <w:pPr>
              <w:spacing w:line="260" w:lineRule="exact"/>
              <w:jc w:val="center"/>
              <w:rPr>
                <w:rFonts w:ascii="Times New Roman" w:hAnsi="Times New Roman"/>
                <w:color w:val="000000"/>
                <w:kern w:val="0"/>
                <w:sz w:val="24"/>
              </w:rPr>
            </w:pPr>
            <w:r>
              <w:rPr>
                <w:rFonts w:ascii="Times New Roman" w:hAnsi="Times New Roman"/>
                <w:color w:val="000000"/>
                <w:kern w:val="0"/>
                <w:sz w:val="24"/>
              </w:rPr>
              <w:t>10000</w:t>
            </w:r>
          </w:p>
        </w:tc>
        <w:tc>
          <w:tcPr>
            <w:tcW w:w="1454" w:type="dxa"/>
            <w:shd w:val="clear" w:color="auto" w:fill="auto"/>
            <w:vAlign w:val="center"/>
          </w:tcPr>
          <w:p>
            <w:pPr>
              <w:spacing w:line="260" w:lineRule="exact"/>
              <w:jc w:val="center"/>
              <w:rPr>
                <w:rFonts w:ascii="Times New Roman" w:hAnsi="Times New Roman"/>
                <w:color w:val="000000"/>
                <w:kern w:val="0"/>
                <w:sz w:val="24"/>
              </w:rPr>
            </w:pPr>
            <w:r>
              <w:rPr>
                <w:rFonts w:ascii="Times New Roman" w:hAnsi="Times New Roman"/>
                <w:color w:val="000000"/>
                <w:kern w:val="0"/>
                <w:sz w:val="24"/>
              </w:rPr>
              <w:t>2021-2025</w:t>
            </w:r>
          </w:p>
        </w:tc>
        <w:tc>
          <w:tcPr>
            <w:tcW w:w="2002" w:type="dxa"/>
            <w:shd w:val="clear" w:color="auto" w:fill="auto"/>
            <w:vAlign w:val="center"/>
          </w:tcPr>
          <w:p>
            <w:pPr>
              <w:spacing w:line="276" w:lineRule="auto"/>
              <w:jc w:val="center"/>
              <w:rPr>
                <w:rFonts w:ascii="Times New Roman" w:hAnsi="Times New Roman"/>
                <w:color w:val="000000"/>
                <w:kern w:val="0"/>
                <w:sz w:val="24"/>
              </w:rPr>
            </w:pPr>
            <w:r>
              <w:rPr>
                <w:rFonts w:ascii="Times New Roman" w:hAnsi="Times New Roman"/>
                <w:color w:val="000000"/>
                <w:kern w:val="0"/>
                <w:sz w:val="24"/>
              </w:rPr>
              <w:t>区生态环境局、区市容管理局、区农业农村局、各镇（涉农街道）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2</w:t>
            </w:r>
          </w:p>
        </w:tc>
        <w:tc>
          <w:tcPr>
            <w:tcW w:w="1717" w:type="dxa"/>
            <w:shd w:val="clear" w:color="auto" w:fill="auto"/>
            <w:vAlign w:val="center"/>
          </w:tcPr>
          <w:p>
            <w:pPr>
              <w:spacing w:line="240" w:lineRule="auto"/>
              <w:jc w:val="left"/>
              <w:rPr>
                <w:rFonts w:ascii="Times New Roman" w:hAnsi="Times New Roman"/>
                <w:sz w:val="24"/>
              </w:rPr>
            </w:pPr>
            <w:r>
              <w:rPr>
                <w:rFonts w:hint="eastAsia" w:ascii="Times New Roman" w:hAnsi="Times New Roman"/>
                <w:bCs/>
                <w:sz w:val="24"/>
              </w:rPr>
              <w:t>畜禽粪污资源化利用整区推进项目</w:t>
            </w:r>
          </w:p>
        </w:tc>
        <w:tc>
          <w:tcPr>
            <w:tcW w:w="4721" w:type="dxa"/>
            <w:shd w:val="clear" w:color="auto" w:fill="auto"/>
            <w:vAlign w:val="center"/>
          </w:tcPr>
          <w:p>
            <w:pPr>
              <w:spacing w:line="276" w:lineRule="auto"/>
              <w:jc w:val="left"/>
              <w:rPr>
                <w:color w:val="000000"/>
                <w:kern w:val="0"/>
                <w:szCs w:val="21"/>
              </w:rPr>
            </w:pPr>
            <w:r>
              <w:rPr>
                <w:rFonts w:hint="eastAsia" w:ascii="Times New Roman" w:hAnsi="Times New Roman"/>
                <w:color w:val="000000"/>
                <w:kern w:val="0"/>
                <w:sz w:val="24"/>
              </w:rPr>
              <w:t>完善配套市中区畜禽规模养殖场粪污收集、无害化处理、利用设施；种植业消纳示范基地消纳地配套设施建设；1座粪污集中处理中心（有机肥厂）升级改造、扩大规模。</w:t>
            </w:r>
          </w:p>
        </w:tc>
        <w:tc>
          <w:tcPr>
            <w:tcW w:w="1288" w:type="dxa"/>
            <w:shd w:val="clear" w:color="auto" w:fill="auto"/>
            <w:vAlign w:val="center"/>
          </w:tcPr>
          <w:p>
            <w:pPr>
              <w:spacing w:line="260" w:lineRule="exact"/>
              <w:jc w:val="center"/>
              <w:rPr>
                <w:rFonts w:ascii="Times New Roman" w:hAnsi="Times New Roman"/>
                <w:color w:val="000000"/>
                <w:kern w:val="0"/>
                <w:sz w:val="24"/>
              </w:rPr>
            </w:pPr>
            <w:r>
              <w:rPr>
                <w:rFonts w:hint="eastAsia" w:ascii="Times New Roman" w:hAnsi="Times New Roman"/>
                <w:color w:val="000000"/>
                <w:kern w:val="0"/>
                <w:sz w:val="24"/>
              </w:rPr>
              <w:t>市中区</w:t>
            </w:r>
          </w:p>
        </w:tc>
        <w:tc>
          <w:tcPr>
            <w:tcW w:w="2002" w:type="dxa"/>
            <w:shd w:val="clear" w:color="auto" w:fill="auto"/>
            <w:vAlign w:val="center"/>
          </w:tcPr>
          <w:p>
            <w:pPr>
              <w:spacing w:line="260" w:lineRule="exact"/>
              <w:jc w:val="center"/>
              <w:rPr>
                <w:rFonts w:ascii="Times New Roman" w:hAnsi="Times New Roman"/>
                <w:color w:val="000000"/>
                <w:kern w:val="0"/>
                <w:sz w:val="24"/>
              </w:rPr>
            </w:pPr>
            <w:r>
              <w:rPr>
                <w:rFonts w:hint="eastAsia" w:ascii="Times New Roman" w:hAnsi="Times New Roman"/>
                <w:color w:val="000000"/>
                <w:kern w:val="0"/>
                <w:sz w:val="24"/>
              </w:rPr>
              <w:t>4100</w:t>
            </w:r>
          </w:p>
        </w:tc>
        <w:tc>
          <w:tcPr>
            <w:tcW w:w="1454" w:type="dxa"/>
            <w:shd w:val="clear" w:color="auto" w:fill="auto"/>
            <w:vAlign w:val="center"/>
          </w:tcPr>
          <w:p>
            <w:pPr>
              <w:spacing w:line="260" w:lineRule="exact"/>
              <w:jc w:val="center"/>
              <w:rPr>
                <w:rFonts w:ascii="Times New Roman" w:hAnsi="Times New Roman"/>
                <w:color w:val="000000"/>
                <w:kern w:val="0"/>
                <w:sz w:val="24"/>
              </w:rPr>
            </w:pPr>
            <w:r>
              <w:rPr>
                <w:rFonts w:hint="eastAsia" w:ascii="Times New Roman" w:hAnsi="Times New Roman"/>
                <w:color w:val="000000"/>
                <w:kern w:val="0"/>
                <w:sz w:val="24"/>
              </w:rPr>
              <w:t>2020-2022</w:t>
            </w:r>
          </w:p>
        </w:tc>
        <w:tc>
          <w:tcPr>
            <w:tcW w:w="2002" w:type="dxa"/>
            <w:shd w:val="clear" w:color="auto" w:fill="auto"/>
            <w:vAlign w:val="center"/>
          </w:tcPr>
          <w:p>
            <w:pPr>
              <w:spacing w:line="260" w:lineRule="exact"/>
              <w:jc w:val="center"/>
              <w:rPr>
                <w:rFonts w:ascii="Times New Roman" w:hAnsi="Times New Roman"/>
                <w:color w:val="000000"/>
                <w:kern w:val="0"/>
                <w:sz w:val="24"/>
              </w:rPr>
            </w:pPr>
            <w:r>
              <w:rPr>
                <w:rFonts w:hint="eastAsia" w:ascii="Times New Roman" w:hAnsi="Times New Roman"/>
                <w:color w:val="000000"/>
                <w:kern w:val="0"/>
                <w:sz w:val="24"/>
              </w:rPr>
              <w:t>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3</w:t>
            </w:r>
          </w:p>
        </w:tc>
        <w:tc>
          <w:tcPr>
            <w:tcW w:w="1717" w:type="dxa"/>
            <w:shd w:val="clear" w:color="auto" w:fill="auto"/>
            <w:vAlign w:val="center"/>
          </w:tcPr>
          <w:p>
            <w:pPr>
              <w:spacing w:line="240" w:lineRule="auto"/>
              <w:jc w:val="left"/>
              <w:rPr>
                <w:rFonts w:ascii="Times New Roman" w:hAnsi="Times New Roman"/>
                <w:sz w:val="24"/>
              </w:rPr>
            </w:pPr>
            <w:r>
              <w:rPr>
                <w:rFonts w:hint="eastAsia" w:ascii="Times New Roman" w:hAnsi="Times New Roman"/>
                <w:bCs/>
                <w:sz w:val="24"/>
              </w:rPr>
              <w:t>病死畜禽无害化处理中心建设工程项目</w:t>
            </w:r>
          </w:p>
        </w:tc>
        <w:tc>
          <w:tcPr>
            <w:tcW w:w="4721" w:type="dxa"/>
            <w:shd w:val="clear" w:color="auto" w:fill="auto"/>
            <w:vAlign w:val="center"/>
          </w:tcPr>
          <w:p>
            <w:pPr>
              <w:spacing w:line="276" w:lineRule="auto"/>
              <w:jc w:val="left"/>
              <w:rPr>
                <w:rFonts w:ascii="Times New Roman" w:hAnsi="Times New Roman"/>
                <w:color w:val="000000"/>
                <w:kern w:val="0"/>
                <w:sz w:val="24"/>
              </w:rPr>
            </w:pPr>
            <w:r>
              <w:rPr>
                <w:rFonts w:hint="eastAsia" w:ascii="Times New Roman" w:hAnsi="Times New Roman"/>
                <w:color w:val="000000"/>
                <w:kern w:val="0"/>
                <w:sz w:val="24"/>
              </w:rPr>
              <w:t>采用当前国内先进成熟的干法化制工艺，建设1座处理能力为20吨/天的病死畜禽集中无害化处理中心，并配套建设覆盖全市的收运体系，占地约15-20亩。</w:t>
            </w:r>
          </w:p>
        </w:tc>
        <w:tc>
          <w:tcPr>
            <w:tcW w:w="1288" w:type="dxa"/>
            <w:shd w:val="clear" w:color="auto" w:fill="auto"/>
            <w:vAlign w:val="center"/>
          </w:tcPr>
          <w:p>
            <w:pPr>
              <w:spacing w:line="276" w:lineRule="auto"/>
              <w:jc w:val="center"/>
              <w:rPr>
                <w:rFonts w:ascii="Times New Roman" w:hAnsi="Times New Roman"/>
                <w:color w:val="000000"/>
                <w:kern w:val="0"/>
                <w:sz w:val="24"/>
              </w:rPr>
            </w:pPr>
            <w:r>
              <w:rPr>
                <w:rFonts w:hint="eastAsia" w:ascii="Times New Roman" w:hAnsi="Times New Roman"/>
                <w:color w:val="000000"/>
                <w:kern w:val="0"/>
                <w:sz w:val="24"/>
              </w:rPr>
              <w:t>市中区</w:t>
            </w:r>
          </w:p>
        </w:tc>
        <w:tc>
          <w:tcPr>
            <w:tcW w:w="2002" w:type="dxa"/>
            <w:shd w:val="clear" w:color="auto" w:fill="auto"/>
            <w:vAlign w:val="center"/>
          </w:tcPr>
          <w:p>
            <w:pPr>
              <w:spacing w:line="276" w:lineRule="auto"/>
              <w:jc w:val="center"/>
              <w:rPr>
                <w:rFonts w:ascii="Times New Roman" w:hAnsi="Times New Roman"/>
                <w:color w:val="000000"/>
                <w:kern w:val="0"/>
                <w:sz w:val="24"/>
              </w:rPr>
            </w:pPr>
            <w:r>
              <w:rPr>
                <w:rFonts w:hint="eastAsia" w:ascii="Times New Roman" w:hAnsi="Times New Roman"/>
                <w:color w:val="000000"/>
                <w:kern w:val="0"/>
                <w:sz w:val="24"/>
              </w:rPr>
              <w:t>4000</w:t>
            </w:r>
          </w:p>
        </w:tc>
        <w:tc>
          <w:tcPr>
            <w:tcW w:w="1454" w:type="dxa"/>
            <w:shd w:val="clear" w:color="auto" w:fill="auto"/>
            <w:vAlign w:val="center"/>
          </w:tcPr>
          <w:p>
            <w:pPr>
              <w:spacing w:line="276" w:lineRule="auto"/>
              <w:jc w:val="center"/>
              <w:rPr>
                <w:rFonts w:ascii="Times New Roman" w:hAnsi="Times New Roman"/>
                <w:color w:val="000000"/>
                <w:kern w:val="0"/>
                <w:sz w:val="24"/>
              </w:rPr>
            </w:pPr>
            <w:r>
              <w:rPr>
                <w:rFonts w:hint="eastAsia" w:ascii="Times New Roman" w:hAnsi="Times New Roman"/>
                <w:color w:val="000000"/>
                <w:kern w:val="0"/>
                <w:sz w:val="24"/>
              </w:rPr>
              <w:t>2020-2022</w:t>
            </w:r>
          </w:p>
        </w:tc>
        <w:tc>
          <w:tcPr>
            <w:tcW w:w="2002" w:type="dxa"/>
            <w:shd w:val="clear" w:color="auto" w:fill="auto"/>
            <w:vAlign w:val="center"/>
          </w:tcPr>
          <w:p>
            <w:pPr>
              <w:spacing w:line="276" w:lineRule="auto"/>
              <w:jc w:val="center"/>
              <w:rPr>
                <w:rFonts w:ascii="Times New Roman" w:hAnsi="Times New Roman"/>
                <w:color w:val="000000"/>
                <w:kern w:val="0"/>
                <w:sz w:val="24"/>
              </w:rPr>
            </w:pPr>
            <w:r>
              <w:rPr>
                <w:rFonts w:hint="eastAsia" w:ascii="Times New Roman" w:hAnsi="Times New Roman"/>
                <w:color w:val="000000"/>
                <w:kern w:val="0"/>
                <w:sz w:val="24"/>
              </w:rPr>
              <w:t>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4</w:t>
            </w:r>
          </w:p>
        </w:tc>
        <w:tc>
          <w:tcPr>
            <w:tcW w:w="1717"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重点污染源视频监控系统建设项目</w:t>
            </w:r>
          </w:p>
        </w:tc>
        <w:tc>
          <w:tcPr>
            <w:tcW w:w="4721"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对全</w:t>
            </w:r>
            <w:r>
              <w:rPr>
                <w:rFonts w:hint="eastAsia" w:ascii="Times New Roman" w:hAnsi="Times New Roman"/>
                <w:bCs/>
                <w:sz w:val="24"/>
              </w:rPr>
              <w:t>区</w:t>
            </w:r>
            <w:r>
              <w:rPr>
                <w:rFonts w:ascii="Times New Roman" w:hAnsi="Times New Roman"/>
                <w:bCs/>
                <w:sz w:val="24"/>
              </w:rPr>
              <w:t>重点污染源的主要污染防治设施、排放口、站房等监控点位安装高清视频监控；推进污染防治设施专用电表的安装。</w:t>
            </w:r>
          </w:p>
        </w:tc>
        <w:tc>
          <w:tcPr>
            <w:tcW w:w="1288"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市中区</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00</w:t>
            </w:r>
          </w:p>
        </w:tc>
        <w:tc>
          <w:tcPr>
            <w:tcW w:w="1454" w:type="dxa"/>
            <w:shd w:val="clear" w:color="auto" w:fill="auto"/>
            <w:vAlign w:val="center"/>
          </w:tcPr>
          <w:p>
            <w:pPr>
              <w:spacing w:line="240" w:lineRule="auto"/>
              <w:jc w:val="center"/>
              <w:rPr>
                <w:rFonts w:ascii="Times New Roman" w:hAnsi="Times New Roman"/>
                <w:bCs/>
                <w:sz w:val="24"/>
              </w:rPr>
            </w:pPr>
            <w:r>
              <w:rPr>
                <w:rFonts w:ascii="Times New Roman" w:hAnsi="Times New Roman"/>
                <w:bCs/>
                <w:sz w:val="24"/>
              </w:rPr>
              <w:t>20</w:t>
            </w:r>
            <w:r>
              <w:rPr>
                <w:rFonts w:hint="eastAsia" w:ascii="Times New Roman" w:hAnsi="Times New Roman"/>
                <w:bCs/>
                <w:sz w:val="24"/>
              </w:rPr>
              <w:t>21</w:t>
            </w:r>
            <w:r>
              <w:rPr>
                <w:rFonts w:ascii="Times New Roman" w:hAnsi="Times New Roman"/>
                <w:bCs/>
                <w:sz w:val="24"/>
              </w:rPr>
              <w:t>-20</w:t>
            </w:r>
            <w:r>
              <w:rPr>
                <w:rFonts w:hint="eastAsia" w:ascii="Times New Roman" w:hAnsi="Times New Roman"/>
                <w:bCs/>
                <w:sz w:val="24"/>
              </w:rPr>
              <w:t>25</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5</w:t>
            </w:r>
          </w:p>
        </w:tc>
        <w:tc>
          <w:tcPr>
            <w:tcW w:w="1717"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执法能力建设项目</w:t>
            </w:r>
          </w:p>
        </w:tc>
        <w:tc>
          <w:tcPr>
            <w:tcW w:w="4721"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全</w:t>
            </w:r>
            <w:r>
              <w:rPr>
                <w:rFonts w:hint="eastAsia" w:ascii="Times New Roman" w:hAnsi="Times New Roman"/>
                <w:bCs/>
                <w:sz w:val="24"/>
              </w:rPr>
              <w:t>区</w:t>
            </w:r>
            <w:r>
              <w:rPr>
                <w:rFonts w:ascii="Times New Roman" w:hAnsi="Times New Roman"/>
                <w:bCs/>
                <w:sz w:val="24"/>
              </w:rPr>
              <w:t>移动执法系统配套升级改造，配备无人机、无人船、红外成像仪等科技装备，保障执法执勤用车及常用执法装备。</w:t>
            </w:r>
          </w:p>
        </w:tc>
        <w:tc>
          <w:tcPr>
            <w:tcW w:w="1288"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市中区</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00</w:t>
            </w:r>
          </w:p>
        </w:tc>
        <w:tc>
          <w:tcPr>
            <w:tcW w:w="1454" w:type="dxa"/>
            <w:shd w:val="clear" w:color="auto" w:fill="auto"/>
            <w:vAlign w:val="center"/>
          </w:tcPr>
          <w:p>
            <w:pPr>
              <w:spacing w:line="240" w:lineRule="auto"/>
              <w:jc w:val="center"/>
              <w:rPr>
                <w:rFonts w:ascii="Times New Roman" w:hAnsi="Times New Roman"/>
                <w:bCs/>
                <w:sz w:val="24"/>
              </w:rPr>
            </w:pPr>
            <w:r>
              <w:rPr>
                <w:rFonts w:ascii="Times New Roman" w:hAnsi="Times New Roman"/>
                <w:bCs/>
                <w:sz w:val="24"/>
              </w:rPr>
              <w:t>20</w:t>
            </w:r>
            <w:r>
              <w:rPr>
                <w:rFonts w:hint="eastAsia" w:ascii="Times New Roman" w:hAnsi="Times New Roman"/>
                <w:bCs/>
                <w:sz w:val="24"/>
              </w:rPr>
              <w:t>21</w:t>
            </w:r>
            <w:r>
              <w:rPr>
                <w:rFonts w:ascii="Times New Roman" w:hAnsi="Times New Roman"/>
                <w:bCs/>
                <w:sz w:val="24"/>
              </w:rPr>
              <w:t>-20</w:t>
            </w:r>
            <w:r>
              <w:rPr>
                <w:rFonts w:hint="eastAsia" w:ascii="Times New Roman" w:hAnsi="Times New Roman"/>
                <w:bCs/>
                <w:sz w:val="24"/>
              </w:rPr>
              <w:t>25</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6</w:t>
            </w:r>
          </w:p>
        </w:tc>
        <w:tc>
          <w:tcPr>
            <w:tcW w:w="1717"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网格化监管能力建设项目</w:t>
            </w:r>
          </w:p>
        </w:tc>
        <w:tc>
          <w:tcPr>
            <w:tcW w:w="4721"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建设全</w:t>
            </w:r>
            <w:r>
              <w:rPr>
                <w:rFonts w:hint="eastAsia" w:ascii="Times New Roman" w:hAnsi="Times New Roman"/>
                <w:bCs/>
                <w:sz w:val="24"/>
              </w:rPr>
              <w:t>区</w:t>
            </w:r>
            <w:r>
              <w:rPr>
                <w:rFonts w:ascii="Times New Roman" w:hAnsi="Times New Roman"/>
                <w:bCs/>
                <w:sz w:val="24"/>
              </w:rPr>
              <w:t>各级网格化环境监管系统，对全</w:t>
            </w:r>
            <w:r>
              <w:rPr>
                <w:rFonts w:hint="eastAsia" w:ascii="Times New Roman" w:hAnsi="Times New Roman"/>
                <w:bCs/>
                <w:sz w:val="24"/>
              </w:rPr>
              <w:t>区</w:t>
            </w:r>
            <w:r>
              <w:rPr>
                <w:rFonts w:ascii="Times New Roman" w:hAnsi="Times New Roman"/>
                <w:bCs/>
                <w:sz w:val="24"/>
              </w:rPr>
              <w:t>网格员配备网格环境监管终端，并保障顺畅运行，确保生态环境网格化监管体制落到实处。</w:t>
            </w:r>
          </w:p>
        </w:tc>
        <w:tc>
          <w:tcPr>
            <w:tcW w:w="1288"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市中区</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3</w:t>
            </w:r>
            <w:r>
              <w:rPr>
                <w:rFonts w:ascii="Times New Roman" w:hAnsi="Times New Roman"/>
                <w:bCs/>
                <w:sz w:val="24"/>
              </w:rPr>
              <w:t>00</w:t>
            </w:r>
          </w:p>
        </w:tc>
        <w:tc>
          <w:tcPr>
            <w:tcW w:w="1454" w:type="dxa"/>
            <w:shd w:val="clear" w:color="auto" w:fill="auto"/>
            <w:vAlign w:val="center"/>
          </w:tcPr>
          <w:p>
            <w:pPr>
              <w:spacing w:line="240" w:lineRule="auto"/>
              <w:jc w:val="center"/>
              <w:rPr>
                <w:rFonts w:ascii="Times New Roman" w:hAnsi="Times New Roman"/>
                <w:bCs/>
                <w:sz w:val="24"/>
              </w:rPr>
            </w:pPr>
            <w:r>
              <w:rPr>
                <w:rFonts w:ascii="Times New Roman" w:hAnsi="Times New Roman"/>
                <w:bCs/>
                <w:sz w:val="24"/>
              </w:rPr>
              <w:t>20</w:t>
            </w:r>
            <w:r>
              <w:rPr>
                <w:rFonts w:hint="eastAsia" w:ascii="Times New Roman" w:hAnsi="Times New Roman"/>
                <w:bCs/>
                <w:sz w:val="24"/>
              </w:rPr>
              <w:t>21</w:t>
            </w:r>
            <w:r>
              <w:rPr>
                <w:rFonts w:ascii="Times New Roman" w:hAnsi="Times New Roman"/>
                <w:bCs/>
                <w:sz w:val="24"/>
              </w:rPr>
              <w:t>-20</w:t>
            </w:r>
            <w:r>
              <w:rPr>
                <w:rFonts w:hint="eastAsia" w:ascii="Times New Roman" w:hAnsi="Times New Roman"/>
                <w:bCs/>
                <w:sz w:val="24"/>
              </w:rPr>
              <w:t>25</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25" w:type="dxa"/>
            <w:shd w:val="clear" w:color="auto" w:fill="auto"/>
            <w:vAlign w:val="center"/>
          </w:tcPr>
          <w:p>
            <w:pPr>
              <w:spacing w:line="240" w:lineRule="auto"/>
              <w:jc w:val="center"/>
              <w:rPr>
                <w:rFonts w:ascii="Times New Roman" w:hAnsi="Times New Roman"/>
                <w:sz w:val="24"/>
              </w:rPr>
            </w:pPr>
            <w:r>
              <w:rPr>
                <w:rFonts w:hint="eastAsia" w:ascii="Times New Roman" w:hAnsi="Times New Roman"/>
                <w:sz w:val="24"/>
              </w:rPr>
              <w:t>7</w:t>
            </w:r>
          </w:p>
        </w:tc>
        <w:tc>
          <w:tcPr>
            <w:tcW w:w="1717"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乐山市智慧环保工程建设项目</w:t>
            </w:r>
          </w:p>
        </w:tc>
        <w:tc>
          <w:tcPr>
            <w:tcW w:w="4721" w:type="dxa"/>
            <w:shd w:val="clear" w:color="auto" w:fill="auto"/>
            <w:vAlign w:val="center"/>
          </w:tcPr>
          <w:p>
            <w:pPr>
              <w:spacing w:line="240" w:lineRule="auto"/>
              <w:jc w:val="left"/>
              <w:rPr>
                <w:rFonts w:ascii="Times New Roman" w:hAnsi="Times New Roman"/>
                <w:bCs/>
                <w:sz w:val="24"/>
              </w:rPr>
            </w:pPr>
            <w:r>
              <w:rPr>
                <w:rFonts w:ascii="Times New Roman" w:hAnsi="Times New Roman"/>
                <w:bCs/>
                <w:sz w:val="24"/>
              </w:rPr>
              <w:t>依托信息化</w:t>
            </w:r>
            <w:r>
              <w:rPr>
                <w:rFonts w:ascii="宋体" w:hAnsi="宋体"/>
                <w:bCs/>
                <w:sz w:val="24"/>
              </w:rPr>
              <w:t>“三级统筹”</w:t>
            </w:r>
            <w:r>
              <w:rPr>
                <w:rFonts w:ascii="Times New Roman" w:hAnsi="Times New Roman"/>
                <w:bCs/>
                <w:sz w:val="24"/>
              </w:rPr>
              <w:t>项目，推进乐山智慧环保建设，全面提升大气、水、土、环境执法监管、污染源管理等方面的智慧管理水平，提升信息化管理水平。</w:t>
            </w:r>
          </w:p>
        </w:tc>
        <w:tc>
          <w:tcPr>
            <w:tcW w:w="1288"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市中区</w:t>
            </w:r>
          </w:p>
        </w:tc>
        <w:tc>
          <w:tcPr>
            <w:tcW w:w="2002" w:type="dxa"/>
            <w:shd w:val="clear" w:color="auto" w:fill="auto"/>
            <w:vAlign w:val="center"/>
          </w:tcPr>
          <w:p>
            <w:pPr>
              <w:spacing w:line="240" w:lineRule="auto"/>
              <w:jc w:val="center"/>
              <w:rPr>
                <w:rFonts w:ascii="Times New Roman" w:hAnsi="Times New Roman"/>
                <w:bCs/>
                <w:sz w:val="24"/>
              </w:rPr>
            </w:pPr>
            <w:r>
              <w:rPr>
                <w:rFonts w:ascii="Times New Roman" w:hAnsi="Times New Roman"/>
                <w:bCs/>
                <w:sz w:val="24"/>
              </w:rPr>
              <w:t>600</w:t>
            </w:r>
          </w:p>
        </w:tc>
        <w:tc>
          <w:tcPr>
            <w:tcW w:w="1454" w:type="dxa"/>
            <w:shd w:val="clear" w:color="auto" w:fill="auto"/>
            <w:vAlign w:val="center"/>
          </w:tcPr>
          <w:p>
            <w:pPr>
              <w:spacing w:line="240" w:lineRule="auto"/>
              <w:jc w:val="center"/>
              <w:rPr>
                <w:rFonts w:ascii="Times New Roman" w:hAnsi="Times New Roman"/>
                <w:bCs/>
                <w:sz w:val="24"/>
              </w:rPr>
            </w:pPr>
            <w:r>
              <w:rPr>
                <w:rFonts w:ascii="Times New Roman" w:hAnsi="Times New Roman"/>
                <w:bCs/>
                <w:sz w:val="24"/>
              </w:rPr>
              <w:t>20</w:t>
            </w:r>
            <w:r>
              <w:rPr>
                <w:rFonts w:hint="eastAsia" w:ascii="Times New Roman" w:hAnsi="Times New Roman"/>
                <w:bCs/>
                <w:sz w:val="24"/>
              </w:rPr>
              <w:t>21</w:t>
            </w:r>
            <w:r>
              <w:rPr>
                <w:rFonts w:ascii="Times New Roman" w:hAnsi="Times New Roman"/>
                <w:bCs/>
                <w:sz w:val="24"/>
              </w:rPr>
              <w:t>-20</w:t>
            </w:r>
            <w:r>
              <w:rPr>
                <w:rFonts w:hint="eastAsia" w:ascii="Times New Roman" w:hAnsi="Times New Roman"/>
                <w:bCs/>
                <w:sz w:val="24"/>
              </w:rPr>
              <w:t>25</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542" w:type="dxa"/>
            <w:gridSpan w:val="2"/>
            <w:shd w:val="clear" w:color="auto" w:fill="auto"/>
            <w:vAlign w:val="center"/>
          </w:tcPr>
          <w:p>
            <w:pPr>
              <w:spacing w:line="240" w:lineRule="auto"/>
              <w:jc w:val="center"/>
              <w:rPr>
                <w:rFonts w:ascii="Times New Roman" w:hAnsi="Times New Roman"/>
                <w:bCs/>
                <w:sz w:val="24"/>
              </w:rPr>
            </w:pPr>
            <w:r>
              <w:rPr>
                <w:rFonts w:hint="eastAsia" w:ascii="Times New Roman" w:hAnsi="Times New Roman"/>
                <w:sz w:val="24"/>
              </w:rPr>
              <w:t>合计</w:t>
            </w:r>
          </w:p>
        </w:tc>
        <w:tc>
          <w:tcPr>
            <w:tcW w:w="4721"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w:t>
            </w:r>
          </w:p>
        </w:tc>
        <w:tc>
          <w:tcPr>
            <w:tcW w:w="1288"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11000</w:t>
            </w:r>
          </w:p>
        </w:tc>
        <w:tc>
          <w:tcPr>
            <w:tcW w:w="1454"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w:t>
            </w:r>
          </w:p>
        </w:tc>
        <w:tc>
          <w:tcPr>
            <w:tcW w:w="2002" w:type="dxa"/>
            <w:shd w:val="clear" w:color="auto" w:fill="auto"/>
            <w:vAlign w:val="center"/>
          </w:tcPr>
          <w:p>
            <w:pPr>
              <w:spacing w:line="240" w:lineRule="auto"/>
              <w:jc w:val="center"/>
              <w:rPr>
                <w:rFonts w:ascii="Times New Roman" w:hAnsi="Times New Roman"/>
                <w:bCs/>
                <w:sz w:val="24"/>
              </w:rPr>
            </w:pPr>
            <w:r>
              <w:rPr>
                <w:rFonts w:hint="eastAsia" w:ascii="Times New Roman" w:hAnsi="Times New Roman"/>
                <w:bCs/>
                <w:sz w:val="24"/>
              </w:rPr>
              <w:t>——</w:t>
            </w:r>
          </w:p>
        </w:tc>
      </w:tr>
    </w:tbl>
    <w:p>
      <w:pPr>
        <w:pStyle w:val="22"/>
        <w:jc w:val="both"/>
        <w:rPr>
          <w:rFonts w:ascii="Times New Roman" w:hAnsi="Times New Roman"/>
          <w:sz w:val="24"/>
          <w:szCs w:val="24"/>
        </w:rPr>
      </w:pPr>
    </w:p>
    <w:sectPr>
      <w:pgSz w:w="16838" w:h="11906" w:orient="landscape"/>
      <w:pgMar w:top="1800" w:right="1440" w:bottom="1800" w:left="1440" w:header="851" w:footer="992"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ÃƒÂ¥Ã‚Â®Ã¢â‚¬Â¹ÃƒÂ¤Ã‚Â½Ã¢â‚¬Å“">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宋体,微软雅黑">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posOffset>2597785</wp:posOffset>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Style w:val="27"/>
                            </w:rPr>
                          </w:pPr>
                          <w:r>
                            <w:rPr>
                              <w:rStyle w:val="27"/>
                            </w:rPr>
                            <w:fldChar w:fldCharType="begin"/>
                          </w:r>
                          <w:r>
                            <w:rPr>
                              <w:rStyle w:val="27"/>
                            </w:rPr>
                            <w:instrText xml:space="preserve">PAGE  </w:instrText>
                          </w:r>
                          <w:r>
                            <w:rPr>
                              <w:rStyle w:val="27"/>
                            </w:rPr>
                            <w:fldChar w:fldCharType="separate"/>
                          </w:r>
                          <w:r>
                            <w:rPr>
                              <w:rStyle w:val="27"/>
                            </w:rPr>
                            <w:t>V</w:t>
                          </w:r>
                          <w:r>
                            <w:rPr>
                              <w:rStyle w:val="27"/>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04.55pt;margin-top:0pt;height:144pt;width:144pt;mso-position-horizontal-relative:margin;mso-wrap-style:none;z-index:251659264;mso-width-relative:page;mso-height-relative:page;" filled="f" stroked="f" coordsize="21600,21600" o:gfxdata="UEsDBAoAAAAAAIdO4kAAAAAAAAAAAAAAAAAEAAAAZHJzL1BLAwQUAAAACACHTuJAdt96edUAAAAI&#10;AQAADwAAAGRycy9kb3ducmV2LnhtbE2PzU7DMBCE70i8g7VI3KidUpU0jVOJinBEouHA0Y2XJMU/&#10;ke2m4e1ZTvQ4mtHMN+VutoZNGOLgnYRsIYCha70eXCfho6kfcmAxKaeV8Q4l/GCEXXV7U6pC+4t7&#10;x+mQOkYlLhZKQp/SWHAe2x6tigs/oiPvywerEsnQcR3Uhcqt4Ush1tyqwdFCr0bc99h+H85Wwr5u&#10;mjBhDOYTX+vH09vzCl9mKe/vMrEFlnBO/2H4wyd0qIjp6M9OR2YkrMQmo6gEekT2evNE8ihhmecC&#10;eFXy6wPVL1BLAwQUAAAACACHTuJAoy5oAjICAABjBAAADgAAAGRycy9lMm9Eb2MueG1srVTNjtMw&#10;EL4j8Q6W7zRpEatSNV2VrYqQKnalBXF2HaeJ5D/ZbpPyAPAGnLhw3+fqc/DZabpo4bAHLunYM/5m&#10;vm9mOr/ulCQH4XxjdEHHo5wSobkpG70r6OdP61dTSnxgumTSaFHQo/D0evHyxby1MzExtZGlcAQg&#10;2s9aW9A6BDvLMs9roZgfGSs0nJVxigUc3S4rHWuBrmQ2yfOrrDWutM5w4T1uV72TnhHdcwBNVTVc&#10;rAzfK6FDj+qEZAGUfN1YTxep2qoSPNxWlReByIKCaUhfJIG9jd9sMWeznWO2bvi5BPacEp5wUqzR&#10;SHqBWrHAyN41f0GphjvjTRVG3KisJ5IUAYtx/kSb+5pZkbhAam8vovv/B8s/Hu4cacqCvqVEM4WG&#10;n358P/18OP36RsZRntb6GaLuLeJC9850GJrh3uMysu4qp+Iv+BD4Ie7xIq7oAuHx0XQyneZwcfiG&#10;A/Czx+fW+fBeGEWiUVCH7iVR2WHjQx86hMRs2qwbKVMHpSZtQa9ev8nTg4sH4FLHWJFm4QwTKfWl&#10;Ryt02+7Mc2vKI2g608+Jt3zdoJQN8+GOOQwGysfqhFt8KmmQ0pwtSmrjvv7rPsajX/BS0mLQCqqx&#10;V5TIDxp9BGAYDDcY28HQe3VjMLljrKTlycQDF+RgVs6oL9inZcwBF9McmQoaBvMm9MOOfeRiuUxB&#10;mDzLwkbfWx6hozzeLvcBciaVoyi9EuhOPGD2Up/OexKH+89zinr8b1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bfennVAAAACAEAAA8AAAAAAAAAAQAgAAAAIgAAAGRycy9kb3ducmV2LnhtbFBL&#10;AQIUABQAAAAIAIdO4kCjLmgCMgIAAGMEAAAOAAAAAAAAAAEAIAAAACQBAABkcnMvZTJvRG9jLnht&#10;bFBLBQYAAAAABgAGAFkBAADIBQAAAAA=&#10;">
              <v:fill on="f" focussize="0,0"/>
              <v:stroke on="f" weight="0.5pt"/>
              <v:imagedata o:title=""/>
              <o:lock v:ext="edit" aspectratio="f"/>
              <v:textbox inset="0mm,0mm,0mm,0mm" style="mso-fit-shape-to-text:t;">
                <w:txbxContent>
                  <w:p>
                    <w:pPr>
                      <w:pStyle w:val="14"/>
                      <w:rPr>
                        <w:rStyle w:val="27"/>
                      </w:rPr>
                    </w:pPr>
                    <w:r>
                      <w:rPr>
                        <w:rStyle w:val="27"/>
                      </w:rPr>
                      <w:fldChar w:fldCharType="begin"/>
                    </w:r>
                    <w:r>
                      <w:rPr>
                        <w:rStyle w:val="27"/>
                      </w:rPr>
                      <w:instrText xml:space="preserve">PAGE  </w:instrText>
                    </w:r>
                    <w:r>
                      <w:rPr>
                        <w:rStyle w:val="27"/>
                      </w:rPr>
                      <w:fldChar w:fldCharType="separate"/>
                    </w:r>
                    <w:r>
                      <w:rPr>
                        <w:rStyle w:val="27"/>
                      </w:rPr>
                      <w:t>V</w:t>
                    </w:r>
                    <w:r>
                      <w:rPr>
                        <w:rStyle w:val="27"/>
                      </w:rPr>
                      <w:fldChar w:fldCharType="end"/>
                    </w:r>
                  </w:p>
                </w:txbxContent>
              </v:textbox>
            </v:shape>
          </w:pict>
        </mc:Fallback>
      </mc:AlternateConten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50</w:t>
    </w:r>
    <w:r>
      <w:fldChar w:fldCharType="end"/>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仿宋_GB2312" w:eastAsia="仿宋_GB2312"/>
        <w:sz w:val="21"/>
      </w:rPr>
    </w:pPr>
    <w:r>
      <w:rPr>
        <w:rFonts w:hint="eastAsia" w:ascii="仿宋_GB2312" w:eastAsia="仿宋_GB2312"/>
        <w:sz w:val="21"/>
      </w:rPr>
      <w:t>乐山市市中区“十四五”畜禽养殖污染防治规划（2021-2025）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501E2D"/>
    <w:multiLevelType w:val="multilevel"/>
    <w:tmpl w:val="08501E2D"/>
    <w:lvl w:ilvl="0" w:tentative="0">
      <w:start w:val="1"/>
      <w:numFmt w:val="decimal"/>
      <w:suff w:val="nothing"/>
      <w:lvlText w:val="（%1）"/>
      <w:lvlJc w:val="left"/>
      <w:pPr>
        <w:ind w:left="42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2B0FE9"/>
    <w:multiLevelType w:val="multilevel"/>
    <w:tmpl w:val="0C2B0FE9"/>
    <w:lvl w:ilvl="0" w:tentative="0">
      <w:start w:val="1"/>
      <w:numFmt w:val="decimal"/>
      <w:lvlText w:val="%1"/>
      <w:lvlJc w:val="left"/>
      <w:pPr>
        <w:ind w:left="495" w:hanging="495"/>
      </w:pPr>
      <w:rPr>
        <w:rFonts w:hint="default"/>
      </w:rPr>
    </w:lvl>
    <w:lvl w:ilvl="1" w:tentative="0">
      <w:start w:val="1"/>
      <w:numFmt w:val="decimal"/>
      <w:lvlText w:val="%1.%2"/>
      <w:lvlJc w:val="left"/>
      <w:pPr>
        <w:ind w:left="2622" w:hanging="49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2D541B6F"/>
    <w:multiLevelType w:val="multilevel"/>
    <w:tmpl w:val="2D541B6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decimal"/>
      <w:suff w:val="nothing"/>
      <w:lvlText w:val="（%3）"/>
      <w:lvlJc w:val="left"/>
      <w:pPr>
        <w:ind w:left="84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2E57D4"/>
    <w:multiLevelType w:val="multilevel"/>
    <w:tmpl w:val="5A2E57D4"/>
    <w:lvl w:ilvl="0" w:tentative="0">
      <w:start w:val="1"/>
      <w:numFmt w:val="decimal"/>
      <w:suff w:val="nothing"/>
      <w:lvlText w:val="（%1）"/>
      <w:lvlJc w:val="left"/>
      <w:pPr>
        <w:ind w:left="84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42F259F"/>
    <w:multiLevelType w:val="multilevel"/>
    <w:tmpl w:val="642F259F"/>
    <w:lvl w:ilvl="0" w:tentative="0">
      <w:start w:val="1"/>
      <w:numFmt w:val="decimal"/>
      <w:suff w:val="nothing"/>
      <w:lvlText w:val="（%1）"/>
      <w:lvlJc w:val="left"/>
      <w:pPr>
        <w:ind w:left="840" w:hanging="42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kMGVlZjM3MzAzMzQ5MmVlYWIxMjc3NjdhNTIxZjMifQ=="/>
  </w:docVars>
  <w:rsids>
    <w:rsidRoot w:val="60B64717"/>
    <w:rsid w:val="000309D5"/>
    <w:rsid w:val="000365B5"/>
    <w:rsid w:val="00044BB6"/>
    <w:rsid w:val="000476B5"/>
    <w:rsid w:val="00050FDC"/>
    <w:rsid w:val="00056ECA"/>
    <w:rsid w:val="00060B6D"/>
    <w:rsid w:val="00066417"/>
    <w:rsid w:val="00085CDF"/>
    <w:rsid w:val="000A32B9"/>
    <w:rsid w:val="000B34E0"/>
    <w:rsid w:val="000B6E42"/>
    <w:rsid w:val="000C53BA"/>
    <w:rsid w:val="000C5D9B"/>
    <w:rsid w:val="000D44CB"/>
    <w:rsid w:val="000E4873"/>
    <w:rsid w:val="000E49B6"/>
    <w:rsid w:val="000E701D"/>
    <w:rsid w:val="000E71EB"/>
    <w:rsid w:val="000F6A8E"/>
    <w:rsid w:val="00100A86"/>
    <w:rsid w:val="00101E79"/>
    <w:rsid w:val="0011272C"/>
    <w:rsid w:val="00114797"/>
    <w:rsid w:val="001239B4"/>
    <w:rsid w:val="001261D0"/>
    <w:rsid w:val="001312E5"/>
    <w:rsid w:val="00133F6F"/>
    <w:rsid w:val="0014134F"/>
    <w:rsid w:val="00151D59"/>
    <w:rsid w:val="0015266C"/>
    <w:rsid w:val="00154637"/>
    <w:rsid w:val="00171A5A"/>
    <w:rsid w:val="00186F6F"/>
    <w:rsid w:val="001967D3"/>
    <w:rsid w:val="001A0AC5"/>
    <w:rsid w:val="001A4767"/>
    <w:rsid w:val="001A7EFE"/>
    <w:rsid w:val="001B2040"/>
    <w:rsid w:val="001B430F"/>
    <w:rsid w:val="001B7FA8"/>
    <w:rsid w:val="001C4CFC"/>
    <w:rsid w:val="001D4416"/>
    <w:rsid w:val="001E6619"/>
    <w:rsid w:val="001E7B2B"/>
    <w:rsid w:val="001F248B"/>
    <w:rsid w:val="00210FEF"/>
    <w:rsid w:val="0021427C"/>
    <w:rsid w:val="00220C84"/>
    <w:rsid w:val="0022110B"/>
    <w:rsid w:val="0022327D"/>
    <w:rsid w:val="00225C1E"/>
    <w:rsid w:val="002369BD"/>
    <w:rsid w:val="00244293"/>
    <w:rsid w:val="00247F3E"/>
    <w:rsid w:val="00256864"/>
    <w:rsid w:val="00256990"/>
    <w:rsid w:val="00256EE0"/>
    <w:rsid w:val="00274AC3"/>
    <w:rsid w:val="0027685D"/>
    <w:rsid w:val="00295009"/>
    <w:rsid w:val="002B07A9"/>
    <w:rsid w:val="002B19AB"/>
    <w:rsid w:val="002B6893"/>
    <w:rsid w:val="002C1203"/>
    <w:rsid w:val="002C1FE4"/>
    <w:rsid w:val="002C216B"/>
    <w:rsid w:val="002C21C1"/>
    <w:rsid w:val="002E5F61"/>
    <w:rsid w:val="002E61DF"/>
    <w:rsid w:val="002E7E68"/>
    <w:rsid w:val="002F03A1"/>
    <w:rsid w:val="002F7F0D"/>
    <w:rsid w:val="003103A8"/>
    <w:rsid w:val="00312AF6"/>
    <w:rsid w:val="00325CF8"/>
    <w:rsid w:val="00331F94"/>
    <w:rsid w:val="00336895"/>
    <w:rsid w:val="0033797D"/>
    <w:rsid w:val="00345FB7"/>
    <w:rsid w:val="00350039"/>
    <w:rsid w:val="00350C32"/>
    <w:rsid w:val="00352737"/>
    <w:rsid w:val="00366D01"/>
    <w:rsid w:val="00371F32"/>
    <w:rsid w:val="00372A8F"/>
    <w:rsid w:val="003818E5"/>
    <w:rsid w:val="003864A0"/>
    <w:rsid w:val="00390C28"/>
    <w:rsid w:val="003B11D8"/>
    <w:rsid w:val="003B66E3"/>
    <w:rsid w:val="003B783E"/>
    <w:rsid w:val="003C00F2"/>
    <w:rsid w:val="003D70ED"/>
    <w:rsid w:val="003E0A2A"/>
    <w:rsid w:val="003E57D1"/>
    <w:rsid w:val="003F69CF"/>
    <w:rsid w:val="00411D02"/>
    <w:rsid w:val="00424790"/>
    <w:rsid w:val="0042700C"/>
    <w:rsid w:val="004414D4"/>
    <w:rsid w:val="00461477"/>
    <w:rsid w:val="00467372"/>
    <w:rsid w:val="00475D59"/>
    <w:rsid w:val="00487448"/>
    <w:rsid w:val="004948EE"/>
    <w:rsid w:val="00494E37"/>
    <w:rsid w:val="004A0645"/>
    <w:rsid w:val="004B7E6A"/>
    <w:rsid w:val="004C6366"/>
    <w:rsid w:val="004D77A9"/>
    <w:rsid w:val="004E52D5"/>
    <w:rsid w:val="00503B0B"/>
    <w:rsid w:val="005126FD"/>
    <w:rsid w:val="00514EBB"/>
    <w:rsid w:val="005155DE"/>
    <w:rsid w:val="00522E06"/>
    <w:rsid w:val="00535908"/>
    <w:rsid w:val="00557E1F"/>
    <w:rsid w:val="00560A08"/>
    <w:rsid w:val="00572E66"/>
    <w:rsid w:val="00582E95"/>
    <w:rsid w:val="00584A1B"/>
    <w:rsid w:val="005860E4"/>
    <w:rsid w:val="00592411"/>
    <w:rsid w:val="00592524"/>
    <w:rsid w:val="005A146C"/>
    <w:rsid w:val="005B073E"/>
    <w:rsid w:val="005B3D91"/>
    <w:rsid w:val="005B3EC2"/>
    <w:rsid w:val="005C0AEC"/>
    <w:rsid w:val="005C48FB"/>
    <w:rsid w:val="00600530"/>
    <w:rsid w:val="00614138"/>
    <w:rsid w:val="0061686B"/>
    <w:rsid w:val="006258E3"/>
    <w:rsid w:val="0062592C"/>
    <w:rsid w:val="0068240E"/>
    <w:rsid w:val="006A1617"/>
    <w:rsid w:val="006A7EE3"/>
    <w:rsid w:val="006B4AD0"/>
    <w:rsid w:val="006B551C"/>
    <w:rsid w:val="006C0766"/>
    <w:rsid w:val="006C4141"/>
    <w:rsid w:val="006C6C1F"/>
    <w:rsid w:val="006D2EE5"/>
    <w:rsid w:val="006D7F44"/>
    <w:rsid w:val="006F2867"/>
    <w:rsid w:val="006F2AD3"/>
    <w:rsid w:val="0070410D"/>
    <w:rsid w:val="00714F9B"/>
    <w:rsid w:val="0071593B"/>
    <w:rsid w:val="00731ACF"/>
    <w:rsid w:val="00741D06"/>
    <w:rsid w:val="00750647"/>
    <w:rsid w:val="007552E1"/>
    <w:rsid w:val="00764E3D"/>
    <w:rsid w:val="00766173"/>
    <w:rsid w:val="0077057C"/>
    <w:rsid w:val="00770828"/>
    <w:rsid w:val="00785415"/>
    <w:rsid w:val="00793237"/>
    <w:rsid w:val="0079523A"/>
    <w:rsid w:val="007957D3"/>
    <w:rsid w:val="007B2402"/>
    <w:rsid w:val="007B297E"/>
    <w:rsid w:val="007B7976"/>
    <w:rsid w:val="007C7283"/>
    <w:rsid w:val="007D050A"/>
    <w:rsid w:val="007D30F3"/>
    <w:rsid w:val="007D537B"/>
    <w:rsid w:val="007E379E"/>
    <w:rsid w:val="007F0640"/>
    <w:rsid w:val="007F2C93"/>
    <w:rsid w:val="007F2F0B"/>
    <w:rsid w:val="0080399A"/>
    <w:rsid w:val="008069DA"/>
    <w:rsid w:val="008159BE"/>
    <w:rsid w:val="008160DF"/>
    <w:rsid w:val="00817BE9"/>
    <w:rsid w:val="0082282F"/>
    <w:rsid w:val="00825023"/>
    <w:rsid w:val="008321B4"/>
    <w:rsid w:val="00832512"/>
    <w:rsid w:val="008334E1"/>
    <w:rsid w:val="008348AE"/>
    <w:rsid w:val="00841379"/>
    <w:rsid w:val="00844F90"/>
    <w:rsid w:val="008477C3"/>
    <w:rsid w:val="008558D0"/>
    <w:rsid w:val="00882C1B"/>
    <w:rsid w:val="008848D9"/>
    <w:rsid w:val="00893E8B"/>
    <w:rsid w:val="008B257A"/>
    <w:rsid w:val="008B366D"/>
    <w:rsid w:val="008B6BC2"/>
    <w:rsid w:val="008D3906"/>
    <w:rsid w:val="008D3E29"/>
    <w:rsid w:val="008E2E79"/>
    <w:rsid w:val="008E54CE"/>
    <w:rsid w:val="008E57A1"/>
    <w:rsid w:val="008E5FD7"/>
    <w:rsid w:val="008E7944"/>
    <w:rsid w:val="008E7FF9"/>
    <w:rsid w:val="008F2A11"/>
    <w:rsid w:val="00903A6D"/>
    <w:rsid w:val="00904E73"/>
    <w:rsid w:val="009213BC"/>
    <w:rsid w:val="009252D3"/>
    <w:rsid w:val="009331AD"/>
    <w:rsid w:val="009364F6"/>
    <w:rsid w:val="00952A1B"/>
    <w:rsid w:val="009678FF"/>
    <w:rsid w:val="00972992"/>
    <w:rsid w:val="00976C68"/>
    <w:rsid w:val="00977832"/>
    <w:rsid w:val="0098434E"/>
    <w:rsid w:val="00991055"/>
    <w:rsid w:val="009925D3"/>
    <w:rsid w:val="00995513"/>
    <w:rsid w:val="009A0A66"/>
    <w:rsid w:val="009C0BB8"/>
    <w:rsid w:val="009C0FDF"/>
    <w:rsid w:val="009C1B35"/>
    <w:rsid w:val="009C68C1"/>
    <w:rsid w:val="009E5476"/>
    <w:rsid w:val="00A01ACD"/>
    <w:rsid w:val="00A13030"/>
    <w:rsid w:val="00A17DDF"/>
    <w:rsid w:val="00A21049"/>
    <w:rsid w:val="00A210A9"/>
    <w:rsid w:val="00A2289D"/>
    <w:rsid w:val="00A42ABB"/>
    <w:rsid w:val="00A600F2"/>
    <w:rsid w:val="00A715EE"/>
    <w:rsid w:val="00A74EF1"/>
    <w:rsid w:val="00A74F68"/>
    <w:rsid w:val="00A85E64"/>
    <w:rsid w:val="00A93FF3"/>
    <w:rsid w:val="00A94FDB"/>
    <w:rsid w:val="00A96C92"/>
    <w:rsid w:val="00AA4BF3"/>
    <w:rsid w:val="00AB3C6E"/>
    <w:rsid w:val="00AB5FE0"/>
    <w:rsid w:val="00AB6266"/>
    <w:rsid w:val="00AC05A9"/>
    <w:rsid w:val="00AC2FCB"/>
    <w:rsid w:val="00AC70AD"/>
    <w:rsid w:val="00AD7C61"/>
    <w:rsid w:val="00AE2E49"/>
    <w:rsid w:val="00AE35A9"/>
    <w:rsid w:val="00AF3095"/>
    <w:rsid w:val="00B073E7"/>
    <w:rsid w:val="00B07401"/>
    <w:rsid w:val="00B1399E"/>
    <w:rsid w:val="00B13C3F"/>
    <w:rsid w:val="00B4740C"/>
    <w:rsid w:val="00B52B69"/>
    <w:rsid w:val="00B61782"/>
    <w:rsid w:val="00B63818"/>
    <w:rsid w:val="00B70721"/>
    <w:rsid w:val="00B71294"/>
    <w:rsid w:val="00B71585"/>
    <w:rsid w:val="00B92E28"/>
    <w:rsid w:val="00B95328"/>
    <w:rsid w:val="00BA0604"/>
    <w:rsid w:val="00BA280E"/>
    <w:rsid w:val="00BB1D16"/>
    <w:rsid w:val="00BB4047"/>
    <w:rsid w:val="00BB7F84"/>
    <w:rsid w:val="00BC02AD"/>
    <w:rsid w:val="00BC6BE1"/>
    <w:rsid w:val="00BD1AFC"/>
    <w:rsid w:val="00BE5671"/>
    <w:rsid w:val="00BE61F1"/>
    <w:rsid w:val="00BE7CF3"/>
    <w:rsid w:val="00BF0DA0"/>
    <w:rsid w:val="00BF2A2F"/>
    <w:rsid w:val="00BF7EC2"/>
    <w:rsid w:val="00C0067D"/>
    <w:rsid w:val="00C02E3B"/>
    <w:rsid w:val="00C045B0"/>
    <w:rsid w:val="00C05383"/>
    <w:rsid w:val="00C27594"/>
    <w:rsid w:val="00C30DE0"/>
    <w:rsid w:val="00C43049"/>
    <w:rsid w:val="00C57642"/>
    <w:rsid w:val="00C64C45"/>
    <w:rsid w:val="00C67EF6"/>
    <w:rsid w:val="00C70F98"/>
    <w:rsid w:val="00C85A20"/>
    <w:rsid w:val="00C94B42"/>
    <w:rsid w:val="00C963EF"/>
    <w:rsid w:val="00CA7D02"/>
    <w:rsid w:val="00CC4B5A"/>
    <w:rsid w:val="00CD7878"/>
    <w:rsid w:val="00CE3984"/>
    <w:rsid w:val="00CE52D8"/>
    <w:rsid w:val="00CF2F4F"/>
    <w:rsid w:val="00D1560C"/>
    <w:rsid w:val="00D200A4"/>
    <w:rsid w:val="00D22B23"/>
    <w:rsid w:val="00D322B5"/>
    <w:rsid w:val="00D34E5B"/>
    <w:rsid w:val="00D43F91"/>
    <w:rsid w:val="00D65750"/>
    <w:rsid w:val="00D70240"/>
    <w:rsid w:val="00D70BA5"/>
    <w:rsid w:val="00D73B15"/>
    <w:rsid w:val="00D81E01"/>
    <w:rsid w:val="00D83A00"/>
    <w:rsid w:val="00DA08FA"/>
    <w:rsid w:val="00DB2157"/>
    <w:rsid w:val="00DC253A"/>
    <w:rsid w:val="00DC410A"/>
    <w:rsid w:val="00DC6A1E"/>
    <w:rsid w:val="00DD26C6"/>
    <w:rsid w:val="00DD75A5"/>
    <w:rsid w:val="00DE123B"/>
    <w:rsid w:val="00DF06B0"/>
    <w:rsid w:val="00E03037"/>
    <w:rsid w:val="00E05B97"/>
    <w:rsid w:val="00E07750"/>
    <w:rsid w:val="00E2084D"/>
    <w:rsid w:val="00E342EF"/>
    <w:rsid w:val="00E6153F"/>
    <w:rsid w:val="00E76B8B"/>
    <w:rsid w:val="00E83620"/>
    <w:rsid w:val="00EA261A"/>
    <w:rsid w:val="00EA5343"/>
    <w:rsid w:val="00EB2F8A"/>
    <w:rsid w:val="00EC171C"/>
    <w:rsid w:val="00EC3EA8"/>
    <w:rsid w:val="00EC6F42"/>
    <w:rsid w:val="00ED308A"/>
    <w:rsid w:val="00ED4229"/>
    <w:rsid w:val="00EE36EA"/>
    <w:rsid w:val="00EE65DB"/>
    <w:rsid w:val="00EF1BC3"/>
    <w:rsid w:val="00EF55E7"/>
    <w:rsid w:val="00EF69EA"/>
    <w:rsid w:val="00F1200F"/>
    <w:rsid w:val="00F16B57"/>
    <w:rsid w:val="00F16D22"/>
    <w:rsid w:val="00F17531"/>
    <w:rsid w:val="00F23AFB"/>
    <w:rsid w:val="00F25530"/>
    <w:rsid w:val="00F277D1"/>
    <w:rsid w:val="00F32251"/>
    <w:rsid w:val="00F411F1"/>
    <w:rsid w:val="00F528D2"/>
    <w:rsid w:val="00F534B4"/>
    <w:rsid w:val="00F554DE"/>
    <w:rsid w:val="00F57DA6"/>
    <w:rsid w:val="00F63CD6"/>
    <w:rsid w:val="00F734ED"/>
    <w:rsid w:val="00F80872"/>
    <w:rsid w:val="00F850CA"/>
    <w:rsid w:val="00FA4671"/>
    <w:rsid w:val="00FC12E3"/>
    <w:rsid w:val="00FC3F07"/>
    <w:rsid w:val="00FE0858"/>
    <w:rsid w:val="00FE2D65"/>
    <w:rsid w:val="00FE61B2"/>
    <w:rsid w:val="00FF6CC3"/>
    <w:rsid w:val="061A3F7B"/>
    <w:rsid w:val="06442CE4"/>
    <w:rsid w:val="30E50520"/>
    <w:rsid w:val="3BE63FBA"/>
    <w:rsid w:val="3DB07722"/>
    <w:rsid w:val="49B43507"/>
    <w:rsid w:val="4F3B1CAD"/>
    <w:rsid w:val="60B64717"/>
    <w:rsid w:val="617F56C1"/>
    <w:rsid w:val="659F63BE"/>
    <w:rsid w:val="6AE55CD7"/>
    <w:rsid w:val="6B2A547A"/>
    <w:rsid w:val="74FC38E6"/>
    <w:rsid w:val="7C457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8"/>
      <w:szCs w:val="24"/>
      <w:lang w:val="en-US" w:eastAsia="zh-CN" w:bidi="ar-SA"/>
    </w:rPr>
  </w:style>
  <w:style w:type="paragraph" w:styleId="2">
    <w:name w:val="heading 1"/>
    <w:basedOn w:val="1"/>
    <w:next w:val="1"/>
    <w:qFormat/>
    <w:uiPriority w:val="9"/>
    <w:pPr>
      <w:keepNext/>
      <w:keepLines/>
      <w:spacing w:before="340" w:after="330" w:line="480" w:lineRule="auto"/>
      <w:jc w:val="center"/>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uiPriority w:val="39"/>
    <w:pPr>
      <w:spacing w:line="240" w:lineRule="auto"/>
      <w:ind w:left="2520" w:leftChars="1200"/>
    </w:pPr>
    <w:rPr>
      <w:rFonts w:asciiTheme="minorHAnsi" w:hAnsiTheme="minorHAnsi" w:eastAsiaTheme="minorEastAsia" w:cstheme="minorBidi"/>
      <w:sz w:val="21"/>
      <w:szCs w:val="22"/>
    </w:rPr>
  </w:style>
  <w:style w:type="paragraph" w:styleId="6">
    <w:name w:val="Normal Indent"/>
    <w:basedOn w:val="1"/>
    <w:next w:val="7"/>
    <w:qFormat/>
    <w:uiPriority w:val="99"/>
    <w:pPr>
      <w:spacing w:line="240" w:lineRule="auto"/>
      <w:ind w:firstLine="420"/>
    </w:pPr>
    <w:rPr>
      <w:rFonts w:ascii="Times New Roman" w:hAnsi="Times New Roman"/>
      <w:sz w:val="24"/>
    </w:rPr>
  </w:style>
  <w:style w:type="paragraph" w:styleId="7">
    <w:name w:val="Body Text"/>
    <w:basedOn w:val="1"/>
    <w:next w:val="1"/>
    <w:link w:val="42"/>
    <w:qFormat/>
    <w:uiPriority w:val="0"/>
    <w:pPr>
      <w:spacing w:after="120" w:line="600" w:lineRule="exact"/>
    </w:pPr>
    <w:rPr>
      <w:rFonts w:ascii="等线" w:hAnsi="等线" w:eastAsia="仿宋_GB2312" w:cs="宋体"/>
      <w:sz w:val="32"/>
      <w:szCs w:val="20"/>
    </w:rPr>
  </w:style>
  <w:style w:type="paragraph" w:styleId="8">
    <w:name w:val="Salutation"/>
    <w:basedOn w:val="1"/>
    <w:next w:val="1"/>
    <w:link w:val="41"/>
    <w:qFormat/>
    <w:uiPriority w:val="99"/>
    <w:pPr>
      <w:adjustRightInd w:val="0"/>
      <w:snapToGrid w:val="0"/>
    </w:pPr>
  </w:style>
  <w:style w:type="paragraph" w:styleId="9">
    <w:name w:val="toc 5"/>
    <w:basedOn w:val="1"/>
    <w:next w:val="1"/>
    <w:unhideWhenUsed/>
    <w:uiPriority w:val="39"/>
    <w:pPr>
      <w:spacing w:line="240" w:lineRule="auto"/>
      <w:ind w:left="1680" w:leftChars="800"/>
    </w:pPr>
    <w:rPr>
      <w:rFonts w:asciiTheme="minorHAnsi" w:hAnsiTheme="minorHAnsi" w:eastAsiaTheme="minorEastAsia" w:cstheme="minorBidi"/>
      <w:sz w:val="21"/>
      <w:szCs w:val="22"/>
    </w:rPr>
  </w:style>
  <w:style w:type="paragraph" w:styleId="10">
    <w:name w:val="toc 3"/>
    <w:basedOn w:val="1"/>
    <w:next w:val="1"/>
    <w:unhideWhenUsed/>
    <w:qFormat/>
    <w:uiPriority w:val="39"/>
    <w:pPr>
      <w:ind w:left="840" w:leftChars="400"/>
      <w:jc w:val="left"/>
    </w:pPr>
    <w:rPr>
      <w:szCs w:val="22"/>
    </w:rPr>
  </w:style>
  <w:style w:type="paragraph" w:styleId="11">
    <w:name w:val="toc 8"/>
    <w:basedOn w:val="1"/>
    <w:next w:val="1"/>
    <w:unhideWhenUsed/>
    <w:uiPriority w:val="39"/>
    <w:pPr>
      <w:spacing w:line="240" w:lineRule="auto"/>
      <w:ind w:left="2940" w:leftChars="1400"/>
    </w:pPr>
    <w:rPr>
      <w:rFonts w:asciiTheme="minorHAnsi" w:hAnsiTheme="minorHAnsi" w:eastAsiaTheme="minorEastAsia" w:cstheme="minorBidi"/>
      <w:sz w:val="21"/>
      <w:szCs w:val="22"/>
    </w:rPr>
  </w:style>
  <w:style w:type="paragraph" w:styleId="12">
    <w:name w:val="Date"/>
    <w:basedOn w:val="1"/>
    <w:next w:val="1"/>
    <w:link w:val="44"/>
    <w:uiPriority w:val="0"/>
    <w:pPr>
      <w:ind w:left="100" w:leftChars="2500"/>
    </w:pPr>
  </w:style>
  <w:style w:type="paragraph" w:styleId="13">
    <w:name w:val="Balloon Text"/>
    <w:basedOn w:val="1"/>
    <w:link w:val="50"/>
    <w:qFormat/>
    <w:uiPriority w:val="0"/>
    <w:pPr>
      <w:spacing w:line="240" w:lineRule="auto"/>
    </w:pPr>
    <w:rPr>
      <w:sz w:val="18"/>
      <w:szCs w:val="18"/>
    </w:rPr>
  </w:style>
  <w:style w:type="paragraph" w:styleId="14">
    <w:name w:val="footer"/>
    <w:basedOn w:val="1"/>
    <w:link w:val="46"/>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qFormat/>
    <w:uiPriority w:val="39"/>
  </w:style>
  <w:style w:type="paragraph" w:styleId="17">
    <w:name w:val="toc 4"/>
    <w:basedOn w:val="1"/>
    <w:next w:val="1"/>
    <w:unhideWhenUsed/>
    <w:qFormat/>
    <w:uiPriority w:val="39"/>
    <w:pPr>
      <w:spacing w:line="240" w:lineRule="auto"/>
      <w:ind w:left="1260" w:leftChars="600"/>
    </w:pPr>
    <w:rPr>
      <w:rFonts w:asciiTheme="minorHAnsi" w:hAnsiTheme="minorHAnsi" w:eastAsiaTheme="minorEastAsia" w:cstheme="minorBidi"/>
      <w:sz w:val="21"/>
      <w:szCs w:val="22"/>
    </w:rPr>
  </w:style>
  <w:style w:type="paragraph" w:styleId="18">
    <w:name w:val="toc 6"/>
    <w:basedOn w:val="1"/>
    <w:next w:val="1"/>
    <w:unhideWhenUsed/>
    <w:uiPriority w:val="39"/>
    <w:pPr>
      <w:spacing w:line="240" w:lineRule="auto"/>
      <w:ind w:left="2100" w:leftChars="1000"/>
    </w:pPr>
    <w:rPr>
      <w:rFonts w:asciiTheme="minorHAnsi" w:hAnsiTheme="minorHAnsi" w:eastAsiaTheme="minorEastAsia" w:cstheme="minorBidi"/>
      <w:sz w:val="21"/>
      <w:szCs w:val="22"/>
    </w:rPr>
  </w:style>
  <w:style w:type="paragraph" w:styleId="19">
    <w:name w:val="toc 2"/>
    <w:basedOn w:val="1"/>
    <w:next w:val="1"/>
    <w:qFormat/>
    <w:uiPriority w:val="39"/>
    <w:pPr>
      <w:ind w:left="420" w:leftChars="200"/>
    </w:pPr>
  </w:style>
  <w:style w:type="paragraph" w:styleId="20">
    <w:name w:val="toc 9"/>
    <w:basedOn w:val="1"/>
    <w:next w:val="1"/>
    <w:unhideWhenUsed/>
    <w:uiPriority w:val="39"/>
    <w:pPr>
      <w:spacing w:line="240" w:lineRule="auto"/>
      <w:ind w:left="3360" w:leftChars="1600"/>
    </w:pPr>
    <w:rPr>
      <w:rFonts w:asciiTheme="minorHAnsi" w:hAnsiTheme="minorHAnsi" w:eastAsiaTheme="minorEastAsia" w:cstheme="minorBidi"/>
      <w:sz w:val="21"/>
      <w:szCs w:val="22"/>
    </w:rPr>
  </w:style>
  <w:style w:type="paragraph" w:styleId="21">
    <w:name w:val="Normal (Web)"/>
    <w:basedOn w:val="1"/>
    <w:unhideWhenUsed/>
    <w:uiPriority w:val="99"/>
    <w:pPr>
      <w:widowControl/>
      <w:spacing w:before="100" w:beforeAutospacing="1" w:after="100" w:afterAutospacing="1" w:line="240" w:lineRule="auto"/>
      <w:jc w:val="left"/>
    </w:pPr>
    <w:rPr>
      <w:rFonts w:ascii="宋体" w:hAnsi="宋体" w:cs="宋体"/>
      <w:kern w:val="0"/>
      <w:sz w:val="24"/>
    </w:rPr>
  </w:style>
  <w:style w:type="paragraph" w:styleId="22">
    <w:name w:val="Title"/>
    <w:basedOn w:val="1"/>
    <w:next w:val="1"/>
    <w:link w:val="48"/>
    <w:qFormat/>
    <w:uiPriority w:val="0"/>
    <w:pPr>
      <w:spacing w:before="240" w:after="60"/>
      <w:jc w:val="center"/>
      <w:outlineLvl w:val="0"/>
    </w:pPr>
    <w:rPr>
      <w:rFonts w:ascii="Calibri Light" w:hAnsi="Calibri Light"/>
      <w:b/>
      <w:bCs/>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bCs/>
    </w:rPr>
  </w:style>
  <w:style w:type="character" w:styleId="27">
    <w:name w:val="page number"/>
    <w:basedOn w:val="25"/>
    <w:qFormat/>
    <w:uiPriority w:val="0"/>
  </w:style>
  <w:style w:type="character" w:styleId="28">
    <w:name w:val="Emphasis"/>
    <w:qFormat/>
    <w:uiPriority w:val="20"/>
    <w:rPr>
      <w:i/>
      <w:iCs/>
    </w:rPr>
  </w:style>
  <w:style w:type="character" w:styleId="29">
    <w:name w:val="Hyperlink"/>
    <w:qFormat/>
    <w:uiPriority w:val="99"/>
    <w:rPr>
      <w:color w:val="0563C1"/>
      <w:u w:val="single"/>
    </w:rPr>
  </w:style>
  <w:style w:type="paragraph" w:customStyle="1" w:styleId="30">
    <w:name w:val="表格式"/>
    <w:basedOn w:val="1"/>
    <w:next w:val="7"/>
    <w:qFormat/>
    <w:uiPriority w:val="0"/>
    <w:pPr>
      <w:spacing w:line="240" w:lineRule="auto"/>
      <w:jc w:val="center"/>
    </w:pPr>
    <w:rPr>
      <w:rFonts w:ascii="Times New Roman" w:hAnsi="Times New Roman"/>
      <w:sz w:val="18"/>
      <w:szCs w:val="20"/>
    </w:rPr>
  </w:style>
  <w:style w:type="paragraph" w:styleId="31">
    <w:name w:val="List Paragraph"/>
    <w:basedOn w:val="1"/>
    <w:qFormat/>
    <w:uiPriority w:val="99"/>
    <w:pPr>
      <w:ind w:firstLine="420" w:firstLineChars="200"/>
    </w:pPr>
  </w:style>
  <w:style w:type="paragraph" w:customStyle="1" w:styleId="32">
    <w:name w:val="列出段落1"/>
    <w:basedOn w:val="1"/>
    <w:qFormat/>
    <w:uiPriority w:val="34"/>
    <w:pPr>
      <w:ind w:firstLine="420" w:firstLineChars="200"/>
    </w:pPr>
  </w:style>
  <w:style w:type="paragraph" w:customStyle="1" w:styleId="33">
    <w:name w:val="表标题"/>
    <w:basedOn w:val="7"/>
    <w:next w:val="30"/>
    <w:qFormat/>
    <w:uiPriority w:val="0"/>
    <w:pPr>
      <w:spacing w:after="0" w:line="360" w:lineRule="auto"/>
      <w:jc w:val="center"/>
    </w:pPr>
    <w:rPr>
      <w:rFonts w:ascii="宋体" w:hAnsi="宋体" w:eastAsia="宋体" w:cs="Times New Roman"/>
      <w:b/>
      <w:sz w:val="21"/>
      <w:szCs w:val="21"/>
    </w:rPr>
  </w:style>
  <w:style w:type="paragraph" w:customStyle="1" w:styleId="34">
    <w:name w:val="TOC 标题1"/>
    <w:basedOn w:val="2"/>
    <w:next w:val="1"/>
    <w:unhideWhenUsed/>
    <w:qFormat/>
    <w:uiPriority w:val="39"/>
    <w:pPr>
      <w:widowControl/>
      <w:spacing w:before="480" w:after="0" w:line="276" w:lineRule="auto"/>
      <w:jc w:val="left"/>
      <w:outlineLvl w:val="9"/>
    </w:pPr>
    <w:rPr>
      <w:rFonts w:ascii="Calibri Light" w:hAnsi="Calibri Light"/>
      <w:color w:val="2E75B5"/>
      <w:kern w:val="0"/>
      <w:sz w:val="28"/>
      <w:szCs w:val="28"/>
    </w:rPr>
  </w:style>
  <w:style w:type="paragraph" w:customStyle="1" w:styleId="35">
    <w:name w:val="样式 左侧:  0.33 厘米 右侧:  0.49 厘米"/>
    <w:basedOn w:val="1"/>
    <w:uiPriority w:val="0"/>
    <w:pPr>
      <w:autoSpaceDE w:val="0"/>
      <w:autoSpaceDN w:val="0"/>
      <w:adjustRightInd w:val="0"/>
      <w:ind w:firstLine="200" w:firstLineChars="202"/>
    </w:pPr>
    <w:rPr>
      <w:rFonts w:ascii="Times New Roman" w:hAnsi="Times New Roman" w:cs="宋体"/>
      <w:kern w:val="0"/>
      <w:sz w:val="24"/>
      <w:szCs w:val="20"/>
    </w:rPr>
  </w:style>
  <w:style w:type="character" w:customStyle="1" w:styleId="36">
    <w:name w:val="不明显参考1"/>
    <w:qFormat/>
    <w:uiPriority w:val="31"/>
    <w:rPr>
      <w:smallCaps/>
      <w:color w:val="ED7D31"/>
      <w:u w:val="single"/>
    </w:rPr>
  </w:style>
  <w:style w:type="character" w:customStyle="1" w:styleId="37">
    <w:name w:val="页眉 Char"/>
    <w:link w:val="15"/>
    <w:qFormat/>
    <w:uiPriority w:val="0"/>
    <w:rPr>
      <w:rFonts w:ascii="Calibri" w:hAnsi="Calibri"/>
      <w:kern w:val="2"/>
      <w:sz w:val="18"/>
      <w:szCs w:val="18"/>
    </w:rPr>
  </w:style>
  <w:style w:type="character" w:customStyle="1" w:styleId="38">
    <w:name w:val="font11"/>
    <w:qFormat/>
    <w:uiPriority w:val="0"/>
    <w:rPr>
      <w:rFonts w:hint="default" w:ascii="ÃƒÂ¥Ã‚Â®Ã¢â‚¬Â¹ÃƒÂ¤Ã‚Â½Ã¢â‚¬Å“" w:hAnsi="ÃƒÂ¥Ã‚Â®Ã¢â‚¬Â¹ÃƒÂ¤Ã‚Â½Ã¢â‚¬Å“" w:eastAsia="ÃƒÂ¥Ã‚Â®Ã¢â‚¬Â¹ÃƒÂ¤Ã‚Â½Ã¢â‚¬Å“" w:cs="ÃƒÂ¥Ã‚Â®Ã¢â‚¬Â¹ÃƒÂ¤Ã‚Â½Ã¢â‚¬Å“"/>
      <w:b/>
      <w:bCs/>
      <w:color w:val="000000"/>
      <w:sz w:val="28"/>
      <w:szCs w:val="28"/>
      <w:u w:val="none"/>
    </w:rPr>
  </w:style>
  <w:style w:type="character" w:customStyle="1" w:styleId="39">
    <w:name w:val="标题 3 Char"/>
    <w:link w:val="4"/>
    <w:qFormat/>
    <w:uiPriority w:val="0"/>
    <w:rPr>
      <w:b/>
      <w:bCs/>
      <w:kern w:val="2"/>
      <w:sz w:val="32"/>
      <w:szCs w:val="32"/>
    </w:rPr>
  </w:style>
  <w:style w:type="character" w:customStyle="1" w:styleId="40">
    <w:name w:val="书籍标题1"/>
    <w:qFormat/>
    <w:uiPriority w:val="33"/>
    <w:rPr>
      <w:b/>
      <w:bCs/>
      <w:smallCaps/>
      <w:spacing w:val="5"/>
    </w:rPr>
  </w:style>
  <w:style w:type="character" w:customStyle="1" w:styleId="41">
    <w:name w:val="称呼 Char"/>
    <w:link w:val="8"/>
    <w:qFormat/>
    <w:uiPriority w:val="99"/>
    <w:rPr>
      <w:rFonts w:ascii="Calibri" w:hAnsi="Calibri"/>
      <w:kern w:val="2"/>
      <w:sz w:val="28"/>
      <w:szCs w:val="24"/>
    </w:rPr>
  </w:style>
  <w:style w:type="character" w:customStyle="1" w:styleId="42">
    <w:name w:val="正文文本 Char"/>
    <w:link w:val="7"/>
    <w:qFormat/>
    <w:uiPriority w:val="0"/>
    <w:rPr>
      <w:rFonts w:ascii="等线" w:hAnsi="等线" w:eastAsia="仿宋_GB2312" w:cs="宋体"/>
      <w:kern w:val="2"/>
      <w:sz w:val="32"/>
    </w:rPr>
  </w:style>
  <w:style w:type="character" w:customStyle="1" w:styleId="43">
    <w:name w:val="标题 2 Char"/>
    <w:link w:val="3"/>
    <w:qFormat/>
    <w:uiPriority w:val="0"/>
    <w:rPr>
      <w:rFonts w:ascii="Calibri Light" w:hAnsi="Calibri Light" w:eastAsia="宋体" w:cs="Times New Roman"/>
      <w:b/>
      <w:bCs/>
      <w:kern w:val="2"/>
      <w:sz w:val="32"/>
      <w:szCs w:val="32"/>
    </w:rPr>
  </w:style>
  <w:style w:type="character" w:customStyle="1" w:styleId="44">
    <w:name w:val="日期 Char"/>
    <w:link w:val="12"/>
    <w:qFormat/>
    <w:uiPriority w:val="0"/>
    <w:rPr>
      <w:kern w:val="2"/>
      <w:sz w:val="28"/>
      <w:szCs w:val="24"/>
    </w:rPr>
  </w:style>
  <w:style w:type="character" w:customStyle="1" w:styleId="45">
    <w:name w:val="明显强调1"/>
    <w:qFormat/>
    <w:uiPriority w:val="21"/>
    <w:rPr>
      <w:b/>
      <w:bCs/>
      <w:i/>
      <w:iCs/>
      <w:color w:val="5B9BD5"/>
    </w:rPr>
  </w:style>
  <w:style w:type="character" w:customStyle="1" w:styleId="46">
    <w:name w:val="页脚 Char"/>
    <w:link w:val="14"/>
    <w:qFormat/>
    <w:uiPriority w:val="99"/>
    <w:rPr>
      <w:rFonts w:ascii="Calibri" w:hAnsi="Calibri"/>
      <w:kern w:val="2"/>
      <w:sz w:val="18"/>
      <w:szCs w:val="18"/>
    </w:rPr>
  </w:style>
  <w:style w:type="character" w:customStyle="1" w:styleId="47">
    <w:name w:val="明显参考1"/>
    <w:qFormat/>
    <w:uiPriority w:val="32"/>
    <w:rPr>
      <w:b/>
      <w:bCs/>
      <w:smallCaps/>
      <w:color w:val="ED7D31"/>
      <w:spacing w:val="5"/>
      <w:u w:val="single"/>
    </w:rPr>
  </w:style>
  <w:style w:type="character" w:customStyle="1" w:styleId="48">
    <w:name w:val="标题 Char"/>
    <w:link w:val="22"/>
    <w:qFormat/>
    <w:uiPriority w:val="0"/>
    <w:rPr>
      <w:rFonts w:ascii="Calibri Light" w:hAnsi="Calibri Light" w:cs="Times New Roman"/>
      <w:b/>
      <w:bCs/>
      <w:kern w:val="2"/>
      <w:sz w:val="32"/>
      <w:szCs w:val="32"/>
    </w:rPr>
  </w:style>
  <w:style w:type="character" w:customStyle="1" w:styleId="49">
    <w:name w:val="不明显强调1"/>
    <w:qFormat/>
    <w:uiPriority w:val="19"/>
    <w:rPr>
      <w:i/>
      <w:iCs/>
      <w:color w:val="7E7E7E"/>
    </w:rPr>
  </w:style>
  <w:style w:type="character" w:customStyle="1" w:styleId="50">
    <w:name w:val="批注框文本 Char"/>
    <w:link w:val="1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37114</Words>
  <Characters>41880</Characters>
  <Lines>389</Lines>
  <Paragraphs>109</Paragraphs>
  <TotalTime>100</TotalTime>
  <ScaleCrop>false</ScaleCrop>
  <LinksUpToDate>false</LinksUpToDate>
  <CharactersWithSpaces>42363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2022-10-28T08:36:00Z</dcterms:created>
  <dc:creator>Administrator</dc:creator>
  <cp:lastModifiedBy>邓健</cp:lastModifiedBy>
  <cp:lastPrinted>2021-11-27T15:13:00Z</cp:lastPrinted>
  <dcterms:modified xsi:type="dcterms:W3CDTF">2022-11-07T09:22:14Z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23F164F0417148678999D77A7FD1153C</vt:lpwstr>
  </property>
</Properties>
</file>