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line="440" w:lineRule="exact"/>
        <w:jc w:val="center"/>
        <w:rPr>
          <w:rFonts w:ascii="仿宋_GB2312" w:hAnsi="宋体" w:eastAsia="仿宋_GB2312" w:cs="宋体"/>
          <w:b/>
          <w:bCs/>
          <w:color w:val="000000"/>
          <w:kern w:val="0"/>
          <w:sz w:val="28"/>
          <w:szCs w:val="28"/>
        </w:rPr>
      </w:pPr>
      <w:r>
        <w:rPr>
          <w:rFonts w:hint="eastAsia" w:ascii="仿宋_GB2312" w:hAnsi="宋体" w:eastAsia="仿宋_GB2312" w:cs="宋体"/>
          <w:b/>
          <w:bCs/>
          <w:color w:val="000000"/>
          <w:kern w:val="0"/>
          <w:sz w:val="28"/>
          <w:szCs w:val="28"/>
        </w:rPr>
        <w:t xml:space="preserve">乐山市市中区生态环境局关于建设项目环境影响评价文件受理情况的公示 </w:t>
      </w:r>
    </w:p>
    <w:p>
      <w:pPr>
        <w:widowControl/>
        <w:jc w:val="center"/>
        <w:rPr>
          <w:rFonts w:hint="default" w:ascii="宋体" w:hAnsi="宋体" w:eastAsia="宋体" w:cs="宋体"/>
          <w:color w:val="000000"/>
          <w:kern w:val="0"/>
          <w:sz w:val="24"/>
          <w:lang w:val="en-US" w:eastAsia="zh-CN"/>
        </w:rPr>
      </w:pPr>
      <w:r>
        <w:rPr>
          <w:rFonts w:hint="eastAsia" w:ascii="宋体" w:hAnsi="宋体" w:cs="宋体"/>
          <w:color w:val="000000"/>
          <w:kern w:val="0"/>
          <w:sz w:val="24"/>
        </w:rPr>
        <w:t>20</w:t>
      </w:r>
      <w:r>
        <w:rPr>
          <w:rFonts w:hint="eastAsia" w:ascii="宋体" w:hAnsi="宋体" w:cs="宋体"/>
          <w:color w:val="000000"/>
          <w:kern w:val="0"/>
          <w:sz w:val="24"/>
          <w:lang w:val="en-US" w:eastAsia="zh-CN"/>
        </w:rPr>
        <w:t>22</w:t>
      </w:r>
      <w:r>
        <w:rPr>
          <w:rFonts w:hint="eastAsia" w:ascii="宋体" w:hAnsi="宋体" w:cs="宋体"/>
          <w:color w:val="000000"/>
          <w:kern w:val="0"/>
          <w:sz w:val="24"/>
        </w:rPr>
        <w:t>-</w:t>
      </w:r>
      <w:r>
        <w:rPr>
          <w:rFonts w:hint="eastAsia" w:ascii="宋体" w:hAnsi="宋体" w:cs="宋体"/>
          <w:color w:val="000000"/>
          <w:kern w:val="0"/>
          <w:sz w:val="24"/>
          <w:lang w:val="en-US" w:eastAsia="zh-CN"/>
        </w:rPr>
        <w:t>10</w:t>
      </w:r>
      <w:r>
        <w:rPr>
          <w:rFonts w:hint="eastAsia" w:ascii="宋体" w:hAnsi="宋体" w:cs="宋体"/>
          <w:color w:val="000000"/>
          <w:kern w:val="0"/>
          <w:sz w:val="24"/>
        </w:rPr>
        <w:t>-</w:t>
      </w:r>
      <w:r>
        <w:rPr>
          <w:rFonts w:hint="eastAsia" w:ascii="宋体" w:hAnsi="宋体" w:cs="宋体"/>
          <w:color w:val="000000"/>
          <w:kern w:val="0"/>
          <w:sz w:val="24"/>
          <w:lang w:val="en-US" w:eastAsia="zh-CN"/>
        </w:rPr>
        <w:t>21</w:t>
      </w:r>
    </w:p>
    <w:p>
      <w:pPr>
        <w:widowControl/>
        <w:ind w:firstLine="420"/>
        <w:jc w:val="left"/>
        <w:rPr>
          <w:rFonts w:ascii="宋体" w:hAnsi="宋体" w:cs="宋体"/>
          <w:color w:val="000000"/>
          <w:kern w:val="0"/>
          <w:sz w:val="24"/>
        </w:rPr>
      </w:pPr>
      <w:r>
        <w:rPr>
          <w:rFonts w:hint="eastAsia" w:ascii="宋体" w:hAnsi="宋体" w:cs="宋体"/>
          <w:color w:val="000000"/>
          <w:kern w:val="0"/>
          <w:sz w:val="24"/>
        </w:rPr>
        <w:t>根据建设项目环境影响评价审批程序的有关规定，20</w:t>
      </w:r>
      <w:r>
        <w:rPr>
          <w:rFonts w:hint="eastAsia" w:ascii="宋体" w:hAnsi="宋体" w:cs="宋体"/>
          <w:color w:val="000000"/>
          <w:kern w:val="0"/>
          <w:sz w:val="24"/>
          <w:lang w:val="en-US" w:eastAsia="zh-CN"/>
        </w:rPr>
        <w:t>22</w:t>
      </w:r>
      <w:r>
        <w:rPr>
          <w:rFonts w:hint="eastAsia" w:ascii="宋体" w:hAnsi="宋体" w:cs="宋体"/>
          <w:color w:val="000000"/>
          <w:kern w:val="0"/>
          <w:sz w:val="24"/>
        </w:rPr>
        <w:t>年</w:t>
      </w:r>
      <w:r>
        <w:rPr>
          <w:rFonts w:hint="eastAsia" w:ascii="宋体" w:hAnsi="宋体" w:cs="宋体"/>
          <w:color w:val="000000"/>
          <w:kern w:val="0"/>
          <w:sz w:val="24"/>
          <w:lang w:val="en-US" w:eastAsia="zh-CN"/>
        </w:rPr>
        <w:t>10</w:t>
      </w:r>
      <w:r>
        <w:rPr>
          <w:rFonts w:hint="eastAsia" w:ascii="宋体" w:hAnsi="宋体" w:cs="宋体"/>
          <w:color w:val="000000"/>
          <w:kern w:val="0"/>
          <w:sz w:val="24"/>
        </w:rPr>
        <w:t>月</w:t>
      </w:r>
      <w:r>
        <w:rPr>
          <w:rFonts w:hint="eastAsia" w:ascii="宋体" w:hAnsi="宋体" w:cs="宋体"/>
          <w:color w:val="000000"/>
          <w:kern w:val="0"/>
          <w:sz w:val="24"/>
          <w:lang w:val="en-US" w:eastAsia="zh-CN"/>
        </w:rPr>
        <w:t>21</w:t>
      </w:r>
      <w:r>
        <w:rPr>
          <w:rFonts w:hint="eastAsia" w:ascii="宋体" w:hAnsi="宋体" w:cs="宋体"/>
          <w:color w:val="000000"/>
          <w:kern w:val="0"/>
          <w:sz w:val="24"/>
        </w:rPr>
        <w:t>日我局受理</w:t>
      </w:r>
      <w:r>
        <w:rPr>
          <w:rFonts w:hint="eastAsia" w:ascii="宋体" w:hAnsi="宋体" w:cs="宋体"/>
          <w:color w:val="000000"/>
          <w:kern w:val="0"/>
          <w:sz w:val="24"/>
          <w:lang w:val="en-US" w:eastAsia="zh-CN"/>
        </w:rPr>
        <w:t>2</w:t>
      </w:r>
      <w:r>
        <w:rPr>
          <w:rFonts w:hint="eastAsia" w:ascii="宋体" w:hAnsi="宋体" w:cs="宋体"/>
          <w:color w:val="000000"/>
          <w:kern w:val="0"/>
          <w:sz w:val="24"/>
        </w:rPr>
        <w:t>个建设项目环境影响评价文件。现将受理情况予以公示，公示期为20</w:t>
      </w:r>
      <w:r>
        <w:rPr>
          <w:rFonts w:hint="eastAsia" w:ascii="宋体" w:hAnsi="宋体" w:cs="宋体"/>
          <w:color w:val="000000"/>
          <w:kern w:val="0"/>
          <w:sz w:val="24"/>
          <w:lang w:val="en-US" w:eastAsia="zh-CN"/>
        </w:rPr>
        <w:t>22</w:t>
      </w:r>
      <w:r>
        <w:rPr>
          <w:rFonts w:hint="eastAsia" w:ascii="宋体" w:hAnsi="宋体" w:cs="宋体"/>
          <w:color w:val="000000"/>
          <w:kern w:val="0"/>
          <w:sz w:val="24"/>
        </w:rPr>
        <w:t>年</w:t>
      </w:r>
      <w:r>
        <w:rPr>
          <w:rFonts w:hint="eastAsia" w:ascii="宋体" w:hAnsi="宋体" w:cs="宋体"/>
          <w:color w:val="000000"/>
          <w:kern w:val="0"/>
          <w:sz w:val="24"/>
          <w:lang w:val="en-US" w:eastAsia="zh-CN"/>
        </w:rPr>
        <w:t>10</w:t>
      </w:r>
      <w:r>
        <w:rPr>
          <w:rFonts w:hint="eastAsia" w:ascii="宋体" w:hAnsi="宋体" w:cs="宋体"/>
          <w:color w:val="000000"/>
          <w:kern w:val="0"/>
          <w:sz w:val="24"/>
        </w:rPr>
        <w:t>月</w:t>
      </w:r>
      <w:r>
        <w:rPr>
          <w:rFonts w:hint="eastAsia" w:ascii="宋体" w:hAnsi="宋体" w:cs="宋体"/>
          <w:color w:val="000000"/>
          <w:kern w:val="0"/>
          <w:sz w:val="24"/>
          <w:lang w:val="en-US" w:eastAsia="zh-CN"/>
        </w:rPr>
        <w:t>21</w:t>
      </w:r>
      <w:r>
        <w:rPr>
          <w:rFonts w:hint="eastAsia" w:ascii="宋体" w:hAnsi="宋体" w:cs="宋体"/>
          <w:color w:val="000000"/>
          <w:kern w:val="0"/>
          <w:sz w:val="24"/>
        </w:rPr>
        <w:t>日－20</w:t>
      </w:r>
      <w:r>
        <w:rPr>
          <w:rFonts w:hint="eastAsia" w:ascii="宋体" w:hAnsi="宋体" w:cs="宋体"/>
          <w:color w:val="000000"/>
          <w:kern w:val="0"/>
          <w:sz w:val="24"/>
          <w:lang w:val="en-US" w:eastAsia="zh-CN"/>
        </w:rPr>
        <w:t>22</w:t>
      </w:r>
      <w:r>
        <w:rPr>
          <w:rFonts w:hint="eastAsia" w:ascii="宋体" w:hAnsi="宋体" w:cs="宋体"/>
          <w:color w:val="000000"/>
          <w:kern w:val="0"/>
          <w:sz w:val="24"/>
        </w:rPr>
        <w:t>年</w:t>
      </w:r>
      <w:r>
        <w:rPr>
          <w:rFonts w:hint="eastAsia" w:ascii="宋体" w:hAnsi="宋体" w:cs="宋体"/>
          <w:color w:val="000000"/>
          <w:kern w:val="0"/>
          <w:sz w:val="24"/>
          <w:lang w:val="en-US" w:eastAsia="zh-CN"/>
        </w:rPr>
        <w:t>11</w:t>
      </w:r>
      <w:r>
        <w:rPr>
          <w:rFonts w:hint="eastAsia" w:ascii="宋体" w:hAnsi="宋体" w:cs="宋体"/>
          <w:color w:val="000000"/>
          <w:kern w:val="0"/>
          <w:sz w:val="24"/>
        </w:rPr>
        <w:t>月</w:t>
      </w:r>
      <w:r>
        <w:rPr>
          <w:rFonts w:hint="eastAsia" w:ascii="宋体" w:hAnsi="宋体" w:cs="宋体"/>
          <w:color w:val="000000"/>
          <w:kern w:val="0"/>
          <w:sz w:val="24"/>
          <w:lang w:val="en-US" w:eastAsia="zh-CN"/>
        </w:rPr>
        <w:t>3</w:t>
      </w:r>
      <w:r>
        <w:rPr>
          <w:rFonts w:hint="eastAsia" w:ascii="宋体" w:hAnsi="宋体" w:cs="宋体"/>
          <w:color w:val="000000"/>
          <w:kern w:val="0"/>
          <w:sz w:val="24"/>
        </w:rPr>
        <w:t>日（10个工作日）。</w:t>
      </w:r>
    </w:p>
    <w:p>
      <w:pPr>
        <w:widowControl/>
        <w:ind w:firstLine="420"/>
        <w:jc w:val="left"/>
        <w:rPr>
          <w:rFonts w:ascii="宋体" w:hAnsi="宋体" w:cs="宋体"/>
          <w:color w:val="000000"/>
          <w:kern w:val="0"/>
          <w:sz w:val="24"/>
        </w:rPr>
      </w:pPr>
      <w:r>
        <w:rPr>
          <w:rFonts w:hint="eastAsia" w:ascii="宋体" w:hAnsi="宋体" w:cs="宋体"/>
          <w:color w:val="000000"/>
          <w:kern w:val="0"/>
          <w:sz w:val="24"/>
        </w:rPr>
        <w:t>　　联系电话：0833－2103779</w:t>
      </w:r>
    </w:p>
    <w:p>
      <w:pPr>
        <w:widowControl/>
        <w:ind w:firstLine="420"/>
        <w:jc w:val="left"/>
        <w:rPr>
          <w:rFonts w:ascii="宋体" w:hAnsi="宋体" w:cs="宋体"/>
          <w:color w:val="000000"/>
          <w:kern w:val="0"/>
          <w:sz w:val="24"/>
        </w:rPr>
      </w:pPr>
      <w:r>
        <w:rPr>
          <w:rFonts w:hint="eastAsia" w:ascii="宋体" w:hAnsi="宋体" w:cs="宋体"/>
          <w:color w:val="000000"/>
          <w:kern w:val="0"/>
          <w:sz w:val="24"/>
        </w:rPr>
        <w:t>　　传 　 真：0833-2133332</w:t>
      </w:r>
    </w:p>
    <w:p>
      <w:pPr>
        <w:widowControl/>
        <w:ind w:firstLine="420"/>
        <w:jc w:val="left"/>
        <w:rPr>
          <w:rFonts w:ascii="宋体" w:hAnsi="宋体" w:cs="宋体"/>
          <w:color w:val="000000"/>
          <w:kern w:val="0"/>
          <w:sz w:val="24"/>
        </w:rPr>
      </w:pPr>
      <w:r>
        <w:rPr>
          <w:rFonts w:hint="eastAsia" w:ascii="宋体" w:hAnsi="宋体" w:cs="宋体"/>
          <w:color w:val="000000"/>
          <w:kern w:val="0"/>
          <w:sz w:val="24"/>
        </w:rPr>
        <w:t>　　通讯地址：乐山市市中区白燕路830号</w:t>
      </w:r>
    </w:p>
    <w:p>
      <w:pPr>
        <w:widowControl/>
        <w:ind w:firstLine="900" w:firstLineChars="375"/>
        <w:jc w:val="left"/>
        <w:rPr>
          <w:rFonts w:ascii="宋体" w:hAnsi="宋体" w:cs="宋体"/>
          <w:color w:val="000000"/>
          <w:kern w:val="0"/>
          <w:sz w:val="24"/>
        </w:rPr>
      </w:pPr>
      <w:r>
        <w:rPr>
          <w:rFonts w:hint="eastAsia" w:ascii="宋体" w:hAnsi="宋体" w:cs="宋体"/>
          <w:color w:val="000000"/>
          <w:kern w:val="0"/>
          <w:sz w:val="24"/>
        </w:rPr>
        <w:t>邮政编码：614000</w:t>
      </w:r>
    </w:p>
    <w:tbl>
      <w:tblPr>
        <w:tblStyle w:val="39"/>
        <w:tblW w:w="15344" w:type="dxa"/>
        <w:jc w:val="center"/>
        <w:tblLayout w:type="fixed"/>
        <w:tblCellMar>
          <w:top w:w="0" w:type="dxa"/>
          <w:left w:w="0" w:type="dxa"/>
          <w:bottom w:w="0" w:type="dxa"/>
          <w:right w:w="0" w:type="dxa"/>
        </w:tblCellMar>
      </w:tblPr>
      <w:tblGrid>
        <w:gridCol w:w="722"/>
        <w:gridCol w:w="2806"/>
        <w:gridCol w:w="3245"/>
        <w:gridCol w:w="2976"/>
        <w:gridCol w:w="4218"/>
        <w:gridCol w:w="1377"/>
      </w:tblGrid>
      <w:tr>
        <w:tblPrEx>
          <w:tblCellMar>
            <w:top w:w="0" w:type="dxa"/>
            <w:left w:w="0" w:type="dxa"/>
            <w:bottom w:w="0" w:type="dxa"/>
            <w:right w:w="0" w:type="dxa"/>
          </w:tblCellMar>
        </w:tblPrEx>
        <w:trPr>
          <w:cantSplit/>
          <w:trHeight w:val="803" w:hRule="atLeast"/>
          <w:tblHeader/>
          <w:jc w:val="center"/>
        </w:trPr>
        <w:tc>
          <w:tcPr>
            <w:tcW w:w="722" w:type="dxa"/>
            <w:tcBorders>
              <w:top w:val="single" w:color="auto" w:sz="8" w:space="0"/>
              <w:left w:val="single" w:color="auto" w:sz="8" w:space="0"/>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序号</w:t>
            </w:r>
          </w:p>
        </w:tc>
        <w:tc>
          <w:tcPr>
            <w:tcW w:w="280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项目名称</w:t>
            </w:r>
          </w:p>
        </w:tc>
        <w:tc>
          <w:tcPr>
            <w:tcW w:w="3245"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建设地点</w:t>
            </w:r>
          </w:p>
        </w:tc>
        <w:tc>
          <w:tcPr>
            <w:tcW w:w="297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建设单位</w:t>
            </w:r>
          </w:p>
        </w:tc>
        <w:tc>
          <w:tcPr>
            <w:tcW w:w="4218"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环境影响评价机构</w:t>
            </w:r>
          </w:p>
        </w:tc>
        <w:tc>
          <w:tcPr>
            <w:tcW w:w="1377"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受理日期</w:t>
            </w:r>
          </w:p>
        </w:tc>
      </w:tr>
      <w:tr>
        <w:tblPrEx>
          <w:tblCellMar>
            <w:top w:w="0" w:type="dxa"/>
            <w:left w:w="0" w:type="dxa"/>
            <w:bottom w:w="0" w:type="dxa"/>
            <w:right w:w="0" w:type="dxa"/>
          </w:tblCellMar>
        </w:tblPrEx>
        <w:trPr>
          <w:cantSplit/>
          <w:trHeight w:val="925" w:hRule="atLeast"/>
          <w:tblHeader/>
          <w:jc w:val="center"/>
        </w:trPr>
        <w:tc>
          <w:tcPr>
            <w:tcW w:w="722" w:type="dxa"/>
            <w:tcBorders>
              <w:top w:val="single" w:color="auto" w:sz="8" w:space="0"/>
              <w:left w:val="single" w:color="auto" w:sz="8" w:space="0"/>
              <w:bottom w:val="single" w:color="auto" w:sz="8" w:space="0"/>
              <w:right w:val="single" w:color="auto" w:sz="8" w:space="0"/>
            </w:tcBorders>
            <w:noWrap w:val="0"/>
            <w:tcMar>
              <w:top w:w="0" w:type="dxa"/>
              <w:left w:w="108" w:type="dxa"/>
              <w:bottom w:w="0" w:type="dxa"/>
              <w:right w:w="108" w:type="dxa"/>
            </w:tcMar>
            <w:vAlign w:val="center"/>
          </w:tcPr>
          <w:p>
            <w:pPr>
              <w:spacing w:line="360" w:lineRule="auto"/>
              <w:jc w:val="center"/>
              <w:rPr>
                <w:bCs/>
                <w:color w:val="000000"/>
                <w:sz w:val="18"/>
                <w:szCs w:val="18"/>
              </w:rPr>
            </w:pPr>
            <w:r>
              <w:rPr>
                <w:rFonts w:hint="eastAsia"/>
                <w:bCs/>
                <w:color w:val="000000"/>
                <w:sz w:val="18"/>
                <w:szCs w:val="18"/>
              </w:rPr>
              <w:t>1</w:t>
            </w:r>
          </w:p>
        </w:tc>
        <w:tc>
          <w:tcPr>
            <w:tcW w:w="280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default" w:ascii="Times New Roman" w:hAnsi="Times New Roman" w:cs="Times New Roman"/>
                <w:lang w:val="en-US"/>
              </w:rPr>
            </w:pPr>
            <w:r>
              <w:rPr>
                <w:rFonts w:hint="eastAsia" w:ascii="Times New Roman" w:hAnsi="Times New Roman" w:cs="Times New Roman"/>
                <w:lang w:val="en-US" w:eastAsia="zh-CN"/>
              </w:rPr>
              <w:t>乐山市市中区2022年山珍水库除险加固工程</w:t>
            </w:r>
            <w:r>
              <w:rPr>
                <w:rFonts w:hint="eastAsia" w:cs="Times New Roman"/>
                <w:lang w:val="en-US" w:eastAsia="zh-CN"/>
              </w:rPr>
              <w:t>项目</w:t>
            </w:r>
          </w:p>
        </w:tc>
        <w:tc>
          <w:tcPr>
            <w:tcW w:w="3245"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eastAsia="宋体" w:cs="Times New Roman"/>
                <w:lang w:val="en-US" w:eastAsia="zh-CN"/>
              </w:rPr>
            </w:pPr>
            <w:r>
              <w:rPr>
                <w:rFonts w:hint="eastAsia" w:ascii="Times New Roman" w:hAnsi="Times New Roman" w:eastAsia="宋体" w:cs="Times New Roman"/>
                <w:color w:val="auto"/>
                <w:sz w:val="24"/>
                <w:szCs w:val="24"/>
                <w:u w:val="none"/>
                <w:lang w:val="en-US" w:eastAsia="zh-CN"/>
              </w:rPr>
              <w:t>四川省乐山市市中区大佛街道（原凌云乡）三尊村</w:t>
            </w:r>
          </w:p>
        </w:tc>
        <w:tc>
          <w:tcPr>
            <w:tcW w:w="297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cs="Times New Roman"/>
                <w:lang w:val="en-US" w:eastAsia="zh-CN"/>
              </w:rPr>
            </w:pPr>
            <w:r>
              <w:rPr>
                <w:rFonts w:hint="eastAsia" w:ascii="Times New Roman" w:hAnsi="Times New Roman" w:cs="Times New Roman"/>
                <w:lang w:val="en-US" w:eastAsia="zh-CN"/>
              </w:rPr>
              <w:t xml:space="preserve"> 乐山市市中区山珍水库管理所  </w:t>
            </w:r>
          </w:p>
          <w:p>
            <w:pPr>
              <w:rPr>
                <w:rFonts w:hint="eastAsia" w:ascii="Times New Roman" w:hAnsi="Times New Roman" w:cs="Times New Roman"/>
              </w:rPr>
            </w:pPr>
            <w:r>
              <w:rPr>
                <w:rFonts w:hint="eastAsia" w:ascii="Times New Roman" w:hAnsi="Times New Roman" w:cs="Times New Roman"/>
              </w:rPr>
              <w:t xml:space="preserve"> </w:t>
            </w:r>
          </w:p>
        </w:tc>
        <w:tc>
          <w:tcPr>
            <w:tcW w:w="4218"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default" w:ascii="Times New Roman" w:hAnsi="Times New Roman" w:cs="Times New Roman"/>
                <w:lang w:val="en-US"/>
              </w:rPr>
            </w:pPr>
            <w:r>
              <w:rPr>
                <w:rFonts w:hint="default" w:ascii="Times New Roman" w:hAnsi="Times New Roman" w:cs="Times New Roman"/>
                <w:lang w:val="en-US" w:eastAsia="zh-CN"/>
              </w:rPr>
              <w:t>四川天和环境工程科技有限公司</w:t>
            </w:r>
          </w:p>
        </w:tc>
        <w:tc>
          <w:tcPr>
            <w:tcW w:w="1377"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default" w:ascii="Times New Roman" w:hAnsi="Times New Roman" w:eastAsia="宋体" w:cs="Times New Roman"/>
                <w:lang w:val="en-US" w:eastAsia="zh-CN"/>
              </w:rPr>
            </w:pPr>
            <w:r>
              <w:rPr>
                <w:rFonts w:hint="eastAsia" w:ascii="Times New Roman" w:hAnsi="Times New Roman" w:cs="Times New Roman"/>
              </w:rPr>
              <w:t>20</w:t>
            </w:r>
            <w:r>
              <w:rPr>
                <w:rFonts w:hint="eastAsia" w:ascii="Times New Roman" w:hAnsi="Times New Roman" w:cs="Times New Roman"/>
                <w:lang w:val="en-US" w:eastAsia="zh-CN"/>
              </w:rPr>
              <w:t>2</w:t>
            </w:r>
            <w:r>
              <w:rPr>
                <w:rFonts w:hint="eastAsia" w:cs="Times New Roman"/>
                <w:lang w:val="en-US" w:eastAsia="zh-CN"/>
              </w:rPr>
              <w:t>2</w:t>
            </w:r>
            <w:r>
              <w:rPr>
                <w:rFonts w:hint="eastAsia" w:ascii="Times New Roman" w:hAnsi="Times New Roman" w:cs="Times New Roman"/>
              </w:rPr>
              <w:t>-</w:t>
            </w:r>
            <w:r>
              <w:rPr>
                <w:rFonts w:hint="eastAsia" w:cs="Times New Roman"/>
                <w:lang w:val="en-US" w:eastAsia="zh-CN"/>
              </w:rPr>
              <w:t>10</w:t>
            </w:r>
            <w:r>
              <w:rPr>
                <w:rFonts w:hint="eastAsia" w:ascii="Times New Roman" w:hAnsi="Times New Roman" w:cs="Times New Roman"/>
              </w:rPr>
              <w:t>-</w:t>
            </w:r>
            <w:r>
              <w:rPr>
                <w:rFonts w:hint="eastAsia" w:cs="Times New Roman"/>
                <w:lang w:val="en-US" w:eastAsia="zh-CN"/>
              </w:rPr>
              <w:t>21</w:t>
            </w:r>
          </w:p>
        </w:tc>
      </w:tr>
      <w:tr>
        <w:tblPrEx>
          <w:tblCellMar>
            <w:top w:w="0" w:type="dxa"/>
            <w:left w:w="0" w:type="dxa"/>
            <w:bottom w:w="0" w:type="dxa"/>
            <w:right w:w="0" w:type="dxa"/>
          </w:tblCellMar>
        </w:tblPrEx>
        <w:trPr>
          <w:cantSplit/>
          <w:trHeight w:val="925" w:hRule="atLeast"/>
          <w:tblHeader/>
          <w:jc w:val="center"/>
        </w:trPr>
        <w:tc>
          <w:tcPr>
            <w:tcW w:w="722" w:type="dxa"/>
            <w:tcBorders>
              <w:top w:val="single" w:color="auto" w:sz="8" w:space="0"/>
              <w:left w:val="single" w:color="auto" w:sz="8" w:space="0"/>
              <w:bottom w:val="single" w:color="auto" w:sz="8" w:space="0"/>
              <w:right w:val="single" w:color="auto" w:sz="8" w:space="0"/>
            </w:tcBorders>
            <w:noWrap w:val="0"/>
            <w:tcMar>
              <w:top w:w="0" w:type="dxa"/>
              <w:left w:w="108" w:type="dxa"/>
              <w:bottom w:w="0" w:type="dxa"/>
              <w:right w:w="108" w:type="dxa"/>
            </w:tcMar>
            <w:vAlign w:val="center"/>
          </w:tcPr>
          <w:p>
            <w:pPr>
              <w:spacing w:line="360" w:lineRule="auto"/>
              <w:jc w:val="center"/>
              <w:rPr>
                <w:rFonts w:hint="eastAsia" w:eastAsia="宋体"/>
                <w:bCs/>
                <w:color w:val="000000"/>
                <w:sz w:val="18"/>
                <w:szCs w:val="18"/>
                <w:lang w:val="en-US" w:eastAsia="zh-CN"/>
              </w:rPr>
            </w:pPr>
            <w:r>
              <w:rPr>
                <w:rFonts w:hint="eastAsia"/>
                <w:bCs/>
                <w:color w:val="000000"/>
                <w:sz w:val="18"/>
                <w:szCs w:val="18"/>
                <w:lang w:val="en-US" w:eastAsia="zh-CN"/>
              </w:rPr>
              <w:t>2</w:t>
            </w:r>
          </w:p>
        </w:tc>
        <w:tc>
          <w:tcPr>
            <w:tcW w:w="280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cs="Times New Roman"/>
                <w:lang w:val="en-US" w:eastAsia="zh-CN"/>
              </w:rPr>
            </w:pPr>
            <w:r>
              <w:rPr>
                <w:rFonts w:hint="eastAsia" w:ascii="Times New Roman" w:hAnsi="Times New Roman" w:cs="Times New Roman"/>
                <w:lang w:val="en-US" w:eastAsia="zh-CN"/>
              </w:rPr>
              <w:t>乐山市市中区苏稽峨眉河安福堰综合整治工程</w:t>
            </w:r>
          </w:p>
        </w:tc>
        <w:tc>
          <w:tcPr>
            <w:tcW w:w="3245"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eastAsia="宋体" w:cs="Times New Roman"/>
                <w:color w:val="auto"/>
                <w:sz w:val="24"/>
                <w:szCs w:val="24"/>
                <w:u w:val="none"/>
                <w:lang w:val="en-US" w:eastAsia="zh-CN"/>
              </w:rPr>
            </w:pPr>
            <w:r>
              <w:rPr>
                <w:rFonts w:hint="default" w:ascii="Times New Roman" w:hAnsi="Times New Roman" w:eastAsia="宋体" w:cs="Times New Roman"/>
                <w:kern w:val="21"/>
                <w:sz w:val="24"/>
                <w:szCs w:val="24"/>
                <w:lang w:eastAsia="zh-CN"/>
              </w:rPr>
              <w:t>四川省乐山市</w:t>
            </w:r>
            <w:r>
              <w:rPr>
                <w:rFonts w:hint="eastAsia" w:ascii="Times New Roman" w:hAnsi="Times New Roman" w:eastAsia="宋体" w:cs="Times New Roman"/>
                <w:kern w:val="21"/>
                <w:sz w:val="24"/>
                <w:szCs w:val="24"/>
                <w:lang w:val="en-US" w:eastAsia="zh-CN"/>
              </w:rPr>
              <w:t>苏稽镇</w:t>
            </w:r>
          </w:p>
        </w:tc>
        <w:tc>
          <w:tcPr>
            <w:tcW w:w="297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cs="Times New Roman"/>
              </w:rPr>
            </w:pPr>
            <w:r>
              <w:rPr>
                <w:rFonts w:hint="eastAsia" w:ascii="Times New Roman" w:hAnsi="Times New Roman" w:cs="Times New Roman"/>
                <w:lang w:val="en-US" w:eastAsia="zh-CN"/>
              </w:rPr>
              <w:t>乐山嘉和投资有限责任公司</w:t>
            </w:r>
          </w:p>
        </w:tc>
        <w:tc>
          <w:tcPr>
            <w:tcW w:w="4218"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default" w:ascii="Times New Roman" w:hAnsi="Times New Roman" w:cs="Times New Roman"/>
                <w:lang w:val="en-US" w:eastAsia="zh-CN"/>
              </w:rPr>
            </w:pPr>
            <w:r>
              <w:rPr>
                <w:rFonts w:hint="default" w:ascii="Times New Roman" w:hAnsi="Times New Roman" w:cs="Times New Roman"/>
                <w:lang w:val="en-US" w:eastAsia="zh-CN"/>
              </w:rPr>
              <w:t>四川蓝环环保科技有限公司</w:t>
            </w:r>
          </w:p>
        </w:tc>
        <w:tc>
          <w:tcPr>
            <w:tcW w:w="1377"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cs="Times New Roman"/>
              </w:rPr>
            </w:pPr>
            <w:r>
              <w:rPr>
                <w:rFonts w:hint="eastAsia" w:ascii="Times New Roman" w:hAnsi="Times New Roman" w:cs="Times New Roman"/>
              </w:rPr>
              <w:t>20</w:t>
            </w:r>
            <w:r>
              <w:rPr>
                <w:rFonts w:hint="eastAsia" w:ascii="Times New Roman" w:hAnsi="Times New Roman" w:cs="Times New Roman"/>
                <w:lang w:val="en-US" w:eastAsia="zh-CN"/>
              </w:rPr>
              <w:t>2</w:t>
            </w:r>
            <w:r>
              <w:rPr>
                <w:rFonts w:hint="eastAsia" w:cs="Times New Roman"/>
                <w:lang w:val="en-US" w:eastAsia="zh-CN"/>
              </w:rPr>
              <w:t>2</w:t>
            </w:r>
            <w:r>
              <w:rPr>
                <w:rFonts w:hint="eastAsia" w:ascii="Times New Roman" w:hAnsi="Times New Roman" w:cs="Times New Roman"/>
              </w:rPr>
              <w:t>-</w:t>
            </w:r>
            <w:r>
              <w:rPr>
                <w:rFonts w:hint="eastAsia" w:cs="Times New Roman"/>
                <w:lang w:val="en-US" w:eastAsia="zh-CN"/>
              </w:rPr>
              <w:t>10</w:t>
            </w:r>
            <w:r>
              <w:rPr>
                <w:rFonts w:hint="eastAsia" w:ascii="Times New Roman" w:hAnsi="Times New Roman" w:cs="Times New Roman"/>
              </w:rPr>
              <w:t>-</w:t>
            </w:r>
            <w:r>
              <w:rPr>
                <w:rFonts w:hint="eastAsia" w:cs="Times New Roman"/>
                <w:lang w:val="en-US" w:eastAsia="zh-CN"/>
              </w:rPr>
              <w:t>21</w:t>
            </w:r>
          </w:p>
        </w:tc>
      </w:tr>
    </w:tbl>
    <w:p>
      <w:pPr>
        <w:spacing w:line="360" w:lineRule="auto"/>
        <w:rPr>
          <w:color w:val="000000"/>
          <w:sz w:val="72"/>
          <w:szCs w:val="72"/>
        </w:rPr>
        <w:sectPr>
          <w:endnotePr>
            <w:numFmt w:val="decimal"/>
          </w:endnotePr>
          <w:pgSz w:w="16838" w:h="11906" w:orient="landscape"/>
          <w:pgMar w:top="1800" w:right="1440" w:bottom="1800" w:left="1440" w:header="851" w:footer="992" w:gutter="0"/>
          <w:pgNumType w:fmt="numberInDash" w:start="1"/>
          <w:cols w:space="720" w:num="1"/>
          <w:docGrid w:type="lines" w:linePitch="312" w:charSpace="0"/>
        </w:sectPr>
      </w:pPr>
      <w:r>
        <w:rPr>
          <w:rFonts w:hint="eastAsia" w:ascii="宋体" w:hAnsi="宋体" w:cs="宋体"/>
          <w:color w:val="000000"/>
          <w:kern w:val="0"/>
          <w:szCs w:val="21"/>
        </w:rPr>
        <w:t>注：根据《建设项目环境影响评价政府信息公开指南（试行）》的有关规定，上述环境影响报告书、表不含涉及国家秘密、商业秘密、个人隐私以及涉及国家安全、公共安全、经济安全和社会稳定的内容。</w:t>
      </w:r>
    </w:p>
    <w:p>
      <w:pPr>
        <w:rPr>
          <w:rFonts w:hint="eastAsia" w:eastAsia="仿宋_GB2312"/>
          <w:sz w:val="36"/>
          <w:szCs w:val="36"/>
        </w:rPr>
      </w:pPr>
    </w:p>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 w:val="36"/>
          <w:szCs w:val="36"/>
        </w:rPr>
      </w:pPr>
      <w:bookmarkStart w:id="0" w:name="_Hlk57883707"/>
    </w:p>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 w:val="36"/>
          <w:szCs w:val="36"/>
        </w:rPr>
      </w:pPr>
    </w:p>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 w:val="36"/>
          <w:szCs w:val="36"/>
        </w:rPr>
      </w:pPr>
    </w:p>
    <w:bookmarkEnd w:id="0"/>
    <w:p>
      <w:pPr>
        <w:keepNext w:val="0"/>
        <w:keepLines w:val="0"/>
        <w:pageBreakBefore w:val="0"/>
        <w:kinsoku/>
        <w:wordWrap/>
        <w:overflowPunct/>
        <w:topLinePunct w:val="0"/>
        <w:bidi w:val="0"/>
        <w:adjustRightInd w:val="0"/>
        <w:snapToGrid w:val="0"/>
        <w:jc w:val="center"/>
        <w:textAlignment w:val="auto"/>
        <w:outlineLvl w:val="0"/>
        <w:rPr>
          <w:rFonts w:hint="default" w:ascii="Times New Roman" w:hAnsi="Times New Roman" w:eastAsia="宋体" w:cs="Times New Roman"/>
          <w:bCs/>
          <w:color w:val="auto"/>
          <w:sz w:val="72"/>
          <w:szCs w:val="72"/>
        </w:rPr>
      </w:pPr>
      <w:r>
        <w:rPr>
          <w:rFonts w:hint="default" w:ascii="Times New Roman" w:hAnsi="Times New Roman" w:eastAsia="宋体" w:cs="Times New Roman"/>
          <w:bCs/>
          <w:color w:val="auto"/>
          <w:sz w:val="72"/>
          <w:szCs w:val="72"/>
        </w:rPr>
        <w:t>建设项目环境影响报告表</w:t>
      </w:r>
    </w:p>
    <w:p>
      <w:pPr>
        <w:keepNext w:val="0"/>
        <w:keepLines w:val="0"/>
        <w:pageBreakBefore w:val="0"/>
        <w:kinsoku/>
        <w:wordWrap/>
        <w:overflowPunct/>
        <w:topLinePunct w:val="0"/>
        <w:bidi w:val="0"/>
        <w:adjustRightInd w:val="0"/>
        <w:snapToGrid w:val="0"/>
        <w:spacing w:before="192" w:beforeLines="80"/>
        <w:jc w:val="center"/>
        <w:textAlignment w:val="auto"/>
        <w:rPr>
          <w:rFonts w:hint="eastAsia" w:ascii="Times New Roman" w:hAnsi="Times New Roman" w:eastAsia="宋体" w:cs="Times New Roman"/>
          <w:bCs/>
          <w:color w:val="auto"/>
          <w:sz w:val="48"/>
          <w:szCs w:val="48"/>
          <w:lang w:val="en-US" w:eastAsia="zh-CN"/>
        </w:rPr>
      </w:pPr>
      <w:r>
        <w:rPr>
          <w:rFonts w:hint="default" w:ascii="Times New Roman" w:hAnsi="Times New Roman" w:eastAsia="宋体" w:cs="Times New Roman"/>
          <w:bCs/>
          <w:color w:val="auto"/>
          <w:sz w:val="48"/>
          <w:szCs w:val="48"/>
        </w:rPr>
        <w:t>（生态影响类）</w:t>
      </w:r>
      <w:r>
        <w:rPr>
          <w:rFonts w:hint="eastAsia" w:ascii="Times New Roman" w:hAnsi="Times New Roman" w:eastAsia="宋体" w:cs="Times New Roman"/>
          <w:bCs/>
          <w:color w:val="auto"/>
          <w:sz w:val="48"/>
          <w:szCs w:val="48"/>
          <w:lang w:eastAsia="zh-CN"/>
        </w:rPr>
        <w:t>（</w:t>
      </w:r>
      <w:r>
        <w:rPr>
          <w:rFonts w:hint="eastAsia" w:ascii="Times New Roman" w:hAnsi="Times New Roman" w:eastAsia="宋体" w:cs="Times New Roman"/>
          <w:bCs/>
          <w:color w:val="auto"/>
          <w:sz w:val="48"/>
          <w:szCs w:val="48"/>
          <w:lang w:val="en-US" w:eastAsia="zh-CN"/>
        </w:rPr>
        <w:t>送审本</w:t>
      </w:r>
      <w:r>
        <w:rPr>
          <w:rFonts w:hint="eastAsia" w:ascii="Times New Roman" w:hAnsi="Times New Roman" w:eastAsia="宋体" w:cs="Times New Roman"/>
          <w:bCs/>
          <w:color w:val="auto"/>
          <w:sz w:val="48"/>
          <w:szCs w:val="48"/>
          <w:lang w:eastAsia="zh-CN"/>
        </w:rPr>
        <w:t>）</w:t>
      </w:r>
    </w:p>
    <w:p>
      <w:pPr>
        <w:keepNext w:val="0"/>
        <w:keepLines w:val="0"/>
        <w:pageBreakBefore w:val="0"/>
        <w:kinsoku/>
        <w:wordWrap/>
        <w:overflowPunct/>
        <w:topLinePunct w:val="0"/>
        <w:bidi w:val="0"/>
        <w:adjustRightInd w:val="0"/>
        <w:snapToGrid w:val="0"/>
        <w:spacing w:line="288" w:lineRule="auto"/>
        <w:jc w:val="center"/>
        <w:textAlignment w:val="auto"/>
        <w:outlineLvl w:val="9"/>
        <w:rPr>
          <w:rFonts w:hint="default" w:ascii="Times New Roman" w:hAnsi="Times New Roman" w:eastAsia="宋体" w:cs="Times New Roman"/>
          <w:color w:val="auto"/>
          <w:kern w:val="44"/>
          <w:sz w:val="44"/>
          <w:szCs w:val="44"/>
        </w:rPr>
      </w:pPr>
      <w:bookmarkStart w:id="1" w:name="_Hlk57883728"/>
    </w:p>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sz w:val="52"/>
          <w:szCs w:val="52"/>
        </w:rPr>
      </w:pPr>
    </w:p>
    <w:p>
      <w:pPr>
        <w:keepNext w:val="0"/>
        <w:keepLines w:val="0"/>
        <w:pageBreakBefore w:val="0"/>
        <w:widowControl w:val="0"/>
        <w:kinsoku/>
        <w:wordWrap/>
        <w:overflowPunct/>
        <w:topLinePunct w:val="0"/>
        <w:autoSpaceDE/>
        <w:autoSpaceDN/>
        <w:bidi w:val="0"/>
        <w:adjustRightInd w:val="0"/>
        <w:snapToGrid w:val="0"/>
        <w:ind w:firstLine="0"/>
        <w:jc w:val="center"/>
        <w:textAlignment w:val="auto"/>
        <w:rPr>
          <w:rFonts w:hint="default" w:ascii="Times New Roman" w:hAnsi="Times New Roman" w:eastAsia="宋体" w:cs="Times New Roman"/>
          <w:color w:val="auto"/>
          <w:sz w:val="44"/>
          <w:szCs w:val="44"/>
        </w:rPr>
      </w:pPr>
    </w:p>
    <w:p>
      <w:pPr>
        <w:keepNext w:val="0"/>
        <w:keepLines w:val="0"/>
        <w:pageBreakBefore w:val="0"/>
        <w:kinsoku/>
        <w:wordWrap/>
        <w:overflowPunct/>
        <w:topLinePunct w:val="0"/>
        <w:bidi w:val="0"/>
        <w:adjustRightInd w:val="0"/>
        <w:snapToGrid w:val="0"/>
        <w:ind w:firstLine="1040"/>
        <w:textAlignment w:val="auto"/>
        <w:rPr>
          <w:rFonts w:hint="default" w:ascii="Times New Roman" w:hAnsi="Times New Roman" w:eastAsia="宋体" w:cs="Times New Roman"/>
          <w:color w:val="auto"/>
          <w:sz w:val="44"/>
          <w:szCs w:val="44"/>
        </w:rPr>
      </w:pPr>
    </w:p>
    <w:p>
      <w:pPr>
        <w:keepNext w:val="0"/>
        <w:keepLines w:val="0"/>
        <w:pageBreakBefore w:val="0"/>
        <w:kinsoku/>
        <w:wordWrap/>
        <w:overflowPunct/>
        <w:topLinePunct w:val="0"/>
        <w:bidi w:val="0"/>
        <w:adjustRightInd w:val="0"/>
        <w:snapToGrid w:val="0"/>
        <w:ind w:firstLine="1040"/>
        <w:textAlignment w:val="auto"/>
        <w:rPr>
          <w:rFonts w:hint="default" w:ascii="Times New Roman" w:hAnsi="Times New Roman" w:eastAsia="宋体" w:cs="Times New Roman"/>
          <w:color w:val="auto"/>
          <w:sz w:val="44"/>
          <w:szCs w:val="44"/>
        </w:rPr>
      </w:pPr>
    </w:p>
    <w:p>
      <w:pPr>
        <w:keepNext w:val="0"/>
        <w:keepLines w:val="0"/>
        <w:pageBreakBefore w:val="0"/>
        <w:kinsoku/>
        <w:wordWrap/>
        <w:overflowPunct/>
        <w:topLinePunct w:val="0"/>
        <w:bidi w:val="0"/>
        <w:adjustRightInd w:val="0"/>
        <w:snapToGrid w:val="0"/>
        <w:ind w:firstLine="1040"/>
        <w:textAlignment w:val="auto"/>
        <w:rPr>
          <w:rFonts w:hint="default" w:ascii="Times New Roman" w:hAnsi="Times New Roman" w:eastAsia="宋体" w:cs="Times New Roman"/>
          <w:color w:val="auto"/>
          <w:sz w:val="44"/>
          <w:szCs w:val="44"/>
        </w:rPr>
      </w:pPr>
    </w:p>
    <w:bookmarkEnd w:id="1"/>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auto"/>
          <w:spacing w:val="0"/>
          <w:kern w:val="21"/>
          <w:sz w:val="32"/>
          <w:szCs w:val="32"/>
          <w:u w:val="single"/>
          <w:lang w:val="en-US" w:eastAsia="zh-CN"/>
        </w:rPr>
      </w:pPr>
      <w:r>
        <w:rPr>
          <w:rFonts w:hint="default" w:ascii="Times New Roman" w:hAnsi="Times New Roman" w:eastAsia="宋体" w:cs="Times New Roman"/>
          <w:color w:val="auto"/>
          <w:spacing w:val="0"/>
          <w:kern w:val="21"/>
          <w:sz w:val="32"/>
          <w:szCs w:val="32"/>
        </w:rPr>
        <w:t>项目名称：</w:t>
      </w:r>
      <w:r>
        <w:rPr>
          <w:rFonts w:hint="default" w:ascii="Times New Roman" w:hAnsi="Times New Roman" w:eastAsia="宋体" w:cs="Times New Roman"/>
          <w:color w:val="auto"/>
          <w:spacing w:val="0"/>
          <w:kern w:val="21"/>
          <w:sz w:val="32"/>
          <w:szCs w:val="32"/>
          <w:u w:val="single"/>
        </w:rPr>
        <w:t>乐山市市中区2022年山珍水库除险加固工程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150"/>
        <w:jc w:val="both"/>
        <w:textAlignment w:val="auto"/>
        <w:rPr>
          <w:rFonts w:hint="default" w:ascii="Times New Roman" w:hAnsi="Times New Roman" w:eastAsia="宋体" w:cs="Times New Roman"/>
          <w:color w:val="auto"/>
          <w:spacing w:val="0"/>
          <w:kern w:val="21"/>
          <w:sz w:val="32"/>
          <w:szCs w:val="32"/>
          <w:lang w:val="en-US" w:eastAsia="zh-CN"/>
        </w:rPr>
      </w:pPr>
      <w:r>
        <w:rPr>
          <w:rFonts w:hint="default" w:ascii="Times New Roman" w:hAnsi="Times New Roman" w:eastAsia="宋体" w:cs="Times New Roman"/>
          <w:color w:val="auto"/>
          <w:spacing w:val="0"/>
          <w:kern w:val="21"/>
          <w:sz w:val="32"/>
          <w:szCs w:val="32"/>
        </w:rPr>
        <w:t>建设单位（盖章）：</w:t>
      </w:r>
      <w:r>
        <w:rPr>
          <w:rFonts w:hint="eastAsia" w:ascii="Times New Roman" w:hAnsi="Times New Roman" w:eastAsia="宋体" w:cs="Times New Roman"/>
          <w:color w:val="auto"/>
          <w:spacing w:val="0"/>
          <w:kern w:val="21"/>
          <w:sz w:val="32"/>
          <w:szCs w:val="32"/>
          <w:u w:val="single"/>
          <w:lang w:val="en-US" w:eastAsia="zh-CN"/>
        </w:rPr>
        <w:t xml:space="preserve">  乐山市市中区山珍水库管理所 </w:t>
      </w:r>
      <w:r>
        <w:rPr>
          <w:rFonts w:hint="default" w:ascii="Times New Roman" w:hAnsi="Times New Roman" w:eastAsia="宋体" w:cs="Times New Roman"/>
          <w:color w:val="auto"/>
          <w:spacing w:val="0"/>
          <w:kern w:val="21"/>
          <w:sz w:val="32"/>
          <w:szCs w:val="32"/>
          <w:u w:val="single"/>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auto"/>
          <w:sz w:val="32"/>
          <w:szCs w:val="32"/>
          <w:u w:val="single"/>
          <w:lang w:val="en-US" w:eastAsia="zh-CN"/>
        </w:rPr>
      </w:pPr>
      <w:r>
        <w:rPr>
          <w:rFonts w:hint="default" w:ascii="Times New Roman" w:hAnsi="Times New Roman" w:eastAsia="宋体" w:cs="Times New Roman"/>
          <w:color w:val="auto"/>
          <w:spacing w:val="0"/>
          <w:kern w:val="21"/>
          <w:sz w:val="32"/>
          <w:szCs w:val="32"/>
        </w:rPr>
        <w:t>编制日期：</w:t>
      </w:r>
      <w:r>
        <w:rPr>
          <w:rFonts w:hint="default" w:ascii="Times New Roman" w:hAnsi="Times New Roman" w:eastAsia="宋体" w:cs="Times New Roman"/>
          <w:color w:val="auto"/>
          <w:spacing w:val="0"/>
          <w:kern w:val="21"/>
          <w:sz w:val="32"/>
          <w:szCs w:val="32"/>
          <w:u w:val="single"/>
        </w:rPr>
        <w:t>202</w:t>
      </w:r>
      <w:r>
        <w:rPr>
          <w:rFonts w:hint="eastAsia" w:ascii="Times New Roman" w:hAnsi="Times New Roman" w:eastAsia="宋体" w:cs="Times New Roman"/>
          <w:color w:val="auto"/>
          <w:spacing w:val="0"/>
          <w:kern w:val="21"/>
          <w:sz w:val="32"/>
          <w:szCs w:val="32"/>
          <w:u w:val="single"/>
          <w:lang w:val="en-US" w:eastAsia="zh-CN"/>
        </w:rPr>
        <w:t>2</w:t>
      </w:r>
      <w:r>
        <w:rPr>
          <w:rFonts w:hint="default" w:ascii="Times New Roman" w:hAnsi="Times New Roman" w:eastAsia="宋体" w:cs="Times New Roman"/>
          <w:color w:val="auto"/>
          <w:spacing w:val="0"/>
          <w:kern w:val="21"/>
          <w:sz w:val="32"/>
          <w:szCs w:val="32"/>
          <w:u w:val="single"/>
        </w:rPr>
        <w:t>年</w:t>
      </w:r>
      <w:r>
        <w:rPr>
          <w:rFonts w:hint="eastAsia" w:ascii="Times New Roman" w:hAnsi="Times New Roman" w:eastAsia="宋体" w:cs="Times New Roman"/>
          <w:color w:val="auto"/>
          <w:spacing w:val="0"/>
          <w:kern w:val="21"/>
          <w:sz w:val="32"/>
          <w:szCs w:val="32"/>
          <w:u w:val="single"/>
          <w:lang w:val="en-US" w:eastAsia="zh-CN"/>
        </w:rPr>
        <w:t>10</w:t>
      </w:r>
      <w:r>
        <w:rPr>
          <w:rFonts w:hint="default" w:ascii="Times New Roman" w:hAnsi="Times New Roman" w:eastAsia="宋体" w:cs="Times New Roman"/>
          <w:color w:val="auto"/>
          <w:spacing w:val="0"/>
          <w:kern w:val="21"/>
          <w:sz w:val="32"/>
          <w:szCs w:val="32"/>
          <w:u w:val="single"/>
        </w:rPr>
        <w:t>月</w:t>
      </w:r>
    </w:p>
    <w:p>
      <w:pPr>
        <w:keepNext w:val="0"/>
        <w:keepLines w:val="0"/>
        <w:pageBreakBefore w:val="0"/>
        <w:kinsoku/>
        <w:wordWrap/>
        <w:overflowPunct/>
        <w:topLinePunct w:val="0"/>
        <w:bidi w:val="0"/>
        <w:adjustRightInd w:val="0"/>
        <w:snapToGrid w:val="0"/>
        <w:spacing w:line="288" w:lineRule="auto"/>
        <w:ind w:firstLine="1040"/>
        <w:textAlignment w:val="auto"/>
        <w:rPr>
          <w:rFonts w:hint="default" w:ascii="Times New Roman" w:hAnsi="Times New Roman" w:eastAsia="宋体" w:cs="Times New Roman"/>
          <w:color w:val="auto"/>
          <w:sz w:val="36"/>
          <w:szCs w:val="36"/>
        </w:rPr>
      </w:pPr>
    </w:p>
    <w:p>
      <w:pPr>
        <w:keepNext w:val="0"/>
        <w:keepLines w:val="0"/>
        <w:pageBreakBefore w:val="0"/>
        <w:kinsoku/>
        <w:wordWrap/>
        <w:overflowPunct/>
        <w:topLinePunct w:val="0"/>
        <w:bidi w:val="0"/>
        <w:adjustRightInd w:val="0"/>
        <w:snapToGrid w:val="0"/>
        <w:spacing w:line="288" w:lineRule="auto"/>
        <w:ind w:firstLine="1040"/>
        <w:textAlignment w:val="auto"/>
        <w:rPr>
          <w:rFonts w:hint="default" w:ascii="Times New Roman" w:hAnsi="Times New Roman" w:eastAsia="宋体" w:cs="Times New Roman"/>
          <w:color w:val="auto"/>
          <w:sz w:val="36"/>
          <w:szCs w:val="36"/>
        </w:rPr>
      </w:pPr>
    </w:p>
    <w:p>
      <w:pPr>
        <w:keepNext w:val="0"/>
        <w:keepLines w:val="0"/>
        <w:pageBreakBefore w:val="0"/>
        <w:kinsoku/>
        <w:wordWrap/>
        <w:overflowPunct/>
        <w:topLinePunct w:val="0"/>
        <w:bidi w:val="0"/>
        <w:adjustRightInd w:val="0"/>
        <w:snapToGrid w:val="0"/>
        <w:spacing w:line="288" w:lineRule="auto"/>
        <w:ind w:firstLine="1040"/>
        <w:textAlignment w:val="auto"/>
        <w:rPr>
          <w:rFonts w:hint="default" w:ascii="Times New Roman" w:hAnsi="Times New Roman" w:eastAsia="宋体" w:cs="Times New Roman"/>
          <w:color w:val="auto"/>
          <w:sz w:val="36"/>
          <w:szCs w:val="36"/>
        </w:rPr>
      </w:pPr>
    </w:p>
    <w:p>
      <w:pPr>
        <w:keepNext w:val="0"/>
        <w:keepLines w:val="0"/>
        <w:pageBreakBefore w:val="0"/>
        <w:kinsoku/>
        <w:wordWrap/>
        <w:overflowPunct/>
        <w:topLinePunct w:val="0"/>
        <w:bidi w:val="0"/>
        <w:adjustRightInd w:val="0"/>
        <w:snapToGrid w:val="0"/>
        <w:spacing w:line="288" w:lineRule="auto"/>
        <w:textAlignment w:val="auto"/>
        <w:rPr>
          <w:rFonts w:hint="default" w:ascii="Times New Roman" w:hAnsi="Times New Roman" w:eastAsia="宋体" w:cs="Times New Roman"/>
          <w:color w:val="auto"/>
          <w:sz w:val="36"/>
          <w:szCs w:val="36"/>
        </w:rPr>
      </w:pPr>
    </w:p>
    <w:p>
      <w:pPr>
        <w:keepNext w:val="0"/>
        <w:keepLines w:val="0"/>
        <w:pageBreakBefore w:val="0"/>
        <w:kinsoku/>
        <w:wordWrap/>
        <w:overflowPunct/>
        <w:topLinePunct w:val="0"/>
        <w:bidi w:val="0"/>
        <w:adjustRightInd w:val="0"/>
        <w:snapToGrid w:val="0"/>
        <w:spacing w:line="288" w:lineRule="auto"/>
        <w:ind w:firstLine="1040"/>
        <w:textAlignment w:val="auto"/>
        <w:rPr>
          <w:rFonts w:hint="default" w:ascii="Times New Roman" w:hAnsi="Times New Roman" w:eastAsia="宋体" w:cs="Times New Roman"/>
          <w:color w:val="auto"/>
          <w:sz w:val="36"/>
          <w:szCs w:val="36"/>
        </w:rPr>
      </w:pPr>
    </w:p>
    <w:p>
      <w:pPr>
        <w:keepNext w:val="0"/>
        <w:keepLines w:val="0"/>
        <w:pageBreakBefore w:val="0"/>
        <w:kinsoku/>
        <w:wordWrap/>
        <w:overflowPunct/>
        <w:topLinePunct w:val="0"/>
        <w:bidi w:val="0"/>
        <w:adjustRightInd w:val="0"/>
        <w:snapToGrid w:val="0"/>
        <w:spacing w:line="288" w:lineRule="auto"/>
        <w:jc w:val="center"/>
        <w:textAlignment w:val="auto"/>
        <w:rPr>
          <w:rFonts w:hint="default" w:ascii="Times New Roman" w:hAnsi="Times New Roman" w:eastAsia="宋体" w:cs="Times New Roman"/>
          <w:color w:val="auto"/>
          <w:sz w:val="36"/>
          <w:szCs w:val="36"/>
        </w:rPr>
      </w:pPr>
    </w:p>
    <w:p>
      <w:pPr>
        <w:keepNext w:val="0"/>
        <w:keepLines w:val="0"/>
        <w:pageBreakBefore w:val="0"/>
        <w:kinsoku/>
        <w:wordWrap/>
        <w:overflowPunct/>
        <w:topLinePunct w:val="0"/>
        <w:bidi w:val="0"/>
        <w:adjustRightInd w:val="0"/>
        <w:snapToGrid w:val="0"/>
        <w:spacing w:line="288" w:lineRule="auto"/>
        <w:jc w:val="center"/>
        <w:textAlignment w:val="auto"/>
        <w:rPr>
          <w:rFonts w:hint="default" w:ascii="Times New Roman" w:hAnsi="Times New Roman" w:eastAsia="宋体" w:cs="Times New Roman"/>
          <w:color w:val="auto"/>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r>
        <w:rPr>
          <w:rFonts w:hint="default" w:ascii="Times New Roman" w:hAnsi="Times New Roman" w:eastAsia="宋体" w:cs="Times New Roman"/>
          <w:color w:val="auto"/>
          <w:sz w:val="36"/>
          <w:szCs w:val="36"/>
        </w:rPr>
        <w:t>中华人民共和国生态环境部制</w:t>
      </w:r>
    </w:p>
    <w:p>
      <w:pPr>
        <w:pStyle w:val="34"/>
        <w:tabs>
          <w:tab w:val="center" w:pos="4933"/>
          <w:tab w:val="left" w:pos="8070"/>
        </w:tabs>
        <w:bidi w:val="0"/>
        <w:jc w:val="left"/>
        <w:outlineLvl w:val="0"/>
        <w:rPr>
          <w:rFonts w:hint="default" w:ascii="Times New Roman" w:hAnsi="Times New Roman" w:eastAsia="宋体" w:cs="Times New Roman"/>
          <w:b/>
          <w:bCs/>
          <w:color w:val="auto"/>
          <w:sz w:val="30"/>
          <w:szCs w:val="30"/>
          <w:lang w:eastAsia="zh-CN"/>
        </w:rPr>
      </w:pPr>
      <w:r>
        <w:rPr>
          <w:rFonts w:hint="default" w:ascii="Times New Roman" w:hAnsi="Times New Roman" w:eastAsia="宋体" w:cs="Times New Roman"/>
          <w:b/>
          <w:bCs/>
          <w:color w:val="auto"/>
          <w:sz w:val="30"/>
          <w:szCs w:val="30"/>
          <w:lang w:eastAsia="zh-CN"/>
        </w:rPr>
        <w:tab/>
      </w:r>
      <w:r>
        <w:rPr>
          <w:rFonts w:hint="default" w:ascii="Times New Roman" w:hAnsi="Times New Roman" w:eastAsia="宋体" w:cs="Times New Roman"/>
          <w:b/>
          <w:bCs/>
          <w:color w:val="auto"/>
          <w:sz w:val="30"/>
          <w:szCs w:val="30"/>
        </w:rPr>
        <w:t>一、建设项目基本情况</w:t>
      </w:r>
      <w:r>
        <w:rPr>
          <w:rFonts w:hint="default" w:ascii="Times New Roman" w:hAnsi="Times New Roman" w:eastAsia="宋体" w:cs="Times New Roman"/>
          <w:b/>
          <w:bCs/>
          <w:color w:val="auto"/>
          <w:sz w:val="30"/>
          <w:szCs w:val="30"/>
          <w:lang w:eastAsia="zh-CN"/>
        </w:rPr>
        <w:tab/>
      </w:r>
    </w:p>
    <w:tbl>
      <w:tblPr>
        <w:tblStyle w:val="3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070"/>
        <w:gridCol w:w="2688"/>
        <w:gridCol w:w="2820"/>
        <w:gridCol w:w="322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714" w:hRule="atLeast"/>
          <w:jc w:val="center"/>
        </w:trPr>
        <w:tc>
          <w:tcPr>
            <w:tcW w:w="545" w:type="pct"/>
            <w:noWrap w:val="0"/>
            <w:tcMar>
              <w:top w:w="16" w:type="dxa"/>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建设项目名称</w:t>
            </w:r>
          </w:p>
        </w:tc>
        <w:tc>
          <w:tcPr>
            <w:tcW w:w="4454" w:type="pct"/>
            <w:gridSpan w:val="3"/>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lang w:eastAsia="zh-CN"/>
              </w:rPr>
            </w:pPr>
            <w:r>
              <w:rPr>
                <w:rFonts w:hint="default" w:ascii="Times New Roman" w:hAnsi="Times New Roman" w:eastAsia="宋体" w:cs="Times New Roman"/>
                <w:color w:val="auto"/>
                <w:kern w:val="21"/>
                <w:sz w:val="24"/>
                <w:szCs w:val="24"/>
                <w:lang w:eastAsia="zh-CN"/>
              </w:rPr>
              <w:t>乐山市市中区2022年山珍水库除险加固工程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74" w:hRule="atLeast"/>
          <w:jc w:val="center"/>
        </w:trPr>
        <w:tc>
          <w:tcPr>
            <w:tcW w:w="545" w:type="pct"/>
            <w:noWrap w:val="0"/>
            <w:tcMar>
              <w:top w:w="16" w:type="dxa"/>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项目代码</w:t>
            </w:r>
          </w:p>
        </w:tc>
        <w:tc>
          <w:tcPr>
            <w:tcW w:w="4454" w:type="pct"/>
            <w:gridSpan w:val="3"/>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lang w:val="en-US" w:eastAsia="zh-CN"/>
              </w:rPr>
            </w:pPr>
            <w:r>
              <w:rPr>
                <w:rFonts w:hint="eastAsia" w:ascii="Times New Roman" w:hAnsi="Times New Roman" w:eastAsia="宋体" w:cs="Times New Roman"/>
                <w:color w:val="auto"/>
                <w:kern w:val="21"/>
                <w:sz w:val="24"/>
                <w:szCs w:val="24"/>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67" w:hRule="atLeast"/>
          <w:jc w:val="center"/>
        </w:trPr>
        <w:tc>
          <w:tcPr>
            <w:tcW w:w="545" w:type="pct"/>
            <w:noWrap w:val="0"/>
            <w:tcMar>
              <w:top w:w="16" w:type="dxa"/>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建设单位联系人</w:t>
            </w:r>
          </w:p>
        </w:tc>
        <w:tc>
          <w:tcPr>
            <w:tcW w:w="1371"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lang w:val="en-US" w:eastAsia="zh-CN"/>
              </w:rPr>
            </w:pPr>
            <w:r>
              <w:rPr>
                <w:rFonts w:hint="eastAsia" w:ascii="Times New Roman" w:hAnsi="Times New Roman" w:eastAsia="宋体" w:cs="Times New Roman"/>
                <w:color w:val="auto"/>
                <w:kern w:val="21"/>
                <w:sz w:val="24"/>
                <w:szCs w:val="24"/>
                <w:lang w:val="en-US" w:eastAsia="zh-CN"/>
              </w:rPr>
              <w:t>吴志勇</w:t>
            </w:r>
          </w:p>
        </w:tc>
        <w:tc>
          <w:tcPr>
            <w:tcW w:w="1438"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联系方式</w:t>
            </w:r>
          </w:p>
        </w:tc>
        <w:tc>
          <w:tcPr>
            <w:tcW w:w="1644"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lang w:val="en-US" w:eastAsia="zh-CN"/>
              </w:rPr>
            </w:pPr>
            <w:r>
              <w:rPr>
                <w:rFonts w:hint="eastAsia" w:ascii="Times New Roman" w:hAnsi="Times New Roman" w:eastAsia="宋体" w:cs="Times New Roman"/>
                <w:color w:val="auto"/>
                <w:sz w:val="24"/>
                <w:szCs w:val="24"/>
                <w:lang w:val="en-US" w:eastAsia="zh-CN"/>
              </w:rPr>
              <w:t>13990663631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67" w:hRule="atLeast"/>
          <w:jc w:val="center"/>
        </w:trPr>
        <w:tc>
          <w:tcPr>
            <w:tcW w:w="545" w:type="pct"/>
            <w:noWrap w:val="0"/>
            <w:tcMar>
              <w:top w:w="16" w:type="dxa"/>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建设地点</w:t>
            </w:r>
          </w:p>
        </w:tc>
        <w:tc>
          <w:tcPr>
            <w:tcW w:w="4454" w:type="pct"/>
            <w:gridSpan w:val="3"/>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ind w:firstLine="0"/>
              <w:jc w:val="center"/>
              <w:textAlignment w:val="auto"/>
              <w:rPr>
                <w:rFonts w:hint="default" w:ascii="Times New Roman" w:hAnsi="Times New Roman" w:eastAsia="宋体" w:cs="Times New Roman"/>
                <w:color w:val="auto"/>
                <w:kern w:val="21"/>
                <w:sz w:val="24"/>
                <w:szCs w:val="24"/>
                <w:lang w:val="en-US" w:eastAsia="zh-CN"/>
              </w:rPr>
            </w:pPr>
            <w:r>
              <w:rPr>
                <w:rFonts w:hint="eastAsia" w:ascii="Times New Roman" w:hAnsi="Times New Roman" w:eastAsia="宋体" w:cs="Times New Roman"/>
                <w:color w:val="auto"/>
                <w:sz w:val="24"/>
                <w:szCs w:val="24"/>
                <w:u w:val="none"/>
                <w:lang w:val="en-US" w:eastAsia="zh-CN"/>
              </w:rPr>
              <w:t>四川省乐山市市中区大佛街道（原凌云乡）三尊村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67" w:hRule="atLeast"/>
          <w:jc w:val="center"/>
        </w:trPr>
        <w:tc>
          <w:tcPr>
            <w:tcW w:w="545" w:type="pct"/>
            <w:noWrap w:val="0"/>
            <w:tcMar>
              <w:top w:w="16" w:type="dxa"/>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地理坐标</w:t>
            </w:r>
          </w:p>
        </w:tc>
        <w:tc>
          <w:tcPr>
            <w:tcW w:w="4454" w:type="pct"/>
            <w:gridSpan w:val="3"/>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10</w:t>
            </w:r>
            <w:r>
              <w:rPr>
                <w:rFonts w:hint="eastAsia" w:ascii="Times New Roman" w:hAnsi="Times New Roman" w:eastAsia="宋体" w:cs="Times New Roman"/>
                <w:color w:val="auto"/>
                <w:kern w:val="21"/>
                <w:sz w:val="24"/>
                <w:szCs w:val="24"/>
                <w:lang w:val="en-US" w:eastAsia="zh-CN"/>
              </w:rPr>
              <w:t>3</w:t>
            </w:r>
            <w:r>
              <w:rPr>
                <w:rFonts w:hint="default" w:ascii="Times New Roman" w:hAnsi="Times New Roman" w:eastAsia="宋体" w:cs="Times New Roman"/>
                <w:color w:val="auto"/>
                <w:kern w:val="21"/>
                <w:sz w:val="24"/>
                <w:szCs w:val="24"/>
              </w:rPr>
              <w:t>度</w:t>
            </w:r>
            <w:r>
              <w:rPr>
                <w:rFonts w:hint="eastAsia" w:ascii="Times New Roman" w:hAnsi="Times New Roman" w:eastAsia="宋体" w:cs="Times New Roman"/>
                <w:color w:val="auto"/>
                <w:kern w:val="21"/>
                <w:sz w:val="24"/>
                <w:szCs w:val="24"/>
                <w:lang w:val="en-US" w:eastAsia="zh-CN"/>
              </w:rPr>
              <w:t>50</w:t>
            </w:r>
            <w:r>
              <w:rPr>
                <w:rFonts w:hint="default" w:ascii="Times New Roman" w:hAnsi="Times New Roman" w:eastAsia="宋体" w:cs="Times New Roman"/>
                <w:color w:val="auto"/>
                <w:kern w:val="21"/>
                <w:sz w:val="24"/>
                <w:szCs w:val="24"/>
              </w:rPr>
              <w:t>分</w:t>
            </w:r>
            <w:r>
              <w:rPr>
                <w:rFonts w:hint="eastAsia" w:ascii="Times New Roman" w:hAnsi="Times New Roman" w:eastAsia="宋体" w:cs="Times New Roman"/>
                <w:color w:val="auto"/>
                <w:kern w:val="21"/>
                <w:sz w:val="24"/>
                <w:szCs w:val="24"/>
                <w:lang w:val="en-US" w:eastAsia="zh-CN"/>
              </w:rPr>
              <w:t>28.212</w:t>
            </w:r>
            <w:r>
              <w:rPr>
                <w:rFonts w:hint="default" w:ascii="Times New Roman" w:hAnsi="Times New Roman" w:eastAsia="宋体" w:cs="Times New Roman"/>
                <w:color w:val="auto"/>
                <w:kern w:val="21"/>
                <w:sz w:val="24"/>
                <w:szCs w:val="24"/>
              </w:rPr>
              <w:t>秒，</w:t>
            </w:r>
            <w:r>
              <w:rPr>
                <w:rFonts w:hint="eastAsia" w:ascii="Times New Roman" w:hAnsi="Times New Roman" w:eastAsia="宋体" w:cs="Times New Roman"/>
                <w:color w:val="auto"/>
                <w:kern w:val="21"/>
                <w:sz w:val="24"/>
                <w:szCs w:val="24"/>
                <w:lang w:val="en-US" w:eastAsia="zh-CN"/>
              </w:rPr>
              <w:t>29</w:t>
            </w:r>
            <w:r>
              <w:rPr>
                <w:rFonts w:hint="default" w:ascii="Times New Roman" w:hAnsi="Times New Roman" w:eastAsia="宋体" w:cs="Times New Roman"/>
                <w:color w:val="auto"/>
                <w:kern w:val="21"/>
                <w:sz w:val="24"/>
                <w:szCs w:val="24"/>
              </w:rPr>
              <w:t>度</w:t>
            </w:r>
            <w:r>
              <w:rPr>
                <w:rFonts w:hint="eastAsia" w:ascii="Times New Roman" w:hAnsi="Times New Roman" w:eastAsia="宋体" w:cs="Times New Roman"/>
                <w:color w:val="auto"/>
                <w:kern w:val="21"/>
                <w:sz w:val="24"/>
                <w:szCs w:val="24"/>
                <w:lang w:val="en-US" w:eastAsia="zh-CN"/>
              </w:rPr>
              <w:t>34</w:t>
            </w:r>
            <w:r>
              <w:rPr>
                <w:rFonts w:hint="default" w:ascii="Times New Roman" w:hAnsi="Times New Roman" w:eastAsia="宋体" w:cs="Times New Roman"/>
                <w:color w:val="auto"/>
                <w:kern w:val="21"/>
                <w:sz w:val="24"/>
                <w:szCs w:val="24"/>
              </w:rPr>
              <w:t>分</w:t>
            </w:r>
            <w:r>
              <w:rPr>
                <w:rFonts w:hint="eastAsia" w:ascii="Times New Roman" w:hAnsi="Times New Roman" w:eastAsia="宋体" w:cs="Times New Roman"/>
                <w:color w:val="auto"/>
                <w:kern w:val="21"/>
                <w:sz w:val="24"/>
                <w:szCs w:val="24"/>
                <w:lang w:val="en-US" w:eastAsia="zh-CN"/>
              </w:rPr>
              <w:t>4.129</w:t>
            </w:r>
            <w:r>
              <w:rPr>
                <w:rFonts w:hint="default" w:ascii="Times New Roman" w:hAnsi="Times New Roman" w:eastAsia="宋体" w:cs="Times New Roman"/>
                <w:color w:val="auto"/>
                <w:kern w:val="21"/>
                <w:sz w:val="24"/>
                <w:szCs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67" w:hRule="atLeast"/>
          <w:jc w:val="center"/>
        </w:trPr>
        <w:tc>
          <w:tcPr>
            <w:tcW w:w="545" w:type="pct"/>
            <w:noWrap w:val="0"/>
            <w:tcMar>
              <w:top w:w="16" w:type="dxa"/>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建设项目</w:t>
            </w:r>
          </w:p>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行业类别</w:t>
            </w:r>
          </w:p>
        </w:tc>
        <w:tc>
          <w:tcPr>
            <w:tcW w:w="1371"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五十一、水利 127</w:t>
            </w:r>
            <w:r>
              <w:rPr>
                <w:rFonts w:hint="eastAsia" w:ascii="Times New Roman" w:hAnsi="Times New Roman" w:eastAsia="宋体" w:cs="Times New Roman"/>
                <w:color w:val="auto"/>
                <w:kern w:val="21"/>
                <w:sz w:val="24"/>
                <w:szCs w:val="24"/>
                <w:lang w:val="en-US" w:eastAsia="zh-CN"/>
              </w:rPr>
              <w:t>.</w:t>
            </w:r>
            <w:r>
              <w:rPr>
                <w:rFonts w:hint="default" w:ascii="Times New Roman" w:hAnsi="Times New Roman" w:eastAsia="宋体" w:cs="Times New Roman"/>
                <w:color w:val="auto"/>
                <w:kern w:val="21"/>
                <w:sz w:val="24"/>
                <w:szCs w:val="24"/>
              </w:rPr>
              <w:t>防洪除涝</w:t>
            </w:r>
          </w:p>
        </w:tc>
        <w:tc>
          <w:tcPr>
            <w:tcW w:w="1438"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用地（用海）面积（m</w:t>
            </w:r>
            <w:r>
              <w:rPr>
                <w:rFonts w:hint="default" w:ascii="Times New Roman" w:hAnsi="Times New Roman" w:eastAsia="宋体" w:cs="Times New Roman"/>
                <w:color w:val="auto"/>
                <w:kern w:val="21"/>
                <w:sz w:val="24"/>
                <w:szCs w:val="24"/>
                <w:vertAlign w:val="superscript"/>
              </w:rPr>
              <w:t>2</w:t>
            </w:r>
            <w:r>
              <w:rPr>
                <w:rFonts w:hint="default" w:ascii="Times New Roman" w:hAnsi="Times New Roman" w:eastAsia="宋体" w:cs="Times New Roman"/>
                <w:color w:val="auto"/>
                <w:kern w:val="21"/>
                <w:sz w:val="24"/>
                <w:szCs w:val="24"/>
              </w:rPr>
              <w:t>）/长度（km）</w:t>
            </w:r>
          </w:p>
        </w:tc>
        <w:tc>
          <w:tcPr>
            <w:tcW w:w="1644"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lang w:val="en-US" w:eastAsia="zh-CN"/>
              </w:rPr>
            </w:pPr>
            <w:r>
              <w:rPr>
                <w:rFonts w:hint="eastAsia" w:ascii="Times New Roman" w:hAnsi="Times New Roman" w:eastAsia="宋体" w:cs="Times New Roman"/>
                <w:color w:val="auto"/>
                <w:kern w:val="21"/>
                <w:sz w:val="24"/>
                <w:szCs w:val="24"/>
                <w:lang w:val="en-US" w:eastAsia="zh-CN"/>
              </w:rPr>
              <w:t>6936.8</w:t>
            </w:r>
            <w:r>
              <w:rPr>
                <w:rFonts w:hint="default" w:ascii="Times New Roman" w:hAnsi="Times New Roman" w:eastAsia="宋体" w:cs="Times New Roman"/>
                <w:color w:val="auto"/>
                <w:kern w:val="21"/>
                <w:sz w:val="24"/>
                <w:szCs w:val="24"/>
              </w:rPr>
              <w:t>m</w:t>
            </w:r>
            <w:r>
              <w:rPr>
                <w:rFonts w:hint="default" w:ascii="Times New Roman" w:hAnsi="Times New Roman" w:eastAsia="宋体" w:cs="Times New Roman"/>
                <w:color w:val="auto"/>
                <w:kern w:val="21"/>
                <w:sz w:val="24"/>
                <w:szCs w:val="24"/>
                <w:vertAlign w:val="superscript"/>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67" w:hRule="atLeast"/>
          <w:jc w:val="center"/>
        </w:trPr>
        <w:tc>
          <w:tcPr>
            <w:tcW w:w="545" w:type="pct"/>
            <w:noWrap w:val="0"/>
            <w:tcMar>
              <w:top w:w="16" w:type="dxa"/>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建设性质</w:t>
            </w:r>
          </w:p>
        </w:tc>
        <w:tc>
          <w:tcPr>
            <w:tcW w:w="1371"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sym w:font="Wingdings 2" w:char="00A3"/>
            </w:r>
            <w:r>
              <w:rPr>
                <w:rFonts w:hint="default" w:ascii="Times New Roman" w:hAnsi="Times New Roman" w:eastAsia="宋体" w:cs="Times New Roman"/>
                <w:color w:val="auto"/>
                <w:kern w:val="21"/>
                <w:sz w:val="24"/>
                <w:szCs w:val="24"/>
              </w:rPr>
              <w:t>新建（迁建）</w:t>
            </w:r>
          </w:p>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sym w:font="Wingdings 2" w:char="0052"/>
            </w:r>
            <w:r>
              <w:rPr>
                <w:rFonts w:hint="default" w:ascii="Times New Roman" w:hAnsi="Times New Roman" w:eastAsia="宋体" w:cs="Times New Roman"/>
                <w:color w:val="auto"/>
                <w:kern w:val="21"/>
                <w:sz w:val="24"/>
                <w:szCs w:val="24"/>
              </w:rPr>
              <w:t>改建</w:t>
            </w:r>
          </w:p>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sym w:font="Wingdings 2" w:char="00A3"/>
            </w:r>
            <w:r>
              <w:rPr>
                <w:rFonts w:hint="default" w:ascii="Times New Roman" w:hAnsi="Times New Roman" w:eastAsia="宋体" w:cs="Times New Roman"/>
                <w:color w:val="auto"/>
                <w:kern w:val="21"/>
                <w:sz w:val="24"/>
                <w:szCs w:val="24"/>
              </w:rPr>
              <w:t>扩建</w:t>
            </w:r>
          </w:p>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sym w:font="Wingdings 2" w:char="00A3"/>
            </w:r>
            <w:r>
              <w:rPr>
                <w:rFonts w:hint="default" w:ascii="Times New Roman" w:hAnsi="Times New Roman" w:eastAsia="宋体" w:cs="Times New Roman"/>
                <w:color w:val="auto"/>
                <w:kern w:val="21"/>
                <w:sz w:val="24"/>
                <w:szCs w:val="24"/>
              </w:rPr>
              <w:t>技术改造</w:t>
            </w:r>
          </w:p>
        </w:tc>
        <w:tc>
          <w:tcPr>
            <w:tcW w:w="1438"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建设项目</w:t>
            </w:r>
          </w:p>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申报情形</w:t>
            </w:r>
          </w:p>
        </w:tc>
        <w:tc>
          <w:tcPr>
            <w:tcW w:w="1644"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sym w:font="Wingdings 2" w:char="0052"/>
            </w:r>
            <w:r>
              <w:rPr>
                <w:rFonts w:hint="default" w:ascii="Times New Roman" w:hAnsi="Times New Roman" w:eastAsia="宋体" w:cs="Times New Roman"/>
                <w:color w:val="auto"/>
                <w:kern w:val="21"/>
                <w:sz w:val="24"/>
                <w:szCs w:val="24"/>
              </w:rPr>
              <w:t>首次申报项目</w:t>
            </w:r>
          </w:p>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□不予批准后再次申报项目</w:t>
            </w:r>
          </w:p>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□超五年重新审核项目</w:t>
            </w:r>
          </w:p>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67" w:hRule="atLeast"/>
          <w:jc w:val="center"/>
        </w:trPr>
        <w:tc>
          <w:tcPr>
            <w:tcW w:w="545" w:type="pct"/>
            <w:noWrap w:val="0"/>
            <w:tcMar>
              <w:top w:w="16" w:type="dxa"/>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项目审批（核准/</w:t>
            </w:r>
          </w:p>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备案）部门（选填）</w:t>
            </w:r>
          </w:p>
        </w:tc>
        <w:tc>
          <w:tcPr>
            <w:tcW w:w="1371"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lang w:val="en-US" w:eastAsia="zh-CN"/>
              </w:rPr>
            </w:pPr>
            <w:r>
              <w:rPr>
                <w:rFonts w:hint="default" w:ascii="Times New Roman" w:hAnsi="Times New Roman" w:eastAsia="宋体" w:cs="Times New Roman"/>
                <w:color w:val="auto"/>
                <w:kern w:val="21"/>
                <w:sz w:val="24"/>
                <w:szCs w:val="24"/>
                <w:lang w:val="en-US" w:eastAsia="zh-CN"/>
              </w:rPr>
              <w:t>乐山市水务局</w:t>
            </w:r>
          </w:p>
        </w:tc>
        <w:tc>
          <w:tcPr>
            <w:tcW w:w="1438"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项目审批（核准/</w:t>
            </w:r>
          </w:p>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备案）文号（选填）</w:t>
            </w:r>
          </w:p>
        </w:tc>
        <w:tc>
          <w:tcPr>
            <w:tcW w:w="1644" w:type="pct"/>
            <w:noWrap w:val="0"/>
            <w:tcMar>
              <w:left w:w="28" w:type="dxa"/>
              <w:right w:w="28" w:type="dxa"/>
            </w:tcMar>
            <w:vAlign w:val="center"/>
          </w:tcPr>
          <w:p>
            <w:pPr>
              <w:pStyle w:val="2"/>
              <w:jc w:val="center"/>
              <w:rPr>
                <w:rFonts w:hint="default" w:ascii="Times New Roman" w:hAnsi="Times New Roman" w:cs="Times New Roman"/>
                <w:color w:val="auto"/>
                <w:lang w:val="en-US" w:eastAsia="zh-CN"/>
              </w:rPr>
            </w:pPr>
            <w:r>
              <w:rPr>
                <w:rFonts w:hint="default" w:ascii="Times New Roman" w:hAnsi="Times New Roman" w:cs="Times New Roman"/>
                <w:color w:val="auto"/>
                <w:sz w:val="24"/>
                <w:szCs w:val="24"/>
                <w:lang w:val="en-US" w:eastAsia="zh-CN"/>
              </w:rPr>
              <w:t>乐水函〔2022〕210号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67" w:hRule="atLeast"/>
          <w:jc w:val="center"/>
        </w:trPr>
        <w:tc>
          <w:tcPr>
            <w:tcW w:w="545" w:type="pct"/>
            <w:noWrap w:val="0"/>
            <w:tcMar>
              <w:top w:w="16" w:type="dxa"/>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总投资（万元）</w:t>
            </w:r>
          </w:p>
        </w:tc>
        <w:tc>
          <w:tcPr>
            <w:tcW w:w="1371"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highlight w:val="none"/>
                <w:lang w:val="en-US" w:eastAsia="zh-CN"/>
              </w:rPr>
            </w:pPr>
            <w:r>
              <w:rPr>
                <w:rFonts w:hint="default" w:ascii="Times New Roman" w:hAnsi="Times New Roman" w:eastAsia="宋体" w:cs="Times New Roman"/>
                <w:color w:val="auto"/>
                <w:kern w:val="21"/>
                <w:sz w:val="24"/>
                <w:szCs w:val="24"/>
                <w:highlight w:val="none"/>
                <w:lang w:val="en-US" w:eastAsia="zh-CN"/>
              </w:rPr>
              <w:t>651.07</w:t>
            </w:r>
          </w:p>
        </w:tc>
        <w:tc>
          <w:tcPr>
            <w:tcW w:w="1438" w:type="pct"/>
            <w:noWrap w:val="0"/>
            <w:tcMar>
              <w:top w:w="16" w:type="dxa"/>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环保投资（万元）</w:t>
            </w:r>
          </w:p>
        </w:tc>
        <w:tc>
          <w:tcPr>
            <w:tcW w:w="1644"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b/>
                <w:bCs/>
                <w:color w:val="auto"/>
                <w:kern w:val="21"/>
                <w:sz w:val="24"/>
                <w:szCs w:val="24"/>
                <w:highlight w:val="none"/>
                <w:lang w:val="en-US" w:eastAsia="zh-CN"/>
              </w:rPr>
            </w:pPr>
            <w:r>
              <w:rPr>
                <w:rFonts w:hint="eastAsia" w:ascii="Times New Roman" w:hAnsi="Times New Roman" w:eastAsia="宋体" w:cs="Times New Roman"/>
                <w:b w:val="0"/>
                <w:bCs w:val="0"/>
                <w:color w:val="auto"/>
                <w:kern w:val="21"/>
                <w:sz w:val="24"/>
                <w:szCs w:val="24"/>
                <w:highlight w:val="none"/>
                <w:lang w:val="en-US" w:eastAsia="zh-CN"/>
              </w:rPr>
              <w:t>40.2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67" w:hRule="atLeast"/>
          <w:jc w:val="center"/>
        </w:trPr>
        <w:tc>
          <w:tcPr>
            <w:tcW w:w="545" w:type="pct"/>
            <w:noWrap w:val="0"/>
            <w:tcMar>
              <w:top w:w="16" w:type="dxa"/>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环保投资占比（%）</w:t>
            </w:r>
          </w:p>
        </w:tc>
        <w:tc>
          <w:tcPr>
            <w:tcW w:w="1371"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highlight w:val="none"/>
                <w:lang w:val="en-US"/>
              </w:rPr>
            </w:pPr>
            <w:r>
              <w:rPr>
                <w:rFonts w:hint="eastAsia" w:ascii="Times New Roman" w:hAnsi="Times New Roman" w:eastAsia="宋体" w:cs="Times New Roman"/>
                <w:color w:val="auto"/>
                <w:spacing w:val="0"/>
                <w:kern w:val="21"/>
                <w:sz w:val="24"/>
                <w:szCs w:val="24"/>
                <w:highlight w:val="none"/>
                <w:lang w:val="en-US" w:eastAsia="zh-CN"/>
              </w:rPr>
              <w:t>6.2</w:t>
            </w:r>
            <w:r>
              <w:rPr>
                <w:rFonts w:hint="default" w:ascii="Times New Roman" w:hAnsi="Times New Roman" w:eastAsia="宋体" w:cs="Times New Roman"/>
                <w:color w:val="auto"/>
                <w:spacing w:val="0"/>
                <w:kern w:val="21"/>
                <w:sz w:val="24"/>
                <w:szCs w:val="24"/>
                <w:highlight w:val="none"/>
                <w:lang w:val="en-US" w:eastAsia="zh-CN"/>
              </w:rPr>
              <w:t>%</w:t>
            </w:r>
          </w:p>
        </w:tc>
        <w:tc>
          <w:tcPr>
            <w:tcW w:w="1438" w:type="pct"/>
            <w:noWrap w:val="0"/>
            <w:tcMar>
              <w:top w:w="16" w:type="dxa"/>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施工工期</w:t>
            </w:r>
          </w:p>
        </w:tc>
        <w:tc>
          <w:tcPr>
            <w:tcW w:w="1644"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1"/>
                <w:sz w:val="24"/>
                <w:szCs w:val="24"/>
                <w:highlight w:val="none"/>
                <w:lang w:val="en-US"/>
              </w:rPr>
            </w:pPr>
            <w:r>
              <w:rPr>
                <w:rFonts w:hint="eastAsia" w:ascii="Times New Roman" w:hAnsi="Times New Roman" w:eastAsia="宋体" w:cs="Times New Roman"/>
                <w:color w:val="auto"/>
                <w:spacing w:val="0"/>
                <w:kern w:val="21"/>
                <w:sz w:val="24"/>
                <w:szCs w:val="24"/>
                <w:highlight w:val="none"/>
                <w:lang w:val="en-US" w:eastAsia="zh-CN"/>
              </w:rPr>
              <w:t>6</w:t>
            </w:r>
            <w:r>
              <w:rPr>
                <w:rFonts w:hint="default" w:ascii="Times New Roman" w:hAnsi="Times New Roman" w:eastAsia="宋体" w:cs="Times New Roman"/>
                <w:color w:val="auto"/>
                <w:spacing w:val="0"/>
                <w:kern w:val="21"/>
                <w:sz w:val="24"/>
                <w:szCs w:val="24"/>
                <w:highlight w:val="none"/>
                <w:lang w:val="en-US" w:eastAsia="zh-CN"/>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67" w:hRule="atLeast"/>
          <w:jc w:val="center"/>
        </w:trPr>
        <w:tc>
          <w:tcPr>
            <w:tcW w:w="545" w:type="pct"/>
            <w:noWrap w:val="0"/>
            <w:tcMar>
              <w:top w:w="16" w:type="dxa"/>
              <w:left w:w="28" w:type="dxa"/>
              <w:right w:w="28" w:type="dxa"/>
            </w:tcMar>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是否开工建设</w:t>
            </w:r>
          </w:p>
        </w:tc>
        <w:tc>
          <w:tcPr>
            <w:tcW w:w="4454" w:type="pct"/>
            <w:gridSpan w:val="3"/>
            <w:noWrap w:val="0"/>
            <w:tcMar>
              <w:left w:w="28" w:type="dxa"/>
              <w:right w:w="28" w:type="dxa"/>
            </w:tcMar>
            <w:vAlign w:val="center"/>
          </w:tcPr>
          <w:p>
            <w:pPr>
              <w:keepNext w:val="0"/>
              <w:keepLines w:val="0"/>
              <w:pageBreakBefore w:val="0"/>
              <w:widowControl w:val="0"/>
              <w:kinsoku/>
              <w:wordWrap/>
              <w:overflowPunct/>
              <w:topLinePunct w:val="0"/>
              <w:bidi w:val="0"/>
              <w:adjustRightInd w:val="0"/>
              <w:snapToGrid w:val="0"/>
              <w:spacing w:line="240" w:lineRule="auto"/>
              <w:ind w:firstLine="105"/>
              <w:jc w:val="both"/>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sym w:font="Wingdings 2" w:char="0052"/>
            </w:r>
            <w:r>
              <w:rPr>
                <w:rFonts w:hint="default" w:ascii="Times New Roman" w:hAnsi="Times New Roman" w:eastAsia="宋体" w:cs="Times New Roman"/>
                <w:color w:val="auto"/>
                <w:kern w:val="21"/>
                <w:sz w:val="24"/>
                <w:szCs w:val="24"/>
              </w:rPr>
              <w:t>否</w:t>
            </w:r>
          </w:p>
          <w:p>
            <w:pPr>
              <w:keepNext w:val="0"/>
              <w:keepLines w:val="0"/>
              <w:pageBreakBefore w:val="0"/>
              <w:widowControl w:val="0"/>
              <w:kinsoku/>
              <w:wordWrap/>
              <w:overflowPunct/>
              <w:topLinePunct w:val="0"/>
              <w:bidi w:val="0"/>
              <w:adjustRightInd w:val="0"/>
              <w:snapToGrid w:val="0"/>
              <w:spacing w:line="240" w:lineRule="auto"/>
              <w:ind w:firstLine="92"/>
              <w:jc w:val="both"/>
              <w:textAlignment w:val="auto"/>
              <w:rPr>
                <w:rFonts w:hint="default" w:ascii="Times New Roman" w:hAnsi="Times New Roman" w:eastAsia="宋体" w:cs="Times New Roman"/>
                <w:color w:val="auto"/>
                <w:kern w:val="21"/>
                <w:sz w:val="24"/>
                <w:szCs w:val="24"/>
                <w:u w:val="single"/>
                <w:lang w:val="en-US" w:eastAsia="zh-CN"/>
              </w:rPr>
            </w:pPr>
            <w:r>
              <w:rPr>
                <w:rFonts w:hint="default" w:ascii="Times New Roman" w:hAnsi="Times New Roman" w:eastAsia="宋体" w:cs="Times New Roman"/>
                <w:color w:val="auto"/>
                <w:kern w:val="21"/>
                <w:sz w:val="24"/>
                <w:szCs w:val="24"/>
              </w:rPr>
              <w:sym w:font="Wingdings 2" w:char="00A3"/>
            </w:r>
            <w:r>
              <w:rPr>
                <w:rFonts w:hint="default" w:ascii="Times New Roman" w:hAnsi="Times New Roman" w:eastAsia="宋体" w:cs="Times New Roman"/>
                <w:color w:val="auto"/>
                <w:kern w:val="21"/>
                <w:sz w:val="24"/>
                <w:szCs w:val="24"/>
              </w:rPr>
              <w:t>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67" w:hRule="atLeast"/>
          <w:jc w:val="center"/>
        </w:trPr>
        <w:tc>
          <w:tcPr>
            <w:tcW w:w="545" w:type="pct"/>
            <w:noWrap w:val="0"/>
            <w:tcMar>
              <w:top w:w="16" w:type="dxa"/>
              <w:left w:w="28"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专项评价设置情况</w:t>
            </w:r>
          </w:p>
        </w:tc>
        <w:tc>
          <w:tcPr>
            <w:tcW w:w="4454" w:type="pct"/>
            <w:gridSpan w:val="3"/>
            <w:noWrap w:val="0"/>
            <w:tcMar>
              <w:top w:w="16" w:type="dxa"/>
              <w:left w:w="28" w:type="dxa"/>
              <w:right w:w="28" w:type="dxa"/>
            </w:tcMar>
            <w:vAlign w:val="center"/>
          </w:tcPr>
          <w:tbl>
            <w:tblPr>
              <w:tblStyle w:val="3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86"/>
              <w:gridCol w:w="5928"/>
              <w:gridCol w:w="122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8" w:hRule="atLeast"/>
                <w:jc w:val="center"/>
              </w:trPr>
              <w:tc>
                <w:tcPr>
                  <w:tcW w:w="1486"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专项评价的类别</w:t>
                  </w:r>
                </w:p>
              </w:tc>
              <w:tc>
                <w:tcPr>
                  <w:tcW w:w="5928"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涉及项目类别</w:t>
                  </w:r>
                </w:p>
              </w:tc>
              <w:tc>
                <w:tcPr>
                  <w:tcW w:w="1224"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1" w:hRule="atLeast"/>
                <w:jc w:val="center"/>
              </w:trPr>
              <w:tc>
                <w:tcPr>
                  <w:tcW w:w="1486"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w:t>
                  </w:r>
                </w:p>
              </w:tc>
              <w:tc>
                <w:tcPr>
                  <w:tcW w:w="5928"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力发电：引水式发电、涉及调峰发电的项目；人工湖、人工湿地：全部；水库：全部；引水工程：全部（配套的管线工程等除外）；防洪除涝工程：包含水库的项目；河湖整治：涉及清淤且底泥存在重金属污染的项目</w:t>
                  </w:r>
                </w:p>
              </w:tc>
              <w:tc>
                <w:tcPr>
                  <w:tcW w:w="1224"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bCs/>
                      <w:color w:val="auto"/>
                      <w:sz w:val="21"/>
                      <w:szCs w:val="21"/>
                      <w:lang w:val="en-US" w:eastAsia="zh-CN"/>
                    </w:rPr>
                    <w:t>本项目为水库除险加固工程，需进行</w:t>
                  </w:r>
                  <w:r>
                    <w:rPr>
                      <w:rFonts w:hint="eastAsia" w:ascii="Times New Roman" w:hAnsi="Times New Roman" w:eastAsia="宋体" w:cs="Times New Roman"/>
                      <w:b/>
                      <w:bCs/>
                      <w:color w:val="auto"/>
                      <w:sz w:val="21"/>
                      <w:szCs w:val="21"/>
                      <w:lang w:val="en-US" w:eastAsia="zh-CN"/>
                    </w:rPr>
                    <w:t>地表</w:t>
                  </w:r>
                  <w:r>
                    <w:rPr>
                      <w:rFonts w:hint="default" w:ascii="Times New Roman" w:hAnsi="Times New Roman" w:eastAsia="宋体" w:cs="Times New Roman"/>
                      <w:b/>
                      <w:bCs/>
                      <w:color w:val="auto"/>
                      <w:sz w:val="21"/>
                      <w:szCs w:val="21"/>
                      <w:lang w:val="en-US" w:eastAsia="zh-CN"/>
                    </w:rPr>
                    <w:t>水专项评价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1486"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w:t>
                  </w:r>
                </w:p>
              </w:tc>
              <w:tc>
                <w:tcPr>
                  <w:tcW w:w="5928"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陆地石油和天然气开采：全部；地下水（含矿泉水）开采：全部；水利、水电、交通等：含穿越可溶岩地层隧道的项目</w:t>
                  </w:r>
                </w:p>
              </w:tc>
              <w:tc>
                <w:tcPr>
                  <w:tcW w:w="1224"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不涉及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1" w:hRule="atLeast"/>
                <w:jc w:val="center"/>
              </w:trPr>
              <w:tc>
                <w:tcPr>
                  <w:tcW w:w="1486"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w:t>
                  </w:r>
                </w:p>
              </w:tc>
              <w:tc>
                <w:tcPr>
                  <w:tcW w:w="5928"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涉及环境敏感区（不包括饮用水水源保护区，以居住、医疗卫生、文化教育、科研、行政办公为主要功能的区域，以及文物保护单位）的项目</w:t>
                  </w:r>
                </w:p>
              </w:tc>
              <w:tc>
                <w:tcPr>
                  <w:tcW w:w="1224"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不涉及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1486"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w:t>
                  </w:r>
                </w:p>
              </w:tc>
              <w:tc>
                <w:tcPr>
                  <w:tcW w:w="5928"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油气、液体化工码头：全部；干散货（含煤炭、矿石）、件杂、多用途、通用码头：涉及粉尘、挥发性有机物排放的项目</w:t>
                  </w:r>
                </w:p>
              </w:tc>
              <w:tc>
                <w:tcPr>
                  <w:tcW w:w="1224"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不涉及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1" w:hRule="atLeast"/>
                <w:jc w:val="center"/>
              </w:trPr>
              <w:tc>
                <w:tcPr>
                  <w:tcW w:w="1486"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5928"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公路、铁路、机场等交通运输业涉及环境敏感区（以居住、医疗卫生、文化教育、科研、行政办公为主要功能的区域）的项目；城市道路（不含维护，不含支路、人行天桥、人行地道）：全部</w:t>
                  </w:r>
                </w:p>
              </w:tc>
              <w:tc>
                <w:tcPr>
                  <w:tcW w:w="1224"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不涉及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1" w:hRule="atLeast"/>
                <w:jc w:val="center"/>
              </w:trPr>
              <w:tc>
                <w:tcPr>
                  <w:tcW w:w="1486"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w:t>
                  </w:r>
                </w:p>
              </w:tc>
              <w:tc>
                <w:tcPr>
                  <w:tcW w:w="5928"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石油和天然气开采：全部；油气、液体化工码头：全部；原油、成品油、天然气管线（不含城镇天然气管线、企业厂区内管线），危险化学品输送管线（不含企业厂区内管线）：全部</w:t>
                  </w:r>
                </w:p>
              </w:tc>
              <w:tc>
                <w:tcPr>
                  <w:tcW w:w="1224" w:type="dxa"/>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不涉及</w:t>
                  </w:r>
                </w:p>
              </w:tc>
            </w:tr>
          </w:tbl>
          <w:p>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color w:val="auto"/>
                <w:lang w:val="en-US" w:eastAsia="zh-CN"/>
              </w:rPr>
            </w:pPr>
            <w:r>
              <w:rPr>
                <w:rFonts w:hint="default"/>
                <w:color w:val="auto"/>
                <w:lang w:val="en-US" w:eastAsia="zh-CN"/>
              </w:rPr>
              <w:t>注：“涉及环境敏感区”是指建设项目位于、穿（跨）越（无害化通过的除外）环境敏感区，或环境影响范围涵盖环境敏感区。环境敏感区是指《建设项目环境影响评价分类管理名录》中针对该类项目所列的敏感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67" w:hRule="atLeast"/>
          <w:jc w:val="center"/>
        </w:trPr>
        <w:tc>
          <w:tcPr>
            <w:tcW w:w="545" w:type="pct"/>
            <w:noWrap w:val="0"/>
            <w:tcMar>
              <w:top w:w="16" w:type="dxa"/>
              <w:left w:w="28"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规划情况</w:t>
            </w:r>
          </w:p>
        </w:tc>
        <w:tc>
          <w:tcPr>
            <w:tcW w:w="4454" w:type="pct"/>
            <w:gridSpan w:val="3"/>
            <w:noWrap w:val="0"/>
            <w:tcMar>
              <w:top w:w="16" w:type="dxa"/>
              <w:left w:w="28"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21"/>
                <w:sz w:val="24"/>
                <w:szCs w:val="24"/>
                <w:lang w:val="en-US" w:eastAsia="zh-CN"/>
              </w:rPr>
            </w:pPr>
            <w:r>
              <w:rPr>
                <w:rFonts w:hint="eastAsia" w:ascii="Times New Roman" w:hAnsi="Times New Roman" w:eastAsia="宋体" w:cs="Times New Roman"/>
                <w:color w:val="auto"/>
                <w:kern w:val="21"/>
                <w:sz w:val="24"/>
                <w:szCs w:val="24"/>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67" w:hRule="atLeast"/>
          <w:jc w:val="center"/>
        </w:trPr>
        <w:tc>
          <w:tcPr>
            <w:tcW w:w="545" w:type="pct"/>
            <w:noWrap w:val="0"/>
            <w:tcMar>
              <w:top w:w="16" w:type="dxa"/>
              <w:left w:w="28"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规划环境影响评价情况</w:t>
            </w:r>
          </w:p>
        </w:tc>
        <w:tc>
          <w:tcPr>
            <w:tcW w:w="4454" w:type="pct"/>
            <w:gridSpan w:val="3"/>
            <w:noWrap w:val="0"/>
            <w:tcMar>
              <w:top w:w="16" w:type="dxa"/>
              <w:left w:w="28" w:type="dxa"/>
              <w:right w:w="28" w:type="dxa"/>
            </w:tcMar>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1"/>
                <w:sz w:val="24"/>
                <w:szCs w:val="24"/>
                <w:lang w:val="en-US" w:eastAsia="zh-CN"/>
              </w:rPr>
            </w:pPr>
            <w:r>
              <w:rPr>
                <w:rFonts w:hint="default" w:ascii="Times New Roman" w:hAnsi="Times New Roman" w:eastAsia="宋体" w:cs="Times New Roman"/>
                <w:color w:val="auto"/>
                <w:kern w:val="21"/>
                <w:sz w:val="24"/>
                <w:szCs w:val="24"/>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423" w:hRule="atLeast"/>
          <w:jc w:val="center"/>
        </w:trPr>
        <w:tc>
          <w:tcPr>
            <w:tcW w:w="545" w:type="pct"/>
            <w:noWrap w:val="0"/>
            <w:tcMar>
              <w:top w:w="16" w:type="dxa"/>
              <w:left w:w="28" w:type="dxa"/>
              <w:right w:w="28" w:type="dxa"/>
            </w:tcMar>
            <w:vAlign w:val="center"/>
          </w:tcPr>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规划及规划环境影响评价符合性分析</w:t>
            </w:r>
          </w:p>
        </w:tc>
        <w:tc>
          <w:tcPr>
            <w:tcW w:w="4454" w:type="pct"/>
            <w:gridSpan w:val="3"/>
            <w:noWrap w:val="0"/>
            <w:tcMar>
              <w:top w:w="16" w:type="dxa"/>
              <w:left w:w="28" w:type="dxa"/>
              <w:right w:w="28"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color w:val="auto"/>
                <w:kern w:val="21"/>
                <w:sz w:val="24"/>
                <w:szCs w:val="24"/>
                <w:lang w:val="en-US" w:eastAsia="zh-CN"/>
              </w:rPr>
            </w:pPr>
            <w:r>
              <w:rPr>
                <w:rFonts w:hint="eastAsia" w:ascii="Times New Roman" w:hAnsi="Times New Roman" w:eastAsia="宋体" w:cs="Times New Roman"/>
                <w:color w:val="auto"/>
                <w:kern w:val="21"/>
                <w:sz w:val="24"/>
                <w:szCs w:val="24"/>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67" w:hRule="atLeast"/>
          <w:jc w:val="center"/>
        </w:trPr>
        <w:tc>
          <w:tcPr>
            <w:tcW w:w="545" w:type="pct"/>
            <w:noWrap w:val="0"/>
            <w:tcMar>
              <w:top w:w="16" w:type="dxa"/>
              <w:left w:w="28" w:type="dxa"/>
              <w:right w:w="28" w:type="dxa"/>
            </w:tcMar>
            <w:vAlign w:val="center"/>
          </w:tcPr>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color w:val="auto"/>
                <w:kern w:val="21"/>
                <w:sz w:val="24"/>
                <w:szCs w:val="24"/>
              </w:rPr>
            </w:pPr>
            <w:bookmarkStart w:id="2" w:name="_Hlk56690880"/>
            <w:r>
              <w:rPr>
                <w:rFonts w:hint="default" w:ascii="Times New Roman" w:hAnsi="Times New Roman" w:eastAsia="宋体" w:cs="Times New Roman"/>
                <w:color w:val="auto"/>
                <w:kern w:val="21"/>
                <w:sz w:val="24"/>
                <w:szCs w:val="24"/>
              </w:rPr>
              <w:t>其他符合性分析</w:t>
            </w:r>
            <w:bookmarkEnd w:id="2"/>
          </w:p>
        </w:tc>
        <w:tc>
          <w:tcPr>
            <w:tcW w:w="4454" w:type="pct"/>
            <w:gridSpan w:val="3"/>
            <w:noWrap w:val="0"/>
            <w:tcMar>
              <w:top w:w="16" w:type="dxa"/>
              <w:left w:w="28" w:type="dxa"/>
              <w:right w:w="28" w:type="dxa"/>
            </w:tcMar>
            <w:vAlign w:val="center"/>
          </w:tcPr>
          <w:p>
            <w:pPr>
              <w:keepNext w:val="0"/>
              <w:keepLines w:val="0"/>
              <w:pageBreakBefore w:val="0"/>
              <w:kinsoku/>
              <w:wordWrap/>
              <w:overflowPunct/>
              <w:topLinePunct w:val="0"/>
              <w:autoSpaceDE w:val="0"/>
              <w:autoSpaceDN w:val="0"/>
              <w:bidi w:val="0"/>
              <w:adjustRightInd w:val="0"/>
              <w:snapToGrid w:val="0"/>
              <w:spacing w:line="360" w:lineRule="auto"/>
              <w:ind w:right="0" w:firstLine="482" w:firstLineChars="200"/>
              <w:textAlignment w:val="auto"/>
              <w:rPr>
                <w:rFonts w:hint="default" w:ascii="Times New Roman" w:hAnsi="Times New Roman" w:eastAsia="宋体" w:cs="Times New Roman"/>
                <w:b/>
                <w:bCs/>
                <w:color w:val="auto"/>
                <w:kern w:val="21"/>
                <w:sz w:val="24"/>
                <w:szCs w:val="24"/>
              </w:rPr>
            </w:pPr>
            <w:r>
              <w:rPr>
                <w:rFonts w:hint="default" w:ascii="Times New Roman" w:hAnsi="Times New Roman" w:eastAsia="宋体" w:cs="Times New Roman"/>
                <w:b/>
                <w:bCs/>
                <w:color w:val="auto"/>
                <w:kern w:val="21"/>
                <w:sz w:val="24"/>
                <w:szCs w:val="24"/>
              </w:rPr>
              <w:t>1、产业政策符合性分析</w:t>
            </w:r>
          </w:p>
          <w:p>
            <w:pPr>
              <w:keepNext w:val="0"/>
              <w:keepLines w:val="0"/>
              <w:pageBreakBefore w:val="0"/>
              <w:kinsoku/>
              <w:wordWrap/>
              <w:overflowPunct/>
              <w:topLinePunct w:val="0"/>
              <w:autoSpaceDE w:val="0"/>
              <w:autoSpaceDN w:val="0"/>
              <w:bidi w:val="0"/>
              <w:adjustRightInd w:val="0"/>
              <w:snapToGrid w:val="0"/>
              <w:spacing w:line="360" w:lineRule="auto"/>
              <w:ind w:right="0" w:firstLine="480" w:firstLineChars="200"/>
              <w:textAlignment w:val="auto"/>
              <w:rPr>
                <w:rFonts w:hint="eastAsia" w:ascii="Times New Roman" w:hAnsi="Times New Roman" w:eastAsia="宋体" w:cs="Times New Roman"/>
                <w:color w:val="auto"/>
                <w:kern w:val="21"/>
                <w:sz w:val="24"/>
                <w:szCs w:val="24"/>
                <w:lang w:eastAsia="zh-CN"/>
              </w:rPr>
            </w:pPr>
            <w:r>
              <w:rPr>
                <w:rFonts w:hint="default" w:ascii="Times New Roman" w:hAnsi="Times New Roman" w:eastAsia="宋体" w:cs="Times New Roman"/>
                <w:color w:val="auto"/>
                <w:kern w:val="21"/>
                <w:sz w:val="24"/>
                <w:szCs w:val="24"/>
              </w:rPr>
              <w:t>本项目行业类别为河湖治理及防洪设施工程建筑（E4822），对照《产业结构调整指导目录（2019年本）》</w:t>
            </w:r>
            <w:r>
              <w:rPr>
                <w:rFonts w:hint="eastAsia" w:ascii="Times New Roman" w:hAnsi="Times New Roman" w:eastAsia="宋体" w:cs="Times New Roman"/>
                <w:color w:val="auto"/>
                <w:kern w:val="21"/>
                <w:sz w:val="24"/>
                <w:szCs w:val="24"/>
                <w:lang w:eastAsia="zh-CN"/>
              </w:rPr>
              <w:t>（</w:t>
            </w:r>
            <w:r>
              <w:rPr>
                <w:rFonts w:hint="eastAsia" w:ascii="Times New Roman" w:hAnsi="Times New Roman" w:eastAsia="宋体" w:cs="Times New Roman"/>
                <w:color w:val="auto"/>
                <w:kern w:val="21"/>
                <w:sz w:val="24"/>
                <w:szCs w:val="24"/>
                <w:lang w:val="en-US" w:eastAsia="zh-CN"/>
              </w:rPr>
              <w:t>2021修订</w:t>
            </w:r>
            <w:r>
              <w:rPr>
                <w:rFonts w:hint="eastAsia" w:ascii="Times New Roman" w:hAnsi="Times New Roman" w:eastAsia="宋体" w:cs="Times New Roman"/>
                <w:color w:val="auto"/>
                <w:kern w:val="21"/>
                <w:sz w:val="24"/>
                <w:szCs w:val="24"/>
                <w:lang w:eastAsia="zh-CN"/>
              </w:rPr>
              <w:t>）</w:t>
            </w:r>
            <w:r>
              <w:rPr>
                <w:rFonts w:hint="default" w:ascii="Times New Roman" w:hAnsi="Times New Roman" w:eastAsia="宋体" w:cs="Times New Roman"/>
                <w:color w:val="auto"/>
                <w:kern w:val="21"/>
                <w:sz w:val="24"/>
                <w:szCs w:val="24"/>
              </w:rPr>
              <w:t>，项目属于国家鼓励类（第一类鼓励类，第二项水利，第</w:t>
            </w:r>
            <w:r>
              <w:rPr>
                <w:rFonts w:hint="eastAsia" w:ascii="Times New Roman" w:hAnsi="Times New Roman" w:eastAsia="宋体" w:cs="Times New Roman"/>
                <w:color w:val="auto"/>
                <w:kern w:val="21"/>
                <w:sz w:val="24"/>
                <w:szCs w:val="24"/>
                <w:lang w:val="en-US" w:eastAsia="zh-CN"/>
              </w:rPr>
              <w:t>7</w:t>
            </w:r>
            <w:r>
              <w:rPr>
                <w:rFonts w:hint="default" w:ascii="Times New Roman" w:hAnsi="Times New Roman" w:eastAsia="宋体" w:cs="Times New Roman"/>
                <w:color w:val="auto"/>
                <w:kern w:val="21"/>
                <w:sz w:val="24"/>
                <w:szCs w:val="24"/>
              </w:rPr>
              <w:t>款</w:t>
            </w:r>
            <w:r>
              <w:rPr>
                <w:rFonts w:hint="eastAsia" w:ascii="Times New Roman" w:hAnsi="Times New Roman" w:eastAsia="宋体" w:cs="Times New Roman"/>
                <w:color w:val="auto"/>
                <w:kern w:val="21"/>
                <w:sz w:val="24"/>
                <w:szCs w:val="24"/>
                <w:lang w:val="en-US" w:eastAsia="zh-CN"/>
              </w:rPr>
              <w:t xml:space="preserve"> </w:t>
            </w:r>
            <w:r>
              <w:rPr>
                <w:rFonts w:hint="default" w:ascii="Times New Roman" w:hAnsi="Times New Roman" w:eastAsia="宋体" w:cs="Times New Roman"/>
                <w:color w:val="auto"/>
                <w:kern w:val="21"/>
                <w:sz w:val="24"/>
                <w:szCs w:val="24"/>
              </w:rPr>
              <w:t>病险水库、水闸除险加固工程）</w:t>
            </w:r>
            <w:r>
              <w:rPr>
                <w:rFonts w:hint="eastAsia" w:ascii="Times New Roman" w:hAnsi="Times New Roman" w:eastAsia="宋体" w:cs="Times New Roman"/>
                <w:color w:val="auto"/>
                <w:kern w:val="21"/>
                <w:sz w:val="24"/>
                <w:szCs w:val="24"/>
                <w:lang w:eastAsia="zh-CN"/>
              </w:rPr>
              <w:t>。</w:t>
            </w:r>
          </w:p>
          <w:p>
            <w:pPr>
              <w:keepNext w:val="0"/>
              <w:keepLines w:val="0"/>
              <w:pageBreakBefore w:val="0"/>
              <w:kinsoku/>
              <w:wordWrap/>
              <w:overflowPunct/>
              <w:topLinePunct w:val="0"/>
              <w:autoSpaceDE w:val="0"/>
              <w:autoSpaceDN w:val="0"/>
              <w:bidi w:val="0"/>
              <w:adjustRightInd w:val="0"/>
              <w:snapToGrid w:val="0"/>
              <w:spacing w:line="360" w:lineRule="auto"/>
              <w:ind w:right="0" w:firstLine="480" w:firstLineChars="200"/>
              <w:textAlignment w:val="auto"/>
              <w:rPr>
                <w:rFonts w:hint="default" w:ascii="Times New Roman" w:hAnsi="Times New Roman" w:eastAsia="宋体" w:cs="Times New Roman"/>
                <w:color w:val="auto"/>
                <w:kern w:val="21"/>
                <w:sz w:val="24"/>
                <w:szCs w:val="24"/>
                <w:lang w:val="en-US" w:eastAsia="zh-CN"/>
              </w:rPr>
            </w:pPr>
            <w:r>
              <w:rPr>
                <w:rFonts w:hint="eastAsia" w:ascii="Times New Roman" w:hAnsi="Times New Roman" w:eastAsia="宋体" w:cs="Times New Roman"/>
                <w:color w:val="auto"/>
                <w:kern w:val="21"/>
                <w:sz w:val="24"/>
                <w:szCs w:val="24"/>
                <w:lang w:val="en-US" w:eastAsia="zh-CN"/>
              </w:rPr>
              <w:t>此外，项目于2022年6月13日取得乐山市水务局关于市中区山珍水库除险加固工程初步设计报告的批复，乐水函〔2022〕210号。</w:t>
            </w:r>
          </w:p>
          <w:p>
            <w:pPr>
              <w:keepNext w:val="0"/>
              <w:keepLines w:val="0"/>
              <w:pageBreakBefore w:val="0"/>
              <w:kinsoku/>
              <w:wordWrap/>
              <w:overflowPunct/>
              <w:topLinePunct w:val="0"/>
              <w:autoSpaceDE w:val="0"/>
              <w:autoSpaceDN w:val="0"/>
              <w:bidi w:val="0"/>
              <w:adjustRightInd w:val="0"/>
              <w:snapToGrid w:val="0"/>
              <w:spacing w:line="360" w:lineRule="auto"/>
              <w:ind w:right="0" w:firstLine="480" w:firstLineChars="200"/>
              <w:textAlignment w:val="auto"/>
              <w:rPr>
                <w:rFonts w:hint="default" w:ascii="Times New Roman" w:hAnsi="Times New Roman" w:eastAsia="宋体" w:cs="Times New Roman"/>
                <w:color w:val="auto"/>
                <w:kern w:val="21"/>
                <w:sz w:val="24"/>
                <w:szCs w:val="24"/>
              </w:rPr>
            </w:pPr>
            <w:r>
              <w:rPr>
                <w:rFonts w:hint="default" w:ascii="Times New Roman" w:hAnsi="Times New Roman" w:eastAsia="宋体" w:cs="Times New Roman"/>
                <w:color w:val="auto"/>
                <w:kern w:val="21"/>
                <w:sz w:val="24"/>
                <w:szCs w:val="24"/>
              </w:rPr>
              <w:t>因此，项目建设符合国家现行产业政策。</w:t>
            </w:r>
          </w:p>
          <w:p>
            <w:pPr>
              <w:pStyle w:val="2"/>
              <w:keepNext w:val="0"/>
              <w:keepLines w:val="0"/>
              <w:pageBreakBefore w:val="0"/>
              <w:kinsoku/>
              <w:wordWrap/>
              <w:overflowPunct/>
              <w:topLinePunct w:val="0"/>
              <w:bidi w:val="0"/>
              <w:adjustRightInd w:val="0"/>
              <w:snapToGrid w:val="0"/>
              <w:spacing w:before="0" w:after="0" w:line="360" w:lineRule="auto"/>
              <w:ind w:right="0"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2、用地合法性分析</w:t>
            </w: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eastAsia"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本项目为水库除险加固项目，不涉及扩容，</w:t>
            </w:r>
            <w:r>
              <w:rPr>
                <w:rFonts w:hint="eastAsia" w:ascii="Times New Roman" w:hAnsi="Times New Roman" w:eastAsia="宋体" w:cs="Times New Roman"/>
                <w:b w:val="0"/>
                <w:bCs w:val="0"/>
                <w:color w:val="auto"/>
                <w:sz w:val="24"/>
                <w:szCs w:val="24"/>
                <w:lang w:val="en-US" w:eastAsia="zh-CN"/>
              </w:rPr>
              <w:t>项目新增占地</w:t>
            </w:r>
            <w:r>
              <w:rPr>
                <w:rFonts w:hint="default" w:ascii="Times New Roman" w:hAnsi="Times New Roman" w:eastAsia="宋体" w:cs="Times New Roman"/>
                <w:b w:val="0"/>
                <w:bCs w:val="0"/>
                <w:color w:val="auto"/>
                <w:sz w:val="24"/>
                <w:szCs w:val="24"/>
                <w:lang w:val="en-US" w:eastAsia="zh-CN"/>
              </w:rPr>
              <w:t>均</w:t>
            </w:r>
            <w:r>
              <w:rPr>
                <w:rFonts w:hint="eastAsia" w:ascii="Times New Roman" w:hAnsi="Times New Roman" w:eastAsia="宋体" w:cs="Times New Roman"/>
                <w:b w:val="0"/>
                <w:bCs w:val="0"/>
                <w:color w:val="auto"/>
                <w:sz w:val="24"/>
                <w:szCs w:val="24"/>
                <w:lang w:val="en-US" w:eastAsia="zh-CN"/>
              </w:rPr>
              <w:t>为</w:t>
            </w:r>
            <w:r>
              <w:rPr>
                <w:rFonts w:hint="default" w:ascii="Times New Roman" w:hAnsi="Times New Roman" w:eastAsia="宋体" w:cs="Times New Roman"/>
                <w:b w:val="0"/>
                <w:bCs w:val="0"/>
                <w:color w:val="auto"/>
                <w:sz w:val="24"/>
                <w:szCs w:val="24"/>
                <w:lang w:val="en-US" w:eastAsia="zh-CN"/>
              </w:rPr>
              <w:t>水库原有</w:t>
            </w:r>
            <w:r>
              <w:rPr>
                <w:rFonts w:hint="eastAsia" w:ascii="Times New Roman" w:hAnsi="Times New Roman" w:eastAsia="宋体" w:cs="Times New Roman"/>
                <w:b w:val="0"/>
                <w:bCs w:val="0"/>
                <w:color w:val="auto"/>
                <w:sz w:val="24"/>
                <w:szCs w:val="24"/>
                <w:lang w:val="en-US" w:eastAsia="zh-CN"/>
              </w:rPr>
              <w:t>管理范围内</w:t>
            </w:r>
            <w:r>
              <w:rPr>
                <w:rFonts w:hint="default" w:ascii="Times New Roman" w:hAnsi="Times New Roman" w:eastAsia="宋体" w:cs="Times New Roman"/>
                <w:b w:val="0"/>
                <w:bCs w:val="0"/>
                <w:color w:val="auto"/>
                <w:sz w:val="24"/>
                <w:szCs w:val="24"/>
                <w:lang w:val="en-US" w:eastAsia="zh-CN"/>
              </w:rPr>
              <w:t>占地</w:t>
            </w:r>
            <w:r>
              <w:rPr>
                <w:rFonts w:hint="eastAsia" w:ascii="Times New Roman" w:hAnsi="Times New Roman" w:eastAsia="宋体" w:cs="Times New Roman"/>
                <w:b w:val="0"/>
                <w:bCs w:val="0"/>
                <w:color w:val="auto"/>
                <w:sz w:val="24"/>
                <w:szCs w:val="24"/>
                <w:lang w:val="en-US" w:eastAsia="zh-CN"/>
              </w:rPr>
              <w:t>，不涉及耕地、基本农田等。</w:t>
            </w: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因此本项目用地符合区域土地利用政策</w:t>
            </w:r>
            <w:r>
              <w:rPr>
                <w:rFonts w:hint="eastAsia" w:ascii="Times New Roman" w:hAnsi="Times New Roman" w:eastAsia="宋体" w:cs="Times New Roman"/>
                <w:b w:val="0"/>
                <w:bCs w:val="0"/>
                <w:color w:val="auto"/>
                <w:sz w:val="24"/>
                <w:szCs w:val="24"/>
                <w:lang w:val="en-US" w:eastAsia="zh-CN"/>
              </w:rPr>
              <w:t>。</w:t>
            </w:r>
          </w:p>
          <w:p>
            <w:pPr>
              <w:pStyle w:val="2"/>
              <w:keepNext w:val="0"/>
              <w:keepLines w:val="0"/>
              <w:pageBreakBefore w:val="0"/>
              <w:numPr>
                <w:ilvl w:val="0"/>
                <w:numId w:val="4"/>
              </w:numPr>
              <w:kinsoku/>
              <w:wordWrap/>
              <w:overflowPunct/>
              <w:topLinePunct w:val="0"/>
              <w:bidi w:val="0"/>
              <w:adjustRightInd w:val="0"/>
              <w:snapToGrid w:val="0"/>
              <w:spacing w:before="0" w:after="0" w:line="360" w:lineRule="auto"/>
              <w:ind w:right="0"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与《水污染防治行动计划》的符合性</w:t>
            </w:r>
          </w:p>
          <w:p>
            <w:pPr>
              <w:pStyle w:val="2"/>
              <w:keepNext w:val="0"/>
              <w:keepLines w:val="0"/>
              <w:pageBreakBefore w:val="0"/>
              <w:numPr>
                <w:ilvl w:val="0"/>
                <w:numId w:val="0"/>
              </w:numPr>
              <w:kinsoku/>
              <w:wordWrap/>
              <w:overflowPunct/>
              <w:topLinePunct w:val="0"/>
              <w:bidi w:val="0"/>
              <w:adjustRightInd w:val="0"/>
              <w:snapToGrid w:val="0"/>
              <w:spacing w:before="0" w:after="0" w:line="360" w:lineRule="auto"/>
              <w:ind w:right="0" w:righ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根据《水污染防治行动计划》</w:t>
            </w:r>
            <w:r>
              <w:rPr>
                <w:rFonts w:hint="eastAsia" w:ascii="Times New Roman" w:hAnsi="Times New Roman" w:eastAsia="宋体" w:cs="Times New Roman"/>
                <w:b w:val="0"/>
                <w:bCs w:val="0"/>
                <w:color w:val="auto"/>
                <w:sz w:val="24"/>
                <w:szCs w:val="24"/>
                <w:lang w:val="en-US" w:eastAsia="zh-CN"/>
              </w:rPr>
              <w:t>可知：“</w:t>
            </w:r>
            <w:r>
              <w:rPr>
                <w:rFonts w:hint="default" w:ascii="Times New Roman" w:hAnsi="Times New Roman" w:eastAsia="宋体" w:cs="Times New Roman"/>
                <w:b w:val="0"/>
                <w:bCs w:val="0"/>
                <w:color w:val="auto"/>
                <w:sz w:val="24"/>
                <w:szCs w:val="24"/>
                <w:lang w:val="en-US" w:eastAsia="zh-CN"/>
              </w:rPr>
              <w:t>加强江河湖库水量调度管理</w:t>
            </w:r>
            <w:r>
              <w:rPr>
                <w:rFonts w:hint="eastAsia"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完善水量调度方案</w:t>
            </w:r>
            <w:r>
              <w:rPr>
                <w:rFonts w:hint="eastAsia"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采取闸坝联合调度、生态补水等措施，合理安排闸坝下泄水量和泄流时段，维持河湖基本生态用水需求，重点保障枯水期生态基流。加大水利工程建设力度，发挥好控制性水利工程在改善水质中的作用</w:t>
            </w:r>
            <w:r>
              <w:rPr>
                <w:rFonts w:hint="eastAsia"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本项目为水库除险加固，为水利工程，建设后有利于更好的发挥水库调节功能。</w:t>
            </w: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因此，项目的建设符合《水污染防治行动计划》。</w:t>
            </w:r>
          </w:p>
          <w:p>
            <w:pPr>
              <w:pStyle w:val="2"/>
              <w:keepNext w:val="0"/>
              <w:keepLines w:val="0"/>
              <w:pageBreakBefore w:val="0"/>
              <w:numPr>
                <w:ilvl w:val="0"/>
                <w:numId w:val="0"/>
              </w:numPr>
              <w:kinsoku/>
              <w:wordWrap/>
              <w:overflowPunct/>
              <w:topLinePunct w:val="0"/>
              <w:bidi w:val="0"/>
              <w:adjustRightInd w:val="0"/>
              <w:snapToGrid w:val="0"/>
              <w:spacing w:before="0" w:after="0" w:line="360" w:lineRule="auto"/>
              <w:ind w:right="0" w:rightChars="0" w:firstLine="482" w:firstLineChars="200"/>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lang w:val="en-US" w:eastAsia="zh-CN"/>
              </w:rPr>
              <w:t>与《乐山市打赢蓝天保卫战等九个实施方案》的符合性</w:t>
            </w:r>
          </w:p>
          <w:p>
            <w:pPr>
              <w:pStyle w:val="2"/>
              <w:keepNext w:val="0"/>
              <w:keepLines w:val="0"/>
              <w:pageBreakBefore w:val="0"/>
              <w:numPr>
                <w:ilvl w:val="0"/>
                <w:numId w:val="0"/>
              </w:numPr>
              <w:kinsoku/>
              <w:wordWrap/>
              <w:overflowPunct/>
              <w:topLinePunct w:val="0"/>
              <w:bidi w:val="0"/>
              <w:adjustRightInd w:val="0"/>
              <w:snapToGrid w:val="0"/>
              <w:spacing w:before="0" w:after="0" w:line="360" w:lineRule="auto"/>
              <w:ind w:right="0" w:righ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根据《乐山市打赢蓝天保卫战等九个实施方案》（后简称：</w:t>
            </w:r>
            <w:r>
              <w:rPr>
                <w:rFonts w:hint="eastAsia"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《实施方案》</w:t>
            </w:r>
            <w:r>
              <w:rPr>
                <w:rFonts w:hint="eastAsia"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中指出：“（六）深化扬尘污染治理。严格施工扬尘监管。对标省内最高标准严格施工扬尘监管。将施工工地扬尘污染防治纳入文明施工管理范畴，建立扬尘控制责任制度，扬尘治理费用列入工程造价。建筑施工工地全部做到工地周边围挡、物料堆放覆盖、土方开挖湿法作业、路面硬化、出入车辆清洗、渣土车辆密闭运输“六个百分之百”。施工场地全部安装高空作业雾炮和围挡喷淋装置、在线监测和视频监控设备，监测数据与市、县主管部门联网，在主要出入口公示相关实时监测结果，扬尘浓度不得高于临近国、省控空气自动监测站点浓度值，接受社会监督。对违法违规的工地，依法停工整改，将扬尘管理工作不到位的不良信息纳入建筑市场信用管理体系，情节严重的，列入建筑市场主体“黑名单”。督促建设单位依法将防治扬尘污染费用列入工程造价。建立扬尘在线监测体系，加强现场检查力度。强化拆除违法建筑等过程中涉及拆除、粉碎、运输、后处置等全流程的扬尘污染防治要求</w:t>
            </w:r>
            <w:r>
              <w:rPr>
                <w:rFonts w:hint="eastAsia"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。本项目施工过程中严格执行施工工地周边设置围挡、物料堆放覆盖、土方开挖湿法作业等扬尘污染防治措施，与《实施方案》相符</w:t>
            </w:r>
            <w:r>
              <w:rPr>
                <w:rFonts w:hint="eastAsia" w:ascii="Times New Roman" w:hAnsi="Times New Roman" w:eastAsia="宋体" w:cs="Times New Roman"/>
                <w:b w:val="0"/>
                <w:bCs w:val="0"/>
                <w:color w:val="auto"/>
                <w:sz w:val="24"/>
                <w:szCs w:val="24"/>
                <w:lang w:val="en-US" w:eastAsia="zh-CN"/>
              </w:rPr>
              <w:t>。</w:t>
            </w: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因此，项目的建设符合</w:t>
            </w:r>
            <w:r>
              <w:rPr>
                <w:rFonts w:hint="default" w:ascii="Times New Roman" w:hAnsi="Times New Roman" w:eastAsia="宋体" w:cs="Times New Roman"/>
                <w:b w:val="0"/>
                <w:bCs w:val="0"/>
                <w:color w:val="auto"/>
                <w:sz w:val="24"/>
                <w:szCs w:val="24"/>
                <w:lang w:val="en-US" w:eastAsia="zh-CN"/>
              </w:rPr>
              <w:t>《乐山市打赢蓝天保卫战等九个实施方案》</w:t>
            </w:r>
            <w:r>
              <w:rPr>
                <w:rFonts w:hint="eastAsia" w:ascii="Times New Roman" w:hAnsi="Times New Roman" w:eastAsia="宋体" w:cs="Times New Roman"/>
                <w:b w:val="0"/>
                <w:bCs w:val="0"/>
                <w:color w:val="auto"/>
                <w:sz w:val="24"/>
                <w:szCs w:val="24"/>
                <w:lang w:val="en-US" w:eastAsia="zh-CN"/>
              </w:rPr>
              <w:t>。</w:t>
            </w:r>
          </w:p>
          <w:p>
            <w:pPr>
              <w:pStyle w:val="2"/>
              <w:keepNext w:val="0"/>
              <w:keepLines w:val="0"/>
              <w:pageBreakBefore w:val="0"/>
              <w:kinsoku/>
              <w:wordWrap/>
              <w:overflowPunct/>
              <w:topLinePunct w:val="0"/>
              <w:bidi w:val="0"/>
              <w:adjustRightInd w:val="0"/>
              <w:snapToGrid w:val="0"/>
              <w:spacing w:before="0" w:after="0" w:line="360" w:lineRule="auto"/>
              <w:ind w:right="0" w:firstLine="482" w:firstLineChars="200"/>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w:t>
            </w:r>
            <w:r>
              <w:rPr>
                <w:rFonts w:hint="default" w:ascii="Times New Roman" w:hAnsi="Times New Roman" w:eastAsia="宋体" w:cs="Times New Roman"/>
                <w:b/>
                <w:bCs/>
                <w:color w:val="auto"/>
                <w:sz w:val="24"/>
                <w:szCs w:val="24"/>
                <w:lang w:val="en-US" w:eastAsia="zh-CN"/>
              </w:rPr>
              <w:t>、与《全国中小河流治理和病险水库除险加固、山洪地质灾害防御和综合治理总体规划》的符合性分析</w:t>
            </w: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依据《全国中小河流治理和病险水库除险加固、山洪地质灾害防御和综合治理总体规划》可知</w:t>
            </w:r>
            <w:r>
              <w:rPr>
                <w:rFonts w:hint="eastAsia"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目前我国中小河流防洪能力低，小型水库病险率高</w:t>
            </w:r>
            <w:r>
              <w:rPr>
                <w:rFonts w:hint="eastAsia"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山洪地质灾害防治滞后，尤其是监测预报预警体系不健全</w:t>
            </w:r>
            <w:r>
              <w:rPr>
                <w:rFonts w:hint="eastAsia"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易灾地区生态环境恶化趋势尚未得到遏制，已成为当前防灾减灾体系的薄弱环节，是造成人员伤亡和财产损失的重要原因。故对小型病险水库的除险加固极为重要。</w:t>
            </w: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根据规划目标和任务，到2012年底，全面完成《全国重点小型病险水库除险加固规划》确定的5400座小（Ⅰ）型病险水库除险加固；2013年底前，完成15000多座重点小（Ⅱ）型水库除险加固，对300多座近年来新出现的大中型病险水库，逐项履行基本建设程序实施除险加固。病险水库除险加固项目责任主体为省级人民政府，要按照国家发展改革委、水利部、财政部等部门制定的管理办法要求组织实施。主要建设内容为增扩闸孔、加高闸顶等防洪达标措施；灌浆、振冲加密、降低闸室扬压力或加长闸底板长度等增加闸室稳定的措施；局部修补或拆除重建等结构修复措施；同时加快水利工程管理体制改革，精简水闸管理机构，大力推行“管养分离”，落实管护经费和责任人，完善必要的观测、通讯、预警设备，制定和完善水闸调度运用方案和安全管理应急预案。</w:t>
            </w: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本项目建设内容为小型病险水库的加固除险，对水库的大坝、溢洪道和放水设施</w:t>
            </w:r>
            <w:r>
              <w:rPr>
                <w:rFonts w:hint="eastAsia" w:ascii="Times New Roman" w:hAnsi="Times New Roman" w:eastAsia="宋体" w:cs="Times New Roman"/>
                <w:b w:val="0"/>
                <w:bCs w:val="0"/>
                <w:color w:val="auto"/>
                <w:sz w:val="24"/>
                <w:szCs w:val="24"/>
                <w:lang w:val="en-US" w:eastAsia="zh-CN"/>
              </w:rPr>
              <w:t>等</w:t>
            </w:r>
            <w:r>
              <w:rPr>
                <w:rFonts w:hint="default" w:ascii="Times New Roman" w:hAnsi="Times New Roman" w:eastAsia="宋体" w:cs="Times New Roman"/>
                <w:b w:val="0"/>
                <w:bCs w:val="0"/>
                <w:color w:val="auto"/>
                <w:sz w:val="24"/>
                <w:szCs w:val="24"/>
                <w:lang w:val="en-US" w:eastAsia="zh-CN"/>
              </w:rPr>
              <w:t>进行</w:t>
            </w:r>
            <w:r>
              <w:rPr>
                <w:rFonts w:hint="eastAsia" w:ascii="Times New Roman" w:hAnsi="Times New Roman" w:eastAsia="宋体" w:cs="Times New Roman"/>
                <w:b w:val="0"/>
                <w:bCs w:val="0"/>
                <w:color w:val="auto"/>
                <w:sz w:val="24"/>
                <w:szCs w:val="24"/>
                <w:lang w:val="en-US" w:eastAsia="zh-CN"/>
              </w:rPr>
              <w:t>加固除险</w:t>
            </w:r>
            <w:r>
              <w:rPr>
                <w:rFonts w:hint="default" w:ascii="Times New Roman" w:hAnsi="Times New Roman" w:eastAsia="宋体" w:cs="Times New Roman"/>
                <w:b w:val="0"/>
                <w:bCs w:val="0"/>
                <w:color w:val="auto"/>
                <w:sz w:val="24"/>
                <w:szCs w:val="24"/>
                <w:lang w:val="en-US" w:eastAsia="zh-CN"/>
              </w:rPr>
              <w:t>，提高保障水库的运行稳定，保证农户灌区正常生产，维护保证人民财产安全。因此本项目建设符合《全国中小河流治理和病险水库除险加固、山洪地质灾害防御和综合治理总体规划》。</w:t>
            </w:r>
          </w:p>
          <w:p>
            <w:pPr>
              <w:numPr>
                <w:ilvl w:val="0"/>
                <w:numId w:val="0"/>
              </w:numPr>
              <w:autoSpaceDE w:val="0"/>
              <w:autoSpaceDN w:val="0"/>
              <w:adjustRightInd w:val="0"/>
              <w:snapToGrid w:val="0"/>
              <w:spacing w:line="360" w:lineRule="auto"/>
              <w:ind w:firstLine="482" w:firstLineChars="200"/>
              <w:jc w:val="left"/>
              <w:rPr>
                <w:rFonts w:hint="default" w:ascii="Times New Roman" w:hAnsi="Times New Roman" w:eastAsia="宋体" w:cs="Times New Roman"/>
                <w:b/>
                <w:bCs w:val="0"/>
                <w:color w:val="auto"/>
                <w:kern w:val="0"/>
                <w:sz w:val="24"/>
                <w:lang w:val="en-US" w:eastAsia="zh-CN"/>
              </w:rPr>
            </w:pPr>
            <w:r>
              <w:rPr>
                <w:rFonts w:hint="eastAsia" w:ascii="Times New Roman" w:hAnsi="Times New Roman" w:eastAsia="宋体" w:cs="Times New Roman"/>
                <w:b/>
                <w:bCs w:val="0"/>
                <w:color w:val="auto"/>
                <w:kern w:val="0"/>
                <w:sz w:val="24"/>
                <w:lang w:val="en-US" w:eastAsia="zh-CN"/>
              </w:rPr>
              <w:t>6、</w:t>
            </w:r>
            <w:r>
              <w:rPr>
                <w:rFonts w:hint="default" w:ascii="Times New Roman" w:hAnsi="Times New Roman" w:eastAsia="宋体" w:cs="Times New Roman"/>
                <w:b/>
                <w:bCs w:val="0"/>
                <w:color w:val="auto"/>
                <w:kern w:val="0"/>
                <w:sz w:val="24"/>
                <w:lang w:val="en-US" w:eastAsia="zh-CN"/>
              </w:rPr>
              <w:t>项目与《长江经济带发展负面清单指南》（长江办</w:t>
            </w:r>
            <w:r>
              <w:rPr>
                <w:rFonts w:hint="default" w:ascii="Times New Roman" w:hAnsi="Times New Roman" w:eastAsia="宋体" w:cs="Times New Roman"/>
                <w:b/>
                <w:bCs w:val="0"/>
                <w:color w:val="auto"/>
                <w:sz w:val="24"/>
              </w:rPr>
              <w:t>〔20</w:t>
            </w:r>
            <w:r>
              <w:rPr>
                <w:rFonts w:hint="default" w:ascii="Times New Roman" w:hAnsi="Times New Roman" w:eastAsia="宋体" w:cs="Times New Roman"/>
                <w:b/>
                <w:bCs w:val="0"/>
                <w:color w:val="auto"/>
                <w:sz w:val="24"/>
                <w:lang w:val="en-US" w:eastAsia="zh-CN"/>
              </w:rPr>
              <w:t>22</w:t>
            </w:r>
            <w:r>
              <w:rPr>
                <w:rFonts w:hint="default" w:ascii="Times New Roman" w:hAnsi="Times New Roman" w:eastAsia="宋体" w:cs="Times New Roman"/>
                <w:b/>
                <w:bCs w:val="0"/>
                <w:color w:val="auto"/>
                <w:sz w:val="24"/>
              </w:rPr>
              <w:t>〕</w:t>
            </w:r>
            <w:r>
              <w:rPr>
                <w:rFonts w:hint="default" w:ascii="Times New Roman" w:hAnsi="Times New Roman" w:eastAsia="宋体" w:cs="Times New Roman"/>
                <w:b/>
                <w:bCs w:val="0"/>
                <w:color w:val="auto"/>
                <w:sz w:val="24"/>
                <w:lang w:val="en-US" w:eastAsia="zh-CN"/>
              </w:rPr>
              <w:t>7号</w:t>
            </w:r>
            <w:r>
              <w:rPr>
                <w:rFonts w:hint="default" w:ascii="Times New Roman" w:hAnsi="Times New Roman" w:eastAsia="宋体" w:cs="Times New Roman"/>
                <w:b/>
                <w:bCs w:val="0"/>
                <w:color w:val="auto"/>
                <w:kern w:val="0"/>
                <w:sz w:val="24"/>
                <w:lang w:val="en-US" w:eastAsia="zh-CN"/>
              </w:rPr>
              <w:t>）符合性分析</w:t>
            </w:r>
          </w:p>
          <w:p>
            <w:pPr>
              <w:pStyle w:val="166"/>
              <w:keepNext w:val="0"/>
              <w:keepLines w:val="0"/>
              <w:pageBreakBefore w:val="0"/>
              <w:widowControl w:val="0"/>
              <w:kinsoku/>
              <w:wordWrap/>
              <w:overflowPunct/>
              <w:topLinePunct w:val="0"/>
              <w:autoSpaceDE/>
              <w:autoSpaceDN/>
              <w:bidi w:val="0"/>
              <w:adjustRightInd w:val="0"/>
              <w:snapToGrid/>
              <w:spacing w:line="36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sz w:val="21"/>
                <w:szCs w:val="21"/>
              </w:rPr>
              <w:t>表1-</w:t>
            </w:r>
            <w:r>
              <w:rPr>
                <w:rFonts w:hint="eastAsia" w:ascii="Times New Roman" w:hAnsi="Times New Roman" w:eastAsia="宋体" w:cs="Times New Roman"/>
                <w:b/>
                <w:bCs/>
                <w:color w:val="auto"/>
                <w:sz w:val="21"/>
                <w:szCs w:val="21"/>
                <w:lang w:val="en-US" w:eastAsia="zh-CN"/>
              </w:rPr>
              <w:t>1</w:t>
            </w:r>
            <w:r>
              <w:rPr>
                <w:rFonts w:hint="default" w:ascii="Times New Roman" w:hAnsi="Times New Roman" w:eastAsia="宋体" w:cs="Times New Roman"/>
                <w:b/>
                <w:bCs/>
                <w:color w:val="auto"/>
                <w:sz w:val="21"/>
                <w:szCs w:val="21"/>
              </w:rPr>
              <w:t xml:space="preserve"> 与《长江经济带发展负面清单指南》（长江办〔2022〕7）符合性</w:t>
            </w:r>
          </w:p>
          <w:tbl>
            <w:tblPr>
              <w:tblStyle w:val="3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02"/>
              <w:gridCol w:w="1970"/>
              <w:gridCol w:w="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334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《长江经济带发展负面清单指南》</w:t>
                  </w:r>
                </w:p>
              </w:tc>
              <w:tc>
                <w:tcPr>
                  <w:tcW w:w="113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本项目情况</w:t>
                  </w:r>
                </w:p>
              </w:tc>
              <w:tc>
                <w:tcPr>
                  <w:tcW w:w="51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334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val="0"/>
                      <w:bCs w:val="0"/>
                      <w:color w:val="auto"/>
                      <w:szCs w:val="21"/>
                    </w:rPr>
                    <w:t>1</w:t>
                  </w:r>
                  <w:r>
                    <w:rPr>
                      <w:rFonts w:hint="default" w:ascii="Times New Roman" w:hAnsi="Times New Roman" w:eastAsia="宋体" w:cs="Times New Roman"/>
                      <w:b w:val="0"/>
                      <w:bCs w:val="0"/>
                      <w:color w:val="auto"/>
                      <w:szCs w:val="21"/>
                      <w:lang w:val="en-US" w:eastAsia="zh-CN"/>
                    </w:rPr>
                    <w:t>.</w:t>
                  </w:r>
                  <w:r>
                    <w:rPr>
                      <w:rFonts w:hint="default" w:ascii="Times New Roman" w:hAnsi="Times New Roman" w:eastAsia="宋体" w:cs="Times New Roman"/>
                      <w:b w:val="0"/>
                      <w:bCs w:val="0"/>
                      <w:color w:val="auto"/>
                      <w:szCs w:val="21"/>
                    </w:rPr>
                    <w:t>禁止建设不符合全国和省级港口布局规划以及港口总体规划的码头项目，禁止建设不符合《长江千线过江通道布局规划》的过长江通道项目。</w:t>
                  </w:r>
                </w:p>
              </w:tc>
              <w:tc>
                <w:tcPr>
                  <w:tcW w:w="113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val="0"/>
                      <w:bCs w:val="0"/>
                      <w:color w:val="auto"/>
                      <w:szCs w:val="21"/>
                      <w:lang w:val="en-US" w:eastAsia="zh-CN"/>
                    </w:rPr>
                    <w:t>项目不涉及</w:t>
                  </w:r>
                </w:p>
              </w:tc>
              <w:tc>
                <w:tcPr>
                  <w:tcW w:w="51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6" w:hRule="atLeast"/>
                <w:jc w:val="center"/>
              </w:trPr>
              <w:tc>
                <w:tcPr>
                  <w:tcW w:w="33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w:t>
                  </w:r>
                  <w:r>
                    <w:rPr>
                      <w:rFonts w:hint="eastAsia" w:ascii="Times New Roman" w:hAnsi="Times New Roman" w:eastAsia="宋体" w:cs="Times New Roman"/>
                      <w:color w:val="auto"/>
                      <w:szCs w:val="21"/>
                      <w:lang w:val="en-US" w:eastAsia="zh-CN"/>
                    </w:rPr>
                    <w:t>.</w:t>
                  </w:r>
                  <w:r>
                    <w:rPr>
                      <w:rFonts w:hint="default" w:ascii="Times New Roman" w:hAnsi="Times New Roman" w:eastAsia="宋体" w:cs="Times New Roman"/>
                      <w:color w:val="auto"/>
                      <w:szCs w:val="21"/>
                    </w:rPr>
                    <w:t>禁止在自然保护区核心区、缓冲区的岸线和河段范围内投资建设旅游和生产经营项目。禁止在风景名胜区核心景区的岸线和河段范围内投资建设与风景名胜资源保护无关的项目</w:t>
                  </w:r>
                </w:p>
              </w:tc>
              <w:tc>
                <w:tcPr>
                  <w:tcW w:w="113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本项目选址周围无</w:t>
                  </w:r>
                  <w:r>
                    <w:rPr>
                      <w:rFonts w:hint="default" w:ascii="Times New Roman" w:hAnsi="Times New Roman" w:eastAsia="宋体" w:cs="Times New Roman"/>
                      <w:color w:val="auto"/>
                      <w:szCs w:val="21"/>
                    </w:rPr>
                    <w:t>自然保护区</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val="en-US" w:eastAsia="zh-CN"/>
                    </w:rPr>
                    <w:t>风景名区</w:t>
                  </w:r>
                </w:p>
              </w:tc>
              <w:tc>
                <w:tcPr>
                  <w:tcW w:w="51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1" w:hRule="atLeast"/>
                <w:jc w:val="center"/>
              </w:trPr>
              <w:tc>
                <w:tcPr>
                  <w:tcW w:w="334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w:t>
                  </w:r>
                  <w:r>
                    <w:rPr>
                      <w:rFonts w:hint="eastAsia" w:ascii="Times New Roman" w:hAnsi="Times New Roman" w:eastAsia="宋体" w:cs="Times New Roman"/>
                      <w:color w:val="auto"/>
                      <w:szCs w:val="21"/>
                      <w:lang w:val="en-US" w:eastAsia="zh-CN"/>
                    </w:rPr>
                    <w:t>.</w:t>
                  </w:r>
                  <w:r>
                    <w:rPr>
                      <w:rFonts w:hint="default" w:ascii="Times New Roman" w:hAnsi="Times New Roman" w:eastAsia="宋体" w:cs="Times New Roman"/>
                      <w:color w:val="auto"/>
                      <w:szCs w:val="21"/>
                    </w:rPr>
                    <w:t>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w:t>
                  </w:r>
                </w:p>
              </w:tc>
              <w:tc>
                <w:tcPr>
                  <w:tcW w:w="113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项目选址周围无饮用水源保护区</w:t>
                  </w:r>
                </w:p>
              </w:tc>
              <w:tc>
                <w:tcPr>
                  <w:tcW w:w="51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334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w:t>
                  </w:r>
                  <w:r>
                    <w:rPr>
                      <w:rFonts w:hint="eastAsia" w:ascii="Times New Roman" w:hAnsi="Times New Roman" w:eastAsia="宋体" w:cs="Times New Roman"/>
                      <w:color w:val="auto"/>
                      <w:szCs w:val="21"/>
                      <w:lang w:val="en-US" w:eastAsia="zh-CN"/>
                    </w:rPr>
                    <w:t>.</w:t>
                  </w:r>
                  <w:r>
                    <w:rPr>
                      <w:rFonts w:hint="default" w:ascii="Times New Roman" w:hAnsi="Times New Roman" w:eastAsia="宋体" w:cs="Times New Roman"/>
                      <w:color w:val="auto"/>
                      <w:szCs w:val="21"/>
                    </w:rPr>
                    <w:t>禁止在水产种质资源保护区的岸线和河段范围内新建围湖造田、围海造地或围填海等投资建设项目。禁止在国家湿地公园的岸线和河段范围内挖沙、采矿，以及任何不符合主体功能定位的投资建设项目。</w:t>
                  </w:r>
                </w:p>
              </w:tc>
              <w:tc>
                <w:tcPr>
                  <w:tcW w:w="113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w:t>
                  </w:r>
                  <w:r>
                    <w:rPr>
                      <w:rFonts w:hint="default" w:ascii="Times New Roman" w:hAnsi="Times New Roman" w:eastAsia="宋体" w:cs="Times New Roman"/>
                      <w:color w:val="auto"/>
                      <w:szCs w:val="21"/>
                      <w:lang w:val="en-US" w:eastAsia="zh-CN"/>
                    </w:rPr>
                    <w:t>项目选址周围无</w:t>
                  </w:r>
                  <w:r>
                    <w:rPr>
                      <w:rFonts w:hint="default" w:ascii="Times New Roman" w:hAnsi="Times New Roman" w:eastAsia="宋体" w:cs="Times New Roman"/>
                      <w:color w:val="auto"/>
                      <w:szCs w:val="21"/>
                    </w:rPr>
                    <w:t>水产种质资源保护区</w:t>
                  </w:r>
                </w:p>
              </w:tc>
              <w:tc>
                <w:tcPr>
                  <w:tcW w:w="51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334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5</w:t>
                  </w:r>
                  <w:r>
                    <w:rPr>
                      <w:rFonts w:hint="eastAsia" w:ascii="Times New Roman" w:hAnsi="Times New Roman" w:eastAsia="宋体" w:cs="Times New Roman"/>
                      <w:color w:val="auto"/>
                      <w:szCs w:val="21"/>
                      <w:lang w:val="en-US" w:eastAsia="zh-CN"/>
                    </w:rPr>
                    <w:t>.</w:t>
                  </w:r>
                  <w:r>
                    <w:rPr>
                      <w:rFonts w:hint="default" w:ascii="Times New Roman" w:hAnsi="Times New Roman" w:eastAsia="宋体" w:cs="Times New Roman"/>
                      <w:color w:val="auto"/>
                      <w:szCs w:val="21"/>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在《全国重要江河湖泊水功能区划》划定的河段及湖泊保护区、保留区内投资建设不利于水资源及自然生态保护的项目。</w:t>
                  </w:r>
                </w:p>
              </w:tc>
              <w:tc>
                <w:tcPr>
                  <w:tcW w:w="113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项目不涉及</w:t>
                  </w:r>
                </w:p>
              </w:tc>
              <w:tc>
                <w:tcPr>
                  <w:tcW w:w="51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334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6</w:t>
                  </w:r>
                  <w:r>
                    <w:rPr>
                      <w:rFonts w:hint="eastAsia" w:ascii="Times New Roman" w:hAnsi="Times New Roman" w:eastAsia="宋体" w:cs="Times New Roman"/>
                      <w:color w:val="auto"/>
                      <w:szCs w:val="21"/>
                      <w:lang w:val="en-US" w:eastAsia="zh-CN"/>
                    </w:rPr>
                    <w:t>.</w:t>
                  </w:r>
                  <w:r>
                    <w:rPr>
                      <w:rFonts w:hint="default" w:ascii="Times New Roman" w:hAnsi="Times New Roman" w:eastAsia="宋体" w:cs="Times New Roman"/>
                      <w:color w:val="auto"/>
                      <w:szCs w:val="21"/>
                    </w:rPr>
                    <w:t>禁止未经许可在长江干支流及湖泊新设、改设或扩大排污口。</w:t>
                  </w:r>
                </w:p>
              </w:tc>
              <w:tc>
                <w:tcPr>
                  <w:tcW w:w="113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项目废水不外排</w:t>
                  </w:r>
                </w:p>
              </w:tc>
              <w:tc>
                <w:tcPr>
                  <w:tcW w:w="51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7" w:hRule="atLeast"/>
                <w:jc w:val="center"/>
              </w:trPr>
              <w:tc>
                <w:tcPr>
                  <w:tcW w:w="334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7.禁止在“一江一口两湖七河”和332个水生生物保护区开展生产性捕捞</w:t>
                  </w:r>
                </w:p>
              </w:tc>
              <w:tc>
                <w:tcPr>
                  <w:tcW w:w="113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项目不涉及</w:t>
                  </w:r>
                </w:p>
              </w:tc>
              <w:tc>
                <w:tcPr>
                  <w:tcW w:w="51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34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8.禁止在长江干支流、重要湖泊岸线一公里范围内新建、扩建化工园区和化工项目。禁止在长江千流岸线三公里范围内和重要支流岸线一公里范围内新建、改建、扩建尾矿库、冶炼渣库和磷石膏库，以提升安全、生态环境保护水平为目的的改建除外。</w:t>
                  </w:r>
                </w:p>
              </w:tc>
              <w:tc>
                <w:tcPr>
                  <w:tcW w:w="113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本项目不属于</w:t>
                  </w:r>
                  <w:r>
                    <w:rPr>
                      <w:rFonts w:hint="default" w:ascii="Times New Roman" w:hAnsi="Times New Roman" w:eastAsia="宋体" w:cs="Times New Roman"/>
                      <w:color w:val="auto"/>
                      <w:szCs w:val="21"/>
                    </w:rPr>
                    <w:t>化工园区和化工</w:t>
                  </w:r>
                  <w:r>
                    <w:rPr>
                      <w:rFonts w:hint="default" w:ascii="Times New Roman" w:hAnsi="Times New Roman" w:eastAsia="宋体" w:cs="Times New Roman"/>
                      <w:color w:val="auto"/>
                      <w:szCs w:val="21"/>
                      <w:lang w:val="en-US" w:eastAsia="zh-CN"/>
                    </w:rPr>
                    <w:t>项目，</w:t>
                  </w:r>
                  <w:r>
                    <w:rPr>
                      <w:rFonts w:hint="default" w:ascii="Times New Roman" w:hAnsi="Times New Roman" w:eastAsia="宋体" w:cs="Times New Roman"/>
                      <w:color w:val="auto"/>
                      <w:szCs w:val="21"/>
                    </w:rPr>
                    <w:t>项目</w:t>
                  </w:r>
                  <w:r>
                    <w:rPr>
                      <w:rFonts w:hint="default" w:ascii="Times New Roman" w:hAnsi="Times New Roman" w:eastAsia="宋体" w:cs="Times New Roman"/>
                      <w:color w:val="auto"/>
                      <w:szCs w:val="21"/>
                      <w:lang w:val="en-US" w:eastAsia="zh-CN"/>
                    </w:rPr>
                    <w:t>不涉及</w:t>
                  </w:r>
                  <w:r>
                    <w:rPr>
                      <w:rFonts w:hint="default" w:ascii="Times New Roman" w:hAnsi="Times New Roman" w:eastAsia="宋体" w:cs="Times New Roman"/>
                      <w:color w:val="auto"/>
                      <w:szCs w:val="21"/>
                    </w:rPr>
                    <w:t>尾矿库、冶炼渣库和磷石膏库</w:t>
                  </w:r>
                  <w:r>
                    <w:rPr>
                      <w:rFonts w:hint="default" w:ascii="Times New Roman" w:hAnsi="Times New Roman" w:eastAsia="宋体" w:cs="Times New Roman"/>
                      <w:color w:val="auto"/>
                      <w:szCs w:val="21"/>
                      <w:lang w:val="en-US" w:eastAsia="zh-CN"/>
                    </w:rPr>
                    <w:t>的建设</w:t>
                  </w:r>
                </w:p>
              </w:tc>
              <w:tc>
                <w:tcPr>
                  <w:tcW w:w="51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34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9.禁止在合规园区外新建、扩建钢铁、石化、化工、焦化、建材、有色、制浆造纸等高污染项目。</w:t>
                  </w:r>
                </w:p>
              </w:tc>
              <w:tc>
                <w:tcPr>
                  <w:tcW w:w="113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项目不属于高污染项目</w:t>
                  </w:r>
                </w:p>
              </w:tc>
              <w:tc>
                <w:tcPr>
                  <w:tcW w:w="51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34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10.禁止新建、扩建不符合国家石化、现代煤化工等产业布局规划的项目。</w:t>
                  </w:r>
                </w:p>
              </w:tc>
              <w:tc>
                <w:tcPr>
                  <w:tcW w:w="113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本项目</w:t>
                  </w:r>
                  <w:r>
                    <w:rPr>
                      <w:rFonts w:hint="default" w:ascii="Times New Roman" w:hAnsi="Times New Roman" w:eastAsia="宋体" w:cs="Times New Roman"/>
                      <w:color w:val="auto"/>
                      <w:szCs w:val="21"/>
                      <w:lang w:val="en-US" w:eastAsia="zh-CN"/>
                    </w:rPr>
                    <w:t>不涉及</w:t>
                  </w:r>
                </w:p>
              </w:tc>
              <w:tc>
                <w:tcPr>
                  <w:tcW w:w="51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24" w:hRule="atLeast"/>
                <w:jc w:val="center"/>
              </w:trPr>
              <w:tc>
                <w:tcPr>
                  <w:tcW w:w="3348"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11．禁止新建、扩建法律法规和相关政策明令禁止的落后产能项目。禁止新建、扩建不符合国家产能置换要求的严重过剩产能行业的项目。禁止新建、扩建不符合要求的高耗能高排放项目。</w:t>
                  </w:r>
                </w:p>
              </w:tc>
              <w:tc>
                <w:tcPr>
                  <w:tcW w:w="113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本项目不属于</w:t>
                  </w:r>
                  <w:r>
                    <w:rPr>
                      <w:rFonts w:hint="default" w:ascii="Times New Roman" w:hAnsi="Times New Roman" w:eastAsia="宋体" w:cs="Times New Roman"/>
                      <w:color w:val="auto"/>
                      <w:szCs w:val="21"/>
                    </w:rPr>
                    <w:t>落后产能</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val="en-US" w:eastAsia="zh-CN"/>
                    </w:rPr>
                    <w:t>产生过剩、高耗能</w:t>
                  </w:r>
                  <w:r>
                    <w:rPr>
                      <w:rFonts w:hint="default" w:ascii="Times New Roman" w:hAnsi="Times New Roman" w:eastAsia="宋体" w:cs="Times New Roman"/>
                      <w:color w:val="auto"/>
                      <w:szCs w:val="21"/>
                    </w:rPr>
                    <w:t>项目</w:t>
                  </w:r>
                </w:p>
              </w:tc>
              <w:tc>
                <w:tcPr>
                  <w:tcW w:w="51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b/>
                <w:color w:val="auto"/>
                <w:kern w:val="0"/>
                <w:sz w:val="24"/>
                <w:szCs w:val="24"/>
                <w:lang w:val="en-US" w:eastAsia="zh-CN"/>
              </w:rPr>
              <w:t>综上，项目的建设符合</w:t>
            </w:r>
            <w:r>
              <w:rPr>
                <w:rFonts w:hint="default" w:ascii="Times New Roman" w:hAnsi="Times New Roman" w:eastAsia="宋体" w:cs="Times New Roman"/>
                <w:b/>
                <w:bCs/>
                <w:color w:val="auto"/>
                <w:sz w:val="24"/>
                <w:szCs w:val="24"/>
              </w:rPr>
              <w:t>《长江经济带发展负面清单指南》（长江办〔2022〕7</w:t>
            </w:r>
            <w:r>
              <w:rPr>
                <w:rFonts w:hint="default" w:ascii="Times New Roman" w:hAnsi="Times New Roman" w:eastAsia="宋体" w:cs="Times New Roman"/>
                <w:b/>
                <w:bCs/>
                <w:color w:val="auto"/>
                <w:sz w:val="24"/>
                <w:szCs w:val="24"/>
                <w:lang w:val="en-US" w:eastAsia="zh-CN"/>
              </w:rPr>
              <w:t>号</w:t>
            </w:r>
            <w:r>
              <w:rPr>
                <w:rFonts w:hint="default" w:ascii="Times New Roman" w:hAnsi="Times New Roman" w:eastAsia="宋体" w:cs="Times New Roman"/>
                <w:b/>
                <w:bCs/>
                <w:color w:val="auto"/>
                <w:sz w:val="24"/>
                <w:szCs w:val="24"/>
              </w:rPr>
              <w:t>）</w:t>
            </w:r>
            <w:r>
              <w:rPr>
                <w:rFonts w:hint="default" w:ascii="Times New Roman" w:hAnsi="Times New Roman" w:eastAsia="宋体" w:cs="Times New Roman"/>
                <w:b/>
                <w:bCs/>
                <w:color w:val="auto"/>
                <w:sz w:val="24"/>
                <w:szCs w:val="24"/>
                <w:lang w:eastAsia="zh-CN"/>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b/>
                <w:color w:val="auto"/>
                <w:kern w:val="0"/>
                <w:sz w:val="24"/>
              </w:rPr>
            </w:pPr>
            <w:r>
              <w:rPr>
                <w:rFonts w:hint="eastAsia"/>
                <w:b/>
                <w:color w:val="auto"/>
                <w:kern w:val="0"/>
                <w:sz w:val="24"/>
                <w:lang w:val="en-US" w:eastAsia="zh-CN"/>
              </w:rPr>
              <w:t>7</w:t>
            </w:r>
            <w:r>
              <w:rPr>
                <w:b/>
                <w:color w:val="auto"/>
                <w:kern w:val="0"/>
                <w:sz w:val="24"/>
              </w:rPr>
              <w:t>、“三线一单”符合性分析</w:t>
            </w:r>
          </w:p>
          <w:p>
            <w:pPr>
              <w:widowControl/>
              <w:spacing w:line="360" w:lineRule="auto"/>
              <w:ind w:firstLine="480" w:firstLineChars="200"/>
              <w:outlineLvl w:val="0"/>
              <w:rPr>
                <w:bCs/>
                <w:color w:val="auto"/>
                <w:kern w:val="0"/>
                <w:sz w:val="24"/>
              </w:rPr>
            </w:pPr>
            <w:r>
              <w:rPr>
                <w:bCs/>
                <w:color w:val="auto"/>
                <w:kern w:val="0"/>
                <w:sz w:val="24"/>
              </w:rPr>
              <w:t>“三线一单”是以改善环境质量为核心，将生态保护红线、环境质量底线、资源利用上线落实到不同的环境管控单元，并建立环境准入负面清单的环境分区管控体系。</w:t>
            </w:r>
          </w:p>
          <w:p>
            <w:pPr>
              <w:widowControl/>
              <w:spacing w:line="360" w:lineRule="auto"/>
              <w:jc w:val="center"/>
              <w:outlineLvl w:val="0"/>
              <w:rPr>
                <w:rFonts w:hint="eastAsia" w:eastAsia="宋体"/>
                <w:bCs/>
                <w:color w:val="auto"/>
                <w:kern w:val="0"/>
                <w:lang w:eastAsia="zh-CN"/>
              </w:rPr>
            </w:pPr>
            <w:r>
              <w:rPr>
                <w:rFonts w:hint="eastAsia" w:eastAsia="宋体"/>
                <w:bCs/>
                <w:color w:val="auto"/>
                <w:kern w:val="0"/>
                <w:lang w:eastAsia="zh-CN"/>
              </w:rPr>
              <w:drawing>
                <wp:inline distT="0" distB="0" distL="114300" distR="114300">
                  <wp:extent cx="5455285" cy="4055745"/>
                  <wp:effectExtent l="0" t="0" r="12065" b="1905"/>
                  <wp:docPr id="1" name="图片 1" descr="乐山管控单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乐山管控单元"/>
                          <pic:cNvPicPr>
                            <a:picLocks noChangeAspect="1"/>
                          </pic:cNvPicPr>
                        </pic:nvPicPr>
                        <pic:blipFill>
                          <a:blip r:embed="rId11"/>
                          <a:stretch>
                            <a:fillRect/>
                          </a:stretch>
                        </pic:blipFill>
                        <pic:spPr>
                          <a:xfrm>
                            <a:off x="0" y="0"/>
                            <a:ext cx="5455285" cy="4055745"/>
                          </a:xfrm>
                          <a:prstGeom prst="rect">
                            <a:avLst/>
                          </a:prstGeom>
                          <a:noFill/>
                          <a:ln>
                            <a:noFill/>
                          </a:ln>
                        </pic:spPr>
                      </pic:pic>
                    </a:graphicData>
                  </a:graphic>
                </wp:inline>
              </w:drawing>
            </w:r>
          </w:p>
          <w:p>
            <w:pPr>
              <w:widowControl/>
              <w:spacing w:line="360" w:lineRule="auto"/>
              <w:ind w:firstLine="482" w:firstLineChars="200"/>
              <w:jc w:val="center"/>
              <w:outlineLvl w:val="0"/>
              <w:rPr>
                <w:b/>
                <w:color w:val="auto"/>
                <w:kern w:val="0"/>
              </w:rPr>
            </w:pPr>
            <w:r>
              <w:rPr>
                <w:b/>
                <w:color w:val="auto"/>
                <w:kern w:val="0"/>
              </w:rPr>
              <w:t>图1-1</w:t>
            </w:r>
            <w:r>
              <w:rPr>
                <w:rFonts w:hint="eastAsia"/>
                <w:b/>
                <w:color w:val="auto"/>
                <w:kern w:val="0"/>
                <w:lang w:val="en-US" w:eastAsia="zh-CN"/>
              </w:rPr>
              <w:t xml:space="preserve"> </w:t>
            </w:r>
            <w:r>
              <w:rPr>
                <w:b/>
                <w:color w:val="auto"/>
                <w:kern w:val="0"/>
              </w:rPr>
              <w:t xml:space="preserve"> 项目与生态保护红线的位置关系图</w:t>
            </w:r>
          </w:p>
          <w:p>
            <w:pPr>
              <w:widowControl/>
              <w:spacing w:line="360" w:lineRule="auto"/>
              <w:ind w:firstLine="480" w:firstLineChars="200"/>
              <w:outlineLvl w:val="0"/>
              <w:rPr>
                <w:bCs/>
                <w:color w:val="auto"/>
                <w:kern w:val="0"/>
                <w:sz w:val="24"/>
              </w:rPr>
            </w:pPr>
            <w:r>
              <w:rPr>
                <w:bCs/>
                <w:color w:val="auto"/>
                <w:kern w:val="0"/>
                <w:sz w:val="24"/>
              </w:rPr>
              <w:t>根据四川省生态环境厅办公室关于印发《产业园区规划环评“三线一单”符合性分析技术要点（试行）》和《项目环评“三线一单”符合性分析技术要点（试行）》的通知（川环办函﹝2021﹞469号）文件，建设项目环境影响评价中“三线一单”符合性分析结构如下图所示：</w:t>
            </w:r>
          </w:p>
          <w:p>
            <w:pPr>
              <w:widowControl/>
              <w:spacing w:line="360" w:lineRule="auto"/>
              <w:jc w:val="center"/>
              <w:outlineLvl w:val="0"/>
              <w:rPr>
                <w:bCs/>
                <w:color w:val="auto"/>
                <w:kern w:val="0"/>
              </w:rPr>
            </w:pPr>
            <w:r>
              <w:rPr>
                <w:color w:val="auto"/>
              </w:rPr>
              <w:drawing>
                <wp:inline distT="0" distB="0" distL="114300" distR="114300">
                  <wp:extent cx="4670425" cy="3517265"/>
                  <wp:effectExtent l="0" t="0" r="15875" b="698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2"/>
                          <a:stretch>
                            <a:fillRect/>
                          </a:stretch>
                        </pic:blipFill>
                        <pic:spPr>
                          <a:xfrm>
                            <a:off x="0" y="0"/>
                            <a:ext cx="4670425" cy="3517265"/>
                          </a:xfrm>
                          <a:prstGeom prst="rect">
                            <a:avLst/>
                          </a:prstGeom>
                          <a:noFill/>
                          <a:ln>
                            <a:noFill/>
                          </a:ln>
                        </pic:spPr>
                      </pic:pic>
                    </a:graphicData>
                  </a:graphic>
                </wp:inline>
              </w:drawing>
            </w:r>
          </w:p>
          <w:p>
            <w:pPr>
              <w:widowControl/>
              <w:spacing w:line="360" w:lineRule="auto"/>
              <w:ind w:firstLine="482" w:firstLineChars="200"/>
              <w:jc w:val="center"/>
              <w:outlineLvl w:val="0"/>
              <w:rPr>
                <w:b/>
                <w:color w:val="auto"/>
                <w:kern w:val="0"/>
              </w:rPr>
            </w:pPr>
            <w:r>
              <w:rPr>
                <w:b/>
                <w:color w:val="auto"/>
                <w:kern w:val="0"/>
              </w:rPr>
              <w:t xml:space="preserve">图1-2 </w:t>
            </w:r>
            <w:r>
              <w:rPr>
                <w:rFonts w:hint="eastAsia"/>
                <w:b/>
                <w:color w:val="auto"/>
                <w:kern w:val="0"/>
                <w:lang w:val="en-US" w:eastAsia="zh-CN"/>
              </w:rPr>
              <w:t xml:space="preserve"> </w:t>
            </w:r>
            <w:r>
              <w:rPr>
                <w:b/>
                <w:color w:val="auto"/>
                <w:kern w:val="0"/>
              </w:rPr>
              <w:t>建设项目环境影响评价中“三线一单”符合性分析结构示意图</w:t>
            </w:r>
          </w:p>
          <w:p>
            <w:pPr>
              <w:spacing w:line="360" w:lineRule="auto"/>
              <w:ind w:firstLine="480" w:firstLineChars="200"/>
              <w:rPr>
                <w:color w:val="auto"/>
                <w:sz w:val="24"/>
              </w:rPr>
            </w:pPr>
            <w:r>
              <w:rPr>
                <w:color w:val="auto"/>
                <w:sz w:val="24"/>
              </w:rPr>
              <w:t>（1）环境管控单元</w:t>
            </w:r>
          </w:p>
          <w:p>
            <w:pPr>
              <w:spacing w:line="360" w:lineRule="auto"/>
              <w:ind w:firstLine="480" w:firstLineChars="200"/>
              <w:rPr>
                <w:color w:val="auto"/>
                <w:sz w:val="24"/>
              </w:rPr>
            </w:pPr>
            <w:r>
              <w:rPr>
                <w:color w:val="auto"/>
                <w:sz w:val="24"/>
              </w:rPr>
              <w:t>根据《建设项目环境影响报告表编制技术指南》</w:t>
            </w:r>
            <w:r>
              <w:rPr>
                <w:rFonts w:hint="eastAsia"/>
                <w:color w:val="auto"/>
                <w:sz w:val="24"/>
                <w:lang w:eastAsia="zh-CN"/>
              </w:rPr>
              <w:t>（</w:t>
            </w:r>
            <w:r>
              <w:rPr>
                <w:rFonts w:hint="eastAsia"/>
                <w:color w:val="auto"/>
                <w:sz w:val="24"/>
                <w:lang w:val="en-US" w:eastAsia="zh-CN"/>
              </w:rPr>
              <w:t>生态</w:t>
            </w:r>
            <w:r>
              <w:rPr>
                <w:color w:val="auto"/>
                <w:sz w:val="24"/>
              </w:rPr>
              <w:t>影响类</w:t>
            </w:r>
            <w:r>
              <w:rPr>
                <w:rFonts w:hint="eastAsia"/>
                <w:color w:val="auto"/>
                <w:sz w:val="24"/>
                <w:lang w:eastAsia="zh-CN"/>
              </w:rPr>
              <w:t>），</w:t>
            </w:r>
            <w:r>
              <w:rPr>
                <w:color w:val="auto"/>
                <w:sz w:val="24"/>
              </w:rPr>
              <w:t>本项目属于</w:t>
            </w:r>
            <w:r>
              <w:rPr>
                <w:rFonts w:hint="eastAsia"/>
                <w:color w:val="auto"/>
                <w:sz w:val="24"/>
                <w:lang w:val="en-US" w:eastAsia="zh-CN"/>
              </w:rPr>
              <w:t>生态</w:t>
            </w:r>
            <w:r>
              <w:rPr>
                <w:color w:val="auto"/>
                <w:sz w:val="24"/>
              </w:rPr>
              <w:t>影响为主要特征的建设项目。项目位于</w:t>
            </w:r>
            <w:r>
              <w:rPr>
                <w:rFonts w:hint="eastAsia"/>
                <w:color w:val="auto"/>
                <w:sz w:val="24"/>
                <w:lang w:val="en-US" w:eastAsia="zh-CN"/>
              </w:rPr>
              <w:t>乐山市市中区</w:t>
            </w:r>
            <w:r>
              <w:rPr>
                <w:rFonts w:hint="eastAsia" w:ascii="Times New Roman" w:hAnsi="Times New Roman" w:eastAsia="宋体" w:cs="Times New Roman"/>
                <w:color w:val="auto"/>
                <w:sz w:val="24"/>
                <w:szCs w:val="24"/>
                <w:u w:val="none"/>
                <w:lang w:val="en-US" w:eastAsia="zh-CN"/>
              </w:rPr>
              <w:t>大佛街道（原凌云乡）三尊村</w:t>
            </w:r>
            <w:r>
              <w:rPr>
                <w:color w:val="auto"/>
                <w:sz w:val="24"/>
              </w:rPr>
              <w:t>，属于园区外项目，重点分析项目空间符合性分析。本项目涉及到环境管控单元</w:t>
            </w:r>
            <w:r>
              <w:rPr>
                <w:rFonts w:hint="eastAsia"/>
                <w:color w:val="auto"/>
                <w:sz w:val="24"/>
                <w:lang w:val="en-US" w:eastAsia="zh-CN"/>
              </w:rPr>
              <w:t>3</w:t>
            </w:r>
            <w:r>
              <w:rPr>
                <w:color w:val="auto"/>
                <w:sz w:val="24"/>
              </w:rPr>
              <w:t>个，涉及到管控单元见表1-</w:t>
            </w:r>
            <w:r>
              <w:rPr>
                <w:rFonts w:hint="eastAsia"/>
                <w:color w:val="auto"/>
                <w:sz w:val="24"/>
                <w:lang w:val="en-US" w:eastAsia="zh-CN"/>
              </w:rPr>
              <w:t>2</w:t>
            </w:r>
            <w:r>
              <w:rPr>
                <w:color w:val="auto"/>
                <w:sz w:val="24"/>
              </w:rPr>
              <w:t xml:space="preserve">。 </w:t>
            </w:r>
          </w:p>
          <w:p>
            <w:pPr>
              <w:spacing w:line="360" w:lineRule="auto"/>
              <w:ind w:firstLine="482" w:firstLineChars="200"/>
              <w:jc w:val="center"/>
              <w:rPr>
                <w:b/>
                <w:bCs/>
                <w:color w:val="auto"/>
              </w:rPr>
            </w:pPr>
            <w:r>
              <w:rPr>
                <w:b/>
                <w:bCs/>
                <w:color w:val="auto"/>
              </w:rPr>
              <w:t>表1-</w:t>
            </w:r>
            <w:r>
              <w:rPr>
                <w:rFonts w:hint="eastAsia"/>
                <w:b/>
                <w:bCs/>
                <w:color w:val="auto"/>
                <w:lang w:val="en-US" w:eastAsia="zh-CN"/>
              </w:rPr>
              <w:t>2</w:t>
            </w:r>
            <w:r>
              <w:rPr>
                <w:b/>
                <w:bCs/>
                <w:color w:val="auto"/>
              </w:rPr>
              <w:t xml:space="preserve">  项目涉及管控单元一览表</w:t>
            </w:r>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8"/>
              <w:gridCol w:w="1709"/>
              <w:gridCol w:w="1288"/>
              <w:gridCol w:w="990"/>
              <w:gridCol w:w="1631"/>
              <w:gridCol w:w="1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blHeader/>
              </w:trPr>
              <w:tc>
                <w:tcPr>
                  <w:tcW w:w="749"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环境管控单元编码</w:t>
                  </w:r>
                </w:p>
              </w:tc>
              <w:tc>
                <w:tcPr>
                  <w:tcW w:w="986"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环境管控单元名称</w:t>
                  </w:r>
                </w:p>
              </w:tc>
              <w:tc>
                <w:tcPr>
                  <w:tcW w:w="743"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所属市（州）</w:t>
                  </w:r>
                </w:p>
              </w:tc>
              <w:tc>
                <w:tcPr>
                  <w:tcW w:w="57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所属区县</w:t>
                  </w:r>
                </w:p>
              </w:tc>
              <w:tc>
                <w:tcPr>
                  <w:tcW w:w="94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准入清单类型</w:t>
                  </w:r>
                </w:p>
              </w:tc>
              <w:tc>
                <w:tcPr>
                  <w:tcW w:w="1009"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21"/>
                      <w:szCs w:val="21"/>
                      <w:lang w:val="en-US" w:eastAsia="zh-CN" w:bidi="ar-SA"/>
                    </w:rPr>
                    <w:t>管控类型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blHeader/>
              </w:trPr>
              <w:tc>
                <w:tcPr>
                  <w:tcW w:w="749" w:type="pct"/>
                  <w:noWrap w:val="0"/>
                  <w:vAlign w:val="center"/>
                </w:tcPr>
                <w:p>
                  <w:pPr>
                    <w:pStyle w:val="18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ZH51110220004</w:t>
                  </w:r>
                </w:p>
              </w:tc>
              <w:tc>
                <w:tcPr>
                  <w:tcW w:w="986" w:type="pct"/>
                  <w:noWrap w:val="0"/>
                  <w:vAlign w:val="center"/>
                </w:tcPr>
                <w:p>
                  <w:pPr>
                    <w:pStyle w:val="18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市中区要素重点管控单元</w:t>
                  </w:r>
                </w:p>
              </w:tc>
              <w:tc>
                <w:tcPr>
                  <w:tcW w:w="743" w:type="pct"/>
                  <w:noWrap w:val="0"/>
                  <w:vAlign w:val="center"/>
                </w:tcPr>
                <w:p>
                  <w:pPr>
                    <w:pStyle w:val="18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乐山市</w:t>
                  </w:r>
                </w:p>
              </w:tc>
              <w:tc>
                <w:tcPr>
                  <w:tcW w:w="571" w:type="pct"/>
                  <w:noWrap w:val="0"/>
                  <w:vAlign w:val="center"/>
                </w:tcPr>
                <w:p>
                  <w:pPr>
                    <w:pStyle w:val="18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市中区</w:t>
                  </w:r>
                </w:p>
              </w:tc>
              <w:tc>
                <w:tcPr>
                  <w:tcW w:w="941" w:type="pct"/>
                  <w:noWrap w:val="0"/>
                  <w:vAlign w:val="center"/>
                </w:tcPr>
                <w:p>
                  <w:pPr>
                    <w:pStyle w:val="18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环境管控单元</w:t>
                  </w:r>
                </w:p>
              </w:tc>
              <w:tc>
                <w:tcPr>
                  <w:tcW w:w="1009" w:type="pct"/>
                  <w:noWrap w:val="0"/>
                  <w:vAlign w:val="center"/>
                </w:tcPr>
                <w:p>
                  <w:pPr>
                    <w:pStyle w:val="18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环境综合管控单元要素重点管控单元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blHeader/>
              </w:trPr>
              <w:tc>
                <w:tcPr>
                  <w:tcW w:w="749" w:type="pct"/>
                  <w:noWrap w:val="0"/>
                  <w:vAlign w:val="center"/>
                </w:tcPr>
                <w:p>
                  <w:pPr>
                    <w:pStyle w:val="18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YS5111023210024</w:t>
                  </w:r>
                </w:p>
              </w:tc>
              <w:tc>
                <w:tcPr>
                  <w:tcW w:w="986" w:type="pct"/>
                  <w:noWrap w:val="0"/>
                  <w:vAlign w:val="center"/>
                </w:tcPr>
                <w:p>
                  <w:pPr>
                    <w:pStyle w:val="18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岷江市中区青衣坝控制单元</w:t>
                  </w:r>
                </w:p>
              </w:tc>
              <w:tc>
                <w:tcPr>
                  <w:tcW w:w="743" w:type="pct"/>
                  <w:noWrap w:val="0"/>
                  <w:vAlign w:val="center"/>
                </w:tcPr>
                <w:p>
                  <w:pPr>
                    <w:pStyle w:val="18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乐山市</w:t>
                  </w:r>
                </w:p>
              </w:tc>
              <w:tc>
                <w:tcPr>
                  <w:tcW w:w="571" w:type="pct"/>
                  <w:noWrap w:val="0"/>
                  <w:vAlign w:val="center"/>
                </w:tcPr>
                <w:p>
                  <w:pPr>
                    <w:pStyle w:val="18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市中区</w:t>
                  </w:r>
                </w:p>
              </w:tc>
              <w:tc>
                <w:tcPr>
                  <w:tcW w:w="941" w:type="pct"/>
                  <w:noWrap w:val="0"/>
                  <w:vAlign w:val="center"/>
                </w:tcPr>
                <w:p>
                  <w:pPr>
                    <w:pStyle w:val="18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水环境管控分区</w:t>
                  </w:r>
                </w:p>
              </w:tc>
              <w:tc>
                <w:tcPr>
                  <w:tcW w:w="1009" w:type="pct"/>
                  <w:noWrap w:val="0"/>
                  <w:vAlign w:val="center"/>
                </w:tcPr>
                <w:p>
                  <w:pPr>
                    <w:pStyle w:val="18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水环境一般管控区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blHeader/>
              </w:trPr>
              <w:tc>
                <w:tcPr>
                  <w:tcW w:w="749" w:type="pct"/>
                  <w:noWrap w:val="0"/>
                  <w:vAlign w:val="center"/>
                </w:tcPr>
                <w:p>
                  <w:pPr>
                    <w:pStyle w:val="18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YS5111022320001</w:t>
                  </w:r>
                </w:p>
              </w:tc>
              <w:tc>
                <w:tcPr>
                  <w:tcW w:w="986" w:type="pct"/>
                  <w:noWrap w:val="0"/>
                  <w:vAlign w:val="center"/>
                </w:tcPr>
                <w:p>
                  <w:pPr>
                    <w:pStyle w:val="18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乐山市市中区大气环境布局敏感重点管控区</w:t>
                  </w:r>
                </w:p>
              </w:tc>
              <w:tc>
                <w:tcPr>
                  <w:tcW w:w="743" w:type="pct"/>
                  <w:noWrap w:val="0"/>
                  <w:vAlign w:val="center"/>
                </w:tcPr>
                <w:p>
                  <w:pPr>
                    <w:pStyle w:val="18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乐山市</w:t>
                  </w:r>
                </w:p>
              </w:tc>
              <w:tc>
                <w:tcPr>
                  <w:tcW w:w="571" w:type="pct"/>
                  <w:noWrap w:val="0"/>
                  <w:vAlign w:val="center"/>
                </w:tcPr>
                <w:p>
                  <w:pPr>
                    <w:pStyle w:val="18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市中区</w:t>
                  </w:r>
                </w:p>
              </w:tc>
              <w:tc>
                <w:tcPr>
                  <w:tcW w:w="941" w:type="pct"/>
                  <w:noWrap w:val="0"/>
                  <w:vAlign w:val="center"/>
                </w:tcPr>
                <w:p>
                  <w:pPr>
                    <w:pStyle w:val="18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大气环境管控分区</w:t>
                  </w:r>
                </w:p>
              </w:tc>
              <w:tc>
                <w:tcPr>
                  <w:tcW w:w="1009" w:type="pct"/>
                  <w:noWrap w:val="0"/>
                  <w:vAlign w:val="center"/>
                </w:tcPr>
                <w:p>
                  <w:pPr>
                    <w:pStyle w:val="18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大气环境布局敏感重点管控区</w:t>
                  </w:r>
                </w:p>
              </w:tc>
            </w:tr>
          </w:tbl>
          <w:p>
            <w:pPr>
              <w:spacing w:line="360" w:lineRule="auto"/>
              <w:jc w:val="both"/>
              <w:rPr>
                <w:color w:val="auto"/>
              </w:rPr>
            </w:pPr>
            <w:r>
              <w:rPr>
                <w:color w:val="auto"/>
              </w:rPr>
              <w:drawing>
                <wp:inline distT="0" distB="0" distL="114300" distR="114300">
                  <wp:extent cx="5494020" cy="4286250"/>
                  <wp:effectExtent l="0" t="0" r="11430" b="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13"/>
                          <a:stretch>
                            <a:fillRect/>
                          </a:stretch>
                        </pic:blipFill>
                        <pic:spPr>
                          <a:xfrm>
                            <a:off x="0" y="0"/>
                            <a:ext cx="5494020" cy="4286250"/>
                          </a:xfrm>
                          <a:prstGeom prst="rect">
                            <a:avLst/>
                          </a:prstGeom>
                          <a:noFill/>
                          <a:ln>
                            <a:noFill/>
                          </a:ln>
                        </pic:spPr>
                      </pic:pic>
                    </a:graphicData>
                  </a:graphic>
                </wp:inline>
              </w:drawing>
            </w:r>
          </w:p>
          <w:p>
            <w:pPr>
              <w:spacing w:line="360" w:lineRule="auto"/>
              <w:ind w:firstLine="482" w:firstLineChars="200"/>
              <w:jc w:val="center"/>
              <w:rPr>
                <w:b/>
                <w:bCs/>
                <w:color w:val="auto"/>
              </w:rPr>
            </w:pPr>
            <w:r>
              <w:rPr>
                <w:b/>
                <w:bCs/>
                <w:color w:val="auto"/>
              </w:rPr>
              <w:t xml:space="preserve">图1-3 </w:t>
            </w:r>
            <w:r>
              <w:rPr>
                <w:rFonts w:hint="eastAsia"/>
                <w:b/>
                <w:bCs/>
                <w:color w:val="auto"/>
              </w:rPr>
              <w:t xml:space="preserve"> </w:t>
            </w:r>
            <w:r>
              <w:rPr>
                <w:b/>
                <w:bCs/>
                <w:color w:val="auto"/>
              </w:rPr>
              <w:t>项目与所在区域环境管控单元的位置关系图</w:t>
            </w:r>
          </w:p>
          <w:p>
            <w:pPr>
              <w:spacing w:line="360" w:lineRule="auto"/>
              <w:ind w:firstLine="480" w:firstLineChars="200"/>
              <w:rPr>
                <w:rFonts w:hint="eastAsia"/>
                <w:color w:val="auto"/>
              </w:rPr>
            </w:pPr>
            <w:r>
              <w:rPr>
                <w:color w:val="auto"/>
              </w:rPr>
              <w:t>注：（来源于四川省生态环境厅 四川省“三线一单”数据分析系：http://103.203.219.138:8083/gis2/n_index.html）</w:t>
            </w:r>
            <w:r>
              <w:rPr>
                <w:rFonts w:hint="eastAsia"/>
                <w:color w:val="auto"/>
              </w:rPr>
              <w:t>。</w:t>
            </w:r>
          </w:p>
          <w:p>
            <w:pPr>
              <w:spacing w:line="360" w:lineRule="auto"/>
              <w:ind w:firstLine="480" w:firstLineChars="200"/>
              <w:jc w:val="left"/>
              <w:rPr>
                <w:color w:val="auto"/>
                <w:sz w:val="24"/>
              </w:rPr>
            </w:pPr>
            <w:r>
              <w:rPr>
                <w:color w:val="auto"/>
                <w:sz w:val="24"/>
              </w:rPr>
              <w:t>（2）生态环境准入清单符合性分析</w:t>
            </w:r>
          </w:p>
          <w:p>
            <w:pPr>
              <w:spacing w:line="360" w:lineRule="auto"/>
              <w:ind w:firstLine="480" w:firstLineChars="200"/>
              <w:jc w:val="left"/>
              <w:rPr>
                <w:color w:val="auto"/>
                <w:sz w:val="24"/>
              </w:rPr>
            </w:pPr>
            <w:r>
              <w:rPr>
                <w:color w:val="auto"/>
                <w:sz w:val="24"/>
              </w:rPr>
              <w:t>根据项目所在地所属环境管控单元的生态环境准入清单，从空间布局约束、污染物排放管控、环境风险防控、资源开发效率四个维度，本项目与生态环境准入清单符合性分析见表1-</w:t>
            </w:r>
            <w:r>
              <w:rPr>
                <w:rFonts w:hint="eastAsia"/>
                <w:color w:val="auto"/>
                <w:sz w:val="24"/>
                <w:lang w:val="en-US" w:eastAsia="zh-CN"/>
              </w:rPr>
              <w:t>3</w:t>
            </w:r>
            <w:r>
              <w:rPr>
                <w:rFonts w:hint="eastAsia"/>
                <w:color w:val="auto"/>
                <w:sz w:val="24"/>
              </w:rPr>
              <w:t>。</w:t>
            </w:r>
          </w:p>
          <w:p>
            <w:pPr>
              <w:spacing w:line="360" w:lineRule="auto"/>
              <w:ind w:firstLine="480" w:firstLineChars="200"/>
              <w:rPr>
                <w:bCs/>
                <w:color w:val="auto"/>
                <w:sz w:val="24"/>
              </w:rPr>
            </w:pPr>
            <w:r>
              <w:rPr>
                <w:bCs/>
                <w:color w:val="auto"/>
                <w:sz w:val="24"/>
              </w:rPr>
              <w:t>1）本项目与环境质量底线符合性分析</w:t>
            </w:r>
          </w:p>
          <w:p>
            <w:pPr>
              <w:spacing w:line="360" w:lineRule="auto"/>
              <w:ind w:firstLine="480" w:firstLineChars="200"/>
              <w:rPr>
                <w:color w:val="auto"/>
                <w:sz w:val="24"/>
              </w:rPr>
            </w:pPr>
            <w:r>
              <w:rPr>
                <w:color w:val="auto"/>
                <w:sz w:val="24"/>
              </w:rPr>
              <w:t>环境质量底线是国家和地方设置的大气、水和土壤环境质量目标，也是改善环境质量的基准线。环境质量事关民生幸福，环境质量的底线就是以人民群众身体健康和生命财产安全为目标，维护人类生存基本环境质量需求的底线和保障线。具体而言，环境质量底线应涵盖以下3方面的基本要求。一是必须消除己有的劣质化环境；二是严格遵守执行环境质量“只能更好、不能变坏”的基本要求；三是保障环境风险控制在安全范围内。</w:t>
            </w:r>
          </w:p>
          <w:p>
            <w:pPr>
              <w:spacing w:line="360" w:lineRule="auto"/>
              <w:ind w:firstLine="480" w:firstLineChars="200"/>
              <w:rPr>
                <w:color w:val="auto"/>
                <w:sz w:val="24"/>
              </w:rPr>
            </w:pPr>
            <w:r>
              <w:rPr>
                <w:color w:val="auto"/>
                <w:sz w:val="24"/>
              </w:rPr>
              <w:t>项目区域空气环境质量标准执行《环境空气质量标准》（GB3095-2012）中的二级标准；地表水环境质量标准执行《地表水环境质量标准》（GB3838-2002）中Ⅲ类水域标准；声环境质量标准执行《声环境质量标准》（GB3096-2008）中的2类声环境功能区标准。</w:t>
            </w:r>
          </w:p>
          <w:p>
            <w:pPr>
              <w:spacing w:line="360" w:lineRule="auto"/>
              <w:ind w:firstLine="480" w:firstLineChars="200"/>
              <w:rPr>
                <w:color w:val="auto"/>
                <w:sz w:val="24"/>
              </w:rPr>
            </w:pPr>
            <w:r>
              <w:rPr>
                <w:color w:val="auto"/>
                <w:sz w:val="24"/>
              </w:rPr>
              <w:t>根据</w:t>
            </w:r>
            <w:r>
              <w:rPr>
                <w:rFonts w:hint="eastAsia"/>
                <w:color w:val="auto"/>
                <w:sz w:val="24"/>
              </w:rPr>
              <w:t>《乐山市2021年环境质量公报》</w:t>
            </w:r>
            <w:r>
              <w:rPr>
                <w:rFonts w:hint="eastAsia"/>
                <w:color w:val="auto"/>
                <w:sz w:val="24"/>
                <w:lang w:val="en-US" w:eastAsia="zh-CN"/>
              </w:rPr>
              <w:t>可知</w:t>
            </w:r>
            <w:r>
              <w:rPr>
                <w:color w:val="auto"/>
                <w:sz w:val="24"/>
              </w:rPr>
              <w:t>，项目所在区域大气环境质量满足《环境空气质量标准》（GB3095-2012）二级标准限值要求；根据监测可知，区域声环境质量满足《声环境质量标准》（GB3096-2008）中2类标准要求</w:t>
            </w:r>
            <w:r>
              <w:rPr>
                <w:rFonts w:hint="eastAsia"/>
                <w:color w:val="auto"/>
                <w:sz w:val="24"/>
                <w:lang w:eastAsia="zh-CN"/>
              </w:rPr>
              <w:t>，</w:t>
            </w:r>
            <w:r>
              <w:rPr>
                <w:color w:val="auto"/>
                <w:sz w:val="24"/>
              </w:rPr>
              <w:t>区域地表水环境质量</w:t>
            </w:r>
            <w:r>
              <w:rPr>
                <w:rFonts w:hint="eastAsia"/>
                <w:color w:val="auto"/>
                <w:sz w:val="24"/>
                <w:lang w:val="en-US" w:eastAsia="zh-CN"/>
              </w:rPr>
              <w:t>不</w:t>
            </w:r>
            <w:r>
              <w:rPr>
                <w:color w:val="auto"/>
                <w:sz w:val="24"/>
              </w:rPr>
              <w:t>满足《地表水环境质量标准》（GB3838-2002）Ⅲ类水域标准要求。本项目在采取相应的环保措施后，对周围环境影响较小，不会突破环境质量底线。</w:t>
            </w:r>
          </w:p>
          <w:p>
            <w:pPr>
              <w:spacing w:line="360" w:lineRule="auto"/>
              <w:ind w:firstLine="480" w:firstLineChars="200"/>
              <w:rPr>
                <w:bCs/>
                <w:color w:val="auto"/>
                <w:sz w:val="24"/>
              </w:rPr>
            </w:pPr>
            <w:r>
              <w:rPr>
                <w:bCs/>
                <w:color w:val="auto"/>
                <w:sz w:val="24"/>
              </w:rPr>
              <w:t>2）本项目与资源利用上线符合性分析</w:t>
            </w:r>
          </w:p>
          <w:p>
            <w:pPr>
              <w:spacing w:line="360" w:lineRule="auto"/>
              <w:ind w:firstLine="480" w:firstLineChars="200"/>
              <w:rPr>
                <w:color w:val="auto"/>
                <w:sz w:val="24"/>
              </w:rPr>
            </w:pPr>
            <w:r>
              <w:rPr>
                <w:color w:val="auto"/>
                <w:sz w:val="24"/>
              </w:rPr>
              <w:t>资源是环境的载体，资源利用上线是各地区能源、水、土地等资源消耗不得突破的</w:t>
            </w:r>
            <w:r>
              <w:rPr>
                <w:rFonts w:hint="eastAsia"/>
                <w:color w:val="auto"/>
                <w:sz w:val="24"/>
              </w:rPr>
              <w:t>“</w:t>
            </w:r>
            <w:r>
              <w:rPr>
                <w:color w:val="auto"/>
                <w:sz w:val="24"/>
              </w:rPr>
              <w:t>天花板</w:t>
            </w:r>
            <w:r>
              <w:rPr>
                <w:rFonts w:hint="eastAsia"/>
                <w:color w:val="auto"/>
                <w:sz w:val="24"/>
              </w:rPr>
              <w:t>”</w:t>
            </w:r>
            <w:r>
              <w:rPr>
                <w:color w:val="auto"/>
                <w:sz w:val="24"/>
              </w:rPr>
              <w:t>。本项目资源能源消耗主要为电能和水，消耗量较小，不会突破资源消耗</w:t>
            </w:r>
            <w:r>
              <w:rPr>
                <w:rFonts w:hint="eastAsia"/>
                <w:color w:val="auto"/>
                <w:sz w:val="24"/>
              </w:rPr>
              <w:t>“</w:t>
            </w:r>
            <w:r>
              <w:rPr>
                <w:color w:val="auto"/>
                <w:sz w:val="24"/>
              </w:rPr>
              <w:t>天花板</w:t>
            </w:r>
            <w:r>
              <w:rPr>
                <w:rFonts w:hint="eastAsia"/>
                <w:color w:val="auto"/>
                <w:sz w:val="24"/>
              </w:rPr>
              <w:t>”</w:t>
            </w:r>
            <w:r>
              <w:rPr>
                <w:color w:val="auto"/>
                <w:sz w:val="24"/>
              </w:rPr>
              <w:t>，符合资源利用上线要求。</w:t>
            </w:r>
          </w:p>
          <w:p>
            <w:pPr>
              <w:spacing w:line="360" w:lineRule="auto"/>
              <w:ind w:firstLine="482" w:firstLineChars="200"/>
              <w:rPr>
                <w:b/>
                <w:color w:val="auto"/>
                <w:sz w:val="24"/>
              </w:rPr>
            </w:pPr>
            <w:r>
              <w:rPr>
                <w:b/>
                <w:color w:val="auto"/>
                <w:sz w:val="24"/>
              </w:rPr>
              <w:t>（3）本项目与环境准入负面清单符合性分析</w:t>
            </w:r>
          </w:p>
          <w:p>
            <w:pPr>
              <w:spacing w:line="360" w:lineRule="auto"/>
              <w:ind w:firstLine="480" w:firstLineChars="200"/>
              <w:rPr>
                <w:b/>
                <w:color w:val="auto"/>
                <w:sz w:val="24"/>
              </w:rPr>
            </w:pPr>
            <w:r>
              <w:rPr>
                <w:color w:val="auto"/>
                <w:sz w:val="24"/>
              </w:rPr>
              <w:t>本项目为</w:t>
            </w:r>
            <w:r>
              <w:rPr>
                <w:rFonts w:hint="eastAsia"/>
                <w:color w:val="auto"/>
                <w:sz w:val="24"/>
                <w:lang w:val="en-US" w:eastAsia="zh-CN"/>
              </w:rPr>
              <w:t>水库加固除险项目</w:t>
            </w:r>
            <w:r>
              <w:rPr>
                <w:color w:val="auto"/>
                <w:sz w:val="24"/>
              </w:rPr>
              <w:t>，根据国家发展和改革委员会2019年8月27日发布的《产业结构调整指导目录（2019年本）》</w:t>
            </w:r>
            <w:r>
              <w:rPr>
                <w:rFonts w:hint="eastAsia"/>
                <w:color w:val="auto"/>
                <w:sz w:val="24"/>
                <w:lang w:eastAsia="zh-CN"/>
              </w:rPr>
              <w:t>（</w:t>
            </w:r>
            <w:r>
              <w:rPr>
                <w:rFonts w:hint="eastAsia"/>
                <w:color w:val="auto"/>
                <w:sz w:val="24"/>
                <w:lang w:val="en-US" w:eastAsia="zh-CN"/>
              </w:rPr>
              <w:t>2021年修订</w:t>
            </w:r>
            <w:r>
              <w:rPr>
                <w:rFonts w:hint="eastAsia"/>
                <w:color w:val="auto"/>
                <w:sz w:val="24"/>
                <w:lang w:eastAsia="zh-CN"/>
              </w:rPr>
              <w:t>）</w:t>
            </w:r>
            <w:r>
              <w:rPr>
                <w:color w:val="auto"/>
                <w:sz w:val="24"/>
              </w:rPr>
              <w:t>，项目未被列入《四川省国家重点生态功能区产业准入负面清单（第一批）（试行）》、《四川省重点生态功能区产业准入负面清单（第二批）（试行）》以及</w:t>
            </w:r>
            <w:r>
              <w:rPr>
                <w:rFonts w:hint="eastAsia"/>
                <w:color w:val="auto"/>
                <w:sz w:val="24"/>
              </w:rPr>
              <w:t>《长江经济带发展负面清单指南》（长江办〔2022〕7号）</w:t>
            </w:r>
            <w:r>
              <w:rPr>
                <w:color w:val="auto"/>
                <w:sz w:val="24"/>
              </w:rPr>
              <w:t>中禁止、限制建设的项目。</w:t>
            </w:r>
          </w:p>
          <w:p>
            <w:pPr>
              <w:spacing w:line="360" w:lineRule="auto"/>
              <w:ind w:firstLine="480" w:firstLineChars="200"/>
              <w:rPr>
                <w:color w:val="auto"/>
                <w:sz w:val="24"/>
              </w:rPr>
            </w:pPr>
            <w:r>
              <w:rPr>
                <w:color w:val="auto"/>
                <w:sz w:val="24"/>
              </w:rPr>
              <w:t>综上，通过与“三线一单”进行对照后，本项目的建设满足四川省生态环境分区管控方案要求，项目不在生态保护红线内、未超出环境质量底线及资源利用上线、符合生态环境准入清单要求。</w:t>
            </w:r>
          </w:p>
          <w:p>
            <w:pPr>
              <w:autoSpaceDE w:val="0"/>
              <w:autoSpaceDN w:val="0"/>
              <w:adjustRightInd w:val="0"/>
              <w:snapToGrid w:val="0"/>
              <w:spacing w:line="360" w:lineRule="auto"/>
              <w:ind w:firstLine="482" w:firstLineChars="200"/>
              <w:jc w:val="center"/>
              <w:rPr>
                <w:b/>
                <w:bCs/>
                <w:color w:val="auto"/>
                <w:kern w:val="0"/>
                <w:szCs w:val="21"/>
              </w:rPr>
            </w:pPr>
            <w:r>
              <w:rPr>
                <w:b/>
                <w:bCs/>
                <w:color w:val="auto"/>
              </w:rPr>
              <w:t>1-</w:t>
            </w:r>
            <w:r>
              <w:rPr>
                <w:rFonts w:hint="eastAsia"/>
                <w:b/>
                <w:bCs/>
                <w:color w:val="auto"/>
                <w:lang w:val="en-US" w:eastAsia="zh-CN"/>
              </w:rPr>
              <w:t>3</w:t>
            </w:r>
            <w:r>
              <w:rPr>
                <w:b/>
                <w:bCs/>
                <w:color w:val="auto"/>
              </w:rPr>
              <w:t xml:space="preserve">  项目与“三线一单”相关要求的符合性分析要点</w:t>
            </w:r>
          </w:p>
          <w:p>
            <w:pPr>
              <w:pStyle w:val="2"/>
              <w:keepNext w:val="0"/>
              <w:keepLines w:val="0"/>
              <w:pageBreakBefore w:val="0"/>
              <w:kinsoku/>
              <w:wordWrap/>
              <w:overflowPunct/>
              <w:topLinePunct w:val="0"/>
              <w:bidi w:val="0"/>
              <w:adjustRightInd w:val="0"/>
              <w:snapToGrid w:val="0"/>
              <w:spacing w:before="0" w:after="0" w:line="360" w:lineRule="auto"/>
              <w:ind w:right="0" w:firstLine="482" w:firstLineChars="200"/>
              <w:textAlignment w:val="auto"/>
              <w:rPr>
                <w:rFonts w:hint="default" w:ascii="Times New Roman" w:hAnsi="Times New Roman" w:eastAsia="宋体" w:cs="Times New Roman"/>
                <w:b/>
                <w:bCs/>
                <w:color w:val="auto"/>
                <w:sz w:val="24"/>
                <w:szCs w:val="24"/>
                <w:lang w:val="en-US" w:eastAsia="zh-CN"/>
              </w:rPr>
            </w:pPr>
          </w:p>
          <w:p>
            <w:pPr>
              <w:keepNext w:val="0"/>
              <w:keepLines w:val="0"/>
              <w:pageBreakBefore w:val="0"/>
              <w:kinsoku/>
              <w:wordWrap/>
              <w:overflowPunct/>
              <w:topLinePunct w:val="0"/>
              <w:autoSpaceDE w:val="0"/>
              <w:autoSpaceDN w:val="0"/>
              <w:bidi w:val="0"/>
              <w:adjustRightInd w:val="0"/>
              <w:snapToGrid w:val="0"/>
              <w:spacing w:line="360" w:lineRule="auto"/>
              <w:textAlignment w:val="auto"/>
              <w:rPr>
                <w:rFonts w:hint="default" w:ascii="Times New Roman" w:hAnsi="Times New Roman" w:eastAsia="宋体" w:cs="Times New Roman"/>
                <w:color w:val="auto"/>
                <w:kern w:val="21"/>
                <w:sz w:val="24"/>
                <w:szCs w:val="24"/>
              </w:rPr>
            </w:pPr>
          </w:p>
          <w:p>
            <w:pPr>
              <w:keepNext w:val="0"/>
              <w:keepLines w:val="0"/>
              <w:pageBreakBefore w:val="0"/>
              <w:kinsoku/>
              <w:wordWrap/>
              <w:overflowPunct/>
              <w:topLinePunct w:val="0"/>
              <w:autoSpaceDE w:val="0"/>
              <w:autoSpaceDN w:val="0"/>
              <w:bidi w:val="0"/>
              <w:adjustRightInd w:val="0"/>
              <w:snapToGrid w:val="0"/>
              <w:spacing w:line="360" w:lineRule="auto"/>
              <w:textAlignment w:val="auto"/>
              <w:rPr>
                <w:rFonts w:hint="default" w:ascii="Times New Roman" w:hAnsi="Times New Roman" w:eastAsia="宋体" w:cs="Times New Roman"/>
                <w:color w:val="auto"/>
                <w:kern w:val="21"/>
                <w:sz w:val="24"/>
                <w:szCs w:val="24"/>
              </w:rPr>
            </w:pPr>
          </w:p>
        </w:tc>
      </w:tr>
    </w:tbl>
    <w:p>
      <w:pPr>
        <w:keepNext w:val="0"/>
        <w:keepLines w:val="0"/>
        <w:pageBreakBefore w:val="0"/>
        <w:kinsoku/>
        <w:wordWrap/>
        <w:overflowPunct/>
        <w:topLinePunct w:val="0"/>
        <w:bidi w:val="0"/>
        <w:adjustRightInd w:val="0"/>
        <w:snapToGrid w:val="0"/>
        <w:spacing w:line="360" w:lineRule="auto"/>
        <w:textAlignment w:val="auto"/>
        <w:outlineLvl w:val="0"/>
        <w:rPr>
          <w:rFonts w:hint="default" w:ascii="Times New Roman" w:hAnsi="Times New Roman" w:eastAsia="宋体" w:cs="Times New Roman"/>
          <w:color w:val="auto"/>
          <w:sz w:val="30"/>
        </w:rPr>
        <w:sectPr>
          <w:footerReference r:id="rId5" w:type="default"/>
          <w:pgSz w:w="11906" w:h="16838"/>
          <w:pgMar w:top="1440" w:right="1080" w:bottom="1440" w:left="1080" w:header="851" w:footer="1077" w:gutter="0"/>
          <w:pgBorders>
            <w:top w:val="none" w:sz="0" w:space="0"/>
            <w:left w:val="none" w:sz="0" w:space="0"/>
            <w:bottom w:val="none" w:sz="0" w:space="0"/>
            <w:right w:val="none" w:sz="0" w:space="0"/>
          </w:pgBorders>
          <w:pgNumType w:fmt="decimal" w:start="1"/>
          <w:cols w:space="720" w:num="1"/>
          <w:docGrid w:linePitch="312" w:charSpace="0"/>
        </w:sectPr>
      </w:pPr>
    </w:p>
    <w:tbl>
      <w:tblPr>
        <w:tblStyle w:val="19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1"/>
        <w:gridCol w:w="1095"/>
        <w:gridCol w:w="5670"/>
        <w:gridCol w:w="855"/>
        <w:gridCol w:w="4065"/>
        <w:gridCol w:w="945"/>
        <w:gridCol w:w="6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noWrap w:val="0"/>
            <w:vAlign w:val="center"/>
          </w:tcPr>
          <w:p>
            <w:pPr>
              <w:widowControl/>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kern w:val="0"/>
                <w:szCs w:val="21"/>
              </w:rPr>
              <w:t>环境管控单元编码</w:t>
            </w:r>
          </w:p>
        </w:tc>
        <w:tc>
          <w:tcPr>
            <w:tcW w:w="1095" w:type="dxa"/>
            <w:noWrap w:val="0"/>
            <w:vAlign w:val="center"/>
          </w:tcPr>
          <w:p>
            <w:pPr>
              <w:widowControl/>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kern w:val="0"/>
                <w:szCs w:val="21"/>
              </w:rPr>
              <w:t>环境管控单元名称</w:t>
            </w:r>
          </w:p>
        </w:tc>
        <w:tc>
          <w:tcPr>
            <w:tcW w:w="5670" w:type="dxa"/>
            <w:noWrap w:val="0"/>
            <w:vAlign w:val="center"/>
          </w:tcPr>
          <w:p>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b/>
                <w:bCs/>
                <w:color w:val="auto"/>
                <w:kern w:val="0"/>
                <w:szCs w:val="21"/>
                <w:lang w:val="en-US" w:eastAsia="zh-CN"/>
              </w:rPr>
              <w:t>乐山市</w:t>
            </w:r>
            <w:r>
              <w:rPr>
                <w:rFonts w:hint="default" w:ascii="Times New Roman" w:hAnsi="Times New Roman" w:eastAsia="宋体" w:cs="Times New Roman"/>
                <w:b/>
                <w:bCs/>
                <w:color w:val="auto"/>
                <w:kern w:val="0"/>
                <w:szCs w:val="21"/>
              </w:rPr>
              <w:t>普适性清单</w:t>
            </w:r>
          </w:p>
        </w:tc>
        <w:tc>
          <w:tcPr>
            <w:tcW w:w="855" w:type="dxa"/>
            <w:noWrap w:val="0"/>
            <w:vAlign w:val="center"/>
          </w:tcPr>
          <w:p>
            <w:pPr>
              <w:widowControl/>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kern w:val="0"/>
                <w:szCs w:val="21"/>
              </w:rPr>
              <w:t>管控类别</w:t>
            </w:r>
          </w:p>
        </w:tc>
        <w:tc>
          <w:tcPr>
            <w:tcW w:w="4065" w:type="dxa"/>
            <w:noWrap w:val="0"/>
            <w:vAlign w:val="center"/>
          </w:tcPr>
          <w:p>
            <w:pPr>
              <w:widowControl/>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kern w:val="0"/>
                <w:szCs w:val="21"/>
              </w:rPr>
              <w:t>单元特性管控要求</w:t>
            </w:r>
          </w:p>
        </w:tc>
        <w:tc>
          <w:tcPr>
            <w:tcW w:w="945" w:type="dxa"/>
            <w:noWrap w:val="0"/>
            <w:vAlign w:val="center"/>
          </w:tcPr>
          <w:p>
            <w:pPr>
              <w:widowControl/>
              <w:jc w:val="center"/>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18"/>
                <w:szCs w:val="18"/>
              </w:rPr>
              <w:t>项目对应情况介绍</w:t>
            </w:r>
          </w:p>
        </w:tc>
        <w:tc>
          <w:tcPr>
            <w:tcW w:w="613" w:type="dxa"/>
            <w:noWrap w:val="0"/>
            <w:vAlign w:val="center"/>
          </w:tcPr>
          <w:p>
            <w:pPr>
              <w:widowControl/>
              <w:jc w:val="center"/>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 w:val="18"/>
                <w:szCs w:val="18"/>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vMerge w:val="restart"/>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ZH51110220004</w:t>
            </w:r>
          </w:p>
        </w:tc>
        <w:tc>
          <w:tcPr>
            <w:tcW w:w="1095" w:type="dxa"/>
            <w:vMerge w:val="restart"/>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市中区要素重点管控单元</w:t>
            </w:r>
          </w:p>
        </w:tc>
        <w:tc>
          <w:tcPr>
            <w:tcW w:w="5670" w:type="dxa"/>
            <w:vMerge w:val="restart"/>
            <w:noWrap w:val="0"/>
            <w:vAlign w:val="center"/>
          </w:tcPr>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空间布局约束：</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禁止开发建设活动的要求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（1）禁止在长江干支流岸线一公里范围内新建、扩建化工园区和化工项目；禁止在长江重要支流岸线一公里范围内新建、改建、扩建尾矿库（以提升安全、生态环境保护水平为目的的改建除外）；</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（2）禁止在长江流域开放水域养殖、投放外来物种或者其他非本地物种种质资源。禁止在长江流域禁止采砂区和禁止采砂期从事采砂活动。全面停止小型水电项目开发，已建成的中小型水电站不再扩容；</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（3）禁止在法律法规规定的禁采区内开采矿产；禁止土法采、选、冶严重污染环境的矿产资源；</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（4）对于基本农田，除法律规定的重点建设项目选址确实无法避让外，其他任何建设不得占用；</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（5）畜禽养殖严格按照乐山市各区县畜禽养殖区域划定方案执行，依法关闭或搬迁禁养区内的畜禽养殖场（小区）和养殖专业户。</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限制开发建设活动的要求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（1）现有化工、建材、有色、钢铁等工业企业，原则上限制发展，污染物排放只降不增，允许以提升安全、生态环境保护水平为目的的改建，引导企业结合产业升级等适时搬迁入园；</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（2）单元内若新布局工业园区，应符合最新的国土空间规划，并结合区域环境特点、三线成果、园区产业类别，充分论证选址的环境合理性；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水环境农业污染重点管控区应严格限制布设以电力、钢铁、造纸、石化、化工、印染、化纤等高耗水行业为主导产业的园区；新建屠宰、用排水量大的农副产品加工等以水污染为主的企业，严格实行水污染物倍量替代；控制畜禽养殖规模，全面治理畜禽养殖污染；</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4）大气环境布局敏感区应严格限制布设以钢铁、建材、石化、化工、有色等高污染行业为主导产业的园区，大气环境弱扩散区谨慎布局垃圾发电、危废焚烧等以大气污染为主的企业；位于不达标区域的大气环境布局敏感严格限制新建、扩建涉气三类工业项目；</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5）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（6）坚持最严格的耕地保护制度，对全部耕地按限制开发的要求进行管理。严格限制农用地转为建设用地，控制建设用地总量，对耕地实行特殊保护；</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7）新建大中型水电工程，应当经科学论证，并报国务院或者国务院授权的部门批准。除与生态环境保护相协调的且是国务院及其相关部门、省级人民政府认可的脱贫攻坚项目外，严控新建商业开发的小水电项目；</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（8）长江流域河道采砂应当依法取得国务院水行政主管部门有关流域管理机构或者县级以上地方人民政府水行政主管部门的许可。严格控制采砂区域、采砂总量和采砂区域内的采砂船舶数量。</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不符合空间布局要求活动的退出要求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（1）全面取缔禁养区内规模化畜禽养殖场。岷江岸线延伸至陆域200米范围内基本消除畜禽养殖场（小区）；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（2）对长江流域已建小水电工程，不符合生态保护要求的，县级以上地方人民政府应当组织分类整改或者采取措施逐步退出；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（3）长江主要支流重点管控岸线：按照长江干线非法码头治理标准和生态保护红线管控等要求，持续开展长江主要支流非法码头整治。</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其他空间布局约束要求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污染物排放管控：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允许排放量要求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（1）对新建排放二氧化硫、氮氧化物、工业烟粉尘和挥发性有机物的项目实施现役源2倍削减替代；</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（2）上一年度水环境质量未完成目标的，新建排放水污染的建设项目按照总量管控要求进行倍量削减替代；</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（3）水质超标的水功能区，应当实施更严格的污染物排放总量削减要求。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现有源提标升级改造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（1）现有处理规模大于1000吨日的城镇生活污水处理厂，以及存栏量≥300 头猪、粪污经处理后向环境排放的畜禽养殖场，应执行《四川省岷江、沱江流域水污染物排放标准》（DB512311-2016）相关要求；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市中区、五通桥区、沙湾区、犍为县、井研县、夹江县、峨眉山市的现有企业执行相应行业以及锅炉大气污染物排放标准中颗粒物、二氧化硫、氮氧化物和挥发性有机物特别排放限值和特别控制要求。全市燃煤锅炉稳定达到超低排放限值要求，烟粉尘低于10毫克立方米，二氧化硫低于35毫克立方米，氮氧化物低于50毫克立方米；</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严禁新增钢铁、电力、水泥、玻璃、砖瓦、陶瓷、焦化、电解铝、有色等重点行业大气污染物排放。持续推进水泥、陶瓷、砖瓦、铸造、铁合金、钢铁等行业大气污染深度治理，深入推进颗粒物、二氧化硫、氮氧化物和挥发性有机物治理，持续推进陶瓷行业（喷雾干燥塔）清洁能源改造工程，加快推进五通桥涉氨排放化工企业氨排放治理。</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其他污染物排放管控要求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（1）新、改、扩建工业项目全面执行大气污染物特别排放限值。</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（2）乡镇生活污水处理设施全覆盖，生活污水收集处理率80%。到 2022 年底，65%以上的行政村农村生活污水得到有效治理。</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新、改扩建规模化畜禽养殖场（小区）要实施雨污分流、粪便污水资源化利用。主要农作物化肥、农药使用量实现零增长，利用率提高到40%以上，测土配方施肥技术推广覆盖率提高到90%以上，控制农村面源污染，采取灌排分离等措施控制农田氮磷流失。</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（4）新、改扩造纸企业参考执行乐山市“三线一单”生态环境分区管控中制浆造纸行业资源环境绩效准入门槛相应要求。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（5）屠宰项目如需接入城市污水管网，必须按照排水许可证要求排放污水，同时接受所在地的城镇排水主管部门的监督管理。</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（6）到 2023 年底，乡镇及行政村生活垃圾收转运处置体系基本实现全覆盖。</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7）大气环境布局敏感区强化挥发性有机物整治。扎实推进机械设备制造、家具制造等重点行业挥发性有机物治理，确保全面达标；推广使用符合环保要求的建筑涂料、木器涂料、胶黏剂等产品；全面推广汽修行业使用低挥发性涂料，采用高效涂装工艺，完善有机废气收集和处理系统，取缔露天和敞开式汽修喷涂作业。</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8）严格执行《关于实施第六阶段机动车排放标准的通告》及《四川省机动车和非道路移动机械排气污染防治办法》。加强油品的监督管理，按照国家、省要求全面供应国六标准的车用汽柴油，严厉打击生产、销售、使用不合格油品和车用尿素行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9）严格控制道路扬尘。国省道路、高速路连接线等重点通行线路和建成区城乡结合部每天机械化清扫、冲洗不少于1次。强化城郊结合部扬尘污染管控。重点抓好重点交通建筑工地扬尘治理，切实加强城郊结合部重点货车绕行道路扬尘治理。熏制腊肉集中规划布点，加强宣传和引导，防止腌制品熏制污染大气环境。</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环境风险防控：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联防联控要求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其他环境风险防控要求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（1）严禁新增以铅、汞、镉、铬、砷五类重金属为主的污染物排放，引导现有企业结合产业升级等适时搬入产业对口园区；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应按相关要求进行土壤环境状况调查评估，符合相应规划用地土壤环境质量要求的地块，方可进入用地程序；</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（3）严禁将城镇生活垃圾、污泥、工业废物直接用作肥料，禁止处理不达标的污泥进入耕地；禁止在农用地排放、倾倒、使用污泥、清淤底泥、尾矿（渣）等可能对土壤造成污染的固体废物；</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4）严格控制在优先保护类耕地集中的区县新建有色金属矿采选、有色金属冶炼、石油加工、化工、焦化、电镀、制革、天然（页岩）气开采、铅蓄电池、汽车制造、农药、危废处置、电子拆解、涉重等行业企业。严格控制林地、草地、园地的农药使用量，禁止使用高毒、高残留农药。</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资源开发利用效率要求：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水资源利用总量要求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加强农业灌溉管理，发展喷灌、微灌、管道输水灌溉、水肥一体化等高效农业节水灌溉方式和农耕农艺节水技术，提高输配水效率和调度水平。发展节水渔业、牧业，组织实施规模养殖场节水建设和改造，推行节水型畜禽养殖技术和方式。</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地下水开采要求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能源利用总量及效率要求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（1）禁止焚烧秸秆，大力推进秸秆肥料化、饲料化、基料化、原料化、能源化等多种形式的秸秆综合利用。</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（2）到2030年，农业废弃物全部实现资源化利用，</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（3）在秋收和夏收阶段开展秸秆禁烧专项巡查，强化成都平原地区区域联动。</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禁燃区要求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（1）能源结构以天然气和电为主。保留20蒸吨小时以上燃煤锅炉，并执行超低排放要求，鼓励搬入园区；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（2）禁燃区内禁止审批（核准、备案）、新建、扩建燃用高污染燃料的项目和设施。</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其他资源利用效率要求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tc>
        <w:tc>
          <w:tcPr>
            <w:tcW w:w="855" w:type="dxa"/>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空间布局约束</w:t>
            </w:r>
          </w:p>
        </w:tc>
        <w:tc>
          <w:tcPr>
            <w:tcW w:w="406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禁止开发建设活动的要求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执行乐山市要素重点管控单元普适性总体准入要求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限制开发建设活动的要求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1、严控新（改、扩）建排放污染物的项目；2、其他执行乐山市要素重点管控单元普适性总体准入要求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允许开发建设活动的要求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不符合空间布局要求活动的退出要求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1、单元内既有合法手续的、且污染物排放和环境风险满足管控要求的企业可继续保留，不得新增污染物排放，并进一步加强监管；否则限期进行整改，整改后任不能达到要求的，属地政府责令关停退出；2、执行乐山市要素重点管控单元普适性总体准入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其他空间布局约束要求</w:t>
            </w:r>
          </w:p>
        </w:tc>
        <w:tc>
          <w:tcPr>
            <w:tcW w:w="94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Fonts w:eastAsia="宋体"/>
                <w:color w:val="auto"/>
                <w:sz w:val="21"/>
              </w:rPr>
              <w:t>项目为</w:t>
            </w:r>
            <w:r>
              <w:rPr>
                <w:rFonts w:hint="eastAsia" w:eastAsia="宋体"/>
                <w:color w:val="auto"/>
                <w:sz w:val="21"/>
                <w:lang w:val="en-US" w:eastAsia="zh-CN"/>
              </w:rPr>
              <w:t>水库加固除险项目</w:t>
            </w:r>
            <w:r>
              <w:rPr>
                <w:rFonts w:eastAsia="宋体"/>
                <w:color w:val="auto"/>
                <w:sz w:val="21"/>
              </w:rPr>
              <w:t>，</w:t>
            </w:r>
            <w:r>
              <w:rPr>
                <w:rFonts w:hint="eastAsia" w:eastAsia="宋体"/>
                <w:color w:val="auto"/>
                <w:sz w:val="21"/>
                <w:lang w:val="en-US" w:eastAsia="zh-CN"/>
              </w:rPr>
              <w:t>项目运营期不新增污染物</w:t>
            </w:r>
          </w:p>
        </w:tc>
        <w:tc>
          <w:tcPr>
            <w:tcW w:w="613"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vMerge w:val="continue"/>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ZH51110220004</w:t>
            </w:r>
          </w:p>
        </w:tc>
        <w:tc>
          <w:tcPr>
            <w:tcW w:w="1095" w:type="dxa"/>
            <w:vMerge w:val="continue"/>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市中区要素重点管控单元</w:t>
            </w:r>
          </w:p>
        </w:tc>
        <w:tc>
          <w:tcPr>
            <w:tcW w:w="5670" w:type="dxa"/>
            <w:vMerge w:val="continue"/>
            <w:noWrap w:val="0"/>
            <w:vAlign w:val="center"/>
          </w:tcPr>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空间布局约束：</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禁止开发建设活动的要求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（1）禁止在长江干支流岸线一公里范围内新建、扩建化工园区和化工项目；禁止在长江重要支流岸线一公里范围内新建、改建、扩建尾矿库（以提升安全、生态环境保护水平为目的的改建除外）；</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（2）禁止在长江流域开放水域养殖、投放外来物种或者其他非本地物种种质资源。禁止在长江流域禁止采砂区和禁止采砂期从事采砂活动。全面停止小型水电项目开发，已建成的中小型水电站不再扩容；</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（3）禁止在法律法规规定的禁采区内开采矿产；禁止土法采、选、冶严重污染环境的矿产资源；</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（4）对于基本农田，除法律规定的重点建设项目选址确实无法避让外，其他任何建设不得占用；</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（5）畜禽养殖严格按照乐山市各区县畜禽养殖区域划定方案执行，依法关闭或搬迁禁养区内的畜禽养殖场（小区）和养殖专业户。</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限制开发建设活动的要求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（1）现有化工、建材、有色、钢铁等工业企业，原则上限制发展，污染物排放只降不增，允许以提升安全、生态环境保护水平为目的的改建，引导企业结合产业升级等适时搬迁入园；</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（2）单元内若新布局工业园区，应符合最新的国土空间规划，并结合区域环境特点、三线成果、园区产业类别，充分论证选址的环境合理性；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水环境农业污染重点管控区应严格限制布设以电力、钢铁、造纸、石化、化工、印染、化纤等高耗水行业为主导产业的园区；新建屠宰、用排水量大的农副产品加工等以水污染为主的企业，严格实行水污染物倍量替代；控制畜禽养殖规模，全面治理畜禽养殖污染；</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4）大气环境布局敏感区应严格限制布设以钢铁、建材、石化、化工、有色等高污染行业为主导产业的园区，大气环境弱扩散区谨慎布局垃圾发电、危废焚烧等以大气污染为主的企业；位于不达标区域的大气环境布局敏感严格限制新建、扩建涉气三类工业项目；</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5）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（6）坚持最严格的耕地保护制度，对全部耕地按限制开发的要求进行管理。严格限制农用地转为建设用地，控制建设用地总量，对耕地实行特殊保护；</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7）新建大中型水电工程，应当经科学论证，并报国务院或者国务院授权的部门批准。除与生态环境保护相协调的且是国务院及其相关部门、省级人民政府认可的脱贫攻坚项目外，严控新建商业开发的小水电项目；</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（8）长江流域河道采砂应当依法取得国务院水行政主管部门有关流域管理机构或者县级以上地方人民政府水行政主管部门的许可。严格控制采砂区域、采砂总量和采砂区域内的采砂船舶数量。</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不符合空间布局要求活动的退出要求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（1）全面取缔禁养区内规模化畜禽养殖场。岷江岸线延伸至陆域200米范围内基本消除畜禽养殖场（小区）；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（2）对长江流域已建小水电工程，不符合生态保护要求的，县级以上地方人民政府应当组织分类整改或者采取措施逐步退出；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（3）长江主要支流重点管控岸线：按照长江干线非法码头治理标准和生态保护红线管控等要求，持续开展长江主要支流非法码头整治。</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其他空间布局约束要求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污染物排放管控：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允许排放量要求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（1）对新建排放二氧化硫、氮氧化物、工业烟粉尘和挥发性有机物的项目实施现役源2倍削减替代；</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（2）上一年度水环境质量未完成目标的，新建排放水污染的建设项目按照总量管控要求进行倍量削减替代；</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（3）水质超标的水功能区，应当实施更严格的污染物排放总量削减要求。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现有源提标升级改造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（1）现有处理规模大于1000吨日的城镇生活污水处理厂，以及存栏量≥300 头猪、粪污经处理后向环境排放的畜禽养殖场，应执行《四川省岷江、沱江流域水污染物排放标准》（DB512311-2016）相关要求；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市中区、五通桥区、沙湾区、犍为县、井研县、夹江县、峨眉山市的现有企业执行相应行业以及锅炉大气污染物排放标准中颗粒物、二氧化硫、氮氧化物和挥发性有机物特别排放限值和特别控制要求。全市燃煤锅炉稳定达到超低排放限值要求，烟粉尘低于10毫克立方米，二氧化硫低于35毫克立方米，氮氧化物低于50毫克立方米；</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严禁新增钢铁、电力、水泥、玻璃、砖瓦、陶瓷、焦化、电解铝、有色等重点行业大气污染物排放。持续推进水泥、陶瓷、砖瓦、铸造、铁合金、钢铁等行业大气污染深度治理，深入推进颗粒物、二氧化硫、氮氧化物和挥发性有机物治理，持续推进陶瓷行业（喷雾干燥塔）清洁能源改造工程，加快推进五通桥涉氨排放化工企业氨排放治理。</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其他污染物排放管控要求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（1）新、改、扩建工业项目全面执行大气污染物特别排放限值。</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（2）乡镇生活污水处理设施全覆盖，生活污水收集处理率80%。到 2022 年底，65%以上的行政村农村生活污水得到有效治理。</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新、改扩建规模化畜禽养殖场（小区）要实施雨污分流、粪便污水资源化利用。主要农作物化肥、农药使用量实现零增长，利用率提高到40%以上，测土配方施肥技术推广覆盖率提高到90%以上，控制农村面源污染，采取灌排分离等措施控制农田氮磷流失。</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（4）新、改扩造纸企业参考执行乐山市“三线一单”生态环境分区管控中制浆造纸行业资源环境绩效准入门槛相应要求。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（5）屠宰项目如需接入城市污水管网，必须按照排水许可证要求排放污水，同时接受所在地的城镇排水主管部门的监督管理。</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（6）到 2023 年底，乡镇及行政村生活垃圾收转运处置体系基本实现全覆盖。</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7）大气环境布局敏感区强化挥发性有机物整治。扎实推进机械设备制造、家具制造等重点行业挥发性有机物治理，确保全面达标；推广使用符合环保要求的建筑涂料、木器涂料、胶黏剂等产品；全面推广汽修行业使用低挥发性涂料，采用高效涂装工艺，完善有机废气收集和处理系统，取缔露天和敞开式汽修喷涂作业。</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8）严格执行《关于实施第六阶段机动车排放标准的通告》及《四川省机动车和非道路移动机械排气污染防治办法》。加强油品的监督管理，按照国家、省要求全面供应国六标准的车用汽柴油，严厉打击生产、销售、使用不合格油品和车用尿素行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9）严格控制道路扬尘。国省道路、高速路连接线等重点通行线路和建成区城乡结合部每天机械化清扫、冲洗不少于1次。强化城郊结合部扬尘污染管控。重点抓好重点交通建筑工地扬尘治理，切实加强城郊结合部重点货车绕行道路扬尘治理。熏制腊肉集中规划布点，加强宣传和引导，防止腌制品熏制污染大气环境。</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环境风险防控：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联防联控要求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其他环境风险防控要求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（1）严禁新增以铅、汞、镉、铬、砷五类重金属为主的污染物排放，引导现有企业结合产业升级等适时搬入产业对口园区；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应按相关要求进行土壤环境状况调查评估，符合相应规划用地土壤环境质量要求的地块，方可进入用地程序；</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（3）严禁将城镇生活垃圾、污泥、工业废物直接用作肥料，禁止处理不达标的污泥进入耕地；禁止在农用地排放、倾倒、使用污泥、清淤底泥、尾矿（渣）等可能对土壤造成污染的固体废物；</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4）严格控制在优先保护类耕地集中的区县新建有色金属矿采选、有色金属冶炼、石油加工、化工、焦化、电镀、制革、天然（页岩）气开采、铅蓄电池、汽车制造、农药、危废处置、电子拆解、涉重等行业企业。严格控制林地、草地、园地的农药使用量，禁止使用高毒、高残留农药。</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资源开发利用效率要求：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水资源利用总量要求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加强农业灌溉管理，发展喷灌、微灌、管道输水灌溉、水肥一体化等高效农业节水灌溉方式和农耕农艺节水技术，提高输配水效率和调度水平。发展节水渔业、牧业，组织实施规模养殖场节水建设和改造，推行节水型畜禽养殖技术和方式。</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地下水开采要求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能源利用总量及效率要求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（1）禁止焚烧秸秆，大力推进秸秆肥料化、饲料化、基料化、原料化、能源化等多种形式的秸秆综合利用。</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（2）到2030年，农业废弃物全部实现资源化利用，</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（3）在秋收和夏收阶段开展秸秆禁烧专项巡查，强化成都平原地区区域联动。</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禁燃区要求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（1）能源结构以天然气和电为主。保留20蒸吨小时以上燃煤锅炉，并执行超低排放要求，鼓励搬入园区；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（2）禁燃区内禁止审批（核准、备案）、新建、扩建燃用高污染燃料的项目和设施。</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其他资源利用效率要求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tc>
        <w:tc>
          <w:tcPr>
            <w:tcW w:w="855" w:type="dxa"/>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污染物排放管控</w:t>
            </w:r>
          </w:p>
        </w:tc>
        <w:tc>
          <w:tcPr>
            <w:tcW w:w="406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现有源提标升级改造</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1、现有白酒、造纸等水污染企业，限期进行深度治理，不达标的企业关停并转；2、执行乐山市要素重点管控单元普适性总体准入要求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新增源等量或倍量替代</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执行乐山市要素重点管控单元普适性总体准入要求。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新增源排放标准限值</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污染物排放绩效水平准入要求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1、控制工业、生活污染源，减少移动源污染物排放。打好柴油货车污染治理攻坚战，实施“车、油、路、管”综合整治；加快老旧车辆的淘汰和不达标车辆的整治。加强渣土运输车辆规范化管理，严格实施密闭运输，强化城乡结合部环境监管。</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其他污染物排放管控要求</w:t>
            </w:r>
          </w:p>
        </w:tc>
        <w:tc>
          <w:tcPr>
            <w:tcW w:w="94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Fonts w:eastAsia="宋体"/>
                <w:color w:val="auto"/>
                <w:sz w:val="21"/>
              </w:rPr>
              <w:t>项目为</w:t>
            </w:r>
            <w:r>
              <w:rPr>
                <w:rFonts w:hint="eastAsia" w:eastAsia="宋体"/>
                <w:color w:val="auto"/>
                <w:sz w:val="21"/>
                <w:lang w:val="en-US" w:eastAsia="zh-CN"/>
              </w:rPr>
              <w:t>水库加固除险项目，项目运营期不新增污染物</w:t>
            </w:r>
          </w:p>
        </w:tc>
        <w:tc>
          <w:tcPr>
            <w:tcW w:w="613"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vMerge w:val="continue"/>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ZH51110220004</w:t>
            </w:r>
          </w:p>
        </w:tc>
        <w:tc>
          <w:tcPr>
            <w:tcW w:w="1095" w:type="dxa"/>
            <w:vMerge w:val="continue"/>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市中区要素重点管控单元</w:t>
            </w:r>
          </w:p>
        </w:tc>
        <w:tc>
          <w:tcPr>
            <w:tcW w:w="5670" w:type="dxa"/>
            <w:vMerge w:val="continue"/>
            <w:noWrap w:val="0"/>
            <w:vAlign w:val="center"/>
          </w:tcPr>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空间布局约束：</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禁止开发建设活动的要求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（1）禁止在长江干支流岸线一公里范围内新建、扩建化工园区和化工项目；禁止在长江重要支流岸线一公里范围内新建、改建、扩建尾矿库（以提升安全、生态环境保护水平为目的的改建除外）；</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（2）禁止在长江流域开放水域养殖、投放外来物种或者其他非本地物种种质资源。禁止在长江流域禁止采砂区和禁止采砂期从事采砂活动。全面停止小型水电项目开发，已建成的中小型水电站不再扩容；</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（3）禁止在法律法规规定的禁采区内开采矿产；禁止土法采、选、冶严重污染环境的矿产资源；</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（4）对于基本农田，除法律规定的重点建设项目选址确实无法避让外，其他任何建设不得占用；</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（5）畜禽养殖严格按照乐山市各区县畜禽养殖区域划定方案执行，依法关闭或搬迁禁养区内的畜禽养殖场（小区）和养殖专业户。</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限制开发建设活动的要求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（1）现有化工、建材、有色、钢铁等工业企业，原则上限制发展，污染物排放只降不增，允许以提升安全、生态环境保护水平为目的的改建，引导企业结合产业升级等适时搬迁入园；</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（2）单元内若新布局工业园区，应符合最新的国土空间规划，并结合区域环境特点、三线成果、园区产业类别，充分论证选址的环境合理性；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水环境农业污染重点管控区应严格限制布设以电力、钢铁、造纸、石化、化工、印染、化纤等高耗水行业为主导产业的园区；新建屠宰、用排水量大的农副产品加工等以水污染为主的企业，严格实行水污染物倍量替代；控制畜禽养殖规模，全面治理畜禽养殖污染；</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4）大气环境布局敏感区应严格限制布设以钢铁、建材、石化、化工、有色等高污染行业为主导产业的园区，大气环境弱扩散区谨慎布局垃圾发电、危废焚烧等以大气污染为主的企业；位于不达标区域的大气环境布局敏感严格限制新建、扩建涉气三类工业项目；</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5）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（6）坚持最严格的耕地保护制度，对全部耕地按限制开发的要求进行管理。严格限制农用地转为建设用地，控制建设用地总量，对耕地实行特殊保护；</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7）新建大中型水电工程，应当经科学论证，并报国务院或者国务院授权的部门批准。除与生态环境保护相协调的且是国务院及其相关部门、省级人民政府认可的脱贫攻坚项目外，严控新建商业开发的小水电项目；</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（8）长江流域河道采砂应当依法取得国务院水行政主管部门有关流域管理机构或者县级以上地方人民政府水行政主管部门的许可。严格控制采砂区域、采砂总量和采砂区域内的采砂船舶数量。</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不符合空间布局要求活动的退出要求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（1）全面取缔禁养区内规模化畜禽养殖场。岷江岸线延伸至陆域200米范围内基本消除畜禽养殖场（小区）；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（2）对长江流域已建小水电工程，不符合生态保护要求的，县级以上地方人民政府应当组织分类整改或者采取措施逐步退出；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（3）长江主要支流重点管控岸线：按照长江干线非法码头治理标准和生态保护红线管控等要求，持续开展长江主要支流非法码头整治。</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其他空间布局约束要求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污染物排放管控：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允许排放量要求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（1）对新建排放二氧化硫、氮氧化物、工业烟粉尘和挥发性有机物的项目实施现役源2倍削减替代；</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（2）上一年度水环境质量未完成目标的，新建排放水污染的建设项目按照总量管控要求进行倍量削减替代；</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（3）水质超标的水功能区，应当实施更严格的污染物排放总量削减要求。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现有源提标升级改造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（1）现有处理规模大于1000吨日的城镇生活污水处理厂，以及存栏量≥300 头猪、粪污经处理后向环境排放的畜禽养殖场，应执行《四川省岷江、沱江流域水污染物排放标准》（DB512311-2016）相关要求；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市中区、五通桥区、沙湾区、犍为县、井研县、夹江县、峨眉山市的现有企业执行相应行业以及锅炉大气污染物排放标准中颗粒物、二氧化硫、氮氧化物和挥发性有机物特别排放限值和特别控制要求。全市燃煤锅炉稳定达到超低排放限值要求，烟粉尘低于10毫克立方米，二氧化硫低于35毫克立方米，氮氧化物低于50毫克立方米；</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严禁新增钢铁、电力、水泥、玻璃、砖瓦、陶瓷、焦化、电解铝、有色等重点行业大气污染物排放。持续推进水泥、陶瓷、砖瓦、铸造、铁合金、钢铁等行业大气污染深度治理，深入推进颗粒物、二氧化硫、氮氧化物和挥发性有机物治理，持续推进陶瓷行业（喷雾干燥塔）清洁能源改造工程，加快推进五通桥涉氨排放化工企业氨排放治理。</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其他污染物排放管控要求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（1）新、改、扩建工业项目全面执行大气污染物特别排放限值。</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（2）乡镇生活污水处理设施全覆盖，生活污水收集处理率80%。到 2022 年底，65%以上的行政村农村生活污水得到有效治理。</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新、改扩建规模化畜禽养殖场（小区）要实施雨污分流、粪便污水资源化利用。主要农作物化肥、农药使用量实现零增长，利用率提高到40%以上，测土配方施肥技术推广覆盖率提高到90%以上，控制农村面源污染，采取灌排分离等措施控制农田氮磷流失。</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（4）新、改扩造纸企业参考执行乐山市“三线一单”生态环境分区管控中制浆造纸行业资源环境绩效准入门槛相应要求。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（5）屠宰项目如需接入城市污水管网，必须按照排水许可证要求排放污水，同时接受所在地的城镇排水主管部门的监督管理。</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（6）到 2023 年底，乡镇及行政村生活垃圾收转运处置体系基本实现全覆盖。</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7）大气环境布局敏感区强化挥发性有机物整治。扎实推进机械设备制造、家具制造等重点行业挥发性有机物治理，确保全面达标；推广使用符合环保要求的建筑涂料、木器涂料、胶黏剂等产品；全面推广汽修行业使用低挥发性涂料，采用高效涂装工艺，完善有机废气收集和处理系统，取缔露天和敞开式汽修喷涂作业。</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8）严格执行《关于实施第六阶段机动车排放标准的通告》及《四川省机动车和非道路移动机械排气污染防治办法》。加强油品的监督管理，按照国家、省要求全面供应国六标准的车用汽柴油，严厉打击生产、销售、使用不合格油品和车用尿素行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9）严格控制道路扬尘。国省道路、高速路连接线等重点通行线路和建成区城乡结合部每天机械化清扫、冲洗不少于1次。强化城郊结合部扬尘污染管控。重点抓好重点交通建筑工地扬尘治理，切实加强城郊结合部重点货车绕行道路扬尘治理。熏制腊肉集中规划布点，加强宣传和引导，防止腌制品熏制污染大气环境。</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环境风险防控：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联防联控要求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其他环境风险防控要求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（1）严禁新增以铅、汞、镉、铬、砷五类重金属为主的污染物排放，引导现有企业结合产业升级等适时搬入产业对口园区；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应按相关要求进行土壤环境状况调查评估，符合相应规划用地土壤环境质量要求的地块，方可进入用地程序；</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（3）严禁将城镇生活垃圾、污泥、工业废物直接用作肥料，禁止处理不达标的污泥进入耕地；禁止在农用地排放、倾倒、使用污泥、清淤底泥、尾矿（渣）等可能对土壤造成污染的固体废物；</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4）严格控制在优先保护类耕地集中的区县新建有色金属矿采选、有色金属冶炼、石油加工、化工、焦化、电镀、制革、天然（页岩）气开采、铅蓄电池、汽车制造、农药、危废处置、电子拆解、涉重等行业企业。严格控制林地、草地、园地的农药使用量，禁止使用高毒、高残留农药。</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资源开发利用效率要求：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水资源利用总量要求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加强农业灌溉管理，发展喷灌、微灌、管道输水灌溉、水肥一体化等高效农业节水灌溉方式和农耕农艺节水技术，提高输配水效率和调度水平。发展节水渔业、牧业，组织实施规模养殖场节水建设和改造，推行节水型畜禽养殖技术和方式。</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地下水开采要求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能源利用总量及效率要求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（1）禁止焚烧秸秆，大力推进秸秆肥料化、饲料化、基料化、原料化、能源化等多种形式的秸秆综合利用。</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（2）到2030年，农业废弃物全部实现资源化利用，</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（3）在秋收和夏收阶段开展秸秆禁烧专项巡查，强化成都平原地区区域联动。</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禁燃区要求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（1）能源结构以天然气和电为主。保留20蒸吨小时以上燃煤锅炉，并执行超低排放要求，鼓励搬入园区；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（2）禁燃区内禁止审批（核准、备案）、新建、扩建燃用高污染燃料的项目和设施。</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其他资源利用效率要求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tc>
        <w:tc>
          <w:tcPr>
            <w:tcW w:w="855" w:type="dxa"/>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环境风险防控</w:t>
            </w:r>
          </w:p>
        </w:tc>
        <w:tc>
          <w:tcPr>
            <w:tcW w:w="406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严格管控类农用地管控要求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安全利用类农用地管控要求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污染地块管控要求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园区环境风险防控要求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企业环境风险防控要求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1、土壤污染重点监管企业和污染地块应严格执行《中华人民共和国土壤污染防治法》、《工矿用地土壤环境管理办法（试行）》、《四川省工况用地土壤环境管理办法》、《土壤污染防治行动计划四川省工作方案》、《四川省污染地块土壤环境管理办法》等要求；2、其他执行乐山市要素重点管控单元普适性总体准入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其他环境风险防控要求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执行乐山市要素重点管控单元普适性总体准入要求。</w:t>
            </w:r>
          </w:p>
        </w:tc>
        <w:tc>
          <w:tcPr>
            <w:tcW w:w="94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项目将加强环境风险防范，坚持预防为主，构建环境风险防控体系加强协调联动，提升应急救援能力</w:t>
            </w:r>
          </w:p>
        </w:tc>
        <w:tc>
          <w:tcPr>
            <w:tcW w:w="613"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vMerge w:val="continue"/>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ZH51110220004</w:t>
            </w:r>
          </w:p>
        </w:tc>
        <w:tc>
          <w:tcPr>
            <w:tcW w:w="1095" w:type="dxa"/>
            <w:vMerge w:val="continue"/>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市中区要素重点管控单元</w:t>
            </w:r>
          </w:p>
        </w:tc>
        <w:tc>
          <w:tcPr>
            <w:tcW w:w="5670" w:type="dxa"/>
            <w:vMerge w:val="continue"/>
            <w:noWrap w:val="0"/>
            <w:vAlign w:val="center"/>
          </w:tcPr>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空间布局约束：</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禁止开发建设活动的要求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（1）禁止在长江干支流岸线一公里范围内新建、扩建化工园区和化工项目；禁止在长江重要支流岸线一公里范围内新建、改建、扩建尾矿库（以提升安全、生态环境保护水平为目的的改建除外）；</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（2）禁止在长江流域开放水域养殖、投放外来物种或者其他非本地物种种质资源。禁止在长江流域禁止采砂区和禁止采砂期从事采砂活动。全面停止小型水电项目开发，已建成的中小型水电站不再扩容；</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（3）禁止在法律法规规定的禁采区内开采矿产；禁止土法采、选、冶严重污染环境的矿产资源；</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（4）对于基本农田，除法律规定的重点建设项目选址确实无法避让外，其他任何建设不得占用；</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（5）畜禽养殖严格按照乐山市各区县畜禽养殖区域划定方案执行，依法关闭或搬迁禁养区内的畜禽养殖场（小区）和养殖专业户。</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限制开发建设活动的要求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（1）现有化工、建材、有色、钢铁等工业企业，原则上限制发展，污染物排放只降不增，允许以提升安全、生态环境保护水平为目的的改建，引导企业结合产业升级等适时搬迁入园；</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（2）单元内若新布局工业园区，应符合最新的国土空间规划，并结合区域环境特点、三线成果、园区产业类别，充分论证选址的环境合理性；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水环境农业污染重点管控区应严格限制布设以电力、钢铁、造纸、石化、化工、印染、化纤等高耗水行业为主导产业的园区；新建屠宰、用排水量大的农副产品加工等以水污染为主的企业，严格实行水污染物倍量替代；控制畜禽养殖规模，全面治理畜禽养殖污染；</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4）大气环境布局敏感区应严格限制布设以钢铁、建材、石化、化工、有色等高污染行业为主导产业的园区，大气环境弱扩散区谨慎布局垃圾发电、危废焚烧等以大气污染为主的企业；位于不达标区域的大气环境布局敏感严格限制新建、扩建涉气三类工业项目；</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5）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（6）坚持最严格的耕地保护制度，对全部耕地按限制开发的要求进行管理。严格限制农用地转为建设用地，控制建设用地总量，对耕地实行特殊保护；</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7）新建大中型水电工程，应当经科学论证，并报国务院或者国务院授权的部门批准。除与生态环境保护相协调的且是国务院及其相关部门、省级人民政府认可的脱贫攻坚项目外，严控新建商业开发的小水电项目；</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（8）长江流域河道采砂应当依法取得国务院水行政主管部门有关流域管理机构或者县级以上地方人民政府水行政主管部门的许可。严格控制采砂区域、采砂总量和采砂区域内的采砂船舶数量。</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不符合空间布局要求活动的退出要求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（1）全面取缔禁养区内规模化畜禽养殖场。岷江岸线延伸至陆域200米范围内基本消除畜禽养殖场（小区）；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（2）对长江流域已建小水电工程，不符合生态保护要求的，县级以上地方人民政府应当组织分类整改或者采取措施逐步退出；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（3）长江主要支流重点管控岸线：按照长江干线非法码头治理标准和生态保护红线管控等要求，持续开展长江主要支流非法码头整治。</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其他空间布局约束要求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污染物排放管控：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允许排放量要求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（1）对新建排放二氧化硫、氮氧化物、工业烟粉尘和挥发性有机物的项目实施现役源2倍削减替代；</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（2）上一年度水环境质量未完成目标的，新建排放水污染的建设项目按照总量管控要求进行倍量削减替代；</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（3）水质超标的水功能区，应当实施更严格的污染物排放总量削减要求。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现有源提标升级改造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（1）现有处理规模大于1000吨日的城镇生活污水处理厂，以及存栏量≥300 头猪、粪污经处理后向环境排放的畜禽养殖场，应执行《四川省岷江、沱江流域水污染物排放标准》（DB512311-2016）相关要求；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市中区、五通桥区、沙湾区、犍为县、井研县、夹江县、峨眉山市的现有企业执行相应行业以及锅炉大气污染物排放标准中颗粒物、二氧化硫、氮氧化物和挥发性有机物特别排放限值和特别控制要求。全市燃煤锅炉稳定达到超低排放限值要求，烟粉尘低于10毫克立方米，二氧化硫低于35毫克立方米，氮氧化物低于50毫克立方米；</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严禁新增钢铁、电力、水泥、玻璃、砖瓦、陶瓷、焦化、电解铝、有色等重点行业大气污染物排放。持续推进水泥、陶瓷、砖瓦、铸造、铁合金、钢铁等行业大气污染深度治理，深入推进颗粒物、二氧化硫、氮氧化物和挥发性有机物治理，持续推进陶瓷行业（喷雾干燥塔）清洁能源改造工程，加快推进五通桥涉氨排放化工企业氨排放治理。</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其他污染物排放管控要求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（1）新、改、扩建工业项目全面执行大气污染物特别排放限值。</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（2）乡镇生活污水处理设施全覆盖，生活污水收集处理率80%。到 2022 年底，65%以上的行政村农村生活污水得到有效治理。</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新、改扩建规模化畜禽养殖场（小区）要实施雨污分流、粪便污水资源化利用。主要农作物化肥、农药使用量实现零增长，利用率提高到40%以上，测土配方施肥技术推广覆盖率提高到90%以上，控制农村面源污染，采取灌排分离等措施控制农田氮磷流失。</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（4）新、改扩造纸企业参考执行乐山市“三线一单”生态环境分区管控中制浆造纸行业资源环境绩效准入门槛相应要求。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（5）屠宰项目如需接入城市污水管网，必须按照排水许可证要求排放污水，同时接受所在地的城镇排水主管部门的监督管理。</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（6）到 2023 年底，乡镇及行政村生活垃圾收转运处置体系基本实现全覆盖。</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7）大气环境布局敏感区强化挥发性有机物整治。扎实推进机械设备制造、家具制造等重点行业挥发性有机物治理，确保全面达标；推广使用符合环保要求的建筑涂料、木器涂料、胶黏剂等产品；全面推广汽修行业使用低挥发性涂料，采用高效涂装工艺，完善有机废气收集和处理系统，取缔露天和敞开式汽修喷涂作业。</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8）严格执行《关于实施第六阶段机动车排放标准的通告》及《四川省机动车和非道路移动机械排气污染防治办法》。加强油品的监督管理，按照国家、省要求全面供应国六标准的车用汽柴油，严厉打击生产、销售、使用不合格油品和车用尿素行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9）严格控制道路扬尘。国省道路、高速路连接线等重点通行线路和建成区城乡结合部每天机械化清扫、冲洗不少于1次。强化城郊结合部扬尘污染管控。重点抓好重点交通建筑工地扬尘治理，切实加强城郊结合部重点货车绕行道路扬尘治理。熏制腊肉集中规划布点，加强宣传和引导，防止腌制品熏制污染大气环境。</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环境风险防控：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联防联控要求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其他环境风险防控要求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（1）严禁新增以铅、汞、镉、铬、砷五类重金属为主的污染物排放，引导现有企业结合产业升级等适时搬入产业对口园区；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应按相关要求进行土壤环境状况调查评估，符合相应规划用地土壤环境质量要求的地块，方可进入用地程序；</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（3）严禁将城镇生活垃圾、污泥、工业废物直接用作肥料，禁止处理不达标的污泥进入耕地；禁止在农用地排放、倾倒、使用污泥、清淤底泥、尾矿（渣）等可能对土壤造成污染的固体废物；</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4）严格控制在优先保护类耕地集中的区县新建有色金属矿采选、有色金属冶炼、石油加工、化工、焦化、电镀、制革、天然（页岩）气开采、铅蓄电池、汽车制造、农药、危废处置、电子拆解、涉重等行业企业。严格控制林地、草地、园地的农药使用量，禁止使用高毒、高残留农药。</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资源开发利用效率要求：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水资源利用总量要求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加强农业灌溉管理，发展喷灌、微灌、管道输水灌溉、水肥一体化等高效农业节水灌溉方式和农耕农艺节水技术，提高输配水效率和调度水平。发展节水渔业、牧业，组织实施规模养殖场节水建设和改造，推行节水型畜禽养殖技术和方式。</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地下水开采要求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能源利用总量及效率要求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（1）禁止焚烧秸秆，大力推进秸秆肥料化、饲料化、基料化、原料化、能源化等多种形式的秸秆综合利用。</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（2）到2030年，农业废弃物全部实现资源化利用，</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（3）在秋收和夏收阶段开展秸秆禁烧专项巡查，强化成都平原地区区域联动。</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禁燃区要求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（1）能源结构以天然气和电为主。保留20蒸吨小时以上燃煤锅炉，并执行超低排放要求，鼓励搬入园区；</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（2）禁燃区内禁止审批（核准、备案）、新建、扩建燃用高污染燃料的项目和设施。</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其他资源利用效率要求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tc>
        <w:tc>
          <w:tcPr>
            <w:tcW w:w="855" w:type="dxa"/>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资源开发效率要求</w:t>
            </w:r>
          </w:p>
        </w:tc>
        <w:tc>
          <w:tcPr>
            <w:tcW w:w="406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水资源利用效率要求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执行乐山市要素重点管控单元普适性总体准入要求。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地下水开采要求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能源利用效率要求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执行乐山市要素重点管控单元普适性总体准入要求。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其他资源利用效率要求</w:t>
            </w:r>
          </w:p>
        </w:tc>
        <w:tc>
          <w:tcPr>
            <w:tcW w:w="94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w:t>
            </w:r>
          </w:p>
        </w:tc>
        <w:tc>
          <w:tcPr>
            <w:tcW w:w="613"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vMerge w:val="restart"/>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YS5111023210024</w:t>
            </w:r>
          </w:p>
        </w:tc>
        <w:tc>
          <w:tcPr>
            <w:tcW w:w="1095" w:type="dxa"/>
            <w:vMerge w:val="restart"/>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岷江市中区青衣坝控制单元</w:t>
            </w:r>
          </w:p>
        </w:tc>
        <w:tc>
          <w:tcPr>
            <w:tcW w:w="5670" w:type="dxa"/>
            <w:vMerge w:val="restart"/>
            <w:noWrap w:val="0"/>
            <w:vAlign w:val="center"/>
          </w:tcPr>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空间布局约束：</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禁止开发建设活动的要求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限制开发建设活动的要求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不符合空间布局要求活动的退出要求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其他空间布局约束要求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污染物排放管控：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允许排放量要求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现有源提标升级改造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其他污染物排放管控要求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环境风险防控：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联防联控要求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其他环境风险防控要求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资源开发利用效率要求：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水资源利用总量要求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地下水开采要求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能源利用总量及效率要求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禁燃区要求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其他资源利用效率要求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tc>
        <w:tc>
          <w:tcPr>
            <w:tcW w:w="855" w:type="dxa"/>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空间布局约束</w:t>
            </w:r>
          </w:p>
        </w:tc>
        <w:tc>
          <w:tcPr>
            <w:tcW w:w="406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禁止开发建设活动的要求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限制开发建设活动的要求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允许开发建设活动的要求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不符合空间布局要求活动的退出要求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其他空间布局约束要求</w:t>
            </w:r>
          </w:p>
        </w:tc>
        <w:tc>
          <w:tcPr>
            <w:tcW w:w="94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w:t>
            </w:r>
          </w:p>
        </w:tc>
        <w:tc>
          <w:tcPr>
            <w:tcW w:w="613"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vMerge w:val="continue"/>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YS5111023210024</w:t>
            </w:r>
          </w:p>
        </w:tc>
        <w:tc>
          <w:tcPr>
            <w:tcW w:w="1095" w:type="dxa"/>
            <w:vMerge w:val="continue"/>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岷江市中区青衣坝控制单元</w:t>
            </w:r>
          </w:p>
        </w:tc>
        <w:tc>
          <w:tcPr>
            <w:tcW w:w="5670" w:type="dxa"/>
            <w:vMerge w:val="continue"/>
            <w:noWrap w:val="0"/>
            <w:vAlign w:val="center"/>
          </w:tcPr>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空间布局约束：</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禁止开发建设活动的要求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限制开发建设活动的要求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不符合空间布局要求活动的退出要求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其他空间布局约束要求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污染物排放管控：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允许排放量要求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现有源提标升级改造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其他污染物排放管控要求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环境风险防控：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联防联控要求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其他环境风险防控要求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资源开发利用效率要求：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水资源利用总量要求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地下水开采要求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能源利用总量及效率要求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禁燃区要求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其他资源利用效率要求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tc>
        <w:tc>
          <w:tcPr>
            <w:tcW w:w="855" w:type="dxa"/>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污染物排放管控</w:t>
            </w:r>
          </w:p>
        </w:tc>
        <w:tc>
          <w:tcPr>
            <w:tcW w:w="406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城镇污水污染控制措施要求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工业废水污染控制措施要求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农业面源水污染控制措施要求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合理布局畜禽养殖规模，单位面积耕地的畜禽承载力不突破《四川省畜禽养殖污染防治技术指南》要求；强化畜禽养殖场污染治理，提高养殖粪污资源化利用率。</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船舶港口水污染控制措施要求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饮用水水源和其它特殊水体保护要求</w:t>
            </w:r>
          </w:p>
        </w:tc>
        <w:tc>
          <w:tcPr>
            <w:tcW w:w="94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项目运营期不新增污染物</w:t>
            </w:r>
          </w:p>
        </w:tc>
        <w:tc>
          <w:tcPr>
            <w:tcW w:w="613"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vMerge w:val="continue"/>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YS5111023210024</w:t>
            </w:r>
          </w:p>
        </w:tc>
        <w:tc>
          <w:tcPr>
            <w:tcW w:w="1095" w:type="dxa"/>
            <w:vMerge w:val="continue"/>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岷江市中区青衣坝控制单元</w:t>
            </w:r>
          </w:p>
        </w:tc>
        <w:tc>
          <w:tcPr>
            <w:tcW w:w="5670" w:type="dxa"/>
            <w:vMerge w:val="continue"/>
            <w:noWrap w:val="0"/>
            <w:vAlign w:val="center"/>
          </w:tcPr>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空间布局约束：</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禁止开发建设活动的要求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限制开发建设活动的要求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不符合空间布局要求活动的退出要求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其他空间布局约束要求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污染物排放管控：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允许排放量要求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现有源提标升级改造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其他污染物排放管控要求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环境风险防控：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联防联控要求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其他环境风险防控要求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资源开发利用效率要求：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水资源利用总量要求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地下水开采要求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能源利用总量及效率要求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禁燃区要求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其他资源利用效率要求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tc>
        <w:tc>
          <w:tcPr>
            <w:tcW w:w="855" w:type="dxa"/>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环境风险防控</w:t>
            </w:r>
          </w:p>
        </w:tc>
        <w:tc>
          <w:tcPr>
            <w:tcW w:w="4065" w:type="dxa"/>
            <w:vMerge w:val="restart"/>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w:t>
            </w:r>
          </w:p>
        </w:tc>
        <w:tc>
          <w:tcPr>
            <w:tcW w:w="94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w:t>
            </w:r>
          </w:p>
        </w:tc>
        <w:tc>
          <w:tcPr>
            <w:tcW w:w="613"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vMerge w:val="continue"/>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YS5111023210024</w:t>
            </w:r>
          </w:p>
        </w:tc>
        <w:tc>
          <w:tcPr>
            <w:tcW w:w="1095" w:type="dxa"/>
            <w:vMerge w:val="continue"/>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岷江市中区青衣坝控制单元</w:t>
            </w:r>
          </w:p>
        </w:tc>
        <w:tc>
          <w:tcPr>
            <w:tcW w:w="5670" w:type="dxa"/>
            <w:vMerge w:val="continue"/>
            <w:noWrap w:val="0"/>
            <w:vAlign w:val="center"/>
          </w:tcPr>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空间布局约束：</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禁止开发建设活动的要求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限制开发建设活动的要求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不符合空间布局要求活动的退出要求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其他空间布局约束要求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污染物排放管控：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允许排放量要求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现有源提标升级改造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其他污染物排放管控要求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环境风险防控：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联防联控要求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其他环境风险防控要求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资源开发利用效率要求：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水资源利用总量要求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地下水开采要求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能源利用总量及效率要求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禁燃区要求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其他资源利用效率要求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tc>
        <w:tc>
          <w:tcPr>
            <w:tcW w:w="855" w:type="dxa"/>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资源开发效率要求</w:t>
            </w:r>
          </w:p>
        </w:tc>
        <w:tc>
          <w:tcPr>
            <w:tcW w:w="4065" w:type="dxa"/>
            <w:vMerge w:val="continue"/>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w:t>
            </w:r>
          </w:p>
        </w:tc>
        <w:tc>
          <w:tcPr>
            <w:tcW w:w="94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w:t>
            </w:r>
          </w:p>
        </w:tc>
        <w:tc>
          <w:tcPr>
            <w:tcW w:w="613"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vMerge w:val="restart"/>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YS5111022320001</w:t>
            </w:r>
          </w:p>
        </w:tc>
        <w:tc>
          <w:tcPr>
            <w:tcW w:w="1095" w:type="dxa"/>
            <w:vMerge w:val="restart"/>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乐山市市中区大气环境布局敏感重点管控区</w:t>
            </w:r>
          </w:p>
        </w:tc>
        <w:tc>
          <w:tcPr>
            <w:tcW w:w="5670" w:type="dxa"/>
            <w:vMerge w:val="continue"/>
            <w:noWrap w:val="0"/>
            <w:vAlign w:val="center"/>
          </w:tcPr>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空间布局约束：</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禁止开发建设活动的要求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限制开发建设活动的要求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不符合空间布局要求活动的退出要求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其他空间布局约束要求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污染物排放管控：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允许排放量要求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现有源提标升级改造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其他污染物排放管控要求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环境风险防控：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联防联控要求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其他环境风险防控要求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资源开发利用效率要求：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水资源利用总量要求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地下水开采要求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能源利用总量及效率要求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禁燃区要求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其他资源利用效率要求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tc>
        <w:tc>
          <w:tcPr>
            <w:tcW w:w="855" w:type="dxa"/>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空间布局约束</w:t>
            </w:r>
          </w:p>
        </w:tc>
        <w:tc>
          <w:tcPr>
            <w:tcW w:w="406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禁止开发建设活动的要求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限制开发建设活动的要求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允许开发建设活动的要求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不符合空间布局要求活动的退出要求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其他空间布局约束要求</w:t>
            </w:r>
          </w:p>
        </w:tc>
        <w:tc>
          <w:tcPr>
            <w:tcW w:w="94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w:t>
            </w:r>
          </w:p>
        </w:tc>
        <w:tc>
          <w:tcPr>
            <w:tcW w:w="613"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vMerge w:val="continue"/>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YS5111022320001</w:t>
            </w:r>
          </w:p>
        </w:tc>
        <w:tc>
          <w:tcPr>
            <w:tcW w:w="1095" w:type="dxa"/>
            <w:vMerge w:val="continue"/>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乐山市市中区大气环境布局敏感重点管控区</w:t>
            </w:r>
          </w:p>
        </w:tc>
        <w:tc>
          <w:tcPr>
            <w:tcW w:w="5670" w:type="dxa"/>
            <w:vMerge w:val="continue"/>
            <w:noWrap w:val="0"/>
            <w:vAlign w:val="center"/>
          </w:tcPr>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空间布局约束：</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禁止开发建设活动的要求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限制开发建设活动的要求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不符合空间布局要求活动的退出要求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其他空间布局约束要求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污染物排放管控：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允许排放量要求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现有源提标升级改造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其他污染物排放管控要求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环境风险防控：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联防联控要求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其他环境风险防控要求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资源开发利用效率要求：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水资源利用总量要求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地下水开采要求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能源利用总量及效率要求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禁燃区要求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其他资源利用效率要求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tc>
        <w:tc>
          <w:tcPr>
            <w:tcW w:w="855" w:type="dxa"/>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污染物排放管控</w:t>
            </w:r>
          </w:p>
        </w:tc>
        <w:tc>
          <w:tcPr>
            <w:tcW w:w="406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大气环境质量执行标准</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《环境空气质量标准》（GB3095-2012）：二级</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区域大气污染物削减/替代要求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新增大气污染物排放的建设项目实施总量削减替代。</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燃煤和其他能源大气污染控制要求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工业废气污染控制要求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机动车船大气污染控制要求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扬尘污染控制要求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农业生产经营活动大气污染控制要求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重点行业企业专项治理要求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其他大气污染物排放管控要求</w:t>
            </w:r>
          </w:p>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禁止新建高污染项目，新上涉及大气污染物排放的项目必须采用国际领先、国内一流的清洁生产技术。把能源消耗与污染物排放总量指标作为环评审批的前置条件，对新建排放二氧化硫、氮氧化物、工业烟粉尘和挥发性有机物的项目实施现役源2倍削减量替代。提高挥发性有机物污染企业环境准入门槛。对涉VOCs新建项目进行严格把关，要求各类涉VOCs的建设项目在设计、建设中使用国际领先、国内一流的清洁生产和密闭化工艺。</w:t>
            </w:r>
          </w:p>
        </w:tc>
        <w:tc>
          <w:tcPr>
            <w:tcW w:w="94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项目运营期不新增污染物</w:t>
            </w:r>
          </w:p>
        </w:tc>
        <w:tc>
          <w:tcPr>
            <w:tcW w:w="613"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vMerge w:val="continue"/>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YS5111022320001</w:t>
            </w:r>
          </w:p>
        </w:tc>
        <w:tc>
          <w:tcPr>
            <w:tcW w:w="1095" w:type="dxa"/>
            <w:vMerge w:val="continue"/>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乐山市市中区大气环境布局敏感重点管控区</w:t>
            </w:r>
          </w:p>
        </w:tc>
        <w:tc>
          <w:tcPr>
            <w:tcW w:w="5670" w:type="dxa"/>
            <w:vMerge w:val="continue"/>
            <w:noWrap w:val="0"/>
            <w:vAlign w:val="center"/>
          </w:tcPr>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空间布局约束：</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禁止开发建设活动的要求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限制开发建设活动的要求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不符合空间布局要求活动的退出要求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其他空间布局约束要求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污染物排放管控：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允许排放量要求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现有源提标升级改造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其他污染物排放管控要求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环境风险防控：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联防联控要求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其他环境风险防控要求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资源开发利用效率要求：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水资源利用总量要求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地下水开采要求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能源利用总量及效率要求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禁燃区要求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其他资源利用效率要求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tc>
        <w:tc>
          <w:tcPr>
            <w:tcW w:w="855" w:type="dxa"/>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环境风险防控</w:t>
            </w:r>
          </w:p>
        </w:tc>
        <w:tc>
          <w:tcPr>
            <w:tcW w:w="4065" w:type="dxa"/>
            <w:vMerge w:val="restart"/>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w:t>
            </w:r>
          </w:p>
        </w:tc>
        <w:tc>
          <w:tcPr>
            <w:tcW w:w="94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w:t>
            </w:r>
          </w:p>
        </w:tc>
        <w:tc>
          <w:tcPr>
            <w:tcW w:w="613"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dxa"/>
            <w:vMerge w:val="continue"/>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YS5111022320001</w:t>
            </w:r>
          </w:p>
        </w:tc>
        <w:tc>
          <w:tcPr>
            <w:tcW w:w="1095" w:type="dxa"/>
            <w:vMerge w:val="continue"/>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乐山市市中区大气环境布局敏感重点管控区</w:t>
            </w:r>
          </w:p>
        </w:tc>
        <w:tc>
          <w:tcPr>
            <w:tcW w:w="5670" w:type="dxa"/>
            <w:vMerge w:val="continue"/>
            <w:noWrap w:val="0"/>
            <w:vAlign w:val="center"/>
          </w:tcPr>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空间布局约束：</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禁止开发建设活动的要求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限制开发建设活动的要求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不符合空间布局要求活动的退出要求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其他空间布局约束要求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污染物排放管控：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允许排放量要求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现有源提标升级改造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其他污染物排放管控要求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环境风险防控：</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联防联控要求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其他环境风险防控要求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资源开发利用效率要求：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水资源利用总量要求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地下水开采要求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能源利用总量及效率要求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禁燃区要求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其他资源利用效率要求</w:t>
            </w:r>
          </w:p>
          <w:p>
            <w:pPr>
              <w:pStyle w:val="198"/>
              <w:widowControl w:val="0"/>
              <w:spacing w:line="360" w:lineRule="auto"/>
              <w:ind w:firstLine="0" w:firstLineChars="0"/>
              <w:jc w:val="center"/>
              <w:rPr>
                <w:rStyle w:val="41"/>
                <w:rFonts w:hint="default" w:ascii="Times New Roman" w:hAnsi="Times New Roman" w:eastAsia="宋体" w:cs="Times New Roman"/>
                <w:color w:val="auto"/>
                <w:kern w:val="0"/>
                <w:sz w:val="21"/>
                <w:szCs w:val="21"/>
                <w:lang w:val="en-US" w:eastAsia="zh-CN" w:bidi="ar-SA"/>
              </w:rPr>
            </w:pPr>
            <w:r>
              <w:rPr>
                <w:rStyle w:val="41"/>
                <w:rFonts w:hint="default" w:ascii="Times New Roman" w:hAnsi="Times New Roman" w:eastAsia="宋体" w:cs="Times New Roman"/>
                <w:color w:val="auto"/>
                <w:kern w:val="0"/>
                <w:sz w:val="21"/>
                <w:szCs w:val="21"/>
                <w:lang w:val="en-US" w:eastAsia="zh-CN" w:bidi="ar-SA"/>
              </w:rPr>
              <w:t>暂无</w:t>
            </w:r>
          </w:p>
        </w:tc>
        <w:tc>
          <w:tcPr>
            <w:tcW w:w="855" w:type="dxa"/>
            <w:noWrap w:val="0"/>
            <w:vAlign w:val="center"/>
          </w:tcPr>
          <w:p>
            <w:pPr>
              <w:pStyle w:val="198"/>
              <w:widowControl/>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资源开发效率要求</w:t>
            </w:r>
          </w:p>
        </w:tc>
        <w:tc>
          <w:tcPr>
            <w:tcW w:w="4065" w:type="dxa"/>
            <w:vMerge w:val="continue"/>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default" w:ascii="Times New Roman" w:hAnsi="Times New Roman" w:eastAsia="宋体" w:cs="Times New Roman"/>
                <w:color w:val="auto"/>
                <w:kern w:val="2"/>
                <w:sz w:val="21"/>
                <w:szCs w:val="21"/>
                <w:lang w:val="en-US" w:eastAsia="zh-CN" w:bidi="ar-SA"/>
              </w:rPr>
              <w:t>/</w:t>
            </w:r>
          </w:p>
        </w:tc>
        <w:tc>
          <w:tcPr>
            <w:tcW w:w="945"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w:t>
            </w:r>
          </w:p>
        </w:tc>
        <w:tc>
          <w:tcPr>
            <w:tcW w:w="613" w:type="dxa"/>
            <w:noWrap w:val="0"/>
            <w:vAlign w:val="center"/>
          </w:tcPr>
          <w:p>
            <w:pPr>
              <w:pStyle w:val="198"/>
              <w:widowControl/>
              <w:shd w:val="clear" w:color="auto" w:fill="FFFFFF"/>
              <w:spacing w:line="240" w:lineRule="auto"/>
              <w:ind w:firstLine="0" w:firstLineChars="0"/>
              <w:jc w:val="center"/>
              <w:rPr>
                <w:rStyle w:val="41"/>
                <w:rFonts w:hint="default" w:ascii="Times New Roman" w:hAnsi="Times New Roman" w:eastAsia="宋体" w:cs="Times New Roman"/>
                <w:color w:val="auto"/>
                <w:kern w:val="2"/>
                <w:sz w:val="21"/>
                <w:szCs w:val="21"/>
                <w:lang w:val="en-US" w:eastAsia="zh-CN" w:bidi="ar-SA"/>
              </w:rPr>
            </w:pPr>
            <w:r>
              <w:rPr>
                <w:rStyle w:val="41"/>
                <w:rFonts w:hint="eastAsia" w:ascii="Times New Roman" w:hAnsi="Times New Roman" w:eastAsia="宋体" w:cs="Times New Roman"/>
                <w:color w:val="auto"/>
                <w:kern w:val="2"/>
                <w:sz w:val="21"/>
                <w:szCs w:val="21"/>
                <w:lang w:val="en-US" w:eastAsia="zh-CN" w:bidi="ar-SA"/>
              </w:rPr>
              <w:t>/</w:t>
            </w:r>
          </w:p>
        </w:tc>
      </w:tr>
    </w:tbl>
    <w:p>
      <w:pPr>
        <w:pStyle w:val="50"/>
        <w:rPr>
          <w:rFonts w:hint="default"/>
          <w:color w:val="auto"/>
        </w:rPr>
        <w:sectPr>
          <w:pgSz w:w="16838" w:h="11906" w:orient="landscape"/>
          <w:pgMar w:top="1080" w:right="1440" w:bottom="1080" w:left="1440" w:header="851" w:footer="1077" w:gutter="0"/>
          <w:pgBorders>
            <w:top w:val="none" w:sz="0" w:space="0"/>
            <w:left w:val="none" w:sz="0" w:space="0"/>
            <w:bottom w:val="none" w:sz="0" w:space="0"/>
            <w:right w:val="none" w:sz="0" w:space="0"/>
          </w:pgBorders>
          <w:pgNumType w:fmt="decimal" w:start="1"/>
          <w:cols w:space="720" w:num="1"/>
          <w:docGrid w:linePitch="312" w:charSpace="0"/>
        </w:sectPr>
      </w:pPr>
    </w:p>
    <w:p>
      <w:pPr>
        <w:pStyle w:val="34"/>
        <w:keepNext w:val="0"/>
        <w:keepLines w:val="0"/>
        <w:pageBreakBefore w:val="0"/>
        <w:kinsoku/>
        <w:wordWrap/>
        <w:overflowPunct/>
        <w:topLinePunct w:val="0"/>
        <w:bidi w:val="0"/>
        <w:adjustRightInd w:val="0"/>
        <w:snapToGrid w:val="0"/>
        <w:jc w:val="center"/>
        <w:textAlignment w:val="auto"/>
        <w:outlineLvl w:val="0"/>
        <w:rPr>
          <w:rFonts w:hint="default" w:ascii="Times New Roman" w:hAnsi="Times New Roman" w:eastAsia="宋体" w:cs="Times New Roman"/>
          <w:b/>
          <w:bCs/>
          <w:snapToGrid w:val="0"/>
          <w:color w:val="auto"/>
          <w:sz w:val="30"/>
          <w:szCs w:val="30"/>
        </w:rPr>
      </w:pPr>
      <w:r>
        <w:rPr>
          <w:rFonts w:hint="default" w:ascii="Times New Roman" w:hAnsi="Times New Roman" w:eastAsia="宋体" w:cs="Times New Roman"/>
          <w:b/>
          <w:bCs/>
          <w:snapToGrid w:val="0"/>
          <w:color w:val="auto"/>
          <w:sz w:val="30"/>
          <w:szCs w:val="30"/>
        </w:rPr>
        <w:t>二、建设内容</w:t>
      </w:r>
    </w:p>
    <w:tbl>
      <w:tblPr>
        <w:tblStyle w:val="3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950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7" w:hRule="atLeast"/>
          <w:jc w:val="center"/>
        </w:trPr>
        <w:tc>
          <w:tcPr>
            <w:tcW w:w="228"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地理位置</w:t>
            </w:r>
          </w:p>
        </w:tc>
        <w:tc>
          <w:tcPr>
            <w:tcW w:w="477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1"/>
                <w:sz w:val="24"/>
                <w:szCs w:val="24"/>
                <w:lang w:val="en-US" w:eastAsia="zh-CN"/>
              </w:rPr>
            </w:pPr>
            <w:r>
              <w:rPr>
                <w:rFonts w:hint="default" w:ascii="Times New Roman" w:hAnsi="Times New Roman" w:eastAsia="宋体" w:cs="Times New Roman"/>
                <w:color w:val="auto"/>
                <w:kern w:val="21"/>
                <w:sz w:val="24"/>
                <w:szCs w:val="24"/>
                <w:lang w:val="en-US" w:eastAsia="zh-CN"/>
              </w:rPr>
              <w:t>项目位于乐山市市中区大佛街道（原凌云乡）东北约3km的三尊村境内，岷江中下游左岸支流冷水河上游。</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rPr>
            </w:pPr>
            <w:r>
              <w:rPr>
                <w:rFonts w:hint="default" w:ascii="Times New Roman" w:hAnsi="Times New Roman" w:eastAsia="宋体" w:cs="Times New Roman"/>
                <w:color w:val="auto"/>
                <w:kern w:val="21"/>
                <w:sz w:val="24"/>
                <w:szCs w:val="24"/>
                <w:lang w:val="en-US" w:eastAsia="zh-CN"/>
              </w:rPr>
              <w:t xml:space="preserve">本项目地理位置详见附图1。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8"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项目组成及规模</w:t>
            </w:r>
          </w:p>
        </w:tc>
        <w:tc>
          <w:tcPr>
            <w:tcW w:w="4771" w:type="pct"/>
            <w:noWrap w:val="0"/>
            <w:vAlign w:val="center"/>
          </w:tcPr>
          <w:p>
            <w:pPr>
              <w:keepNext w:val="0"/>
              <w:keepLines w:val="0"/>
              <w:pageBreakBefore w:val="0"/>
              <w:numPr>
                <w:ilvl w:val="0"/>
                <w:numId w:val="0"/>
              </w:numPr>
              <w:kinsoku/>
              <w:wordWrap/>
              <w:overflowPunct/>
              <w:topLinePunct w:val="0"/>
              <w:autoSpaceDE/>
              <w:autoSpaceDN/>
              <w:bidi w:val="0"/>
              <w:adjustRightInd w:val="0"/>
              <w:snapToGrid w:val="0"/>
              <w:spacing w:line="360" w:lineRule="auto"/>
              <w:ind w:right="0" w:rightChars="0" w:firstLine="482" w:firstLineChars="200"/>
              <w:jc w:val="both"/>
              <w:textAlignment w:val="auto"/>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1、项目背景</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山珍水库位于乐山市市中区大佛街道（原凌云乡）三尊村，岷江中下游左岸支流冷水河上游。工程等别为IV等工程，属小（I）型水库，主要建筑物级别为4级。坝址以上集水面积3.39km</w:t>
            </w:r>
            <w:r>
              <w:rPr>
                <w:rFonts w:hint="default" w:ascii="Times New Roman" w:hAnsi="Times New Roman" w:eastAsia="宋体" w:cs="Times New Roman"/>
                <w:b w:val="0"/>
                <w:bCs w:val="0"/>
                <w:color w:val="auto"/>
                <w:sz w:val="24"/>
                <w:vertAlign w:val="superscript"/>
                <w:lang w:val="en-US" w:eastAsia="zh-CN"/>
              </w:rPr>
              <w:t>2</w:t>
            </w:r>
            <w:r>
              <w:rPr>
                <w:rFonts w:hint="default" w:ascii="Times New Roman" w:hAnsi="Times New Roman" w:eastAsia="宋体" w:cs="Times New Roman"/>
                <w:b w:val="0"/>
                <w:bCs w:val="0"/>
                <w:color w:val="auto"/>
                <w:sz w:val="24"/>
                <w:lang w:val="en-US" w:eastAsia="zh-CN"/>
              </w:rPr>
              <w:t>，总库容600.41万m</w:t>
            </w:r>
            <w:r>
              <w:rPr>
                <w:rFonts w:hint="default" w:ascii="Times New Roman" w:hAnsi="Times New Roman" w:eastAsia="宋体" w:cs="Times New Roman"/>
                <w:b w:val="0"/>
                <w:bCs w:val="0"/>
                <w:color w:val="auto"/>
                <w:sz w:val="24"/>
                <w:vertAlign w:val="superscript"/>
                <w:lang w:val="en-US" w:eastAsia="zh-CN"/>
              </w:rPr>
              <w:t>3</w:t>
            </w:r>
            <w:r>
              <w:rPr>
                <w:rFonts w:hint="default" w:ascii="Times New Roman" w:hAnsi="Times New Roman" w:eastAsia="宋体" w:cs="Times New Roman"/>
                <w:b w:val="0"/>
                <w:bCs w:val="0"/>
                <w:color w:val="auto"/>
                <w:sz w:val="24"/>
                <w:lang w:val="en-US" w:eastAsia="zh-CN"/>
              </w:rPr>
              <w:t>，兴利库容498.84万m</w:t>
            </w:r>
            <w:r>
              <w:rPr>
                <w:rFonts w:hint="default" w:ascii="Times New Roman" w:hAnsi="Times New Roman" w:eastAsia="宋体" w:cs="Times New Roman"/>
                <w:b w:val="0"/>
                <w:bCs w:val="0"/>
                <w:color w:val="auto"/>
                <w:sz w:val="24"/>
                <w:vertAlign w:val="superscript"/>
                <w:lang w:val="en-US" w:eastAsia="zh-CN"/>
              </w:rPr>
              <w:t>3</w:t>
            </w:r>
            <w:r>
              <w:rPr>
                <w:rFonts w:hint="default" w:ascii="Times New Roman" w:hAnsi="Times New Roman" w:eastAsia="宋体" w:cs="Times New Roman"/>
                <w:b w:val="0"/>
                <w:bCs w:val="0"/>
                <w:color w:val="auto"/>
                <w:sz w:val="24"/>
                <w:lang w:val="en-US" w:eastAsia="zh-CN"/>
              </w:rPr>
              <w:t>，有效灌面7908亩，此外，高中水库每年向山珍水库输水量约400万m</w:t>
            </w:r>
            <w:r>
              <w:rPr>
                <w:rFonts w:hint="default" w:ascii="Times New Roman" w:hAnsi="Times New Roman" w:eastAsia="宋体" w:cs="Times New Roman"/>
                <w:b w:val="0"/>
                <w:bCs w:val="0"/>
                <w:color w:val="auto"/>
                <w:sz w:val="24"/>
                <w:vertAlign w:val="superscript"/>
                <w:lang w:val="en-US" w:eastAsia="zh-CN"/>
              </w:rPr>
              <w:t>3</w:t>
            </w:r>
            <w:r>
              <w:rPr>
                <w:rFonts w:hint="default" w:ascii="Times New Roman" w:hAnsi="Times New Roman" w:eastAsia="宋体" w:cs="Times New Roman"/>
                <w:b w:val="0"/>
                <w:bCs w:val="0"/>
                <w:color w:val="auto"/>
                <w:sz w:val="24"/>
                <w:lang w:val="en-US" w:eastAsia="zh-CN"/>
              </w:rPr>
              <w:t>，用于山珍水库灌溉农田后解决凌云河大佛景区段生态环保用水问题</w:t>
            </w:r>
            <w:r>
              <w:rPr>
                <w:rFonts w:hint="eastAsia" w:ascii="Times New Roman" w:hAnsi="Times New Roman" w:eastAsia="宋体" w:cs="Times New Roman"/>
                <w:b w:val="0"/>
                <w:bCs w:val="0"/>
                <w:color w:val="auto"/>
                <w:sz w:val="24"/>
                <w:lang w:val="en-US" w:eastAsia="zh-CN"/>
              </w:rPr>
              <w:t>。</w:t>
            </w:r>
            <w:r>
              <w:rPr>
                <w:rFonts w:hint="default" w:ascii="Times New Roman" w:hAnsi="Times New Roman" w:cs="Times New Roman"/>
                <w:color w:val="auto"/>
                <w:sz w:val="24"/>
                <w:highlight w:val="none"/>
                <w:lang w:val="en-US" w:eastAsia="zh-CN"/>
              </w:rPr>
              <w:t>水库主坝右岸有一处</w:t>
            </w:r>
            <w:r>
              <w:rPr>
                <w:rFonts w:hint="default" w:ascii="Times New Roman" w:hAnsi="Times New Roman" w:cs="Times New Roman"/>
                <w:color w:val="auto"/>
                <w:sz w:val="24"/>
                <w:highlight w:val="none"/>
              </w:rPr>
              <w:t>放空底孔</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放空底孔</w:t>
            </w:r>
            <w:r>
              <w:rPr>
                <w:rFonts w:hint="eastAsia" w:ascii="Times New Roman" w:hAnsi="Times New Roman" w:eastAsia="宋体" w:cs="Times New Roman"/>
                <w:b w:val="0"/>
                <w:bCs w:val="0"/>
                <w:color w:val="auto"/>
                <w:sz w:val="24"/>
                <w:lang w:val="en-US" w:eastAsia="zh-CN"/>
              </w:rPr>
              <w:t>末端接DN100生态管，直接放水进入冷水河，生态流量管下泄不小于0.2m</w:t>
            </w:r>
            <w:r>
              <w:rPr>
                <w:rFonts w:hint="eastAsia" w:ascii="Times New Roman" w:hAnsi="Times New Roman" w:eastAsia="宋体" w:cs="Times New Roman"/>
                <w:b w:val="0"/>
                <w:bCs w:val="0"/>
                <w:color w:val="auto"/>
                <w:sz w:val="24"/>
                <w:vertAlign w:val="superscript"/>
                <w:lang w:val="en-US" w:eastAsia="zh-CN"/>
              </w:rPr>
              <w:t>3</w:t>
            </w:r>
            <w:r>
              <w:rPr>
                <w:rFonts w:hint="eastAsia" w:ascii="Times New Roman" w:hAnsi="Times New Roman" w:eastAsia="宋体" w:cs="Times New Roman"/>
                <w:b w:val="0"/>
                <w:bCs w:val="0"/>
                <w:color w:val="auto"/>
                <w:sz w:val="24"/>
                <w:lang w:val="en-US" w:eastAsia="zh-CN"/>
              </w:rPr>
              <w:t>/s，根据水库水量和凌云河生态用水量，灵活调度，每年生态用水量约30－50万m</w:t>
            </w:r>
            <w:r>
              <w:rPr>
                <w:rFonts w:hint="eastAsia" w:ascii="Times New Roman" w:hAnsi="Times New Roman" w:eastAsia="宋体" w:cs="Times New Roman"/>
                <w:b w:val="0"/>
                <w:bCs w:val="0"/>
                <w:color w:val="auto"/>
                <w:sz w:val="24"/>
                <w:vertAlign w:val="superscript"/>
                <w:lang w:val="en-US" w:eastAsia="zh-CN"/>
              </w:rPr>
              <w:t>3</w:t>
            </w:r>
            <w:r>
              <w:rPr>
                <w:rFonts w:hint="default" w:ascii="Times New Roman" w:hAnsi="Times New Roman" w:eastAsia="宋体" w:cs="Times New Roman"/>
                <w:b w:val="0"/>
                <w:bCs w:val="0"/>
                <w:color w:val="auto"/>
                <w:sz w:val="24"/>
                <w:lang w:val="en-US" w:eastAsia="zh-CN"/>
              </w:rPr>
              <w:t>。</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val="0"/>
                <w:bCs w:val="0"/>
                <w:color w:val="auto"/>
                <w:sz w:val="24"/>
                <w:lang w:val="en-US" w:eastAsia="zh-CN"/>
              </w:rPr>
              <w:t>2021年6月，四川百塔工程设计咨询有限公司对山珍水库进行了安全评价，根据《山珍水库大坝安全评价鉴定书》（市中区水务局审定），工程质量评价为不合格，运行管理评价为较规范，防洪安全性评价为B级，结构安全性评价为C级，渗流安全性评价为B级，抗震安全性评价为A级，金属结构安全性评价为B级，大坝安全综合评价为“三类坝”，为病险水库。为保障水库下游人民群众的生命财产安全，实现水库综合效益正常发挥，对山珍水库进行除险加固十分必要。</w:t>
            </w:r>
          </w:p>
          <w:p>
            <w:pPr>
              <w:wordWrap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中华人民共和国环境影响评价法》、国务院令第682号《建设项目环境保护管理条例》和《建设项目环境影响评价分类管理名录》（2021年版，生态环境部令第16号）的有关规定，本项目属于《建设项目环境影响评价分类管理名录》中“五十一、水利 127.防洪除涝</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需编制环境影响报告表。为此，建设单位委托我公司承担该项目环境影响报告表的编制工作。我公司接受委托后，立即开展了详细的现场调查、资料收集工作，在对项目所在区域的环境现状和可能造成的环境影响进行分析后，依照相关技术规范编制完成了该项目的环境影响报告表。</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right="0" w:rightChars="0" w:firstLine="482" w:firstLineChars="200"/>
              <w:jc w:val="both"/>
              <w:textAlignment w:val="auto"/>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2、项目基本情况</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项目名称：</w:t>
            </w:r>
            <w:r>
              <w:rPr>
                <w:rFonts w:hint="default" w:ascii="Times New Roman" w:hAnsi="Times New Roman" w:eastAsia="宋体" w:cs="Times New Roman"/>
                <w:color w:val="auto"/>
                <w:kern w:val="21"/>
                <w:sz w:val="24"/>
                <w:szCs w:val="24"/>
                <w:lang w:eastAsia="zh-CN"/>
              </w:rPr>
              <w:t>乐山市市中区2022年山珍水库除险加固工程</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b w:val="0"/>
                <w:bCs w:val="0"/>
                <w:color w:val="auto"/>
                <w:sz w:val="24"/>
                <w:lang w:val="en-US" w:eastAsia="zh-CN"/>
              </w:rPr>
              <w:t>建设单位：乐山市市中区山珍水库管理所</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建设性质：改建</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建设地点：</w:t>
            </w:r>
            <w:r>
              <w:rPr>
                <w:rFonts w:hint="default" w:ascii="Times New Roman" w:hAnsi="Times New Roman" w:eastAsia="宋体" w:cs="Times New Roman"/>
                <w:color w:val="auto"/>
                <w:sz w:val="24"/>
                <w:szCs w:val="24"/>
                <w:u w:val="none"/>
                <w:lang w:val="en-US" w:eastAsia="zh-CN"/>
              </w:rPr>
              <w:t>乐山市市中区大佛街道（原凌云乡）三尊村（</w:t>
            </w:r>
            <w:r>
              <w:rPr>
                <w:rFonts w:hint="default" w:ascii="Times New Roman" w:hAnsi="Times New Roman" w:eastAsia="宋体" w:cs="Times New Roman"/>
                <w:color w:val="auto"/>
                <w:kern w:val="21"/>
                <w:sz w:val="24"/>
                <w:szCs w:val="24"/>
              </w:rPr>
              <w:t>10</w:t>
            </w:r>
            <w:r>
              <w:rPr>
                <w:rFonts w:hint="default" w:ascii="Times New Roman" w:hAnsi="Times New Roman" w:eastAsia="宋体" w:cs="Times New Roman"/>
                <w:color w:val="auto"/>
                <w:kern w:val="21"/>
                <w:sz w:val="24"/>
                <w:szCs w:val="24"/>
                <w:lang w:val="en-US" w:eastAsia="zh-CN"/>
              </w:rPr>
              <w:t>3°50′28.212″</w:t>
            </w:r>
            <w:r>
              <w:rPr>
                <w:rFonts w:hint="default" w:ascii="Times New Roman" w:hAnsi="Times New Roman" w:eastAsia="宋体" w:cs="Times New Roman"/>
                <w:color w:val="auto"/>
                <w:kern w:val="21"/>
                <w:sz w:val="24"/>
                <w:szCs w:val="24"/>
              </w:rPr>
              <w:t>，</w:t>
            </w:r>
            <w:r>
              <w:rPr>
                <w:rFonts w:hint="default" w:ascii="Times New Roman" w:hAnsi="Times New Roman" w:eastAsia="宋体" w:cs="Times New Roman"/>
                <w:color w:val="auto"/>
                <w:kern w:val="21"/>
                <w:sz w:val="24"/>
                <w:szCs w:val="24"/>
                <w:lang w:val="en-US" w:eastAsia="zh-CN"/>
              </w:rPr>
              <w:t>29°34′4.129″</w:t>
            </w:r>
            <w:r>
              <w:rPr>
                <w:rFonts w:hint="default" w:ascii="Times New Roman" w:hAnsi="Times New Roman" w:eastAsia="宋体" w:cs="Times New Roman"/>
                <w:color w:val="auto"/>
                <w:sz w:val="24"/>
                <w:szCs w:val="24"/>
                <w:u w:val="none"/>
                <w:lang w:val="en-US" w:eastAsia="zh-CN"/>
              </w:rPr>
              <w:t>）</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val="0"/>
                <w:bCs w:val="0"/>
                <w:color w:val="auto"/>
                <w:sz w:val="24"/>
                <w:lang w:val="en-US" w:eastAsia="zh-CN"/>
              </w:rPr>
              <w:t>项目投资：</w:t>
            </w:r>
            <w:r>
              <w:rPr>
                <w:rFonts w:hint="default" w:ascii="Times New Roman" w:hAnsi="Times New Roman" w:eastAsia="宋体" w:cs="Times New Roman"/>
                <w:color w:val="auto"/>
                <w:kern w:val="21"/>
                <w:sz w:val="24"/>
                <w:szCs w:val="24"/>
                <w:highlight w:val="none"/>
                <w:lang w:val="en-US" w:eastAsia="zh-CN"/>
              </w:rPr>
              <w:t>651.07</w:t>
            </w:r>
            <w:r>
              <w:rPr>
                <w:rFonts w:hint="default" w:ascii="Times New Roman" w:hAnsi="Times New Roman" w:eastAsia="宋体" w:cs="Times New Roman"/>
                <w:b w:val="0"/>
                <w:bCs w:val="0"/>
                <w:color w:val="auto"/>
                <w:sz w:val="24"/>
                <w:lang w:val="en-US" w:eastAsia="zh-CN"/>
              </w:rPr>
              <w:t>万元，其中环保投资</w:t>
            </w:r>
            <w:r>
              <w:rPr>
                <w:rFonts w:hint="default" w:ascii="Times New Roman" w:hAnsi="Times New Roman" w:eastAsia="宋体" w:cs="Times New Roman"/>
                <w:bCs/>
                <w:color w:val="auto"/>
                <w:kern w:val="0"/>
                <w:sz w:val="24"/>
                <w:lang w:val="en-US" w:eastAsia="zh-CN" w:bidi="ar"/>
              </w:rPr>
              <w:t>40.2</w:t>
            </w:r>
            <w:r>
              <w:rPr>
                <w:rFonts w:hint="default" w:ascii="Times New Roman" w:hAnsi="Times New Roman" w:eastAsia="宋体" w:cs="Times New Roman"/>
                <w:b w:val="0"/>
                <w:bCs w:val="0"/>
                <w:color w:val="auto"/>
                <w:sz w:val="24"/>
                <w:lang w:val="en-US" w:eastAsia="zh-CN"/>
              </w:rPr>
              <w:t>万元，占总投资的6.2%</w:t>
            </w:r>
          </w:p>
          <w:p>
            <w:pPr>
              <w:keepNext w:val="0"/>
              <w:keepLines w:val="0"/>
              <w:pageBreakBefore w:val="0"/>
              <w:kinsoku/>
              <w:wordWrap/>
              <w:overflowPunct/>
              <w:topLinePunct w:val="0"/>
              <w:autoSpaceDE/>
              <w:autoSpaceDN/>
              <w:bidi w:val="0"/>
              <w:adjustRightInd w:val="0"/>
              <w:snapToGrid w:val="0"/>
              <w:spacing w:line="360" w:lineRule="auto"/>
              <w:ind w:right="0" w:firstLine="482" w:firstLineChars="20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bCs/>
                <w:color w:val="auto"/>
                <w:sz w:val="24"/>
              </w:rPr>
              <w:t>建设内容及规模：</w:t>
            </w:r>
            <w:r>
              <w:rPr>
                <w:rFonts w:hint="default" w:ascii="Times New Roman" w:hAnsi="Times New Roman" w:eastAsia="宋体" w:cs="Times New Roman"/>
                <w:b w:val="0"/>
                <w:bCs w:val="0"/>
                <w:color w:val="auto"/>
                <w:sz w:val="24"/>
              </w:rPr>
              <w:t>本项目为水库除险加固工程，主要工程为对大坝、溢洪道、放水设施、</w:t>
            </w:r>
            <w:r>
              <w:rPr>
                <w:rFonts w:hint="default" w:ascii="Times New Roman" w:hAnsi="Times New Roman" w:eastAsia="宋体" w:cs="Times New Roman"/>
                <w:b w:val="0"/>
                <w:bCs w:val="0"/>
                <w:color w:val="auto"/>
                <w:sz w:val="24"/>
                <w:lang w:val="en-US" w:eastAsia="zh-CN"/>
              </w:rPr>
              <w:t>白蚁、</w:t>
            </w:r>
            <w:r>
              <w:rPr>
                <w:rFonts w:hint="default" w:ascii="Times New Roman" w:hAnsi="Times New Roman" w:eastAsia="宋体" w:cs="Times New Roman"/>
                <w:b w:val="0"/>
                <w:bCs w:val="0"/>
                <w:color w:val="auto"/>
                <w:sz w:val="24"/>
              </w:rPr>
              <w:t>观测</w:t>
            </w:r>
            <w:r>
              <w:rPr>
                <w:rFonts w:hint="default" w:ascii="Times New Roman" w:hAnsi="Times New Roman" w:eastAsia="宋体" w:cs="Times New Roman"/>
                <w:b w:val="0"/>
                <w:bCs w:val="0"/>
                <w:color w:val="auto"/>
                <w:sz w:val="24"/>
                <w:lang w:val="en-US" w:eastAsia="zh-CN"/>
              </w:rPr>
              <w:t>设施</w:t>
            </w:r>
            <w:r>
              <w:rPr>
                <w:rFonts w:hint="default" w:ascii="Times New Roman" w:hAnsi="Times New Roman" w:eastAsia="宋体" w:cs="Times New Roman"/>
                <w:b w:val="0"/>
                <w:bCs w:val="0"/>
                <w:color w:val="auto"/>
                <w:sz w:val="24"/>
              </w:rPr>
              <w:t>及管理设施等进行整治。</w:t>
            </w:r>
          </w:p>
          <w:p>
            <w:pPr>
              <w:pStyle w:val="2"/>
              <w:keepNext w:val="0"/>
              <w:keepLines w:val="0"/>
              <w:pageBreakBefore w:val="0"/>
              <w:numPr>
                <w:ilvl w:val="0"/>
                <w:numId w:val="0"/>
              </w:numPr>
              <w:kinsoku/>
              <w:wordWrap/>
              <w:overflowPunct/>
              <w:topLinePunct w:val="0"/>
              <w:autoSpaceDE/>
              <w:autoSpaceDN/>
              <w:bidi w:val="0"/>
              <w:adjustRightInd w:val="0"/>
              <w:snapToGrid w:val="0"/>
              <w:spacing w:before="0" w:after="0" w:line="360" w:lineRule="auto"/>
              <w:ind w:right="0" w:rightChars="0"/>
              <w:jc w:val="center"/>
              <w:textAlignment w:val="auto"/>
              <w:rPr>
                <w:rFonts w:hint="eastAsia"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表</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1</w:t>
            </w:r>
            <w:r>
              <w:rPr>
                <w:rFonts w:hint="default" w:ascii="Times New Roman" w:hAnsi="Times New Roman" w:eastAsia="宋体" w:cs="Times New Roman"/>
                <w:b/>
                <w:bCs/>
                <w:color w:val="auto"/>
                <w:sz w:val="21"/>
                <w:szCs w:val="21"/>
              </w:rPr>
              <w:t xml:space="preserve">  项目组成及主要环境问题表</w:t>
            </w:r>
          </w:p>
          <w:tbl>
            <w:tblPr>
              <w:tblStyle w:val="3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28"/>
              <w:gridCol w:w="453"/>
              <w:gridCol w:w="495"/>
              <w:gridCol w:w="5848"/>
              <w:gridCol w:w="735"/>
              <w:gridCol w:w="783"/>
              <w:gridCol w:w="5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1" w:type="pct"/>
                  <w:vMerge w:val="restart"/>
                  <w:noWrap w:val="0"/>
                  <w:tcMar>
                    <w:left w:w="0" w:type="dxa"/>
                    <w:right w:w="0" w:type="dxa"/>
                  </w:tcMar>
                  <w:vAlign w:val="center"/>
                </w:tcPr>
                <w:p>
                  <w:pPr>
                    <w:pStyle w:val="245"/>
                    <w:adjustRightInd w:val="0"/>
                    <w:snapToGrid w:val="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工程</w:t>
                  </w:r>
                </w:p>
                <w:p>
                  <w:pPr>
                    <w:pStyle w:val="245"/>
                    <w:adjustRightInd w:val="0"/>
                    <w:snapToGrid w:val="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类别</w:t>
                  </w:r>
                </w:p>
              </w:tc>
              <w:tc>
                <w:tcPr>
                  <w:tcW w:w="511" w:type="pct"/>
                  <w:gridSpan w:val="2"/>
                  <w:vMerge w:val="restart"/>
                  <w:noWrap w:val="0"/>
                  <w:tcMar>
                    <w:left w:w="0" w:type="dxa"/>
                    <w:right w:w="0" w:type="dxa"/>
                  </w:tcMar>
                  <w:vAlign w:val="center"/>
                </w:tcPr>
                <w:p>
                  <w:pPr>
                    <w:pStyle w:val="245"/>
                    <w:adjustRightInd w:val="0"/>
                    <w:snapToGrid w:val="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名称</w:t>
                  </w:r>
                </w:p>
              </w:tc>
              <w:tc>
                <w:tcPr>
                  <w:tcW w:w="3152" w:type="pct"/>
                  <w:vMerge w:val="restart"/>
                  <w:noWrap w:val="0"/>
                  <w:tcMar>
                    <w:left w:w="0" w:type="dxa"/>
                    <w:right w:w="0" w:type="dxa"/>
                  </w:tcMar>
                  <w:vAlign w:val="center"/>
                </w:tcPr>
                <w:p>
                  <w:pPr>
                    <w:pStyle w:val="245"/>
                    <w:adjustRightInd w:val="0"/>
                    <w:snapToGrid w:val="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建设内容</w:t>
                  </w:r>
                </w:p>
              </w:tc>
              <w:tc>
                <w:tcPr>
                  <w:tcW w:w="818" w:type="pct"/>
                  <w:gridSpan w:val="2"/>
                  <w:noWrap w:val="0"/>
                  <w:tcMar>
                    <w:left w:w="0" w:type="dxa"/>
                    <w:right w:w="0" w:type="dxa"/>
                  </w:tcMar>
                  <w:vAlign w:val="center"/>
                </w:tcPr>
                <w:p>
                  <w:pPr>
                    <w:pStyle w:val="245"/>
                    <w:adjustRightInd w:val="0"/>
                    <w:snapToGrid w:val="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主要环境问题</w:t>
                  </w:r>
                </w:p>
              </w:tc>
              <w:tc>
                <w:tcPr>
                  <w:tcW w:w="286" w:type="pct"/>
                  <w:vMerge w:val="restart"/>
                  <w:noWrap w:val="0"/>
                  <w:tcMar>
                    <w:left w:w="0" w:type="dxa"/>
                    <w:right w:w="0" w:type="dxa"/>
                  </w:tcMar>
                  <w:vAlign w:val="center"/>
                </w:tcPr>
                <w:p>
                  <w:pPr>
                    <w:pStyle w:val="245"/>
                    <w:adjustRightInd w:val="0"/>
                    <w:snapToGrid w:val="0"/>
                    <w:jc w:val="center"/>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1"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b/>
                      <w:color w:val="auto"/>
                      <w:sz w:val="21"/>
                      <w:szCs w:val="21"/>
                    </w:rPr>
                  </w:pPr>
                </w:p>
              </w:tc>
              <w:tc>
                <w:tcPr>
                  <w:tcW w:w="511" w:type="pct"/>
                  <w:gridSpan w:val="2"/>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b/>
                      <w:color w:val="auto"/>
                      <w:sz w:val="21"/>
                      <w:szCs w:val="21"/>
                    </w:rPr>
                  </w:pPr>
                </w:p>
              </w:tc>
              <w:tc>
                <w:tcPr>
                  <w:tcW w:w="3152"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b/>
                      <w:color w:val="auto"/>
                      <w:sz w:val="21"/>
                      <w:szCs w:val="21"/>
                    </w:rPr>
                  </w:pPr>
                </w:p>
              </w:tc>
              <w:tc>
                <w:tcPr>
                  <w:tcW w:w="396" w:type="pct"/>
                  <w:noWrap w:val="0"/>
                  <w:tcMar>
                    <w:left w:w="0" w:type="dxa"/>
                    <w:right w:w="0" w:type="dxa"/>
                  </w:tcMar>
                  <w:vAlign w:val="center"/>
                </w:tcPr>
                <w:p>
                  <w:pPr>
                    <w:pStyle w:val="245"/>
                    <w:adjustRightInd w:val="0"/>
                    <w:snapToGrid w:val="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施工期</w:t>
                  </w:r>
                </w:p>
              </w:tc>
              <w:tc>
                <w:tcPr>
                  <w:tcW w:w="422" w:type="pct"/>
                  <w:noWrap w:val="0"/>
                  <w:tcMar>
                    <w:left w:w="0" w:type="dxa"/>
                    <w:right w:w="0" w:type="dxa"/>
                  </w:tcMar>
                  <w:vAlign w:val="center"/>
                </w:tcPr>
                <w:p>
                  <w:pPr>
                    <w:pStyle w:val="245"/>
                    <w:adjustRightInd w:val="0"/>
                    <w:snapToGrid w:val="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营运期</w:t>
                  </w:r>
                </w:p>
              </w:tc>
              <w:tc>
                <w:tcPr>
                  <w:tcW w:w="286"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b/>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1" w:type="pct"/>
                  <w:vMerge w:val="restart"/>
                  <w:noWrap w:val="0"/>
                  <w:tcMar>
                    <w:left w:w="0" w:type="dxa"/>
                    <w:right w:w="0" w:type="dxa"/>
                  </w:tcMar>
                  <w:vAlign w:val="center"/>
                </w:tcPr>
                <w:p>
                  <w:pPr>
                    <w:pStyle w:val="245"/>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主体</w:t>
                  </w:r>
                </w:p>
                <w:p>
                  <w:pPr>
                    <w:pStyle w:val="245"/>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工程</w:t>
                  </w:r>
                </w:p>
              </w:tc>
              <w:tc>
                <w:tcPr>
                  <w:tcW w:w="244" w:type="pct"/>
                  <w:vMerge w:val="restart"/>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大坝整治工程</w:t>
                  </w:r>
                </w:p>
              </w:tc>
              <w:tc>
                <w:tcPr>
                  <w:tcW w:w="266" w:type="pct"/>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主坝</w:t>
                  </w:r>
                </w:p>
              </w:tc>
              <w:tc>
                <w:tcPr>
                  <w:tcW w:w="3152" w:type="pct"/>
                  <w:noWrap w:val="0"/>
                  <w:tcMar>
                    <w:left w:w="57" w:type="dxa"/>
                    <w:right w:w="57" w:type="dxa"/>
                  </w:tcMar>
                  <w:vAlign w:val="center"/>
                </w:tcPr>
                <w:p>
                  <w:pPr>
                    <w:pStyle w:val="245"/>
                    <w:adjustRightInd w:val="0"/>
                    <w:snapToGrid w:val="0"/>
                    <w:ind w:firstLine="420" w:firstLineChars="20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对坝顶贯通性裂缝进行采用SBS防裂卷材接缝，沥青勾缝，并在整个坝顶增设加铺5cm改性AC-13C细粒式沥青砼面层。对坝顶贯通性裂缝采用SBS防裂卷材接缝。灌缝后填入干净石屑或粗砂，并捣实，将溢出缝外的沥青及石屑、砂清除，洒布量0.5kg/m</w:t>
                  </w:r>
                  <w:r>
                    <w:rPr>
                      <w:rFonts w:hint="default" w:ascii="Times New Roman" w:hAnsi="Times New Roman" w:eastAsia="宋体" w:cs="Times New Roman"/>
                      <w:color w:val="auto"/>
                      <w:sz w:val="21"/>
                      <w:szCs w:val="21"/>
                      <w:vertAlign w:val="superscript"/>
                      <w:lang w:val="en-US" w:eastAsia="zh-CN"/>
                    </w:rPr>
                    <w:t>2</w:t>
                  </w:r>
                  <w:r>
                    <w:rPr>
                      <w:rFonts w:hint="default" w:ascii="Times New Roman" w:hAnsi="Times New Roman" w:eastAsia="宋体" w:cs="Times New Roman"/>
                      <w:color w:val="auto"/>
                      <w:sz w:val="21"/>
                      <w:szCs w:val="21"/>
                      <w:lang w:val="en-US" w:eastAsia="zh-CN"/>
                    </w:rPr>
                    <w:t>。SBS防裂卷材齐缝对称铺设，幅宽50cm。坝顶两侧增设铸造式栏杆304m。</w:t>
                  </w:r>
                </w:p>
              </w:tc>
              <w:tc>
                <w:tcPr>
                  <w:tcW w:w="396" w:type="pct"/>
                  <w:vMerge w:val="restart"/>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施工噪声、废水、扬尘、废气、渣土、垃圾、水土流失、</w:t>
                  </w:r>
                  <w:r>
                    <w:rPr>
                      <w:rFonts w:hint="default" w:ascii="Times New Roman" w:hAnsi="Times New Roman" w:eastAsia="宋体" w:cs="Times New Roman"/>
                      <w:color w:val="auto"/>
                      <w:sz w:val="21"/>
                      <w:szCs w:val="21"/>
                      <w:lang w:val="en-US" w:eastAsia="zh-CN"/>
                    </w:rPr>
                    <w:t>生态影响等</w:t>
                  </w:r>
                </w:p>
              </w:tc>
              <w:tc>
                <w:tcPr>
                  <w:tcW w:w="422" w:type="pct"/>
                  <w:vMerge w:val="restart"/>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286" w:type="pct"/>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1"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b/>
                      <w:bCs/>
                      <w:color w:val="auto"/>
                      <w:sz w:val="21"/>
                      <w:szCs w:val="21"/>
                    </w:rPr>
                  </w:pPr>
                </w:p>
              </w:tc>
              <w:tc>
                <w:tcPr>
                  <w:tcW w:w="244" w:type="pct"/>
                  <w:vMerge w:val="continue"/>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 w:val="21"/>
                      <w:szCs w:val="21"/>
                    </w:rPr>
                  </w:pPr>
                </w:p>
              </w:tc>
              <w:tc>
                <w:tcPr>
                  <w:tcW w:w="266" w:type="pct"/>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副坝</w:t>
                  </w:r>
                </w:p>
              </w:tc>
              <w:tc>
                <w:tcPr>
                  <w:tcW w:w="3152" w:type="pct"/>
                  <w:noWrap w:val="0"/>
                  <w:tcMar>
                    <w:left w:w="57" w:type="dxa"/>
                    <w:right w:w="57" w:type="dxa"/>
                  </w:tcMar>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对副坝坝顶削高1m</w:t>
                  </w:r>
                  <w:r>
                    <w:rPr>
                      <w:rFonts w:hint="default" w:ascii="Times New Roman" w:hAnsi="Times New Roman" w:eastAsia="宋体" w:cs="Times New Roman"/>
                      <w:color w:val="auto"/>
                      <w:sz w:val="21"/>
                      <w:szCs w:val="21"/>
                      <w:highlight w:val="none"/>
                      <w:lang w:eastAsia="zh-CN"/>
                    </w:rPr>
                    <w:t>，整个坝顶铺设沥青砼护面，</w:t>
                  </w:r>
                  <w:r>
                    <w:rPr>
                      <w:rFonts w:hint="default" w:ascii="Times New Roman" w:hAnsi="Times New Roman" w:eastAsia="宋体" w:cs="Times New Roman"/>
                      <w:color w:val="auto"/>
                      <w:sz w:val="21"/>
                      <w:szCs w:val="21"/>
                      <w:highlight w:val="none"/>
                    </w:rPr>
                    <w:t>对</w:t>
                  </w:r>
                  <w:r>
                    <w:rPr>
                      <w:rFonts w:hint="default" w:ascii="Times New Roman" w:hAnsi="Times New Roman" w:eastAsia="宋体" w:cs="Times New Roman"/>
                      <w:color w:val="auto"/>
                      <w:sz w:val="21"/>
                      <w:szCs w:val="21"/>
                      <w:highlight w:val="none"/>
                      <w:lang w:val="en-US" w:eastAsia="zh-CN"/>
                    </w:rPr>
                    <w:t>大坝迎水面</w:t>
                  </w:r>
                  <w:r>
                    <w:rPr>
                      <w:rFonts w:hint="default" w:ascii="Times New Roman" w:hAnsi="Times New Roman" w:eastAsia="宋体" w:cs="Times New Roman"/>
                      <w:color w:val="auto"/>
                      <w:sz w:val="21"/>
                      <w:szCs w:val="21"/>
                      <w:highlight w:val="none"/>
                    </w:rPr>
                    <w:t>进行重建</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采用C25钢筋砼框格，框格内采用10cm厚C2</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砼面板护坡，下设10cm厚碎石垫层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重建面积1735m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rPr>
                    <w:t>。坝顶两侧增设铸造式栏杆132m。</w:t>
                  </w:r>
                </w:p>
              </w:tc>
              <w:tc>
                <w:tcPr>
                  <w:tcW w:w="396"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422"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286" w:type="pct"/>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1" w:hRule="atLeast"/>
                <w:jc w:val="center"/>
              </w:trPr>
              <w:tc>
                <w:tcPr>
                  <w:tcW w:w="231" w:type="pct"/>
                  <w:vMerge w:val="continue"/>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p>
              </w:tc>
              <w:tc>
                <w:tcPr>
                  <w:tcW w:w="511" w:type="pct"/>
                  <w:gridSpan w:val="2"/>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放水设施整治工程</w:t>
                  </w:r>
                </w:p>
              </w:tc>
              <w:tc>
                <w:tcPr>
                  <w:tcW w:w="3152" w:type="pct"/>
                  <w:noWrap w:val="0"/>
                  <w:tcMar>
                    <w:left w:w="57" w:type="dxa"/>
                    <w:right w:w="57" w:type="dxa"/>
                  </w:tcMar>
                  <w:vAlign w:val="center"/>
                </w:tcPr>
                <w:p>
                  <w:pPr>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在原址重新建设放水塔，同时更换</w:t>
                  </w:r>
                  <w:r>
                    <w:rPr>
                      <w:rFonts w:hint="default" w:ascii="Times New Roman" w:hAnsi="Times New Roman" w:eastAsia="宋体" w:cs="Times New Roman"/>
                      <w:color w:val="auto"/>
                      <w:sz w:val="21"/>
                      <w:szCs w:val="21"/>
                    </w:rPr>
                    <w:t>节制闸</w:t>
                  </w:r>
                  <w:r>
                    <w:rPr>
                      <w:rFonts w:hint="default" w:ascii="Times New Roman" w:hAnsi="Times New Roman" w:eastAsia="宋体" w:cs="Times New Roman"/>
                      <w:color w:val="auto"/>
                      <w:sz w:val="21"/>
                      <w:szCs w:val="21"/>
                      <w:lang w:val="en-US" w:eastAsia="zh-CN"/>
                    </w:rPr>
                    <w:t>1扇</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工作闸</w:t>
                  </w:r>
                  <w:r>
                    <w:rPr>
                      <w:rFonts w:hint="default" w:ascii="Times New Roman" w:hAnsi="Times New Roman" w:eastAsia="宋体" w:cs="Times New Roman"/>
                      <w:color w:val="auto"/>
                      <w:sz w:val="21"/>
                      <w:szCs w:val="21"/>
                      <w:lang w:val="en-US" w:eastAsia="zh-CN"/>
                    </w:rPr>
                    <w:t>2扇</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门槽埋件</w:t>
                  </w:r>
                  <w:r>
                    <w:rPr>
                      <w:rFonts w:hint="default" w:ascii="Times New Roman" w:hAnsi="Times New Roman" w:eastAsia="宋体" w:cs="Times New Roman"/>
                      <w:color w:val="auto"/>
                      <w:sz w:val="21"/>
                      <w:szCs w:val="21"/>
                      <w:lang w:val="en-US" w:eastAsia="zh-CN"/>
                    </w:rPr>
                    <w:t>2t</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螺杆式启闭机3台，止水方式采用</w:t>
                  </w:r>
                  <w:r>
                    <w:rPr>
                      <w:rFonts w:hint="default" w:ascii="Times New Roman" w:hAnsi="Times New Roman" w:eastAsia="宋体" w:cs="Times New Roman"/>
                      <w:color w:val="auto"/>
                      <w:sz w:val="21"/>
                      <w:szCs w:val="21"/>
                      <w:highlight w:val="none"/>
                      <w:lang w:val="en-US" w:eastAsia="zh-CN"/>
                    </w:rPr>
                    <w:t>水磨镶铜</w:t>
                  </w:r>
                  <w:r>
                    <w:rPr>
                      <w:rFonts w:hint="default" w:ascii="Times New Roman" w:hAnsi="Times New Roman" w:eastAsia="宋体" w:cs="Times New Roman"/>
                      <w:color w:val="auto"/>
                      <w:sz w:val="21"/>
                      <w:szCs w:val="21"/>
                      <w:highlight w:val="none"/>
                    </w:rPr>
                    <w:t>止水</w:t>
                  </w:r>
                  <w:r>
                    <w:rPr>
                      <w:rFonts w:hint="default" w:ascii="Times New Roman" w:hAnsi="Times New Roman" w:eastAsia="宋体" w:cs="Times New Roman"/>
                      <w:color w:val="auto"/>
                      <w:sz w:val="21"/>
                      <w:szCs w:val="21"/>
                      <w:lang w:val="en-US" w:eastAsia="zh-CN"/>
                    </w:rPr>
                    <w:t>。最大放水流量1.5m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/s。</w:t>
                  </w:r>
                </w:p>
              </w:tc>
              <w:tc>
                <w:tcPr>
                  <w:tcW w:w="396" w:type="pct"/>
                  <w:vMerge w:val="continue"/>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p>
              </w:tc>
              <w:tc>
                <w:tcPr>
                  <w:tcW w:w="422" w:type="pct"/>
                  <w:vMerge w:val="continue"/>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p>
              </w:tc>
              <w:tc>
                <w:tcPr>
                  <w:tcW w:w="286" w:type="pct"/>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7" w:hRule="atLeast"/>
                <w:jc w:val="center"/>
              </w:trPr>
              <w:tc>
                <w:tcPr>
                  <w:tcW w:w="231" w:type="pct"/>
                  <w:vMerge w:val="continue"/>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p>
              </w:tc>
              <w:tc>
                <w:tcPr>
                  <w:tcW w:w="511" w:type="pct"/>
                  <w:gridSpan w:val="2"/>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溢洪道整治</w:t>
                  </w:r>
                  <w:r>
                    <w:rPr>
                      <w:rFonts w:hint="default" w:ascii="Times New Roman" w:hAnsi="Times New Roman" w:eastAsia="宋体" w:cs="Times New Roman"/>
                      <w:color w:val="auto"/>
                      <w:sz w:val="21"/>
                      <w:szCs w:val="21"/>
                      <w:lang w:val="en-US" w:eastAsia="zh-CN"/>
                    </w:rPr>
                    <w:t>工程</w:t>
                  </w:r>
                </w:p>
              </w:tc>
              <w:tc>
                <w:tcPr>
                  <w:tcW w:w="3152" w:type="pct"/>
                  <w:noWrap w:val="0"/>
                  <w:tcMar>
                    <w:left w:w="57" w:type="dxa"/>
                    <w:right w:w="57" w:type="dxa"/>
                  </w:tcMar>
                  <w:vAlign w:val="center"/>
                </w:tcPr>
                <w:p>
                  <w:pPr>
                    <w:pStyle w:val="21"/>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进水渠进口增设喇叭口，进水段两岸各17m，采用C25砼边墙，最大厚度1.5m，最大高度3m，并对进口底板进行硬化，采用C25砼结构，底板与墙体分缝部位设止水。下游47.5m处有一人行桥影响行洪，本次拆除该桥，重建一人行桥，人行桥长跨度4m，桥宽</w:t>
                  </w:r>
                  <w:r>
                    <w:rPr>
                      <w:rFonts w:hint="default" w:ascii="Times New Roman" w:hAnsi="Times New Roman" w:eastAsia="宋体" w:cs="Times New Roman"/>
                      <w:color w:val="auto"/>
                      <w:sz w:val="21"/>
                      <w:szCs w:val="21"/>
                      <w:lang w:val="en-US" w:eastAsia="zh-CN"/>
                    </w:rPr>
                    <w:t>1.2</w:t>
                  </w:r>
                  <w:r>
                    <w:rPr>
                      <w:rFonts w:hint="default" w:ascii="Times New Roman" w:hAnsi="Times New Roman" w:eastAsia="宋体" w:cs="Times New Roman"/>
                      <w:color w:val="auto"/>
                      <w:sz w:val="21"/>
                      <w:szCs w:val="21"/>
                      <w:lang w:eastAsia="zh-CN"/>
                    </w:rPr>
                    <w:t>m。</w:t>
                  </w:r>
                </w:p>
              </w:tc>
              <w:tc>
                <w:tcPr>
                  <w:tcW w:w="396" w:type="pct"/>
                  <w:vMerge w:val="continue"/>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p>
              </w:tc>
              <w:tc>
                <w:tcPr>
                  <w:tcW w:w="422" w:type="pct"/>
                  <w:vMerge w:val="continue"/>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p>
              </w:tc>
              <w:tc>
                <w:tcPr>
                  <w:tcW w:w="286" w:type="pct"/>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1" w:hRule="atLeast"/>
                <w:jc w:val="center"/>
              </w:trPr>
              <w:tc>
                <w:tcPr>
                  <w:tcW w:w="231" w:type="pct"/>
                  <w:vMerge w:val="continue"/>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p>
              </w:tc>
              <w:tc>
                <w:tcPr>
                  <w:tcW w:w="511" w:type="pct"/>
                  <w:gridSpan w:val="2"/>
                  <w:noWrap w:val="0"/>
                  <w:tcMar>
                    <w:left w:w="0" w:type="dxa"/>
                    <w:right w:w="0" w:type="dxa"/>
                  </w:tcMar>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附属设施整治</w:t>
                  </w:r>
                </w:p>
              </w:tc>
              <w:tc>
                <w:tcPr>
                  <w:tcW w:w="3152" w:type="pct"/>
                  <w:noWrap w:val="0"/>
                  <w:tcMar>
                    <w:left w:w="57" w:type="dxa"/>
                    <w:right w:w="57" w:type="dxa"/>
                  </w:tcMar>
                  <w:vAlign w:val="center"/>
                </w:tcPr>
                <w:p>
                  <w:pPr>
                    <w:bidi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对</w:t>
                  </w:r>
                  <w:r>
                    <w:rPr>
                      <w:rFonts w:hint="default" w:ascii="Times New Roman" w:hAnsi="Times New Roman" w:eastAsia="宋体" w:cs="Times New Roman"/>
                      <w:color w:val="auto"/>
                      <w:sz w:val="21"/>
                      <w:szCs w:val="21"/>
                    </w:rPr>
                    <w:t>水库进场道路</w:t>
                  </w:r>
                  <w:r>
                    <w:rPr>
                      <w:rFonts w:hint="default" w:ascii="Times New Roman" w:hAnsi="Times New Roman" w:eastAsia="宋体" w:cs="Times New Roman"/>
                      <w:color w:val="auto"/>
                      <w:sz w:val="21"/>
                      <w:szCs w:val="21"/>
                      <w:lang w:val="en-US" w:eastAsia="zh-CN"/>
                    </w:rPr>
                    <w:t>长629.49m</w:t>
                  </w:r>
                  <w:r>
                    <w:rPr>
                      <w:rFonts w:hint="default" w:ascii="Times New Roman" w:hAnsi="Times New Roman" w:eastAsia="宋体" w:cs="Times New Roman"/>
                      <w:color w:val="auto"/>
                      <w:sz w:val="21"/>
                      <w:szCs w:val="21"/>
                    </w:rPr>
                    <w:t>拓宽至</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highlight w:val="none"/>
                      <w:lang w:val="en-US" w:eastAsia="zh-CN"/>
                    </w:rPr>
                    <w:t>采用C25砼路面，</w:t>
                  </w:r>
                  <w:r>
                    <w:rPr>
                      <w:rFonts w:hint="default" w:ascii="Times New Roman" w:hAnsi="Times New Roman" w:eastAsia="宋体" w:cs="Times New Roman"/>
                      <w:color w:val="auto"/>
                      <w:sz w:val="21"/>
                      <w:szCs w:val="21"/>
                    </w:rPr>
                    <w:t>溢洪道与副坝之间的道路</w:t>
                  </w:r>
                  <w:r>
                    <w:rPr>
                      <w:rFonts w:hint="default" w:ascii="Times New Roman" w:hAnsi="Times New Roman" w:eastAsia="宋体" w:cs="Times New Roman"/>
                      <w:color w:val="auto"/>
                      <w:sz w:val="21"/>
                      <w:szCs w:val="21"/>
                      <w:lang w:val="en-US" w:eastAsia="zh-CN"/>
                    </w:rPr>
                    <w:t>201.23m</w:t>
                  </w:r>
                  <w:r>
                    <w:rPr>
                      <w:rFonts w:hint="default" w:ascii="Times New Roman" w:hAnsi="Times New Roman" w:eastAsia="宋体" w:cs="Times New Roman"/>
                      <w:color w:val="auto"/>
                      <w:sz w:val="21"/>
                      <w:szCs w:val="21"/>
                    </w:rPr>
                    <w:t>进行拓宽硬化，</w:t>
                  </w:r>
                  <w:r>
                    <w:rPr>
                      <w:rFonts w:hint="default" w:ascii="Times New Roman" w:hAnsi="Times New Roman" w:eastAsia="宋体" w:cs="Times New Roman"/>
                      <w:color w:val="auto"/>
                      <w:sz w:val="21"/>
                      <w:szCs w:val="21"/>
                      <w:lang w:val="en-US" w:eastAsia="zh-CN"/>
                    </w:rPr>
                    <w:t>拓宽至4m，采用</w:t>
                  </w:r>
                  <w:r>
                    <w:rPr>
                      <w:rFonts w:hint="default" w:ascii="Times New Roman" w:hAnsi="Times New Roman" w:eastAsia="宋体" w:cs="Times New Roman"/>
                      <w:color w:val="auto"/>
                      <w:sz w:val="21"/>
                      <w:szCs w:val="21"/>
                      <w:highlight w:val="none"/>
                      <w:lang w:val="en-US" w:eastAsia="zh-CN"/>
                    </w:rPr>
                    <w:t>改性AC-13C细粒式沥青砼面层，</w:t>
                  </w:r>
                  <w:r>
                    <w:rPr>
                      <w:rFonts w:hint="default" w:ascii="Times New Roman" w:hAnsi="Times New Roman" w:eastAsia="宋体" w:cs="Times New Roman"/>
                      <w:color w:val="auto"/>
                      <w:sz w:val="21"/>
                      <w:szCs w:val="21"/>
                      <w:lang w:val="en-US" w:eastAsia="zh-CN"/>
                    </w:rPr>
                    <w:t>在道路右侧进行拓宽，</w:t>
                  </w:r>
                  <w:r>
                    <w:rPr>
                      <w:rFonts w:hint="eastAsia" w:ascii="Times New Roman" w:hAnsi="Times New Roman" w:eastAsia="宋体" w:cs="Times New Roman"/>
                      <w:color w:val="auto"/>
                      <w:sz w:val="21"/>
                      <w:szCs w:val="21"/>
                      <w:highlight w:val="none"/>
                      <w:lang w:val="en-US" w:eastAsia="zh-CN"/>
                    </w:rPr>
                    <w:t>管理处</w:t>
                  </w:r>
                  <w:r>
                    <w:rPr>
                      <w:rFonts w:hint="default" w:ascii="Times New Roman" w:hAnsi="Times New Roman" w:eastAsia="宋体" w:cs="Times New Roman"/>
                      <w:color w:val="auto"/>
                      <w:sz w:val="21"/>
                      <w:szCs w:val="21"/>
                      <w:highlight w:val="none"/>
                      <w:lang w:val="en-US" w:eastAsia="zh-CN"/>
                    </w:rPr>
                    <w:t>至主坝下游道路200m</w:t>
                  </w:r>
                  <w:r>
                    <w:rPr>
                      <w:rFonts w:hint="default" w:ascii="Times New Roman" w:hAnsi="Times New Roman" w:eastAsia="宋体" w:cs="Times New Roman"/>
                      <w:color w:val="auto"/>
                      <w:sz w:val="21"/>
                      <w:szCs w:val="21"/>
                    </w:rPr>
                    <w:t>进行拓宽硬化，</w:t>
                  </w:r>
                  <w:r>
                    <w:rPr>
                      <w:rFonts w:hint="default" w:ascii="Times New Roman" w:hAnsi="Times New Roman" w:eastAsia="宋体" w:cs="Times New Roman"/>
                      <w:color w:val="auto"/>
                      <w:sz w:val="21"/>
                      <w:szCs w:val="21"/>
                      <w:lang w:val="en-US" w:eastAsia="zh-CN"/>
                    </w:rPr>
                    <w:t>拓宽至4m，采用</w:t>
                  </w:r>
                  <w:r>
                    <w:rPr>
                      <w:rFonts w:hint="default" w:ascii="Times New Roman" w:hAnsi="Times New Roman" w:eastAsia="宋体" w:cs="Times New Roman"/>
                      <w:color w:val="auto"/>
                      <w:sz w:val="21"/>
                      <w:szCs w:val="21"/>
                      <w:highlight w:val="none"/>
                      <w:lang w:val="en-US" w:eastAsia="zh-CN"/>
                    </w:rPr>
                    <w:t>改性AC-13C细粒式沥青砼面层</w:t>
                  </w:r>
                  <w:r>
                    <w:rPr>
                      <w:rFonts w:hint="default" w:ascii="Times New Roman" w:hAnsi="Times New Roman" w:eastAsia="宋体" w:cs="Times New Roman"/>
                      <w:color w:val="auto"/>
                      <w:sz w:val="21"/>
                      <w:szCs w:val="21"/>
                      <w:lang w:val="en-US" w:eastAsia="zh-CN"/>
                    </w:rPr>
                    <w:t>，在道路右侧进行拓宽。整治</w:t>
                  </w:r>
                  <w:r>
                    <w:rPr>
                      <w:rFonts w:hint="eastAsia" w:ascii="Times New Roman" w:hAnsi="Times New Roman" w:eastAsia="宋体" w:cs="Times New Roman"/>
                      <w:color w:val="auto"/>
                      <w:sz w:val="21"/>
                      <w:szCs w:val="21"/>
                      <w:lang w:val="en-US" w:eastAsia="zh-CN"/>
                    </w:rPr>
                    <w:t>管理处</w:t>
                  </w:r>
                  <w:r>
                    <w:rPr>
                      <w:rFonts w:hint="default" w:ascii="Times New Roman" w:hAnsi="Times New Roman" w:eastAsia="宋体" w:cs="Times New Roman"/>
                      <w:color w:val="auto"/>
                      <w:sz w:val="21"/>
                      <w:szCs w:val="21"/>
                      <w:lang w:val="en-US" w:eastAsia="zh-CN"/>
                    </w:rPr>
                    <w:t>渗水采用渗漏整治700m</w:t>
                  </w:r>
                  <w:r>
                    <w:rPr>
                      <w:rFonts w:hint="default" w:ascii="Times New Roman" w:hAnsi="Times New Roman" w:eastAsia="宋体" w:cs="Times New Roman"/>
                      <w:color w:val="auto"/>
                      <w:sz w:val="21"/>
                      <w:szCs w:val="21"/>
                      <w:vertAlign w:val="superscript"/>
                      <w:lang w:val="en-US" w:eastAsia="zh-CN"/>
                    </w:rPr>
                    <w:t>2</w:t>
                  </w:r>
                  <w:r>
                    <w:rPr>
                      <w:rFonts w:hint="default" w:ascii="Times New Roman" w:hAnsi="Times New Roman" w:eastAsia="宋体" w:cs="Times New Roman"/>
                      <w:color w:val="auto"/>
                      <w:sz w:val="21"/>
                      <w:szCs w:val="21"/>
                      <w:lang w:val="en-US" w:eastAsia="zh-CN"/>
                    </w:rPr>
                    <w:t>，拆除原有防水层后重新补充防水层，并进行瓷砖贴面，屋顶铺设隔热层，对</w:t>
                  </w:r>
                  <w:r>
                    <w:rPr>
                      <w:rFonts w:hint="eastAsia" w:ascii="Times New Roman" w:hAnsi="Times New Roman" w:eastAsia="宋体" w:cs="Times New Roman"/>
                      <w:color w:val="auto"/>
                      <w:sz w:val="21"/>
                      <w:szCs w:val="21"/>
                      <w:lang w:val="en-US" w:eastAsia="zh-CN"/>
                    </w:rPr>
                    <w:t>管理处</w:t>
                  </w:r>
                  <w:r>
                    <w:rPr>
                      <w:rFonts w:hint="default" w:ascii="Times New Roman" w:hAnsi="Times New Roman" w:eastAsia="宋体" w:cs="Times New Roman"/>
                      <w:color w:val="auto"/>
                      <w:sz w:val="21"/>
                      <w:szCs w:val="21"/>
                      <w:lang w:val="en-US" w:eastAsia="zh-CN"/>
                    </w:rPr>
                    <w:t>破损花台进行拆除重建，采用M7.5浆砌砖结构，更换</w:t>
                  </w:r>
                  <w:r>
                    <w:rPr>
                      <w:rFonts w:hint="eastAsia" w:ascii="Times New Roman" w:hAnsi="Times New Roman" w:eastAsia="宋体" w:cs="Times New Roman"/>
                      <w:color w:val="auto"/>
                      <w:sz w:val="21"/>
                      <w:szCs w:val="21"/>
                      <w:lang w:val="en-US" w:eastAsia="zh-CN"/>
                    </w:rPr>
                    <w:t>管理处</w:t>
                  </w:r>
                  <w:r>
                    <w:rPr>
                      <w:rFonts w:hint="default" w:ascii="Times New Roman" w:hAnsi="Times New Roman" w:eastAsia="宋体" w:cs="Times New Roman"/>
                      <w:color w:val="auto"/>
                      <w:sz w:val="21"/>
                      <w:szCs w:val="21"/>
                      <w:lang w:val="en-US" w:eastAsia="zh-CN"/>
                    </w:rPr>
                    <w:t>大门，</w:t>
                  </w:r>
                  <w:r>
                    <w:rPr>
                      <w:rFonts w:hint="eastAsia" w:ascii="Times New Roman" w:hAnsi="Times New Roman" w:eastAsia="宋体" w:cs="Times New Roman"/>
                      <w:color w:val="auto"/>
                      <w:sz w:val="21"/>
                      <w:szCs w:val="21"/>
                      <w:lang w:val="en-US" w:eastAsia="zh-CN"/>
                    </w:rPr>
                    <w:t>管理处</w:t>
                  </w:r>
                  <w:r>
                    <w:rPr>
                      <w:rFonts w:hint="default" w:ascii="Times New Roman" w:hAnsi="Times New Roman" w:eastAsia="宋体" w:cs="Times New Roman"/>
                      <w:color w:val="auto"/>
                      <w:sz w:val="21"/>
                      <w:szCs w:val="21"/>
                      <w:lang w:val="en-US" w:eastAsia="zh-CN"/>
                    </w:rPr>
                    <w:t>周围围墙破损严重，对周边围墙进行拆除重建，采用仿古围墙，高度1.8m，长度200m，购置部分办公设施。</w:t>
                  </w:r>
                </w:p>
              </w:tc>
              <w:tc>
                <w:tcPr>
                  <w:tcW w:w="396" w:type="pct"/>
                  <w:vMerge w:val="continue"/>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p>
              </w:tc>
              <w:tc>
                <w:tcPr>
                  <w:tcW w:w="422" w:type="pct"/>
                  <w:vMerge w:val="continue"/>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p>
              </w:tc>
              <w:tc>
                <w:tcPr>
                  <w:tcW w:w="286" w:type="pct"/>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7" w:hRule="atLeast"/>
                <w:jc w:val="center"/>
              </w:trPr>
              <w:tc>
                <w:tcPr>
                  <w:tcW w:w="231" w:type="pct"/>
                  <w:vMerge w:val="continue"/>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p>
              </w:tc>
              <w:tc>
                <w:tcPr>
                  <w:tcW w:w="511" w:type="pct"/>
                  <w:gridSpan w:val="2"/>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白蚁整治</w:t>
                  </w:r>
                </w:p>
              </w:tc>
              <w:tc>
                <w:tcPr>
                  <w:tcW w:w="3152" w:type="pct"/>
                  <w:noWrap w:val="0"/>
                  <w:tcMar>
                    <w:left w:w="57" w:type="dxa"/>
                    <w:right w:w="57" w:type="dxa"/>
                  </w:tcMar>
                  <w:vAlign w:val="center"/>
                </w:tcPr>
                <w:p>
                  <w:pPr>
                    <w:pStyle w:val="21"/>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找蚁道挖蚁巢，药物诱杀处理，对大坝进行白蚁治理。</w:t>
                  </w:r>
                </w:p>
              </w:tc>
              <w:tc>
                <w:tcPr>
                  <w:tcW w:w="396" w:type="pct"/>
                  <w:vMerge w:val="continue"/>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p>
              </w:tc>
              <w:tc>
                <w:tcPr>
                  <w:tcW w:w="422" w:type="pct"/>
                  <w:vMerge w:val="continue"/>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p>
              </w:tc>
              <w:tc>
                <w:tcPr>
                  <w:tcW w:w="286" w:type="pct"/>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7" w:hRule="atLeast"/>
                <w:jc w:val="center"/>
              </w:trPr>
              <w:tc>
                <w:tcPr>
                  <w:tcW w:w="231" w:type="pct"/>
                  <w:vMerge w:val="continue"/>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p>
              </w:tc>
              <w:tc>
                <w:tcPr>
                  <w:tcW w:w="511" w:type="pct"/>
                  <w:gridSpan w:val="2"/>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监测设施整治</w:t>
                  </w:r>
                </w:p>
              </w:tc>
              <w:tc>
                <w:tcPr>
                  <w:tcW w:w="3152" w:type="pct"/>
                  <w:noWrap w:val="0"/>
                  <w:tcMar>
                    <w:left w:w="57" w:type="dxa"/>
                    <w:right w:w="57" w:type="dxa"/>
                  </w:tcMar>
                  <w:vAlign w:val="center"/>
                </w:tcPr>
                <w:p>
                  <w:pPr>
                    <w:pStyle w:val="21"/>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主坝设置表面变形测线2条，渗压管测线3条，坝下游总排水沟设一个三角形量水堰1个，副坝设置表面变形测线2条，渗压管测线3条，坝下游总排水沟设一个三角形量水堰1个。</w:t>
                  </w:r>
                </w:p>
              </w:tc>
              <w:tc>
                <w:tcPr>
                  <w:tcW w:w="396" w:type="pct"/>
                  <w:vMerge w:val="continue"/>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p>
              </w:tc>
              <w:tc>
                <w:tcPr>
                  <w:tcW w:w="422" w:type="pct"/>
                  <w:vMerge w:val="continue"/>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p>
              </w:tc>
              <w:tc>
                <w:tcPr>
                  <w:tcW w:w="286" w:type="pct"/>
                  <w:noWrap w:val="0"/>
                  <w:tcMar>
                    <w:left w:w="0" w:type="dxa"/>
                    <w:right w:w="0" w:type="dxa"/>
                  </w:tcMar>
                  <w:vAlign w:val="center"/>
                </w:tcPr>
                <w:p>
                  <w:pPr>
                    <w:pStyle w:val="21"/>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5" w:hRule="atLeast"/>
                <w:jc w:val="center"/>
              </w:trPr>
              <w:tc>
                <w:tcPr>
                  <w:tcW w:w="231" w:type="pct"/>
                  <w:vMerge w:val="restart"/>
                  <w:noWrap w:val="0"/>
                  <w:tcMar>
                    <w:left w:w="0" w:type="dxa"/>
                    <w:right w:w="0" w:type="dxa"/>
                  </w:tcMar>
                  <w:vAlign w:val="center"/>
                </w:tcPr>
                <w:p>
                  <w:pPr>
                    <w:pStyle w:val="245"/>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公辅</w:t>
                  </w:r>
                  <w:r>
                    <w:rPr>
                      <w:rFonts w:hint="default" w:ascii="Times New Roman" w:hAnsi="Times New Roman" w:eastAsia="宋体" w:cs="Times New Roman"/>
                      <w:b/>
                      <w:bCs/>
                      <w:color w:val="auto"/>
                      <w:sz w:val="21"/>
                      <w:szCs w:val="21"/>
                    </w:rPr>
                    <w:t>工程</w:t>
                  </w:r>
                </w:p>
              </w:tc>
              <w:tc>
                <w:tcPr>
                  <w:tcW w:w="511" w:type="pct"/>
                  <w:gridSpan w:val="2"/>
                  <w:noWrap w:val="0"/>
                  <w:tcMar>
                    <w:left w:w="0" w:type="dxa"/>
                    <w:right w:w="0" w:type="dxa"/>
                  </w:tcMar>
                  <w:vAlign w:val="center"/>
                </w:tcPr>
                <w:p>
                  <w:pPr>
                    <w:pStyle w:val="246"/>
                    <w:adjustRightInd w:val="0"/>
                    <w:snapToGri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用水</w:t>
                  </w:r>
                </w:p>
              </w:tc>
              <w:tc>
                <w:tcPr>
                  <w:tcW w:w="3152" w:type="pct"/>
                  <w:noWrap w:val="0"/>
                  <w:tcMar>
                    <w:left w:w="57" w:type="dxa"/>
                    <w:right w:w="57" w:type="dxa"/>
                  </w:tcMar>
                  <w:vAlign w:val="center"/>
                </w:tcPr>
                <w:p>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工程用水利用水库蓄水，生活用水利用自</w:t>
                  </w:r>
                  <w:r>
                    <w:rPr>
                      <w:rFonts w:hint="default" w:ascii="Times New Roman" w:hAnsi="Times New Roman" w:eastAsia="宋体" w:cs="Times New Roman"/>
                      <w:color w:val="auto"/>
                      <w:sz w:val="21"/>
                      <w:szCs w:val="21"/>
                      <w:lang w:val="en-US" w:eastAsia="zh-CN"/>
                    </w:rPr>
                    <w:t>来</w:t>
                  </w:r>
                  <w:r>
                    <w:rPr>
                      <w:rFonts w:hint="default" w:ascii="Times New Roman" w:hAnsi="Times New Roman" w:eastAsia="宋体" w:cs="Times New Roman"/>
                      <w:color w:val="auto"/>
                      <w:sz w:val="21"/>
                      <w:szCs w:val="21"/>
                      <w:lang w:eastAsia="zh-CN"/>
                    </w:rPr>
                    <w:t>水。</w:t>
                  </w:r>
                </w:p>
              </w:tc>
              <w:tc>
                <w:tcPr>
                  <w:tcW w:w="396"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422" w:type="pct"/>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tc>
              <w:tc>
                <w:tcPr>
                  <w:tcW w:w="286" w:type="pct"/>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1" w:hRule="atLeast"/>
                <w:jc w:val="center"/>
              </w:trPr>
              <w:tc>
                <w:tcPr>
                  <w:tcW w:w="231" w:type="pct"/>
                  <w:vMerge w:val="continue"/>
                  <w:noWrap w:val="0"/>
                  <w:tcMar>
                    <w:left w:w="0" w:type="dxa"/>
                    <w:right w:w="0" w:type="dxa"/>
                  </w:tcMar>
                  <w:vAlign w:val="center"/>
                </w:tcPr>
                <w:p>
                  <w:pPr>
                    <w:adjustRightInd w:val="0"/>
                    <w:snapToGrid w:val="0"/>
                    <w:jc w:val="center"/>
                    <w:rPr>
                      <w:rFonts w:hint="default" w:ascii="Times New Roman" w:hAnsi="Times New Roman" w:eastAsia="宋体" w:cs="Times New Roman"/>
                      <w:b/>
                      <w:bCs/>
                      <w:color w:val="auto"/>
                      <w:sz w:val="21"/>
                      <w:szCs w:val="21"/>
                    </w:rPr>
                  </w:pPr>
                </w:p>
              </w:tc>
              <w:tc>
                <w:tcPr>
                  <w:tcW w:w="511" w:type="pct"/>
                  <w:gridSpan w:val="2"/>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用电</w:t>
                  </w:r>
                </w:p>
              </w:tc>
              <w:tc>
                <w:tcPr>
                  <w:tcW w:w="3152" w:type="pct"/>
                  <w:noWrap w:val="0"/>
                  <w:tcMar>
                    <w:left w:w="57" w:type="dxa"/>
                    <w:right w:w="57" w:type="dxa"/>
                  </w:tcMar>
                  <w:vAlign w:val="center"/>
                </w:tcPr>
                <w:p>
                  <w:pPr>
                    <w:pStyle w:val="245"/>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接入水库管理处原有电源，并配备1台20kW的柴油发电机组。</w:t>
                  </w:r>
                </w:p>
              </w:tc>
              <w:tc>
                <w:tcPr>
                  <w:tcW w:w="396"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422" w:type="pct"/>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286" w:type="pct"/>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4" w:hRule="atLeast"/>
                <w:jc w:val="center"/>
              </w:trPr>
              <w:tc>
                <w:tcPr>
                  <w:tcW w:w="231" w:type="pct"/>
                  <w:vMerge w:val="restart"/>
                  <w:noWrap w:val="0"/>
                  <w:tcMar>
                    <w:left w:w="0" w:type="dxa"/>
                    <w:right w:w="0" w:type="dxa"/>
                  </w:tcMar>
                  <w:vAlign w:val="center"/>
                </w:tcPr>
                <w:p>
                  <w:pPr>
                    <w:adjustRightInd w:val="0"/>
                    <w:snapToGri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临时工程</w:t>
                  </w:r>
                </w:p>
              </w:tc>
              <w:tc>
                <w:tcPr>
                  <w:tcW w:w="511" w:type="pct"/>
                  <w:gridSpan w:val="2"/>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施工生活营地</w:t>
                  </w:r>
                </w:p>
              </w:tc>
              <w:tc>
                <w:tcPr>
                  <w:tcW w:w="3152" w:type="pct"/>
                  <w:noWrap w:val="0"/>
                  <w:tcMar>
                    <w:left w:w="57" w:type="dxa"/>
                    <w:right w:w="57" w:type="dxa"/>
                  </w:tcMar>
                  <w:vAlign w:val="center"/>
                </w:tcPr>
                <w:p>
                  <w:pPr>
                    <w:pStyle w:val="247"/>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施工生活用房使用库区已有</w:t>
                  </w:r>
                  <w:r>
                    <w:rPr>
                      <w:rFonts w:hint="eastAsia" w:ascii="Times New Roman" w:hAnsi="Times New Roman" w:eastAsia="宋体" w:cs="Times New Roman"/>
                      <w:color w:val="auto"/>
                      <w:sz w:val="21"/>
                      <w:szCs w:val="21"/>
                      <w:lang w:eastAsia="zh-CN"/>
                    </w:rPr>
                    <w:t>管理处</w:t>
                  </w:r>
                  <w:r>
                    <w:rPr>
                      <w:rFonts w:hint="default" w:ascii="Times New Roman" w:hAnsi="Times New Roman" w:eastAsia="宋体" w:cs="Times New Roman"/>
                      <w:color w:val="auto"/>
                      <w:sz w:val="21"/>
                      <w:szCs w:val="21"/>
                    </w:rPr>
                    <w:t>。</w:t>
                  </w:r>
                </w:p>
              </w:tc>
              <w:tc>
                <w:tcPr>
                  <w:tcW w:w="396"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422" w:type="pct"/>
                  <w:vMerge w:val="restart"/>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对破坏的植被予以恢复或补偿，改善环境</w:t>
                  </w:r>
                </w:p>
              </w:tc>
              <w:tc>
                <w:tcPr>
                  <w:tcW w:w="286" w:type="pct"/>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1" w:hRule="atLeast"/>
                <w:jc w:val="center"/>
              </w:trPr>
              <w:tc>
                <w:tcPr>
                  <w:tcW w:w="231"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sz w:val="21"/>
                      <w:szCs w:val="21"/>
                    </w:rPr>
                  </w:pPr>
                </w:p>
              </w:tc>
              <w:tc>
                <w:tcPr>
                  <w:tcW w:w="511" w:type="pct"/>
                  <w:gridSpan w:val="2"/>
                  <w:noWrap w:val="0"/>
                  <w:tcMar>
                    <w:left w:w="0" w:type="dxa"/>
                    <w:right w:w="0" w:type="dxa"/>
                  </w:tcMar>
                  <w:vAlign w:val="center"/>
                </w:tcPr>
                <w:p>
                  <w:pPr>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石渣料</w:t>
                  </w:r>
                  <w:r>
                    <w:rPr>
                      <w:rFonts w:hint="eastAsia" w:ascii="Times New Roman" w:hAnsi="Times New Roman" w:eastAsia="宋体" w:cs="Times New Roman"/>
                      <w:color w:val="auto"/>
                      <w:kern w:val="2"/>
                      <w:sz w:val="21"/>
                      <w:szCs w:val="21"/>
                      <w:lang w:val="en-US" w:eastAsia="zh-CN" w:bidi="ar-SA"/>
                    </w:rPr>
                    <w:t>场区</w:t>
                  </w:r>
                </w:p>
              </w:tc>
              <w:tc>
                <w:tcPr>
                  <w:tcW w:w="3152" w:type="pct"/>
                  <w:noWrap w:val="0"/>
                  <w:tcMar>
                    <w:left w:w="57" w:type="dxa"/>
                    <w:right w:w="57" w:type="dxa"/>
                  </w:tcMar>
                  <w:vAlign w:val="center"/>
                </w:tcPr>
                <w:p>
                  <w:pPr>
                    <w:pageBreakBefore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占地约3亩，</w:t>
                  </w:r>
                  <w:r>
                    <w:rPr>
                      <w:rFonts w:hint="eastAsia" w:ascii="Times New Roman" w:hAnsi="Times New Roman" w:eastAsia="宋体" w:cs="Times New Roman"/>
                      <w:color w:val="auto"/>
                      <w:kern w:val="2"/>
                      <w:sz w:val="21"/>
                      <w:szCs w:val="21"/>
                      <w:lang w:val="en-US" w:eastAsia="zh-CN" w:bidi="ar-SA"/>
                    </w:rPr>
                    <w:t>位于管理处东侧，</w:t>
                  </w:r>
                  <w:r>
                    <w:rPr>
                      <w:rFonts w:hint="default" w:ascii="Times New Roman" w:hAnsi="Times New Roman" w:eastAsia="宋体" w:cs="Times New Roman"/>
                      <w:color w:val="auto"/>
                      <w:kern w:val="2"/>
                      <w:sz w:val="21"/>
                      <w:szCs w:val="21"/>
                      <w:lang w:val="en-US" w:eastAsia="zh-CN" w:bidi="ar-SA"/>
                    </w:rPr>
                    <w:t>为水库管理范围内。</w:t>
                  </w:r>
                  <w:r>
                    <w:rPr>
                      <w:rFonts w:hint="default" w:ascii="Times New Roman" w:hAnsi="Times New Roman" w:eastAsia="宋体" w:cs="Times New Roman"/>
                      <w:color w:val="auto"/>
                      <w:sz w:val="21"/>
                      <w:szCs w:val="21"/>
                      <w:lang w:val="en-US" w:eastAsia="zh-CN"/>
                    </w:rPr>
                    <w:t>开采使用石渣料用于</w:t>
                  </w:r>
                  <w:r>
                    <w:rPr>
                      <w:rFonts w:hint="default" w:ascii="Times New Roman" w:hAnsi="Times New Roman" w:eastAsia="宋体" w:cs="Times New Roman"/>
                      <w:color w:val="auto"/>
                      <w:sz w:val="21"/>
                      <w:szCs w:val="21"/>
                      <w:vertAlign w:val="baseline"/>
                      <w:lang w:eastAsia="zh-CN"/>
                    </w:rPr>
                    <w:t>坝体后坡需进行培厚，</w:t>
                  </w:r>
                  <w:r>
                    <w:rPr>
                      <w:rFonts w:hint="default" w:ascii="Times New Roman" w:hAnsi="Times New Roman" w:eastAsia="宋体" w:cs="Times New Roman"/>
                      <w:color w:val="auto"/>
                      <w:sz w:val="21"/>
                      <w:szCs w:val="21"/>
                      <w:lang w:val="en-US" w:eastAsia="zh-CN"/>
                    </w:rPr>
                    <w:t>开采量</w:t>
                  </w:r>
                  <w:r>
                    <w:rPr>
                      <w:rFonts w:hint="default" w:ascii="Times New Roman" w:hAnsi="Times New Roman" w:cs="Times New Roman"/>
                      <w:color w:val="auto"/>
                      <w:sz w:val="21"/>
                      <w:szCs w:val="21"/>
                      <w:vertAlign w:val="baseline"/>
                      <w:lang w:val="en-US" w:eastAsia="zh-CN"/>
                    </w:rPr>
                    <w:t>1673</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lang w:val="en-US" w:eastAsia="zh-CN"/>
                    </w:rPr>
                    <w:t>。</w:t>
                  </w:r>
                </w:p>
              </w:tc>
              <w:tc>
                <w:tcPr>
                  <w:tcW w:w="396"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sz w:val="21"/>
                      <w:szCs w:val="21"/>
                    </w:rPr>
                  </w:pPr>
                </w:p>
              </w:tc>
              <w:tc>
                <w:tcPr>
                  <w:tcW w:w="422"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sz w:val="21"/>
                      <w:szCs w:val="21"/>
                    </w:rPr>
                  </w:pPr>
                </w:p>
              </w:tc>
              <w:tc>
                <w:tcPr>
                  <w:tcW w:w="286" w:type="pct"/>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1" w:type="pct"/>
                  <w:vMerge w:val="continue"/>
                  <w:noWrap w:val="0"/>
                  <w:tcMar>
                    <w:left w:w="0" w:type="dxa"/>
                    <w:right w:w="0" w:type="dxa"/>
                  </w:tcMar>
                  <w:vAlign w:val="center"/>
                </w:tcPr>
                <w:p>
                  <w:pPr>
                    <w:adjustRightInd w:val="0"/>
                    <w:snapToGrid w:val="0"/>
                    <w:jc w:val="center"/>
                    <w:rPr>
                      <w:rFonts w:hint="default" w:ascii="Times New Roman" w:hAnsi="Times New Roman" w:eastAsia="宋体" w:cs="Times New Roman"/>
                      <w:b/>
                      <w:bCs/>
                      <w:color w:val="auto"/>
                      <w:sz w:val="21"/>
                      <w:szCs w:val="21"/>
                    </w:rPr>
                  </w:pPr>
                </w:p>
              </w:tc>
              <w:tc>
                <w:tcPr>
                  <w:tcW w:w="511" w:type="pct"/>
                  <w:gridSpan w:val="2"/>
                  <w:noWrap w:val="0"/>
                  <w:tcMar>
                    <w:left w:w="0" w:type="dxa"/>
                    <w:right w:w="0" w:type="dxa"/>
                  </w:tcMar>
                  <w:vAlign w:val="center"/>
                </w:tcPr>
                <w:p>
                  <w:pPr>
                    <w:pStyle w:val="248"/>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施工便道</w:t>
                  </w:r>
                </w:p>
              </w:tc>
              <w:tc>
                <w:tcPr>
                  <w:tcW w:w="3152" w:type="pct"/>
                  <w:noWrap w:val="0"/>
                  <w:tcMar>
                    <w:left w:w="57" w:type="dxa"/>
                    <w:right w:w="57" w:type="dxa"/>
                  </w:tcMar>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利用原有道路，占地约1.26亩。</w:t>
                  </w:r>
                </w:p>
              </w:tc>
              <w:tc>
                <w:tcPr>
                  <w:tcW w:w="396"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422"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286" w:type="pct"/>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1" w:hRule="atLeast"/>
                <w:jc w:val="center"/>
              </w:trPr>
              <w:tc>
                <w:tcPr>
                  <w:tcW w:w="231" w:type="pct"/>
                  <w:vMerge w:val="continue"/>
                  <w:noWrap w:val="0"/>
                  <w:tcMar>
                    <w:left w:w="0" w:type="dxa"/>
                    <w:right w:w="0" w:type="dxa"/>
                  </w:tcMar>
                  <w:vAlign w:val="center"/>
                </w:tcPr>
                <w:p>
                  <w:pPr>
                    <w:adjustRightInd w:val="0"/>
                    <w:snapToGrid w:val="0"/>
                    <w:jc w:val="center"/>
                    <w:rPr>
                      <w:rFonts w:hint="default" w:ascii="Times New Roman" w:hAnsi="Times New Roman" w:eastAsia="宋体" w:cs="Times New Roman"/>
                      <w:b/>
                      <w:bCs/>
                      <w:color w:val="auto"/>
                      <w:sz w:val="21"/>
                      <w:szCs w:val="21"/>
                    </w:rPr>
                  </w:pPr>
                </w:p>
              </w:tc>
              <w:tc>
                <w:tcPr>
                  <w:tcW w:w="511" w:type="pct"/>
                  <w:gridSpan w:val="2"/>
                  <w:noWrap w:val="0"/>
                  <w:tcMar>
                    <w:left w:w="0" w:type="dxa"/>
                    <w:right w:w="0" w:type="dxa"/>
                  </w:tcMar>
                  <w:vAlign w:val="center"/>
                </w:tcPr>
                <w:p>
                  <w:pPr>
                    <w:pStyle w:val="248"/>
                    <w:adjustRightInd w:val="0"/>
                    <w:snapToGri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施工</w:t>
                  </w:r>
                  <w:r>
                    <w:rPr>
                      <w:rFonts w:hint="default" w:ascii="Times New Roman" w:hAnsi="Times New Roman" w:eastAsia="宋体" w:cs="Times New Roman"/>
                      <w:color w:val="auto"/>
                      <w:sz w:val="21"/>
                      <w:szCs w:val="21"/>
                      <w:lang w:val="en-US" w:eastAsia="zh-CN"/>
                    </w:rPr>
                    <w:t>工区</w:t>
                  </w:r>
                </w:p>
              </w:tc>
              <w:tc>
                <w:tcPr>
                  <w:tcW w:w="3152" w:type="pct"/>
                  <w:noWrap w:val="0"/>
                  <w:tcMar>
                    <w:left w:w="57" w:type="dxa"/>
                    <w:right w:w="57" w:type="dxa"/>
                  </w:tcMar>
                  <w:vAlign w:val="center"/>
                </w:tcPr>
                <w:p>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布置在</w:t>
                  </w:r>
                  <w:r>
                    <w:rPr>
                      <w:rFonts w:hint="eastAsia" w:ascii="Times New Roman" w:hAnsi="Times New Roman" w:eastAsia="宋体" w:cs="Times New Roman"/>
                      <w:color w:val="auto"/>
                      <w:sz w:val="21"/>
                      <w:szCs w:val="21"/>
                      <w:lang w:val="en-US" w:eastAsia="zh-CN"/>
                    </w:rPr>
                    <w:t>管理处</w:t>
                  </w:r>
                  <w:r>
                    <w:rPr>
                      <w:rFonts w:hint="default" w:ascii="Times New Roman" w:hAnsi="Times New Roman" w:eastAsia="宋体" w:cs="Times New Roman"/>
                      <w:color w:val="auto"/>
                      <w:sz w:val="21"/>
                      <w:szCs w:val="21"/>
                      <w:lang w:val="en-US" w:eastAsia="zh-CN"/>
                    </w:rPr>
                    <w:t>东侧</w:t>
                  </w:r>
                  <w:r>
                    <w:rPr>
                      <w:rFonts w:hint="default" w:ascii="Times New Roman" w:hAnsi="Times New Roman" w:eastAsia="宋体" w:cs="Times New Roman"/>
                      <w:color w:val="auto"/>
                      <w:sz w:val="21"/>
                      <w:szCs w:val="21"/>
                    </w:rPr>
                    <w:t>，负责坝体、溢洪道及其他项目内容整治工程施工，占地200m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，布置有仓库、</w:t>
                  </w:r>
                  <w:r>
                    <w:rPr>
                      <w:rFonts w:hint="default" w:ascii="Times New Roman" w:hAnsi="Times New Roman" w:eastAsia="宋体" w:cs="Times New Roman"/>
                      <w:color w:val="auto"/>
                      <w:sz w:val="21"/>
                      <w:szCs w:val="21"/>
                      <w:lang w:val="en-US" w:eastAsia="zh-CN"/>
                    </w:rPr>
                    <w:t>钢筋加工、拌合系统</w:t>
                  </w:r>
                  <w:r>
                    <w:rPr>
                      <w:rFonts w:hint="default" w:ascii="Times New Roman" w:hAnsi="Times New Roman" w:eastAsia="宋体" w:cs="Times New Roman"/>
                      <w:color w:val="auto"/>
                      <w:sz w:val="21"/>
                      <w:szCs w:val="21"/>
                    </w:rPr>
                    <w:t>等</w:t>
                  </w:r>
                  <w:r>
                    <w:rPr>
                      <w:rFonts w:hint="default" w:ascii="Times New Roman" w:hAnsi="Times New Roman" w:eastAsia="宋体" w:cs="Times New Roman"/>
                      <w:color w:val="auto"/>
                      <w:sz w:val="21"/>
                      <w:szCs w:val="21"/>
                      <w:lang w:eastAsia="zh-CN"/>
                    </w:rPr>
                    <w:t>。</w:t>
                  </w:r>
                </w:p>
              </w:tc>
              <w:tc>
                <w:tcPr>
                  <w:tcW w:w="396"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422"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lang w:eastAsia="zh-CN"/>
                    </w:rPr>
                  </w:pPr>
                </w:p>
              </w:tc>
              <w:tc>
                <w:tcPr>
                  <w:tcW w:w="286" w:type="pct"/>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1" w:type="pct"/>
                  <w:vMerge w:val="restart"/>
                  <w:noWrap w:val="0"/>
                  <w:tcMar>
                    <w:left w:w="0" w:type="dxa"/>
                    <w:right w:w="0" w:type="dxa"/>
                  </w:tcMar>
                  <w:vAlign w:val="center"/>
                </w:tcPr>
                <w:p>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环保</w:t>
                  </w:r>
                </w:p>
                <w:p>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工程</w:t>
                  </w:r>
                </w:p>
              </w:tc>
              <w:tc>
                <w:tcPr>
                  <w:tcW w:w="511" w:type="pct"/>
                  <w:gridSpan w:val="2"/>
                  <w:vMerge w:val="restart"/>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废气</w:t>
                  </w:r>
                </w:p>
              </w:tc>
              <w:tc>
                <w:tcPr>
                  <w:tcW w:w="3152" w:type="pct"/>
                  <w:vMerge w:val="restart"/>
                  <w:noWrap w:val="0"/>
                  <w:tcMar>
                    <w:left w:w="57" w:type="dxa"/>
                    <w:right w:w="57" w:type="dxa"/>
                  </w:tcMar>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lang w:val="en-US" w:eastAsia="zh-CN" w:bidi="ar"/>
                    </w:rPr>
                    <w:t>施工扬尘、土石方挖填、石渣料开采产生的扬尘经洒水抑尘、封闭施工、保持施工场地路面清洁、避免大风天气作业等措施进行治理。</w:t>
                  </w:r>
                </w:p>
              </w:tc>
              <w:tc>
                <w:tcPr>
                  <w:tcW w:w="396"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422"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286" w:type="pct"/>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31" w:type="pct"/>
                  <w:vMerge w:val="continue"/>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 w:val="21"/>
                      <w:szCs w:val="21"/>
                    </w:rPr>
                  </w:pPr>
                </w:p>
              </w:tc>
              <w:tc>
                <w:tcPr>
                  <w:tcW w:w="511" w:type="pct"/>
                  <w:gridSpan w:val="2"/>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rPr>
                  </w:pPr>
                </w:p>
              </w:tc>
              <w:tc>
                <w:tcPr>
                  <w:tcW w:w="3152" w:type="pct"/>
                  <w:vMerge w:val="continue"/>
                  <w:noWrap w:val="0"/>
                  <w:tcMar>
                    <w:left w:w="57" w:type="dxa"/>
                    <w:right w:w="57" w:type="dxa"/>
                  </w:tcMar>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lang w:val="en-US"/>
                    </w:rPr>
                  </w:pPr>
                </w:p>
              </w:tc>
              <w:tc>
                <w:tcPr>
                  <w:tcW w:w="396"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422"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286" w:type="pct"/>
                  <w:noWrap w:val="0"/>
                  <w:tcMar>
                    <w:left w:w="0" w:type="dxa"/>
                    <w:right w:w="0" w:type="dxa"/>
                  </w:tcMar>
                  <w:vAlign w:val="center"/>
                </w:tcPr>
                <w:p>
                  <w:pPr>
                    <w:pStyle w:val="245"/>
                    <w:adjustRightInd w:val="0"/>
                    <w:snapToGrid w:val="0"/>
                    <w:jc w:val="both"/>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31"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sz w:val="21"/>
                      <w:szCs w:val="21"/>
                    </w:rPr>
                  </w:pPr>
                </w:p>
              </w:tc>
              <w:tc>
                <w:tcPr>
                  <w:tcW w:w="511" w:type="pct"/>
                  <w:gridSpan w:val="2"/>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sz w:val="21"/>
                      <w:szCs w:val="21"/>
                    </w:rPr>
                  </w:pPr>
                </w:p>
              </w:tc>
              <w:tc>
                <w:tcPr>
                  <w:tcW w:w="3152" w:type="pct"/>
                  <w:noWrap w:val="0"/>
                  <w:tcMar>
                    <w:left w:w="57" w:type="dxa"/>
                    <w:right w:w="57" w:type="dxa"/>
                  </w:tcMar>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lang w:val="en-US" w:eastAsia="zh-CN" w:bidi="ar"/>
                    </w:rPr>
                    <w:t>施工机械废气通过尽量减少燃油设备使用、加强施工机械设备维护、使用合格燃油等措施来减缓其对环境的影响。</w:t>
                  </w:r>
                </w:p>
              </w:tc>
              <w:tc>
                <w:tcPr>
                  <w:tcW w:w="396"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rPr>
                  </w:pPr>
                </w:p>
              </w:tc>
              <w:tc>
                <w:tcPr>
                  <w:tcW w:w="422"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rPr>
                  </w:pPr>
                </w:p>
              </w:tc>
              <w:tc>
                <w:tcPr>
                  <w:tcW w:w="286" w:type="pct"/>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31"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rPr>
                  </w:pPr>
                </w:p>
              </w:tc>
              <w:tc>
                <w:tcPr>
                  <w:tcW w:w="511" w:type="pct"/>
                  <w:gridSpan w:val="2"/>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rPr>
                  </w:pPr>
                </w:p>
              </w:tc>
              <w:tc>
                <w:tcPr>
                  <w:tcW w:w="3152" w:type="pct"/>
                  <w:noWrap w:val="0"/>
                  <w:tcMar>
                    <w:left w:w="57" w:type="dxa"/>
                    <w:right w:w="57" w:type="dxa"/>
                  </w:tcMar>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lang w:val="en-US" w:eastAsia="zh-CN" w:bidi="ar"/>
                    </w:rPr>
                    <w:t>柴油发电机使用0#柴油为燃料，产生的尾气无组织排放。</w:t>
                  </w:r>
                </w:p>
              </w:tc>
              <w:tc>
                <w:tcPr>
                  <w:tcW w:w="396"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rPr>
                  </w:pPr>
                </w:p>
              </w:tc>
              <w:tc>
                <w:tcPr>
                  <w:tcW w:w="422"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rPr>
                  </w:pPr>
                </w:p>
              </w:tc>
              <w:tc>
                <w:tcPr>
                  <w:tcW w:w="286" w:type="pct"/>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31" w:type="pct"/>
                  <w:vMerge w:val="continue"/>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 w:val="21"/>
                      <w:szCs w:val="21"/>
                    </w:rPr>
                  </w:pPr>
                </w:p>
              </w:tc>
              <w:tc>
                <w:tcPr>
                  <w:tcW w:w="511" w:type="pct"/>
                  <w:gridSpan w:val="2"/>
                  <w:vMerge w:val="restart"/>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废水</w:t>
                  </w:r>
                </w:p>
              </w:tc>
              <w:tc>
                <w:tcPr>
                  <w:tcW w:w="3152" w:type="pct"/>
                  <w:noWrap w:val="0"/>
                  <w:tcMar>
                    <w:left w:w="57" w:type="dxa"/>
                    <w:right w:w="57"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施工废水：经沉淀池进行处理后循环使用，不外排。</w:t>
                  </w:r>
                </w:p>
              </w:tc>
              <w:tc>
                <w:tcPr>
                  <w:tcW w:w="396"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422"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286" w:type="pct"/>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7" w:hRule="atLeast"/>
                <w:jc w:val="center"/>
              </w:trPr>
              <w:tc>
                <w:tcPr>
                  <w:tcW w:w="231"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sz w:val="21"/>
                      <w:szCs w:val="21"/>
                    </w:rPr>
                  </w:pPr>
                </w:p>
              </w:tc>
              <w:tc>
                <w:tcPr>
                  <w:tcW w:w="511" w:type="pct"/>
                  <w:gridSpan w:val="2"/>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sz w:val="21"/>
                      <w:szCs w:val="21"/>
                    </w:rPr>
                  </w:pPr>
                </w:p>
              </w:tc>
              <w:tc>
                <w:tcPr>
                  <w:tcW w:w="3152" w:type="pct"/>
                  <w:noWrap w:val="0"/>
                  <w:tcMar>
                    <w:left w:w="57" w:type="dxa"/>
                    <w:right w:w="57"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施工人员生活污水：依托库区</w:t>
                  </w:r>
                  <w:r>
                    <w:rPr>
                      <w:rFonts w:hint="eastAsia" w:ascii="Times New Roman" w:hAnsi="Times New Roman" w:eastAsia="宋体" w:cs="Times New Roman"/>
                      <w:color w:val="auto"/>
                      <w:kern w:val="0"/>
                      <w:sz w:val="21"/>
                      <w:szCs w:val="21"/>
                      <w:lang w:val="en-US" w:eastAsia="zh-CN"/>
                    </w:rPr>
                    <w:t>管理处</w:t>
                  </w:r>
                  <w:r>
                    <w:rPr>
                      <w:rFonts w:hint="default" w:ascii="Times New Roman" w:hAnsi="Times New Roman" w:eastAsia="宋体" w:cs="Times New Roman"/>
                      <w:color w:val="auto"/>
                      <w:kern w:val="0"/>
                      <w:sz w:val="21"/>
                      <w:szCs w:val="21"/>
                      <w:lang w:val="en-US" w:eastAsia="zh-CN"/>
                    </w:rPr>
                    <w:t>内已有化粪池收集处理后农用，不外排。</w:t>
                  </w:r>
                </w:p>
              </w:tc>
              <w:tc>
                <w:tcPr>
                  <w:tcW w:w="396"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p>
              </w:tc>
              <w:tc>
                <w:tcPr>
                  <w:tcW w:w="422"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p>
              </w:tc>
              <w:tc>
                <w:tcPr>
                  <w:tcW w:w="286" w:type="pct"/>
                  <w:vMerge w:val="restart"/>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7" w:hRule="atLeast"/>
                <w:jc w:val="center"/>
              </w:trPr>
              <w:tc>
                <w:tcPr>
                  <w:tcW w:w="231" w:type="pct"/>
                  <w:vMerge w:val="continue"/>
                  <w:noWrap w:val="0"/>
                  <w:tcMar>
                    <w:left w:w="0" w:type="dxa"/>
                    <w:right w:w="0" w:type="dxa"/>
                  </w:tcMar>
                  <w:vAlign w:val="center"/>
                </w:tcPr>
                <w:p>
                  <w:pPr>
                    <w:pStyle w:val="247"/>
                    <w:adjustRightInd w:val="0"/>
                    <w:snapToGrid w:val="0"/>
                    <w:jc w:val="center"/>
                    <w:rPr>
                      <w:rFonts w:hint="default" w:ascii="Times New Roman" w:hAnsi="Times New Roman" w:cs="Times New Roman"/>
                      <w:color w:val="auto"/>
                    </w:rPr>
                  </w:pPr>
                </w:p>
              </w:tc>
              <w:tc>
                <w:tcPr>
                  <w:tcW w:w="511" w:type="pct"/>
                  <w:gridSpan w:val="2"/>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噪声</w:t>
                  </w:r>
                </w:p>
              </w:tc>
              <w:tc>
                <w:tcPr>
                  <w:tcW w:w="3152" w:type="pct"/>
                  <w:noWrap w:val="0"/>
                  <w:tcMar>
                    <w:left w:w="57" w:type="dxa"/>
                    <w:right w:w="57"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eastAsia="zh-CN"/>
                    </w:rPr>
                    <w:t>选用低噪设备，合理安排施工时间，禁止夜间施工，合理安排施工时序，避免同时使用高噪声设备。</w:t>
                  </w:r>
                </w:p>
              </w:tc>
              <w:tc>
                <w:tcPr>
                  <w:tcW w:w="396"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sz w:val="21"/>
                      <w:szCs w:val="21"/>
                    </w:rPr>
                  </w:pPr>
                </w:p>
              </w:tc>
              <w:tc>
                <w:tcPr>
                  <w:tcW w:w="422"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sz w:val="21"/>
                      <w:szCs w:val="21"/>
                    </w:rPr>
                  </w:pPr>
                </w:p>
              </w:tc>
              <w:tc>
                <w:tcPr>
                  <w:tcW w:w="286"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7" w:hRule="atLeast"/>
                <w:jc w:val="center"/>
              </w:trPr>
              <w:tc>
                <w:tcPr>
                  <w:tcW w:w="231" w:type="pct"/>
                  <w:vMerge w:val="continue"/>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 w:val="21"/>
                      <w:szCs w:val="21"/>
                    </w:rPr>
                  </w:pPr>
                </w:p>
              </w:tc>
              <w:tc>
                <w:tcPr>
                  <w:tcW w:w="511" w:type="pct"/>
                  <w:gridSpan w:val="2"/>
                  <w:vMerge w:val="restart"/>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固废</w:t>
                  </w:r>
                </w:p>
              </w:tc>
              <w:tc>
                <w:tcPr>
                  <w:tcW w:w="3152" w:type="pct"/>
                  <w:noWrap w:val="0"/>
                  <w:tcMar>
                    <w:left w:w="57" w:type="dxa"/>
                    <w:right w:w="57"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沉淀池沉渣、</w:t>
                  </w:r>
                  <w:r>
                    <w:rPr>
                      <w:rFonts w:hint="default" w:ascii="Times New Roman" w:hAnsi="Times New Roman" w:eastAsia="宋体" w:cs="Times New Roman"/>
                      <w:color w:val="auto"/>
                      <w:kern w:val="0"/>
                      <w:sz w:val="21"/>
                      <w:szCs w:val="21"/>
                      <w:lang w:val="en-US" w:eastAsia="zh-CN"/>
                    </w:rPr>
                    <w:t>工程弃渣运至乐山指定弃渣场进行堆放。</w:t>
                  </w:r>
                </w:p>
              </w:tc>
              <w:tc>
                <w:tcPr>
                  <w:tcW w:w="396"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422"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286" w:type="pct"/>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7" w:hRule="atLeast"/>
                <w:jc w:val="center"/>
              </w:trPr>
              <w:tc>
                <w:tcPr>
                  <w:tcW w:w="231"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sz w:val="21"/>
                      <w:szCs w:val="21"/>
                    </w:rPr>
                  </w:pPr>
                </w:p>
              </w:tc>
              <w:tc>
                <w:tcPr>
                  <w:tcW w:w="511" w:type="pct"/>
                  <w:gridSpan w:val="2"/>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sz w:val="21"/>
                      <w:szCs w:val="21"/>
                    </w:rPr>
                  </w:pPr>
                </w:p>
              </w:tc>
              <w:tc>
                <w:tcPr>
                  <w:tcW w:w="3152" w:type="pct"/>
                  <w:noWrap w:val="0"/>
                  <w:tcMar>
                    <w:left w:w="57" w:type="dxa"/>
                    <w:right w:w="57"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拆除的设备可回收部分外售资源回收站，不可回收部分作为工程弃渣运至乐山指定弃渣场进行堆放。</w:t>
                  </w:r>
                </w:p>
              </w:tc>
              <w:tc>
                <w:tcPr>
                  <w:tcW w:w="396"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p>
              </w:tc>
              <w:tc>
                <w:tcPr>
                  <w:tcW w:w="422"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p>
              </w:tc>
              <w:tc>
                <w:tcPr>
                  <w:tcW w:w="286" w:type="pct"/>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7" w:hRule="atLeast"/>
                <w:jc w:val="center"/>
              </w:trPr>
              <w:tc>
                <w:tcPr>
                  <w:tcW w:w="231"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p>
              </w:tc>
              <w:tc>
                <w:tcPr>
                  <w:tcW w:w="511" w:type="pct"/>
                  <w:gridSpan w:val="2"/>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p>
              </w:tc>
              <w:tc>
                <w:tcPr>
                  <w:tcW w:w="3152" w:type="pct"/>
                  <w:noWrap w:val="0"/>
                  <w:tcMar>
                    <w:left w:w="57" w:type="dxa"/>
                    <w:right w:w="57"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白蚁防治废药品包装袋收集后交由厂家回收。</w:t>
                  </w:r>
                </w:p>
              </w:tc>
              <w:tc>
                <w:tcPr>
                  <w:tcW w:w="396"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p>
              </w:tc>
              <w:tc>
                <w:tcPr>
                  <w:tcW w:w="422"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p>
              </w:tc>
              <w:tc>
                <w:tcPr>
                  <w:tcW w:w="286" w:type="pct"/>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7" w:hRule="atLeast"/>
                <w:jc w:val="center"/>
              </w:trPr>
              <w:tc>
                <w:tcPr>
                  <w:tcW w:w="231"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p>
              </w:tc>
              <w:tc>
                <w:tcPr>
                  <w:tcW w:w="511" w:type="pct"/>
                  <w:gridSpan w:val="2"/>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p>
              </w:tc>
              <w:tc>
                <w:tcPr>
                  <w:tcW w:w="3152" w:type="pct"/>
                  <w:noWrap w:val="0"/>
                  <w:tcMar>
                    <w:left w:w="57" w:type="dxa"/>
                    <w:right w:w="57"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施工人员生活垃圾分类收集，定点堆放，交由当地环卫部门清运处理。</w:t>
                  </w:r>
                </w:p>
              </w:tc>
              <w:tc>
                <w:tcPr>
                  <w:tcW w:w="396"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p>
              </w:tc>
              <w:tc>
                <w:tcPr>
                  <w:tcW w:w="422" w:type="pct"/>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p>
              </w:tc>
              <w:tc>
                <w:tcPr>
                  <w:tcW w:w="286" w:type="pct"/>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27" w:hRule="atLeast"/>
                <w:jc w:val="center"/>
              </w:trPr>
              <w:tc>
                <w:tcPr>
                  <w:tcW w:w="231" w:type="pct"/>
                  <w:vMerge w:val="continue"/>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 w:val="21"/>
                      <w:szCs w:val="21"/>
                    </w:rPr>
                  </w:pPr>
                </w:p>
              </w:tc>
              <w:tc>
                <w:tcPr>
                  <w:tcW w:w="511" w:type="pct"/>
                  <w:gridSpan w:val="2"/>
                  <w:vMerge w:val="restart"/>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生态</w:t>
                  </w:r>
                </w:p>
              </w:tc>
              <w:tc>
                <w:tcPr>
                  <w:tcW w:w="3152" w:type="pct"/>
                  <w:noWrap w:val="0"/>
                  <w:tcMar>
                    <w:left w:w="57" w:type="dxa"/>
                    <w:right w:w="57" w:type="dxa"/>
                  </w:tcMar>
                  <w:vAlign w:val="center"/>
                </w:tcPr>
                <w:p>
                  <w:pPr>
                    <w:pStyle w:val="247"/>
                    <w:adjustRightInd w:val="0"/>
                    <w:snapToGrid w:val="0"/>
                    <w:jc w:val="center"/>
                    <w:rPr>
                      <w:rFonts w:hint="default" w:ascii="Times New Roman" w:hAnsi="Times New Roman" w:eastAsia="宋体" w:cs="Times New Roman"/>
                      <w:color w:val="auto"/>
                      <w:kern w:val="0"/>
                      <w:sz w:val="21"/>
                      <w:szCs w:val="21"/>
                    </w:rPr>
                  </w:pPr>
                  <w:r>
                    <w:rPr>
                      <w:rStyle w:val="46"/>
                      <w:rFonts w:hint="eastAsia" w:ascii="Times New Roman" w:hAnsi="Times New Roman" w:eastAsia="宋体" w:cs="Times New Roman"/>
                      <w:color w:val="auto"/>
                      <w:kern w:val="0"/>
                      <w:sz w:val="21"/>
                      <w:szCs w:val="21"/>
                      <w:lang w:val="en-US" w:eastAsia="zh-CN" w:bidi="en-US"/>
                    </w:rPr>
                    <w:t>陆生生态：</w:t>
                  </w:r>
                  <w:r>
                    <w:rPr>
                      <w:rStyle w:val="46"/>
                      <w:rFonts w:hint="default" w:ascii="Times New Roman" w:hAnsi="Times New Roman" w:eastAsia="宋体" w:cs="Times New Roman"/>
                      <w:color w:val="auto"/>
                      <w:kern w:val="0"/>
                      <w:sz w:val="21"/>
                      <w:szCs w:val="21"/>
                      <w:lang w:val="en-US" w:eastAsia="zh-CN" w:bidi="en-US"/>
                    </w:rPr>
                    <w:t>严禁</w:t>
                  </w:r>
                  <w:r>
                    <w:rPr>
                      <w:rStyle w:val="46"/>
                      <w:rFonts w:hint="default" w:ascii="Times New Roman" w:hAnsi="Times New Roman" w:eastAsia="宋体" w:cs="Times New Roman"/>
                      <w:color w:val="auto"/>
                      <w:kern w:val="0"/>
                      <w:sz w:val="21"/>
                      <w:szCs w:val="21"/>
                      <w:lang w:eastAsia="zh-CN" w:bidi="en-US"/>
                    </w:rPr>
                    <w:t>地表裸露，加强建设过程中的文明施工管理，增强施工人员的环保意识，禁止野蛮施工，基础开挖、回填尽量避免在多雨季节进行，做好施工现场的防尘和水土保持措施，优化施工工序，缩短材料堆放及施工时间。工程施工结束后，对沉淀池及导水渠进行填埋，利用表土进行覆盖和压实平整，进行迹地恢复。</w:t>
                  </w:r>
                </w:p>
              </w:tc>
              <w:tc>
                <w:tcPr>
                  <w:tcW w:w="396"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422"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286" w:type="pct"/>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31" w:type="pct"/>
                  <w:vMerge w:val="continue"/>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 w:val="21"/>
                      <w:szCs w:val="21"/>
                    </w:rPr>
                  </w:pPr>
                </w:p>
              </w:tc>
              <w:tc>
                <w:tcPr>
                  <w:tcW w:w="511" w:type="pct"/>
                  <w:gridSpan w:val="2"/>
                  <w:vMerge w:val="continue"/>
                  <w:noWrap w:val="0"/>
                  <w:tcMar>
                    <w:left w:w="0" w:type="dxa"/>
                    <w:right w:w="0" w:type="dxa"/>
                  </w:tcMar>
                  <w:vAlign w:val="center"/>
                </w:tcPr>
                <w:p>
                  <w:pPr>
                    <w:pStyle w:val="247"/>
                    <w:adjustRightInd w:val="0"/>
                    <w:snapToGrid w:val="0"/>
                    <w:jc w:val="center"/>
                    <w:rPr>
                      <w:rFonts w:hint="default" w:ascii="Times New Roman" w:hAnsi="Times New Roman" w:eastAsia="宋体" w:cs="Times New Roman"/>
                      <w:color w:val="auto"/>
                      <w:kern w:val="0"/>
                      <w:sz w:val="21"/>
                      <w:szCs w:val="21"/>
                    </w:rPr>
                  </w:pPr>
                </w:p>
              </w:tc>
              <w:tc>
                <w:tcPr>
                  <w:tcW w:w="3152" w:type="pct"/>
                  <w:noWrap w:val="0"/>
                  <w:tcMar>
                    <w:left w:w="57" w:type="dxa"/>
                    <w:right w:w="57" w:type="dxa"/>
                  </w:tcMar>
                  <w:vAlign w:val="center"/>
                </w:tcPr>
                <w:p>
                  <w:pPr>
                    <w:pStyle w:val="247"/>
                    <w:adjustRightInd w:val="0"/>
                    <w:snapToGrid w:val="0"/>
                    <w:jc w:val="both"/>
                    <w:rPr>
                      <w:rStyle w:val="46"/>
                      <w:rFonts w:hint="eastAsia" w:ascii="Times New Roman" w:hAnsi="Times New Roman" w:eastAsia="宋体" w:cs="Times New Roman"/>
                      <w:color w:val="auto"/>
                      <w:kern w:val="0"/>
                      <w:sz w:val="21"/>
                      <w:szCs w:val="21"/>
                      <w:lang w:val="en-US" w:eastAsia="zh-CN" w:bidi="en-US"/>
                    </w:rPr>
                  </w:pPr>
                  <w:r>
                    <w:rPr>
                      <w:rFonts w:hint="eastAsia" w:ascii="Times New Roman" w:hAnsi="Times New Roman" w:cs="Times New Roman"/>
                      <w:color w:val="auto"/>
                      <w:sz w:val="21"/>
                      <w:szCs w:val="21"/>
                      <w:highlight w:val="none"/>
                      <w:lang w:val="en-US" w:eastAsia="zh-CN"/>
                    </w:rPr>
                    <w:t>水生生态：</w:t>
                  </w:r>
                  <w:r>
                    <w:rPr>
                      <w:rFonts w:hint="default" w:ascii="Times New Roman" w:hAnsi="Times New Roman" w:cs="Times New Roman"/>
                      <w:color w:val="auto"/>
                      <w:sz w:val="21"/>
                      <w:szCs w:val="21"/>
                      <w:highlight w:val="none"/>
                      <w:lang w:val="en-US" w:eastAsia="zh-CN"/>
                    </w:rPr>
                    <w:t>水库主坝右岸有一处</w:t>
                  </w:r>
                  <w:r>
                    <w:rPr>
                      <w:rFonts w:hint="default" w:ascii="Times New Roman" w:hAnsi="Times New Roman" w:cs="Times New Roman"/>
                      <w:color w:val="auto"/>
                      <w:sz w:val="21"/>
                      <w:szCs w:val="21"/>
                      <w:highlight w:val="none"/>
                    </w:rPr>
                    <w:t>放空底孔</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放空底孔</w:t>
                  </w:r>
                  <w:r>
                    <w:rPr>
                      <w:rFonts w:hint="eastAsia" w:ascii="Times New Roman" w:hAnsi="Times New Roman" w:eastAsia="宋体" w:cs="Times New Roman"/>
                      <w:b w:val="0"/>
                      <w:bCs w:val="0"/>
                      <w:color w:val="auto"/>
                      <w:sz w:val="21"/>
                      <w:szCs w:val="21"/>
                      <w:lang w:val="en-US" w:eastAsia="zh-CN"/>
                    </w:rPr>
                    <w:t>末端接DN100生态管，直接放水进入冷水河，生态流量管下泄不小于0.2m</w:t>
                  </w:r>
                  <w:r>
                    <w:rPr>
                      <w:rFonts w:hint="eastAsia" w:ascii="Times New Roman" w:hAnsi="Times New Roman" w:eastAsia="宋体" w:cs="Times New Roman"/>
                      <w:b w:val="0"/>
                      <w:bCs w:val="0"/>
                      <w:color w:val="auto"/>
                      <w:sz w:val="21"/>
                      <w:szCs w:val="21"/>
                      <w:vertAlign w:val="superscript"/>
                      <w:lang w:val="en-US" w:eastAsia="zh-CN"/>
                    </w:rPr>
                    <w:t>3</w:t>
                  </w:r>
                  <w:r>
                    <w:rPr>
                      <w:rFonts w:hint="eastAsia" w:ascii="Times New Roman" w:hAnsi="Times New Roman" w:eastAsia="宋体" w:cs="Times New Roman"/>
                      <w:b w:val="0"/>
                      <w:bCs w:val="0"/>
                      <w:color w:val="auto"/>
                      <w:sz w:val="21"/>
                      <w:szCs w:val="21"/>
                      <w:lang w:val="en-US" w:eastAsia="zh-CN"/>
                    </w:rPr>
                    <w:t>/s，根据水库水量和凌云河生态用水量，灵活调度，每年生态用水量约30－50万m</w:t>
                  </w:r>
                  <w:r>
                    <w:rPr>
                      <w:rFonts w:hint="eastAsia"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lang w:val="en-US" w:eastAsia="zh-CN"/>
                    </w:rPr>
                    <w:t>。</w:t>
                  </w:r>
                </w:p>
              </w:tc>
              <w:tc>
                <w:tcPr>
                  <w:tcW w:w="396"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422" w:type="pct"/>
                  <w:vMerge w:val="continue"/>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rPr>
                  </w:pPr>
                </w:p>
              </w:tc>
              <w:tc>
                <w:tcPr>
                  <w:tcW w:w="286" w:type="pct"/>
                  <w:noWrap w:val="0"/>
                  <w:tcMar>
                    <w:left w:w="0" w:type="dxa"/>
                    <w:right w:w="0" w:type="dxa"/>
                  </w:tcMar>
                  <w:vAlign w:val="center"/>
                </w:tcPr>
                <w:p>
                  <w:pPr>
                    <w:pStyle w:val="245"/>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已建</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val="0"/>
                <w:bCs w:val="0"/>
                <w:color w:val="auto"/>
                <w:kern w:val="0"/>
                <w:sz w:val="24"/>
                <w:szCs w:val="24"/>
                <w:lang w:val="en-US" w:eastAsia="zh-CN"/>
              </w:rPr>
            </w:pPr>
            <w:r>
              <w:rPr>
                <w:rFonts w:hint="default" w:ascii="Times New Roman" w:hAnsi="Times New Roman" w:eastAsia="宋体" w:cs="Times New Roman"/>
                <w:b/>
                <w:bCs/>
                <w:color w:val="auto"/>
                <w:kern w:val="0"/>
                <w:sz w:val="24"/>
                <w:szCs w:val="24"/>
                <w:lang w:val="en-US" w:eastAsia="zh-CN"/>
              </w:rPr>
              <w:t>工程等级及防洪标准：</w:t>
            </w:r>
            <w:r>
              <w:rPr>
                <w:rFonts w:hint="default" w:ascii="Times New Roman" w:hAnsi="Times New Roman" w:eastAsia="宋体" w:cs="Times New Roman"/>
                <w:b w:val="0"/>
                <w:bCs w:val="0"/>
                <w:color w:val="auto"/>
                <w:kern w:val="0"/>
                <w:sz w:val="24"/>
                <w:szCs w:val="24"/>
                <w:lang w:val="en-US" w:eastAsia="zh-CN"/>
              </w:rPr>
              <w:t>山珍水库座落在岷江中下游左岸支流冷水河上游，位于乐山市市中区大佛街道（原凌云乡）东北约3km的三尊村境内。水库坝址位于冷水河上游三尊佛西北约0.8km处的白庙堂，坝址以上集水面积3.39km</w:t>
            </w:r>
            <w:r>
              <w:rPr>
                <w:rFonts w:hint="default" w:ascii="Times New Roman" w:hAnsi="Times New Roman" w:eastAsia="宋体" w:cs="Times New Roman"/>
                <w:b w:val="0"/>
                <w:bCs w:val="0"/>
                <w:color w:val="auto"/>
                <w:kern w:val="0"/>
                <w:sz w:val="24"/>
                <w:szCs w:val="24"/>
                <w:vertAlign w:val="superscript"/>
                <w:lang w:val="en-US" w:eastAsia="zh-CN"/>
              </w:rPr>
              <w:t>2</w:t>
            </w:r>
            <w:r>
              <w:rPr>
                <w:rFonts w:hint="default" w:ascii="Times New Roman" w:hAnsi="Times New Roman" w:eastAsia="宋体" w:cs="Times New Roman"/>
                <w:b w:val="0"/>
                <w:bCs w:val="0"/>
                <w:color w:val="auto"/>
                <w:kern w:val="0"/>
                <w:sz w:val="24"/>
                <w:szCs w:val="24"/>
                <w:lang w:val="en-US" w:eastAsia="zh-CN"/>
              </w:rPr>
              <w:t>，主河道长2.74km，河道平均比降6.68‰。水库总库容600.41万m</w:t>
            </w:r>
            <w:r>
              <w:rPr>
                <w:rFonts w:hint="default" w:ascii="Times New Roman" w:hAnsi="Times New Roman" w:eastAsia="宋体" w:cs="Times New Roman"/>
                <w:b w:val="0"/>
                <w:bCs w:val="0"/>
                <w:color w:val="auto"/>
                <w:kern w:val="0"/>
                <w:sz w:val="24"/>
                <w:szCs w:val="24"/>
                <w:vertAlign w:val="superscript"/>
                <w:lang w:val="en-US" w:eastAsia="zh-CN"/>
              </w:rPr>
              <w:t>3</w:t>
            </w:r>
            <w:r>
              <w:rPr>
                <w:rFonts w:hint="default" w:ascii="Times New Roman" w:hAnsi="Times New Roman" w:eastAsia="宋体" w:cs="Times New Roman"/>
                <w:b w:val="0"/>
                <w:bCs w:val="0"/>
                <w:color w:val="auto"/>
                <w:kern w:val="0"/>
                <w:sz w:val="24"/>
                <w:szCs w:val="24"/>
                <w:lang w:val="en-US" w:eastAsia="zh-CN"/>
              </w:rPr>
              <w:t>，正常蓄水位400.99m，相应库容510.6万m</w:t>
            </w:r>
            <w:r>
              <w:rPr>
                <w:rFonts w:hint="default" w:ascii="Times New Roman" w:hAnsi="Times New Roman" w:eastAsia="宋体" w:cs="Times New Roman"/>
                <w:b w:val="0"/>
                <w:bCs w:val="0"/>
                <w:color w:val="auto"/>
                <w:kern w:val="0"/>
                <w:sz w:val="24"/>
                <w:szCs w:val="24"/>
                <w:vertAlign w:val="superscript"/>
                <w:lang w:val="en-US" w:eastAsia="zh-CN"/>
              </w:rPr>
              <w:t>3</w:t>
            </w:r>
            <w:r>
              <w:rPr>
                <w:rFonts w:hint="default" w:ascii="Times New Roman" w:hAnsi="Times New Roman" w:eastAsia="宋体" w:cs="Times New Roman"/>
                <w:b w:val="0"/>
                <w:bCs w:val="0"/>
                <w:color w:val="auto"/>
                <w:sz w:val="24"/>
                <w:lang w:val="en-US" w:eastAsia="zh-CN"/>
              </w:rPr>
              <w:t>，兴利库容498.84万m</w:t>
            </w:r>
            <w:r>
              <w:rPr>
                <w:rFonts w:hint="default" w:ascii="Times New Roman" w:hAnsi="Times New Roman" w:eastAsia="宋体" w:cs="Times New Roman"/>
                <w:b w:val="0"/>
                <w:bCs w:val="0"/>
                <w:color w:val="auto"/>
                <w:sz w:val="24"/>
                <w:vertAlign w:val="superscript"/>
                <w:lang w:val="en-US" w:eastAsia="zh-CN"/>
              </w:rPr>
              <w:t>3</w:t>
            </w:r>
            <w:r>
              <w:rPr>
                <w:rFonts w:hint="default" w:ascii="Times New Roman" w:hAnsi="Times New Roman" w:eastAsia="宋体" w:cs="Times New Roman"/>
                <w:b w:val="0"/>
                <w:bCs w:val="0"/>
                <w:color w:val="auto"/>
                <w:kern w:val="0"/>
                <w:sz w:val="24"/>
                <w:szCs w:val="24"/>
                <w:lang w:val="en-US" w:eastAsia="zh-CN"/>
              </w:rPr>
              <w:t>。按照《水利水电工程等级划分及防洪标准》（SL252－2017）和《水库大坝安全评价导则》（SL258－2017）的规定，山珍水库工程等别为IV等工程，属小（I）型水库，主要建筑物级别为4级，次要建筑物级别为5级。</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b/>
                <w:bCs/>
                <w:color w:val="auto"/>
                <w:kern w:val="0"/>
                <w:sz w:val="21"/>
                <w:szCs w:val="21"/>
                <w:lang w:val="en-US" w:eastAsia="zh-CN"/>
              </w:rPr>
              <w:t xml:space="preserve">表2-2  </w:t>
            </w:r>
            <w:r>
              <w:rPr>
                <w:rFonts w:hint="default" w:ascii="Times New Roman" w:hAnsi="Times New Roman" w:eastAsia="宋体" w:cs="Times New Roman"/>
                <w:b/>
                <w:bCs/>
                <w:color w:val="auto"/>
                <w:kern w:val="0"/>
                <w:sz w:val="21"/>
                <w:szCs w:val="21"/>
              </w:rPr>
              <w:t>工程特性表</w:t>
            </w:r>
          </w:p>
          <w:tbl>
            <w:tblPr>
              <w:tblStyle w:val="39"/>
              <w:tblW w:w="499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28" w:type="dxa"/>
                <w:bottom w:w="0" w:type="dxa"/>
                <w:right w:w="28" w:type="dxa"/>
              </w:tblCellMar>
            </w:tblPr>
            <w:tblGrid>
              <w:gridCol w:w="1128"/>
              <w:gridCol w:w="2494"/>
              <w:gridCol w:w="2219"/>
              <w:gridCol w:w="2186"/>
              <w:gridCol w:w="1247"/>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    称</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整治前（安全鉴定）</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整治后</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    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restar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流域</w:t>
                  </w:r>
                </w:p>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特征</w:t>
                  </w: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1.坝址以上集雨面积</w:t>
                  </w:r>
                </w:p>
              </w:tc>
              <w:tc>
                <w:tcPr>
                  <w:tcW w:w="2374" w:type="pct"/>
                  <w:gridSpan w:val="2"/>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3.39k</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2</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2.多年平均径流深</w:t>
                  </w:r>
                </w:p>
              </w:tc>
              <w:tc>
                <w:tcPr>
                  <w:tcW w:w="2374" w:type="pct"/>
                  <w:gridSpan w:val="2"/>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789.6mm</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3.多年平均气温</w:t>
                  </w:r>
                </w:p>
              </w:tc>
              <w:tc>
                <w:tcPr>
                  <w:tcW w:w="2374" w:type="pct"/>
                  <w:gridSpan w:val="2"/>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17.1℃</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4.多年平均降雨量</w:t>
                  </w:r>
                </w:p>
              </w:tc>
              <w:tc>
                <w:tcPr>
                  <w:tcW w:w="2374" w:type="pct"/>
                  <w:gridSpan w:val="2"/>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1100mm</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5.设计洪峰流量</w:t>
                  </w:r>
                </w:p>
              </w:tc>
              <w:tc>
                <w:tcPr>
                  <w:tcW w:w="1196" w:type="pct"/>
                  <w:tcBorders>
                    <w:right w:val="single" w:color="auto" w:sz="4"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57.66</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3</w:t>
                  </w:r>
                  <w:r>
                    <w:rPr>
                      <w:rFonts w:hint="default" w:ascii="Times New Roman" w:hAnsi="Times New Roman" w:eastAsia="宋体" w:cs="Times New Roman"/>
                      <w:color w:val="auto"/>
                      <w:sz w:val="21"/>
                      <w:szCs w:val="21"/>
                      <w:highlight w:val="none"/>
                    </w:rPr>
                    <w:t>/s</w:t>
                  </w:r>
                </w:p>
              </w:tc>
              <w:tc>
                <w:tcPr>
                  <w:tcW w:w="1178" w:type="pct"/>
                  <w:tcBorders>
                    <w:left w:val="single" w:color="auto" w:sz="4"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57.66</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3</w:t>
                  </w:r>
                  <w:r>
                    <w:rPr>
                      <w:rFonts w:hint="default" w:ascii="Times New Roman" w:hAnsi="Times New Roman" w:eastAsia="宋体" w:cs="Times New Roman"/>
                      <w:color w:val="auto"/>
                      <w:sz w:val="21"/>
                      <w:szCs w:val="21"/>
                      <w:highlight w:val="none"/>
                    </w:rPr>
                    <w:t>/s</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P=</w:t>
                  </w:r>
                  <w:r>
                    <w:rPr>
                      <w:rFonts w:hint="default" w:ascii="Times New Roman" w:hAnsi="Times New Roman" w:eastAsia="宋体" w:cs="Times New Roman"/>
                      <w:color w:val="auto"/>
                      <w:sz w:val="21"/>
                      <w:szCs w:val="21"/>
                      <w:highlight w:val="none"/>
                      <w:lang w:eastAsia="zh-CN"/>
                    </w:rPr>
                    <w:t>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6.设计洪水总量</w:t>
                  </w:r>
                </w:p>
              </w:tc>
              <w:tc>
                <w:tcPr>
                  <w:tcW w:w="1196" w:type="pct"/>
                  <w:tcBorders>
                    <w:right w:val="single" w:color="auto" w:sz="4"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89.97</w:t>
                  </w:r>
                  <w:r>
                    <w:rPr>
                      <w:rFonts w:hint="default" w:ascii="Times New Roman" w:hAnsi="Times New Roman" w:eastAsia="宋体" w:cs="Times New Roman"/>
                      <w:color w:val="auto"/>
                      <w:sz w:val="21"/>
                      <w:szCs w:val="21"/>
                      <w:highlight w:val="none"/>
                    </w:rPr>
                    <w:t>万</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3</w:t>
                  </w:r>
                </w:p>
              </w:tc>
              <w:tc>
                <w:tcPr>
                  <w:tcW w:w="1178" w:type="pct"/>
                  <w:tcBorders>
                    <w:left w:val="single" w:color="auto" w:sz="4"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93.94</w:t>
                  </w:r>
                  <w:r>
                    <w:rPr>
                      <w:rFonts w:hint="default" w:ascii="Times New Roman" w:hAnsi="Times New Roman" w:eastAsia="宋体" w:cs="Times New Roman"/>
                      <w:color w:val="auto"/>
                      <w:sz w:val="21"/>
                      <w:szCs w:val="21"/>
                      <w:highlight w:val="none"/>
                    </w:rPr>
                    <w:t>万</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3</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P=</w:t>
                  </w:r>
                  <w:r>
                    <w:rPr>
                      <w:rFonts w:hint="default" w:ascii="Times New Roman" w:hAnsi="Times New Roman" w:eastAsia="宋体" w:cs="Times New Roman"/>
                      <w:color w:val="auto"/>
                      <w:sz w:val="21"/>
                      <w:szCs w:val="21"/>
                      <w:highlight w:val="none"/>
                      <w:lang w:eastAsia="zh-CN"/>
                    </w:rPr>
                    <w:t>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7.校核洪峰流量</w:t>
                  </w:r>
                </w:p>
              </w:tc>
              <w:tc>
                <w:tcPr>
                  <w:tcW w:w="1196" w:type="pct"/>
                  <w:tcBorders>
                    <w:right w:val="single" w:color="auto" w:sz="4"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86.21</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3</w:t>
                  </w:r>
                  <w:r>
                    <w:rPr>
                      <w:rFonts w:hint="default" w:ascii="Times New Roman" w:hAnsi="Times New Roman" w:eastAsia="宋体" w:cs="Times New Roman"/>
                      <w:color w:val="auto"/>
                      <w:sz w:val="21"/>
                      <w:szCs w:val="21"/>
                      <w:highlight w:val="none"/>
                    </w:rPr>
                    <w:t>/s</w:t>
                  </w:r>
                </w:p>
              </w:tc>
              <w:tc>
                <w:tcPr>
                  <w:tcW w:w="1178" w:type="pct"/>
                  <w:tcBorders>
                    <w:left w:val="single" w:color="auto" w:sz="4"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86.21</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3</w:t>
                  </w:r>
                  <w:r>
                    <w:rPr>
                      <w:rFonts w:hint="default" w:ascii="Times New Roman" w:hAnsi="Times New Roman" w:eastAsia="宋体" w:cs="Times New Roman"/>
                      <w:color w:val="auto"/>
                      <w:sz w:val="21"/>
                      <w:szCs w:val="21"/>
                      <w:highlight w:val="none"/>
                    </w:rPr>
                    <w:t>/s</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P=</w:t>
                  </w:r>
                  <w:r>
                    <w:rPr>
                      <w:rFonts w:hint="default" w:ascii="Times New Roman" w:hAnsi="Times New Roman" w:eastAsia="宋体" w:cs="Times New Roman"/>
                      <w:color w:val="auto"/>
                      <w:sz w:val="21"/>
                      <w:szCs w:val="21"/>
                      <w:highlight w:val="none"/>
                      <w:lang w:eastAsia="zh-CN"/>
                    </w:rPr>
                    <w:t>0.2%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8.校核洪水总量</w:t>
                  </w:r>
                </w:p>
              </w:tc>
              <w:tc>
                <w:tcPr>
                  <w:tcW w:w="1196" w:type="pct"/>
                  <w:tcBorders>
                    <w:right w:val="single" w:color="auto" w:sz="4"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137.13</w:t>
                  </w:r>
                  <w:r>
                    <w:rPr>
                      <w:rFonts w:hint="default" w:ascii="Times New Roman" w:hAnsi="Times New Roman" w:eastAsia="宋体" w:cs="Times New Roman"/>
                      <w:color w:val="auto"/>
                      <w:sz w:val="21"/>
                      <w:szCs w:val="21"/>
                      <w:highlight w:val="none"/>
                    </w:rPr>
                    <w:t>万</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3</w:t>
                  </w:r>
                </w:p>
              </w:tc>
              <w:tc>
                <w:tcPr>
                  <w:tcW w:w="1178" w:type="pct"/>
                  <w:tcBorders>
                    <w:left w:val="single" w:color="auto" w:sz="4"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143.29</w:t>
                  </w:r>
                  <w:r>
                    <w:rPr>
                      <w:rFonts w:hint="default" w:ascii="Times New Roman" w:hAnsi="Times New Roman" w:eastAsia="宋体" w:cs="Times New Roman"/>
                      <w:color w:val="auto"/>
                      <w:sz w:val="21"/>
                      <w:szCs w:val="21"/>
                      <w:highlight w:val="none"/>
                    </w:rPr>
                    <w:t>万</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3</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P=</w:t>
                  </w:r>
                  <w:r>
                    <w:rPr>
                      <w:rFonts w:hint="default" w:ascii="Times New Roman" w:hAnsi="Times New Roman" w:eastAsia="宋体" w:cs="Times New Roman"/>
                      <w:color w:val="auto"/>
                      <w:sz w:val="21"/>
                      <w:szCs w:val="21"/>
                      <w:highlight w:val="none"/>
                      <w:lang w:eastAsia="zh-CN"/>
                    </w:rPr>
                    <w:t>0.2%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restar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灌区</w:t>
                  </w:r>
                </w:p>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特性</w:t>
                  </w: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1.设计灌</w:t>
                  </w:r>
                  <w:r>
                    <w:rPr>
                      <w:rFonts w:hint="default" w:ascii="Times New Roman" w:hAnsi="Times New Roman" w:eastAsia="宋体" w:cs="Times New Roman"/>
                      <w:color w:val="auto"/>
                      <w:sz w:val="21"/>
                      <w:szCs w:val="21"/>
                      <w:highlight w:val="none"/>
                      <w:lang w:val="en-US" w:eastAsia="zh-CN"/>
                    </w:rPr>
                    <w:t>面积</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14396</w:t>
                  </w:r>
                  <w:r>
                    <w:rPr>
                      <w:rFonts w:hint="default" w:ascii="Times New Roman" w:hAnsi="Times New Roman" w:eastAsia="宋体" w:cs="Times New Roman"/>
                      <w:color w:val="auto"/>
                      <w:sz w:val="21"/>
                      <w:szCs w:val="21"/>
                      <w:highlight w:val="none"/>
                    </w:rPr>
                    <w:t>亩</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14396</w:t>
                  </w:r>
                  <w:r>
                    <w:rPr>
                      <w:rFonts w:hint="default" w:ascii="Times New Roman" w:hAnsi="Times New Roman" w:eastAsia="宋体" w:cs="Times New Roman"/>
                      <w:color w:val="auto"/>
                      <w:sz w:val="21"/>
                      <w:szCs w:val="21"/>
                      <w:highlight w:val="none"/>
                    </w:rPr>
                    <w:t>亩</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2.实灌面积</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7600</w:t>
                  </w:r>
                  <w:r>
                    <w:rPr>
                      <w:rFonts w:hint="default" w:ascii="Times New Roman" w:hAnsi="Times New Roman" w:eastAsia="宋体" w:cs="Times New Roman"/>
                      <w:color w:val="auto"/>
                      <w:sz w:val="21"/>
                      <w:szCs w:val="21"/>
                      <w:highlight w:val="none"/>
                    </w:rPr>
                    <w:t>亩</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7600</w:t>
                  </w:r>
                  <w:r>
                    <w:rPr>
                      <w:rFonts w:hint="default" w:ascii="Times New Roman" w:hAnsi="Times New Roman" w:eastAsia="宋体" w:cs="Times New Roman"/>
                      <w:color w:val="auto"/>
                      <w:sz w:val="21"/>
                      <w:szCs w:val="21"/>
                      <w:highlight w:val="none"/>
                    </w:rPr>
                    <w:t>亩</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3.灌溉时期</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2-6月</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2-6月</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restar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特征水位及库容</w:t>
                  </w: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1.设计洪水位</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401.75</w:t>
                  </w:r>
                  <w:r>
                    <w:rPr>
                      <w:rFonts w:hint="default" w:ascii="Times New Roman" w:hAnsi="Times New Roman" w:eastAsia="宋体" w:cs="Times New Roman"/>
                      <w:color w:val="auto"/>
                      <w:sz w:val="21"/>
                      <w:szCs w:val="21"/>
                      <w:highlight w:val="none"/>
                      <w:lang w:eastAsia="zh-CN"/>
                    </w:rPr>
                    <w:t>m</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401.77m</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P=</w:t>
                  </w:r>
                  <w:r>
                    <w:rPr>
                      <w:rFonts w:hint="default" w:ascii="Times New Roman" w:hAnsi="Times New Roman" w:eastAsia="宋体" w:cs="Times New Roman"/>
                      <w:color w:val="auto"/>
                      <w:sz w:val="21"/>
                      <w:szCs w:val="21"/>
                      <w:highlight w:val="none"/>
                      <w:lang w:eastAsia="zh-CN"/>
                    </w:rPr>
                    <w:t>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2.校核洪水位</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402.07</w:t>
                  </w:r>
                  <w:r>
                    <w:rPr>
                      <w:rFonts w:hint="default" w:ascii="Times New Roman" w:hAnsi="Times New Roman" w:eastAsia="宋体" w:cs="Times New Roman"/>
                      <w:color w:val="auto"/>
                      <w:sz w:val="21"/>
                      <w:szCs w:val="21"/>
                      <w:highlight w:val="none"/>
                      <w:lang w:eastAsia="zh-CN"/>
                    </w:rPr>
                    <w:t>m</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402.10m</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P=</w:t>
                  </w:r>
                  <w:r>
                    <w:rPr>
                      <w:rFonts w:hint="default" w:ascii="Times New Roman" w:hAnsi="Times New Roman" w:eastAsia="宋体" w:cs="Times New Roman"/>
                      <w:color w:val="auto"/>
                      <w:sz w:val="21"/>
                      <w:szCs w:val="21"/>
                      <w:highlight w:val="none"/>
                      <w:lang w:eastAsia="zh-CN"/>
                    </w:rPr>
                    <w:t>0.2%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3.正常蓄水位</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400.99m</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400.99m</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4.死水位</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390.30m</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390.30m</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5.总库容</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600.41万m</w:t>
                  </w:r>
                  <w:r>
                    <w:rPr>
                      <w:rFonts w:hint="default" w:ascii="Times New Roman" w:hAnsi="Times New Roman" w:eastAsia="宋体" w:cs="Times New Roman"/>
                      <w:color w:val="auto"/>
                      <w:sz w:val="21"/>
                      <w:szCs w:val="21"/>
                      <w:highlight w:val="none"/>
                      <w:vertAlign w:val="superscript"/>
                      <w:lang w:eastAsia="zh-CN"/>
                    </w:rPr>
                    <w:t>3</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600.41万m</w:t>
                  </w:r>
                  <w:r>
                    <w:rPr>
                      <w:rFonts w:hint="default" w:ascii="Times New Roman" w:hAnsi="Times New Roman" w:eastAsia="宋体" w:cs="Times New Roman"/>
                      <w:color w:val="auto"/>
                      <w:sz w:val="21"/>
                      <w:szCs w:val="21"/>
                      <w:highlight w:val="none"/>
                      <w:vertAlign w:val="superscript"/>
                      <w:lang w:eastAsia="zh-CN"/>
                    </w:rPr>
                    <w:t>3</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128"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6.正常库容</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598.22</w:t>
                  </w:r>
                  <w:r>
                    <w:rPr>
                      <w:rFonts w:hint="default" w:ascii="Times New Roman" w:hAnsi="Times New Roman" w:eastAsia="宋体" w:cs="Times New Roman"/>
                      <w:color w:val="auto"/>
                      <w:sz w:val="21"/>
                      <w:szCs w:val="21"/>
                      <w:highlight w:val="none"/>
                      <w:lang w:eastAsia="zh-CN"/>
                    </w:rPr>
                    <w:t>万m</w:t>
                  </w:r>
                  <w:r>
                    <w:rPr>
                      <w:rFonts w:hint="default" w:ascii="Times New Roman" w:hAnsi="Times New Roman" w:eastAsia="宋体" w:cs="Times New Roman"/>
                      <w:color w:val="auto"/>
                      <w:sz w:val="21"/>
                      <w:szCs w:val="21"/>
                      <w:highlight w:val="none"/>
                      <w:vertAlign w:val="superscript"/>
                      <w:lang w:eastAsia="zh-CN"/>
                    </w:rPr>
                    <w:t>3</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510.6万m</w:t>
                  </w:r>
                  <w:r>
                    <w:rPr>
                      <w:rFonts w:hint="default" w:ascii="Times New Roman" w:hAnsi="Times New Roman" w:eastAsia="宋体" w:cs="Times New Roman"/>
                      <w:color w:val="auto"/>
                      <w:sz w:val="21"/>
                      <w:szCs w:val="21"/>
                      <w:highlight w:val="none"/>
                      <w:vertAlign w:val="superscript"/>
                      <w:lang w:eastAsia="zh-CN"/>
                    </w:rPr>
                    <w:t>3</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128"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7.兴利库容</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498.84万</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3</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498.84万</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3</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restar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主</w:t>
                  </w:r>
                  <w:r>
                    <w:rPr>
                      <w:rFonts w:hint="default" w:ascii="Times New Roman" w:hAnsi="Times New Roman" w:eastAsia="宋体" w:cs="Times New Roman"/>
                      <w:color w:val="auto"/>
                      <w:sz w:val="21"/>
                      <w:szCs w:val="21"/>
                      <w:highlight w:val="none"/>
                    </w:rPr>
                    <w:t>坝</w:t>
                  </w: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1.坝型</w:t>
                  </w:r>
                </w:p>
              </w:tc>
              <w:tc>
                <w:tcPr>
                  <w:tcW w:w="2374" w:type="pct"/>
                  <w:gridSpan w:val="2"/>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粘土斜心墙</w:t>
                  </w:r>
                  <w:r>
                    <w:rPr>
                      <w:rFonts w:hint="default" w:ascii="Times New Roman" w:hAnsi="Times New Roman" w:eastAsia="宋体" w:cs="Times New Roman"/>
                      <w:color w:val="auto"/>
                      <w:sz w:val="21"/>
                      <w:szCs w:val="21"/>
                      <w:highlight w:val="none"/>
                    </w:rPr>
                    <w:t>坝</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2.坝顶长度</w:t>
                  </w:r>
                </w:p>
              </w:tc>
              <w:tc>
                <w:tcPr>
                  <w:tcW w:w="2374" w:type="pct"/>
                  <w:gridSpan w:val="2"/>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155.0</w:t>
                  </w:r>
                  <w:r>
                    <w:rPr>
                      <w:rFonts w:hint="default" w:ascii="Times New Roman" w:hAnsi="Times New Roman" w:eastAsia="宋体" w:cs="Times New Roman"/>
                      <w:color w:val="auto"/>
                      <w:sz w:val="21"/>
                      <w:szCs w:val="21"/>
                      <w:highlight w:val="none"/>
                    </w:rPr>
                    <w:t>m</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3.最大坝高</w:t>
                  </w:r>
                </w:p>
              </w:tc>
              <w:tc>
                <w:tcPr>
                  <w:tcW w:w="2374" w:type="pct"/>
                  <w:gridSpan w:val="2"/>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21.94</w:t>
                  </w:r>
                  <w:r>
                    <w:rPr>
                      <w:rFonts w:hint="default" w:ascii="Times New Roman" w:hAnsi="Times New Roman" w:eastAsia="宋体" w:cs="Times New Roman"/>
                      <w:color w:val="auto"/>
                      <w:sz w:val="21"/>
                      <w:szCs w:val="21"/>
                      <w:highlight w:val="none"/>
                    </w:rPr>
                    <w:t>m</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4.坝顶宽</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m</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m</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5.坝顶高程/心墙顶高程</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404.00m</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402.70</w:t>
                  </w:r>
                  <w:r>
                    <w:rPr>
                      <w:rFonts w:hint="default" w:ascii="Times New Roman" w:hAnsi="Times New Roman" w:eastAsia="宋体" w:cs="Times New Roman"/>
                      <w:color w:val="auto"/>
                      <w:sz w:val="21"/>
                      <w:szCs w:val="21"/>
                      <w:highlight w:val="none"/>
                    </w:rPr>
                    <w:t>m</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404.00m</w:t>
                  </w:r>
                  <w:r>
                    <w:rPr>
                      <w:rFonts w:hint="default" w:ascii="Times New Roman" w:hAnsi="Times New Roman" w:eastAsia="宋体" w:cs="Times New Roman"/>
                      <w:color w:val="auto"/>
                      <w:sz w:val="21"/>
                      <w:szCs w:val="21"/>
                      <w:highlight w:val="none"/>
                    </w:rPr>
                    <w:t xml:space="preserve"> / </w:t>
                  </w:r>
                  <w:r>
                    <w:rPr>
                      <w:rFonts w:hint="default" w:ascii="Times New Roman" w:hAnsi="Times New Roman" w:eastAsia="宋体" w:cs="Times New Roman"/>
                      <w:color w:val="auto"/>
                      <w:sz w:val="21"/>
                      <w:szCs w:val="21"/>
                      <w:highlight w:val="none"/>
                      <w:lang w:val="en-US" w:eastAsia="zh-CN"/>
                    </w:rPr>
                    <w:t>402.70</w:t>
                  </w:r>
                  <w:r>
                    <w:rPr>
                      <w:rFonts w:hint="default" w:ascii="Times New Roman" w:hAnsi="Times New Roman" w:eastAsia="宋体" w:cs="Times New Roman"/>
                      <w:color w:val="auto"/>
                      <w:sz w:val="21"/>
                      <w:szCs w:val="21"/>
                      <w:highlight w:val="none"/>
                    </w:rPr>
                    <w:t>m</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restar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副坝</w:t>
                  </w: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1.坝型</w:t>
                  </w:r>
                </w:p>
              </w:tc>
              <w:tc>
                <w:tcPr>
                  <w:tcW w:w="2374" w:type="pct"/>
                  <w:gridSpan w:val="2"/>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粘土斜心墙</w:t>
                  </w:r>
                  <w:r>
                    <w:rPr>
                      <w:rFonts w:hint="default" w:ascii="Times New Roman" w:hAnsi="Times New Roman" w:eastAsia="宋体" w:cs="Times New Roman"/>
                      <w:color w:val="auto"/>
                      <w:sz w:val="21"/>
                      <w:szCs w:val="21"/>
                      <w:highlight w:val="none"/>
                    </w:rPr>
                    <w:t>坝</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2.坝顶长度</w:t>
                  </w:r>
                </w:p>
              </w:tc>
              <w:tc>
                <w:tcPr>
                  <w:tcW w:w="2374" w:type="pct"/>
                  <w:gridSpan w:val="2"/>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75.00m</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3.最大坝高</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w:t>
                  </w:r>
                  <w:r>
                    <w:rPr>
                      <w:rFonts w:hint="default" w:ascii="Times New Roman" w:hAnsi="Times New Roman" w:eastAsia="宋体" w:cs="Times New Roman"/>
                      <w:color w:val="auto"/>
                      <w:sz w:val="21"/>
                      <w:szCs w:val="21"/>
                      <w:highlight w:val="none"/>
                      <w:lang w:val="en-US" w:eastAsia="zh-CN"/>
                    </w:rPr>
                    <w:t>94</w:t>
                  </w:r>
                  <w:r>
                    <w:rPr>
                      <w:rFonts w:hint="default" w:ascii="Times New Roman" w:hAnsi="Times New Roman" w:eastAsia="宋体" w:cs="Times New Roman"/>
                      <w:color w:val="auto"/>
                      <w:sz w:val="21"/>
                      <w:szCs w:val="21"/>
                      <w:highlight w:val="none"/>
                    </w:rPr>
                    <w:t>m</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94</w:t>
                  </w:r>
                  <w:r>
                    <w:rPr>
                      <w:rFonts w:hint="default" w:ascii="Times New Roman" w:hAnsi="Times New Roman" w:eastAsia="宋体" w:cs="Times New Roman"/>
                      <w:color w:val="auto"/>
                      <w:sz w:val="21"/>
                      <w:szCs w:val="21"/>
                      <w:highlight w:val="none"/>
                    </w:rPr>
                    <w:t>m</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4.坝顶宽</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3.5</w:t>
                  </w:r>
                  <w:r>
                    <w:rPr>
                      <w:rFonts w:hint="default" w:ascii="Times New Roman" w:hAnsi="Times New Roman" w:eastAsia="宋体" w:cs="Times New Roman"/>
                      <w:color w:val="auto"/>
                      <w:sz w:val="21"/>
                      <w:szCs w:val="21"/>
                      <w:highlight w:val="none"/>
                    </w:rPr>
                    <w:t>m</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m</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5.坝顶高程/心墙顶高程</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405.</w:t>
                  </w:r>
                  <w:r>
                    <w:rPr>
                      <w:rFonts w:hint="default" w:ascii="Times New Roman" w:hAnsi="Times New Roman" w:eastAsia="宋体" w:cs="Times New Roman"/>
                      <w:color w:val="auto"/>
                      <w:sz w:val="21"/>
                      <w:szCs w:val="21"/>
                      <w:highlight w:val="none"/>
                      <w:lang w:val="en-US" w:eastAsia="zh-CN"/>
                    </w:rPr>
                    <w:t>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val="en-US" w:eastAsia="zh-CN"/>
                    </w:rPr>
                    <w:t>/402.35m</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val="en-US" w:eastAsia="zh-CN"/>
                    </w:rPr>
                    <w:t>/402.35m</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restar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溢洪道</w:t>
                  </w: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1.进水型式</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折线型实用堰</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实用堰</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2.堰顶高程</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400.99m</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400.99m</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3.堰顶净宽</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13.15</w:t>
                  </w:r>
                  <w:r>
                    <w:rPr>
                      <w:rFonts w:hint="default" w:ascii="Times New Roman" w:hAnsi="Times New Roman" w:eastAsia="宋体" w:cs="Times New Roman"/>
                      <w:color w:val="auto"/>
                      <w:sz w:val="21"/>
                      <w:szCs w:val="21"/>
                      <w:highlight w:val="none"/>
                    </w:rPr>
                    <w:t>m</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13.15</w:t>
                  </w:r>
                  <w:r>
                    <w:rPr>
                      <w:rFonts w:hint="default" w:ascii="Times New Roman" w:hAnsi="Times New Roman" w:eastAsia="宋体" w:cs="Times New Roman"/>
                      <w:color w:val="auto"/>
                      <w:sz w:val="21"/>
                      <w:szCs w:val="21"/>
                      <w:highlight w:val="none"/>
                    </w:rPr>
                    <w:t>m</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4、最大下泄量</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23.81</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3</w:t>
                  </w:r>
                  <w:r>
                    <w:rPr>
                      <w:rFonts w:hint="default" w:ascii="Times New Roman" w:hAnsi="Times New Roman" w:eastAsia="宋体" w:cs="Times New Roman"/>
                      <w:color w:val="auto"/>
                      <w:sz w:val="21"/>
                      <w:szCs w:val="21"/>
                      <w:highlight w:val="none"/>
                    </w:rPr>
                    <w:t>/s</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24.44</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3</w:t>
                  </w:r>
                  <w:r>
                    <w:rPr>
                      <w:rFonts w:hint="default" w:ascii="Times New Roman" w:hAnsi="Times New Roman" w:eastAsia="宋体" w:cs="Times New Roman"/>
                      <w:color w:val="auto"/>
                      <w:sz w:val="21"/>
                      <w:szCs w:val="21"/>
                      <w:highlight w:val="none"/>
                    </w:rPr>
                    <w:t>/s</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P=0.2%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restar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放水竖井</w:t>
                  </w: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1、放水型式</w:t>
                  </w:r>
                </w:p>
              </w:tc>
              <w:tc>
                <w:tcPr>
                  <w:tcW w:w="119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闸阀放水</w:t>
                  </w:r>
                </w:p>
              </w:tc>
              <w:tc>
                <w:tcPr>
                  <w:tcW w:w="1178"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闸阀放水</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2、最大放水流量</w:t>
                  </w:r>
                </w:p>
              </w:tc>
              <w:tc>
                <w:tcPr>
                  <w:tcW w:w="2374" w:type="pct"/>
                  <w:gridSpan w:val="2"/>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3</w:t>
                  </w:r>
                  <w:r>
                    <w:rPr>
                      <w:rFonts w:hint="default" w:ascii="Times New Roman" w:hAnsi="Times New Roman" w:eastAsia="宋体" w:cs="Times New Roman"/>
                      <w:color w:val="auto"/>
                      <w:sz w:val="21"/>
                      <w:szCs w:val="21"/>
                      <w:highlight w:val="none"/>
                      <w:lang w:val="en-US" w:eastAsia="zh-CN"/>
                    </w:rPr>
                    <w:t>/s</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restar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引水渠道</w:t>
                  </w: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设计取水流量</w:t>
                  </w:r>
                </w:p>
              </w:tc>
              <w:tc>
                <w:tcPr>
                  <w:tcW w:w="2374" w:type="pct"/>
                  <w:gridSpan w:val="2"/>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3</w:t>
                  </w:r>
                  <w:r>
                    <w:rPr>
                      <w:rFonts w:hint="default" w:ascii="Times New Roman" w:hAnsi="Times New Roman" w:eastAsia="宋体" w:cs="Times New Roman"/>
                      <w:color w:val="auto"/>
                      <w:sz w:val="21"/>
                      <w:szCs w:val="21"/>
                      <w:highlight w:val="none"/>
                      <w:lang w:val="en-US" w:eastAsia="zh-CN"/>
                    </w:rPr>
                    <w:t>/s</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渠道总长</w:t>
                  </w:r>
                </w:p>
              </w:tc>
              <w:tc>
                <w:tcPr>
                  <w:tcW w:w="2374" w:type="pct"/>
                  <w:gridSpan w:val="2"/>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4378.7m</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 w:hRule="atLeast"/>
                <w:jc w:val="center"/>
              </w:trPr>
              <w:tc>
                <w:tcPr>
                  <w:tcW w:w="608"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p>
              </w:tc>
              <w:tc>
                <w:tcPr>
                  <w:tcW w:w="134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闸孔尺寸</w:t>
                  </w:r>
                </w:p>
              </w:tc>
              <w:tc>
                <w:tcPr>
                  <w:tcW w:w="2374" w:type="pct"/>
                  <w:gridSpan w:val="2"/>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m</w:t>
                  </w:r>
                </w:p>
              </w:tc>
              <w:tc>
                <w:tcPr>
                  <w:tcW w:w="672"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highlight w:val="none"/>
                      <w:lang w:val="en-US" w:eastAsia="zh-CN"/>
                    </w:rPr>
                  </w:pP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b/>
                <w:bCs/>
                <w:color w:val="auto"/>
                <w:kern w:val="0"/>
                <w:sz w:val="21"/>
                <w:szCs w:val="21"/>
                <w:lang w:val="en-US" w:eastAsia="zh-CN"/>
              </w:rPr>
              <w:t>表2-3   工程主要工程量表</w:t>
            </w:r>
          </w:p>
          <w:tbl>
            <w:tblPr>
              <w:tblStyle w:val="3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6"/>
              <w:gridCol w:w="1230"/>
              <w:gridCol w:w="3742"/>
              <w:gridCol w:w="1187"/>
              <w:gridCol w:w="19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4" w:type="pct"/>
                  <w:tcBorders>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2680" w:type="pct"/>
                  <w:gridSpan w:val="2"/>
                  <w:tcBorders>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w:t>
                  </w:r>
                </w:p>
              </w:tc>
              <w:tc>
                <w:tcPr>
                  <w:tcW w:w="640" w:type="pct"/>
                  <w:tcBorders>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单位</w:t>
                  </w:r>
                </w:p>
              </w:tc>
              <w:tc>
                <w:tcPr>
                  <w:tcW w:w="1044" w:type="pct"/>
                  <w:tcBorders>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4" w:type="pct"/>
                  <w:tcBorders>
                    <w:top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w:t>
                  </w:r>
                </w:p>
              </w:tc>
              <w:tc>
                <w:tcPr>
                  <w:tcW w:w="663" w:type="pct"/>
                  <w:vMerge w:val="restart"/>
                  <w:tcBorders>
                    <w:top w:val="single" w:color="auto" w:sz="6" w:space="0"/>
                    <w:left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主要工程量</w:t>
                  </w:r>
                </w:p>
              </w:tc>
              <w:tc>
                <w:tcPr>
                  <w:tcW w:w="2016"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土石方开挖</w:t>
                  </w:r>
                </w:p>
              </w:tc>
              <w:tc>
                <w:tcPr>
                  <w:tcW w:w="640"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m³</w:t>
                  </w:r>
                </w:p>
              </w:tc>
              <w:tc>
                <w:tcPr>
                  <w:tcW w:w="1044"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1879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4" w:type="pct"/>
                  <w:tcBorders>
                    <w:top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2</w:t>
                  </w:r>
                </w:p>
              </w:tc>
              <w:tc>
                <w:tcPr>
                  <w:tcW w:w="663" w:type="pct"/>
                  <w:vMerge w:val="continue"/>
                  <w:tcBorders>
                    <w:left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p>
              </w:tc>
              <w:tc>
                <w:tcPr>
                  <w:tcW w:w="2016"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土石方回填</w:t>
                  </w:r>
                </w:p>
              </w:tc>
              <w:tc>
                <w:tcPr>
                  <w:tcW w:w="640"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m³</w:t>
                  </w:r>
                </w:p>
              </w:tc>
              <w:tc>
                <w:tcPr>
                  <w:tcW w:w="1044"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eastAsia="zh-CN"/>
                    </w:rPr>
                    <w:t>1406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4" w:type="pct"/>
                  <w:tcBorders>
                    <w:top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3</w:t>
                  </w:r>
                </w:p>
              </w:tc>
              <w:tc>
                <w:tcPr>
                  <w:tcW w:w="663" w:type="pct"/>
                  <w:vMerge w:val="continue"/>
                  <w:tcBorders>
                    <w:left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p>
              </w:tc>
              <w:tc>
                <w:tcPr>
                  <w:tcW w:w="2016"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砼</w:t>
                  </w:r>
                  <w:r>
                    <w:rPr>
                      <w:rFonts w:hint="default" w:ascii="Times New Roman" w:hAnsi="Times New Roman" w:cs="Times New Roman"/>
                      <w:color w:val="auto"/>
                      <w:sz w:val="21"/>
                      <w:szCs w:val="21"/>
                      <w:lang w:val="en-US" w:eastAsia="zh-CN"/>
                    </w:rPr>
                    <w:t>浇筑</w:t>
                  </w:r>
                </w:p>
              </w:tc>
              <w:tc>
                <w:tcPr>
                  <w:tcW w:w="640"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m</w:t>
                  </w:r>
                  <w:r>
                    <w:rPr>
                      <w:rFonts w:hint="default" w:ascii="Times New Roman" w:hAnsi="Times New Roman" w:cs="Times New Roman"/>
                      <w:color w:val="auto"/>
                      <w:sz w:val="21"/>
                      <w:szCs w:val="21"/>
                      <w:vertAlign w:val="superscript"/>
                      <w:lang w:val="en-US" w:eastAsia="zh-CN"/>
                    </w:rPr>
                    <w:t>3</w:t>
                  </w:r>
                </w:p>
              </w:tc>
              <w:tc>
                <w:tcPr>
                  <w:tcW w:w="1044"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eastAsia="zh-CN"/>
                    </w:rPr>
                    <w:t>21</w:t>
                  </w:r>
                  <w:r>
                    <w:rPr>
                      <w:rFonts w:hint="default" w:ascii="Times New Roman" w:hAnsi="Times New Roman" w:cs="Times New Roman"/>
                      <w:color w:val="auto"/>
                      <w:sz w:val="21"/>
                      <w:szCs w:val="21"/>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4" w:type="pct"/>
                  <w:tcBorders>
                    <w:top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4</w:t>
                  </w:r>
                </w:p>
              </w:tc>
              <w:tc>
                <w:tcPr>
                  <w:tcW w:w="663" w:type="pct"/>
                  <w:vMerge w:val="continue"/>
                  <w:tcBorders>
                    <w:left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p>
              </w:tc>
              <w:tc>
                <w:tcPr>
                  <w:tcW w:w="2016"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val="en-US" w:eastAsia="zh-CN"/>
                    </w:rPr>
                    <w:t>改性AC-13C细粒式沥青砼面层（5cm）</w:t>
                  </w:r>
                </w:p>
              </w:tc>
              <w:tc>
                <w:tcPr>
                  <w:tcW w:w="640"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m</w:t>
                  </w:r>
                  <w:r>
                    <w:rPr>
                      <w:rFonts w:hint="default" w:ascii="Times New Roman" w:hAnsi="Times New Roman" w:cs="Times New Roman"/>
                      <w:color w:val="auto"/>
                      <w:sz w:val="21"/>
                      <w:szCs w:val="21"/>
                      <w:vertAlign w:val="superscript"/>
                      <w:lang w:val="en-US" w:eastAsia="zh-CN"/>
                    </w:rPr>
                    <w:t>2</w:t>
                  </w:r>
                </w:p>
              </w:tc>
              <w:tc>
                <w:tcPr>
                  <w:tcW w:w="1044"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5660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4" w:type="pct"/>
                  <w:tcBorders>
                    <w:top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5</w:t>
                  </w:r>
                </w:p>
              </w:tc>
              <w:tc>
                <w:tcPr>
                  <w:tcW w:w="663" w:type="pct"/>
                  <w:vMerge w:val="continue"/>
                  <w:tcBorders>
                    <w:left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p>
              </w:tc>
              <w:tc>
                <w:tcPr>
                  <w:tcW w:w="2016"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C25钢筋砼框格梁</w:t>
                  </w:r>
                </w:p>
              </w:tc>
              <w:tc>
                <w:tcPr>
                  <w:tcW w:w="640"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m³</w:t>
                  </w:r>
                </w:p>
              </w:tc>
              <w:tc>
                <w:tcPr>
                  <w:tcW w:w="1044"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4" w:type="pct"/>
                  <w:tcBorders>
                    <w:top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6</w:t>
                  </w:r>
                </w:p>
              </w:tc>
              <w:tc>
                <w:tcPr>
                  <w:tcW w:w="663" w:type="pct"/>
                  <w:vMerge w:val="continue"/>
                  <w:tcBorders>
                    <w:left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p>
              </w:tc>
              <w:tc>
                <w:tcPr>
                  <w:tcW w:w="2016"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C25砼六棱块</w:t>
                  </w:r>
                </w:p>
              </w:tc>
              <w:tc>
                <w:tcPr>
                  <w:tcW w:w="640"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m³</w:t>
                  </w:r>
                </w:p>
              </w:tc>
              <w:tc>
                <w:tcPr>
                  <w:tcW w:w="1044"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4" w:type="pct"/>
                  <w:tcBorders>
                    <w:top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7</w:t>
                  </w:r>
                </w:p>
              </w:tc>
              <w:tc>
                <w:tcPr>
                  <w:tcW w:w="663" w:type="pct"/>
                  <w:vMerge w:val="restar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工期</w:t>
                  </w:r>
                </w:p>
              </w:tc>
              <w:tc>
                <w:tcPr>
                  <w:tcW w:w="2016"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总工期</w:t>
                  </w:r>
                </w:p>
              </w:tc>
              <w:tc>
                <w:tcPr>
                  <w:tcW w:w="640"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月</w:t>
                  </w:r>
                </w:p>
              </w:tc>
              <w:tc>
                <w:tcPr>
                  <w:tcW w:w="1044"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4" w:type="pct"/>
                  <w:tcBorders>
                    <w:top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w:t>
                  </w:r>
                </w:p>
              </w:tc>
              <w:tc>
                <w:tcPr>
                  <w:tcW w:w="663" w:type="pct"/>
                  <w:vMerge w:val="continue"/>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p>
              </w:tc>
              <w:tc>
                <w:tcPr>
                  <w:tcW w:w="2016"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主体工期</w:t>
                  </w:r>
                </w:p>
              </w:tc>
              <w:tc>
                <w:tcPr>
                  <w:tcW w:w="640"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月</w:t>
                  </w:r>
                </w:p>
              </w:tc>
              <w:tc>
                <w:tcPr>
                  <w:tcW w:w="1044"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4" w:type="pct"/>
                  <w:tcBorders>
                    <w:top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9</w:t>
                  </w:r>
                </w:p>
              </w:tc>
              <w:tc>
                <w:tcPr>
                  <w:tcW w:w="663"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劳动力</w:t>
                  </w:r>
                </w:p>
              </w:tc>
              <w:tc>
                <w:tcPr>
                  <w:tcW w:w="2016"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施工高峰人数</w:t>
                  </w:r>
                </w:p>
              </w:tc>
              <w:tc>
                <w:tcPr>
                  <w:tcW w:w="640"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人</w:t>
                  </w:r>
                </w:p>
              </w:tc>
              <w:tc>
                <w:tcPr>
                  <w:tcW w:w="1044" w:type="pct"/>
                  <w:tcBorders>
                    <w:top w:val="single" w:color="auto" w:sz="6" w:space="0"/>
                    <w:left w:val="single" w:color="auto" w:sz="6" w:space="0"/>
                    <w:bottom w:val="single" w:color="auto" w:sz="6" w:space="0"/>
                    <w:right w:val="single" w:color="auto" w:sz="6" w:space="0"/>
                  </w:tcBorders>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snapToGrid/>
                    <w:spacing w:beforeLines="0" w:afterLines="0" w:line="240" w:lineRule="auto"/>
                    <w:textAlignment w:val="auto"/>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50</w:t>
                  </w:r>
                </w:p>
              </w:tc>
            </w:tr>
          </w:tbl>
          <w:p>
            <w:pPr>
              <w:widowControl/>
              <w:adjustRightInd w:val="0"/>
              <w:snapToGrid w:val="0"/>
              <w:spacing w:line="360" w:lineRule="auto"/>
              <w:ind w:firstLine="482" w:firstLineChars="200"/>
              <w:jc w:val="left"/>
              <w:rPr>
                <w:rFonts w:hint="default" w:ascii="Times New Roman" w:hAnsi="Times New Roman" w:eastAsia="宋体" w:cs="Times New Roman"/>
                <w:b/>
                <w:bCs w:val="0"/>
                <w:color w:val="auto"/>
                <w:sz w:val="24"/>
                <w:szCs w:val="24"/>
              </w:rPr>
            </w:pPr>
            <w:r>
              <w:rPr>
                <w:rFonts w:hint="default" w:ascii="Times New Roman" w:hAnsi="Times New Roman" w:eastAsia="宋体" w:cs="Times New Roman"/>
                <w:b/>
                <w:bCs w:val="0"/>
                <w:color w:val="auto"/>
                <w:kern w:val="0"/>
                <w:sz w:val="24"/>
                <w:szCs w:val="24"/>
                <w:lang w:val="en-US" w:eastAsia="zh-CN"/>
              </w:rPr>
              <w:t>3</w:t>
            </w:r>
            <w:r>
              <w:rPr>
                <w:rFonts w:hint="default" w:ascii="Times New Roman" w:hAnsi="Times New Roman" w:eastAsia="宋体" w:cs="Times New Roman"/>
                <w:b/>
                <w:bCs w:val="0"/>
                <w:color w:val="auto"/>
                <w:kern w:val="0"/>
                <w:sz w:val="24"/>
                <w:szCs w:val="24"/>
              </w:rPr>
              <w:t>、施工材料及主要施工设备</w:t>
            </w:r>
          </w:p>
          <w:p>
            <w:pPr>
              <w:widowControl/>
              <w:adjustRightInd w:val="0"/>
              <w:snapToGrid w:val="0"/>
              <w:spacing w:line="360" w:lineRule="auto"/>
              <w:ind w:firstLine="480" w:firstLineChars="200"/>
              <w:jc w:val="left"/>
              <w:rPr>
                <w:rFonts w:hint="default" w:ascii="Times New Roman" w:hAnsi="Times New Roman" w:eastAsia="宋体" w:cs="Times New Roman"/>
                <w:b w:val="0"/>
                <w:bCs/>
                <w:color w:val="auto"/>
                <w:sz w:val="24"/>
              </w:rPr>
            </w:pPr>
            <w:r>
              <w:rPr>
                <w:rFonts w:hint="default" w:ascii="Times New Roman" w:hAnsi="Times New Roman" w:eastAsia="宋体" w:cs="Times New Roman"/>
                <w:b w:val="0"/>
                <w:bCs/>
                <w:color w:val="auto"/>
                <w:kern w:val="0"/>
                <w:sz w:val="24"/>
                <w:lang w:eastAsia="zh-CN"/>
              </w:rPr>
              <w:t>（</w:t>
            </w:r>
            <w:r>
              <w:rPr>
                <w:rFonts w:hint="default" w:ascii="Times New Roman" w:hAnsi="Times New Roman" w:eastAsia="宋体" w:cs="Times New Roman"/>
                <w:b w:val="0"/>
                <w:bCs/>
                <w:color w:val="auto"/>
                <w:kern w:val="0"/>
                <w:sz w:val="24"/>
                <w:lang w:val="en-US" w:eastAsia="zh-CN"/>
              </w:rPr>
              <w:t>1</w:t>
            </w:r>
            <w:r>
              <w:rPr>
                <w:rFonts w:hint="default" w:ascii="Times New Roman" w:hAnsi="Times New Roman" w:eastAsia="宋体" w:cs="Times New Roman"/>
                <w:b w:val="0"/>
                <w:bCs/>
                <w:color w:val="auto"/>
                <w:kern w:val="0"/>
                <w:sz w:val="24"/>
                <w:lang w:eastAsia="zh-CN"/>
              </w:rPr>
              <w:t>）</w:t>
            </w:r>
            <w:r>
              <w:rPr>
                <w:rFonts w:hint="default" w:ascii="Times New Roman" w:hAnsi="Times New Roman" w:eastAsia="宋体" w:cs="Times New Roman"/>
                <w:b w:val="0"/>
                <w:bCs/>
                <w:color w:val="auto"/>
                <w:kern w:val="0"/>
                <w:sz w:val="24"/>
              </w:rPr>
              <w:t>施工期主要设备</w:t>
            </w:r>
          </w:p>
          <w:p>
            <w:pPr>
              <w:widowControl/>
              <w:adjustRightInd w:val="0"/>
              <w:snapToGrid w:val="0"/>
              <w:spacing w:line="360" w:lineRule="auto"/>
              <w:ind w:firstLine="480" w:firstLineChars="200"/>
              <w:jc w:val="left"/>
              <w:rPr>
                <w:rFonts w:hint="default" w:ascii="Times New Roman" w:hAnsi="Times New Roman" w:eastAsia="宋体" w:cs="Times New Roman"/>
                <w:bCs/>
                <w:color w:val="auto"/>
                <w:sz w:val="24"/>
              </w:rPr>
            </w:pPr>
            <w:r>
              <w:rPr>
                <w:rFonts w:hint="default" w:ascii="Times New Roman" w:hAnsi="Times New Roman" w:eastAsia="宋体" w:cs="Times New Roman"/>
                <w:bCs/>
                <w:color w:val="auto"/>
                <w:kern w:val="0"/>
                <w:sz w:val="24"/>
              </w:rPr>
              <w:t>根据业主提供的资料，本项目施工期主要设备列表见</w:t>
            </w:r>
            <w:r>
              <w:rPr>
                <w:rFonts w:hint="default" w:ascii="Times New Roman" w:hAnsi="Times New Roman" w:eastAsia="宋体" w:cs="Times New Roman"/>
                <w:bCs/>
                <w:color w:val="auto"/>
                <w:kern w:val="0"/>
                <w:sz w:val="24"/>
                <w:lang w:val="en-US" w:eastAsia="zh-CN"/>
              </w:rPr>
              <w:t>下</w:t>
            </w:r>
            <w:r>
              <w:rPr>
                <w:rFonts w:hint="default" w:ascii="Times New Roman" w:hAnsi="Times New Roman" w:eastAsia="宋体" w:cs="Times New Roman"/>
                <w:bCs/>
                <w:color w:val="auto"/>
                <w:kern w:val="0"/>
                <w:sz w:val="24"/>
              </w:rPr>
              <w:t xml:space="preserve">表。 </w:t>
            </w:r>
          </w:p>
          <w:p>
            <w:pPr>
              <w:widowControl/>
              <w:adjustRightInd w:val="0"/>
              <w:snapToGrid w:val="0"/>
              <w:spacing w:line="360" w:lineRule="auto"/>
              <w:jc w:val="center"/>
              <w:rPr>
                <w:rFonts w:hint="default" w:ascii="Times New Roman" w:hAnsi="Times New Roman" w:eastAsia="宋体" w:cs="Times New Roman"/>
                <w:b/>
                <w:bCs w:val="0"/>
                <w:color w:val="auto"/>
                <w:szCs w:val="21"/>
              </w:rPr>
            </w:pPr>
            <w:r>
              <w:rPr>
                <w:rFonts w:hint="default" w:ascii="Times New Roman" w:hAnsi="Times New Roman" w:eastAsia="宋体" w:cs="Times New Roman"/>
                <w:b/>
                <w:bCs w:val="0"/>
                <w:color w:val="auto"/>
                <w:kern w:val="0"/>
                <w:szCs w:val="21"/>
              </w:rPr>
              <w:t>表</w:t>
            </w:r>
            <w:r>
              <w:rPr>
                <w:rFonts w:hint="default" w:ascii="Times New Roman" w:hAnsi="Times New Roman" w:eastAsia="宋体" w:cs="Times New Roman"/>
                <w:b/>
                <w:bCs w:val="0"/>
                <w:color w:val="auto"/>
                <w:kern w:val="0"/>
                <w:szCs w:val="21"/>
                <w:lang w:val="en-US" w:eastAsia="zh-CN"/>
              </w:rPr>
              <w:t>2</w:t>
            </w:r>
            <w:r>
              <w:rPr>
                <w:rFonts w:hint="default" w:ascii="Times New Roman" w:hAnsi="Times New Roman" w:eastAsia="宋体" w:cs="Times New Roman"/>
                <w:b/>
                <w:bCs w:val="0"/>
                <w:color w:val="auto"/>
                <w:kern w:val="0"/>
                <w:szCs w:val="21"/>
              </w:rPr>
              <w:t>-</w:t>
            </w:r>
            <w:r>
              <w:rPr>
                <w:rFonts w:hint="default" w:ascii="Times New Roman" w:hAnsi="Times New Roman" w:eastAsia="宋体" w:cs="Times New Roman"/>
                <w:b/>
                <w:bCs w:val="0"/>
                <w:color w:val="auto"/>
                <w:kern w:val="0"/>
                <w:szCs w:val="21"/>
                <w:lang w:val="en-US" w:eastAsia="zh-CN"/>
              </w:rPr>
              <w:t>4</w:t>
            </w:r>
            <w:r>
              <w:rPr>
                <w:rFonts w:hint="default" w:ascii="Times New Roman" w:hAnsi="Times New Roman" w:eastAsia="宋体" w:cs="Times New Roman"/>
                <w:b/>
                <w:bCs w:val="0"/>
                <w:color w:val="auto"/>
                <w:kern w:val="0"/>
                <w:szCs w:val="21"/>
              </w:rPr>
              <w:t xml:space="preserve">  主要施工机械设备表</w:t>
            </w:r>
          </w:p>
          <w:tbl>
            <w:tblPr>
              <w:tblStyle w:val="3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
              <w:gridCol w:w="2173"/>
              <w:gridCol w:w="1937"/>
              <w:gridCol w:w="1230"/>
              <w:gridCol w:w="1497"/>
              <w:gridCol w:w="15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blHeader/>
                <w:jc w:val="center"/>
              </w:trPr>
              <w:tc>
                <w:tcPr>
                  <w:tcW w:w="46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1176"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机械名称</w:t>
                  </w:r>
                </w:p>
              </w:tc>
              <w:tc>
                <w:tcPr>
                  <w:tcW w:w="1049"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规格型号</w:t>
                  </w:r>
                </w:p>
              </w:tc>
              <w:tc>
                <w:tcPr>
                  <w:tcW w:w="668"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单位</w:t>
                  </w:r>
                </w:p>
              </w:tc>
              <w:tc>
                <w:tcPr>
                  <w:tcW w:w="81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数量</w:t>
                  </w:r>
                </w:p>
              </w:tc>
              <w:tc>
                <w:tcPr>
                  <w:tcW w:w="831"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w:t>
                  </w:r>
                </w:p>
              </w:tc>
              <w:tc>
                <w:tcPr>
                  <w:tcW w:w="1176"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土石方开挖机械</w:t>
                  </w:r>
                </w:p>
              </w:tc>
              <w:tc>
                <w:tcPr>
                  <w:tcW w:w="1049"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668"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812"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831"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2"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1176"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蛙式打夯机</w:t>
                  </w:r>
                </w:p>
              </w:tc>
              <w:tc>
                <w:tcPr>
                  <w:tcW w:w="1049"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w:t>
                  </w:r>
                  <w:r>
                    <w:rPr>
                      <w:rFonts w:hint="default"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rPr>
                    <w:t>k</w:t>
                  </w:r>
                  <w:r>
                    <w:rPr>
                      <w:rFonts w:hint="default" w:ascii="Times New Roman" w:hAnsi="Times New Roman" w:eastAsia="宋体" w:cs="Times New Roman"/>
                      <w:color w:val="auto"/>
                      <w:sz w:val="21"/>
                      <w:szCs w:val="21"/>
                      <w:lang w:val="en-US" w:eastAsia="zh-CN"/>
                    </w:rPr>
                    <w:t>W</w:t>
                  </w:r>
                </w:p>
              </w:tc>
              <w:tc>
                <w:tcPr>
                  <w:tcW w:w="668"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81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831"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2"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1176"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风钻手持式</w:t>
                  </w:r>
                </w:p>
              </w:tc>
              <w:tc>
                <w:tcPr>
                  <w:tcW w:w="1049"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手持式</w:t>
                  </w:r>
                </w:p>
              </w:tc>
              <w:tc>
                <w:tcPr>
                  <w:tcW w:w="668"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81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831"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2"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1176"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小型振动碾</w:t>
                  </w:r>
                </w:p>
              </w:tc>
              <w:tc>
                <w:tcPr>
                  <w:tcW w:w="1049"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3t</w:t>
                  </w:r>
                </w:p>
              </w:tc>
              <w:tc>
                <w:tcPr>
                  <w:tcW w:w="668"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81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831"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w:t>
                  </w:r>
                </w:p>
              </w:tc>
              <w:tc>
                <w:tcPr>
                  <w:tcW w:w="1176"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混凝土机械</w:t>
                  </w:r>
                </w:p>
              </w:tc>
              <w:tc>
                <w:tcPr>
                  <w:tcW w:w="1049"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668"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812"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831"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2"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1176"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混凝土拌和机</w:t>
                  </w:r>
                </w:p>
              </w:tc>
              <w:tc>
                <w:tcPr>
                  <w:tcW w:w="1049" w:type="pct"/>
                  <w:noWrap w:val="0"/>
                  <w:vAlign w:val="center"/>
                </w:tcPr>
                <w:p>
                  <w:pPr>
                    <w:pStyle w:val="90"/>
                    <w:tabs>
                      <w:tab w:val="left" w:pos="0"/>
                    </w:tabs>
                    <w:bidi w:val="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0.4</w:t>
                  </w:r>
                  <w:r>
                    <w:rPr>
                      <w:rFonts w:hint="default" w:ascii="Times New Roman" w:hAnsi="Times New Roman" w:eastAsia="宋体" w:cs="Times New Roman"/>
                      <w:color w:val="auto"/>
                      <w:sz w:val="21"/>
                      <w:szCs w:val="21"/>
                      <w:lang w:eastAsia="zh-CN"/>
                    </w:rPr>
                    <w:t>m</w:t>
                  </w:r>
                  <w:r>
                    <w:rPr>
                      <w:rFonts w:hint="default" w:ascii="Times New Roman" w:hAnsi="Times New Roman" w:eastAsia="宋体" w:cs="Times New Roman"/>
                      <w:color w:val="auto"/>
                      <w:sz w:val="21"/>
                      <w:szCs w:val="21"/>
                      <w:vertAlign w:val="superscript"/>
                      <w:lang w:eastAsia="zh-CN"/>
                    </w:rPr>
                    <w:t>3</w:t>
                  </w:r>
                </w:p>
              </w:tc>
              <w:tc>
                <w:tcPr>
                  <w:tcW w:w="668"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81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831"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2"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1176"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振动器插入式</w:t>
                  </w:r>
                </w:p>
              </w:tc>
              <w:tc>
                <w:tcPr>
                  <w:tcW w:w="1049"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1.1k</w:t>
                  </w:r>
                  <w:r>
                    <w:rPr>
                      <w:rFonts w:hint="default" w:ascii="Times New Roman" w:hAnsi="Times New Roman" w:eastAsia="宋体" w:cs="Times New Roman"/>
                      <w:color w:val="auto"/>
                      <w:sz w:val="21"/>
                      <w:szCs w:val="21"/>
                      <w:lang w:val="en-US" w:eastAsia="zh-CN"/>
                    </w:rPr>
                    <w:t>W</w:t>
                  </w:r>
                </w:p>
              </w:tc>
              <w:tc>
                <w:tcPr>
                  <w:tcW w:w="668"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81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831"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w:t>
                  </w:r>
                </w:p>
              </w:tc>
              <w:tc>
                <w:tcPr>
                  <w:tcW w:w="1176"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运输机械</w:t>
                  </w:r>
                </w:p>
              </w:tc>
              <w:tc>
                <w:tcPr>
                  <w:tcW w:w="1049"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668"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812"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831"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2"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1176"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胶轮车</w:t>
                  </w:r>
                </w:p>
              </w:tc>
              <w:tc>
                <w:tcPr>
                  <w:tcW w:w="1049"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668"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辆</w:t>
                  </w:r>
                </w:p>
              </w:tc>
              <w:tc>
                <w:tcPr>
                  <w:tcW w:w="81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831"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2"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1176"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机动翻斗车</w:t>
                  </w:r>
                </w:p>
              </w:tc>
              <w:tc>
                <w:tcPr>
                  <w:tcW w:w="1049"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t</w:t>
                  </w:r>
                </w:p>
              </w:tc>
              <w:tc>
                <w:tcPr>
                  <w:tcW w:w="668"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辆</w:t>
                  </w:r>
                </w:p>
              </w:tc>
              <w:tc>
                <w:tcPr>
                  <w:tcW w:w="81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831"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2"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1176"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汽车起重机</w:t>
                  </w:r>
                </w:p>
              </w:tc>
              <w:tc>
                <w:tcPr>
                  <w:tcW w:w="1049"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5t</w:t>
                  </w:r>
                </w:p>
              </w:tc>
              <w:tc>
                <w:tcPr>
                  <w:tcW w:w="668"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辆</w:t>
                  </w:r>
                </w:p>
              </w:tc>
              <w:tc>
                <w:tcPr>
                  <w:tcW w:w="81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831"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2"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1176"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载重汽车</w:t>
                  </w:r>
                </w:p>
              </w:tc>
              <w:tc>
                <w:tcPr>
                  <w:tcW w:w="1049"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rPr>
                    <w:t>t</w:t>
                  </w:r>
                </w:p>
              </w:tc>
              <w:tc>
                <w:tcPr>
                  <w:tcW w:w="668"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辆</w:t>
                  </w:r>
                </w:p>
              </w:tc>
              <w:tc>
                <w:tcPr>
                  <w:tcW w:w="81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831"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2"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四</w:t>
                  </w:r>
                </w:p>
              </w:tc>
              <w:tc>
                <w:tcPr>
                  <w:tcW w:w="1176"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其他机械</w:t>
                  </w:r>
                </w:p>
              </w:tc>
              <w:tc>
                <w:tcPr>
                  <w:tcW w:w="1049"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668"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812"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831"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2"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1176"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水泵</w:t>
                  </w:r>
                </w:p>
              </w:tc>
              <w:tc>
                <w:tcPr>
                  <w:tcW w:w="1049"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7k</w:t>
                  </w:r>
                  <w:r>
                    <w:rPr>
                      <w:rFonts w:hint="default" w:ascii="Times New Roman" w:hAnsi="Times New Roman" w:eastAsia="宋体" w:cs="Times New Roman"/>
                      <w:color w:val="auto"/>
                      <w:sz w:val="21"/>
                      <w:szCs w:val="21"/>
                      <w:lang w:val="en-US" w:eastAsia="zh-CN"/>
                    </w:rPr>
                    <w:t>W</w:t>
                  </w:r>
                </w:p>
              </w:tc>
              <w:tc>
                <w:tcPr>
                  <w:tcW w:w="668"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81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831"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2"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1176"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水泵</w:t>
                  </w:r>
                </w:p>
              </w:tc>
              <w:tc>
                <w:tcPr>
                  <w:tcW w:w="1049"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200BJ13A型</w:t>
                  </w:r>
                </w:p>
              </w:tc>
              <w:tc>
                <w:tcPr>
                  <w:tcW w:w="668"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81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831"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备用1台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2"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1176"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水泵</w:t>
                  </w:r>
                </w:p>
              </w:tc>
              <w:tc>
                <w:tcPr>
                  <w:tcW w:w="1049"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100BJ15A型</w:t>
                  </w:r>
                </w:p>
              </w:tc>
              <w:tc>
                <w:tcPr>
                  <w:tcW w:w="668"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81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831"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备用1台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2"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1176"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柴油发电机组</w:t>
                  </w:r>
                </w:p>
              </w:tc>
              <w:tc>
                <w:tcPr>
                  <w:tcW w:w="1049"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r>
                    <w:rPr>
                      <w:rFonts w:hint="default" w:ascii="Times New Roman" w:hAnsi="Times New Roman" w:eastAsia="宋体" w:cs="Times New Roman"/>
                      <w:color w:val="auto"/>
                      <w:sz w:val="21"/>
                      <w:szCs w:val="21"/>
                      <w:lang w:val="en-US" w:eastAsia="zh-CN"/>
                    </w:rPr>
                    <w:t>k</w:t>
                  </w:r>
                  <w:r>
                    <w:rPr>
                      <w:rFonts w:hint="default" w:ascii="Times New Roman" w:hAnsi="Times New Roman" w:eastAsia="宋体" w:cs="Times New Roman"/>
                      <w:color w:val="auto"/>
                      <w:sz w:val="21"/>
                      <w:szCs w:val="21"/>
                    </w:rPr>
                    <w:t>W</w:t>
                  </w:r>
                </w:p>
              </w:tc>
              <w:tc>
                <w:tcPr>
                  <w:tcW w:w="668"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81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831"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2"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1176"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钢筋加工机械</w:t>
                  </w:r>
                </w:p>
              </w:tc>
              <w:tc>
                <w:tcPr>
                  <w:tcW w:w="1049"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c>
                <w:tcPr>
                  <w:tcW w:w="668"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81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831" w:type="pct"/>
                  <w:noWrap w:val="0"/>
                  <w:vAlign w:val="center"/>
                </w:tcPr>
                <w:p>
                  <w:pPr>
                    <w:pStyle w:val="90"/>
                    <w:tabs>
                      <w:tab w:val="left" w:pos="0"/>
                    </w:tabs>
                    <w:bidi w:val="0"/>
                    <w:rPr>
                      <w:rFonts w:hint="default" w:ascii="Times New Roman" w:hAnsi="Times New Roman" w:eastAsia="宋体" w:cs="Times New Roman"/>
                      <w:color w:val="auto"/>
                      <w:sz w:val="21"/>
                      <w:szCs w:val="21"/>
                    </w:rPr>
                  </w:pPr>
                </w:p>
              </w:tc>
            </w:tr>
          </w:tbl>
          <w:p>
            <w:pPr>
              <w:widowControl/>
              <w:spacing w:line="360" w:lineRule="auto"/>
              <w:ind w:firstLine="480" w:firstLineChars="200"/>
              <w:jc w:val="left"/>
              <w:rPr>
                <w:rFonts w:hint="default" w:ascii="Times New Roman" w:hAnsi="Times New Roman" w:eastAsia="宋体" w:cs="Times New Roman"/>
                <w:bCs/>
                <w:color w:val="auto"/>
                <w:sz w:val="24"/>
              </w:rPr>
            </w:pPr>
            <w:r>
              <w:rPr>
                <w:rFonts w:hint="default" w:ascii="Times New Roman" w:hAnsi="Times New Roman" w:eastAsia="宋体" w:cs="Times New Roman"/>
                <w:bCs/>
                <w:color w:val="auto"/>
                <w:kern w:val="0"/>
                <w:sz w:val="24"/>
                <w:lang w:eastAsia="zh-CN"/>
              </w:rPr>
              <w:t>（</w:t>
            </w:r>
            <w:r>
              <w:rPr>
                <w:rFonts w:hint="default" w:ascii="Times New Roman" w:hAnsi="Times New Roman" w:eastAsia="宋体" w:cs="Times New Roman"/>
                <w:bCs/>
                <w:color w:val="auto"/>
                <w:kern w:val="0"/>
                <w:sz w:val="24"/>
                <w:lang w:val="en-US" w:eastAsia="zh-CN"/>
              </w:rPr>
              <w:t>2</w:t>
            </w:r>
            <w:r>
              <w:rPr>
                <w:rFonts w:hint="default" w:ascii="Times New Roman" w:hAnsi="Times New Roman" w:eastAsia="宋体" w:cs="Times New Roman"/>
                <w:bCs/>
                <w:color w:val="auto"/>
                <w:kern w:val="0"/>
                <w:sz w:val="24"/>
                <w:lang w:eastAsia="zh-CN"/>
              </w:rPr>
              <w:t>）</w:t>
            </w:r>
            <w:r>
              <w:rPr>
                <w:rFonts w:hint="default" w:ascii="Times New Roman" w:hAnsi="Times New Roman" w:eastAsia="宋体" w:cs="Times New Roman"/>
                <w:bCs/>
                <w:color w:val="auto"/>
                <w:kern w:val="0"/>
                <w:sz w:val="24"/>
              </w:rPr>
              <w:t xml:space="preserve">施工主要原辅材料 </w:t>
            </w:r>
          </w:p>
          <w:p>
            <w:pPr>
              <w:widowControl/>
              <w:adjustRightInd w:val="0"/>
              <w:snapToGrid w:val="0"/>
              <w:spacing w:line="360" w:lineRule="auto"/>
              <w:ind w:firstLine="480" w:firstLineChars="200"/>
              <w:jc w:val="left"/>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本项目主要原辅材料为碎石、块石、砂、钢筋和水泥等，因项目所在区域料材丰富，采用就近购买的方式解决。其主要用量见表</w:t>
            </w:r>
            <w:r>
              <w:rPr>
                <w:rFonts w:hint="default" w:ascii="Times New Roman" w:hAnsi="Times New Roman" w:eastAsia="宋体" w:cs="Times New Roman"/>
                <w:bCs/>
                <w:color w:val="auto"/>
                <w:kern w:val="0"/>
                <w:sz w:val="24"/>
                <w:lang w:val="en-US" w:eastAsia="zh-CN"/>
              </w:rPr>
              <w:t>2</w:t>
            </w:r>
            <w:r>
              <w:rPr>
                <w:rFonts w:hint="default" w:ascii="Times New Roman" w:hAnsi="Times New Roman" w:eastAsia="宋体" w:cs="Times New Roman"/>
                <w:bCs/>
                <w:color w:val="auto"/>
                <w:kern w:val="0"/>
                <w:sz w:val="24"/>
              </w:rPr>
              <w:t>-</w:t>
            </w:r>
            <w:r>
              <w:rPr>
                <w:rFonts w:hint="default" w:ascii="Times New Roman" w:hAnsi="Times New Roman" w:eastAsia="宋体" w:cs="Times New Roman"/>
                <w:bCs/>
                <w:color w:val="auto"/>
                <w:kern w:val="0"/>
                <w:sz w:val="24"/>
                <w:lang w:val="en-US" w:eastAsia="zh-CN"/>
              </w:rPr>
              <w:t>5</w:t>
            </w:r>
            <w:r>
              <w:rPr>
                <w:rFonts w:hint="default" w:ascii="Times New Roman" w:hAnsi="Times New Roman" w:eastAsia="宋体" w:cs="Times New Roman"/>
                <w:bCs/>
                <w:color w:val="auto"/>
                <w:kern w:val="0"/>
                <w:sz w:val="24"/>
              </w:rPr>
              <w:t xml:space="preserve">。 </w:t>
            </w:r>
          </w:p>
          <w:p>
            <w:pPr>
              <w:widowControl/>
              <w:adjustRightInd w:val="0"/>
              <w:snapToGrid w:val="0"/>
              <w:spacing w:line="360" w:lineRule="auto"/>
              <w:jc w:val="center"/>
              <w:rPr>
                <w:rFonts w:hint="default" w:ascii="Times New Roman" w:hAnsi="Times New Roman" w:eastAsia="宋体" w:cs="Times New Roman"/>
                <w:b/>
                <w:bCs w:val="0"/>
                <w:color w:val="auto"/>
                <w:szCs w:val="21"/>
              </w:rPr>
            </w:pPr>
            <w:r>
              <w:rPr>
                <w:rFonts w:hint="default" w:ascii="Times New Roman" w:hAnsi="Times New Roman" w:eastAsia="宋体" w:cs="Times New Roman"/>
                <w:b/>
                <w:bCs w:val="0"/>
                <w:color w:val="auto"/>
                <w:kern w:val="0"/>
                <w:szCs w:val="21"/>
              </w:rPr>
              <w:t>表</w:t>
            </w:r>
            <w:r>
              <w:rPr>
                <w:rFonts w:hint="default" w:ascii="Times New Roman" w:hAnsi="Times New Roman" w:eastAsia="宋体" w:cs="Times New Roman"/>
                <w:b/>
                <w:bCs w:val="0"/>
                <w:color w:val="auto"/>
                <w:kern w:val="0"/>
                <w:szCs w:val="21"/>
                <w:lang w:val="en-US" w:eastAsia="zh-CN"/>
              </w:rPr>
              <w:t>2</w:t>
            </w:r>
            <w:r>
              <w:rPr>
                <w:rFonts w:hint="default" w:ascii="Times New Roman" w:hAnsi="Times New Roman" w:eastAsia="宋体" w:cs="Times New Roman"/>
                <w:b/>
                <w:bCs w:val="0"/>
                <w:color w:val="auto"/>
                <w:kern w:val="0"/>
                <w:szCs w:val="21"/>
              </w:rPr>
              <w:t>-</w:t>
            </w:r>
            <w:r>
              <w:rPr>
                <w:rFonts w:hint="default" w:ascii="Times New Roman" w:hAnsi="Times New Roman" w:eastAsia="宋体" w:cs="Times New Roman"/>
                <w:b/>
                <w:bCs w:val="0"/>
                <w:color w:val="auto"/>
                <w:kern w:val="0"/>
                <w:szCs w:val="21"/>
                <w:lang w:val="en-US" w:eastAsia="zh-CN"/>
              </w:rPr>
              <w:t>5</w:t>
            </w:r>
            <w:r>
              <w:rPr>
                <w:rFonts w:hint="default" w:ascii="Times New Roman" w:hAnsi="Times New Roman" w:eastAsia="宋体" w:cs="Times New Roman"/>
                <w:b/>
                <w:bCs w:val="0"/>
                <w:color w:val="auto"/>
                <w:kern w:val="0"/>
                <w:szCs w:val="21"/>
              </w:rPr>
              <w:t xml:space="preserve">  主要原辅材料一览表</w:t>
            </w:r>
          </w:p>
          <w:tbl>
            <w:tblPr>
              <w:tblStyle w:val="3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5"/>
              <w:gridCol w:w="2257"/>
              <w:gridCol w:w="1288"/>
              <w:gridCol w:w="2080"/>
              <w:gridCol w:w="25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121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  目</w:t>
                  </w:r>
                </w:p>
              </w:tc>
              <w:tc>
                <w:tcPr>
                  <w:tcW w:w="69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单位</w:t>
                  </w:r>
                </w:p>
              </w:tc>
              <w:tc>
                <w:tcPr>
                  <w:tcW w:w="112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数量</w:t>
                  </w:r>
                </w:p>
              </w:tc>
              <w:tc>
                <w:tcPr>
                  <w:tcW w:w="1365"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21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卵石</w:t>
                  </w:r>
                </w:p>
              </w:tc>
              <w:tc>
                <w:tcPr>
                  <w:tcW w:w="69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3</w:t>
                  </w:r>
                </w:p>
              </w:tc>
              <w:tc>
                <w:tcPr>
                  <w:tcW w:w="112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2138.95</w:t>
                  </w:r>
                </w:p>
              </w:tc>
              <w:tc>
                <w:tcPr>
                  <w:tcW w:w="1365" w:type="pct"/>
                  <w:vMerge w:val="restar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21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砂</w:t>
                  </w:r>
                </w:p>
              </w:tc>
              <w:tc>
                <w:tcPr>
                  <w:tcW w:w="69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3</w:t>
                  </w:r>
                </w:p>
              </w:tc>
              <w:tc>
                <w:tcPr>
                  <w:tcW w:w="112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1249.33</w:t>
                  </w:r>
                </w:p>
              </w:tc>
              <w:tc>
                <w:tcPr>
                  <w:tcW w:w="1365"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21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砂砾石</w:t>
                  </w:r>
                </w:p>
              </w:tc>
              <w:tc>
                <w:tcPr>
                  <w:tcW w:w="69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3</w:t>
                  </w:r>
                </w:p>
              </w:tc>
              <w:tc>
                <w:tcPr>
                  <w:tcW w:w="112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319.78</w:t>
                  </w:r>
                </w:p>
              </w:tc>
              <w:tc>
                <w:tcPr>
                  <w:tcW w:w="1365"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21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碎石</w:t>
                  </w:r>
                </w:p>
              </w:tc>
              <w:tc>
                <w:tcPr>
                  <w:tcW w:w="69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3</w:t>
                  </w:r>
                </w:p>
              </w:tc>
              <w:tc>
                <w:tcPr>
                  <w:tcW w:w="112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495.76</w:t>
                  </w:r>
                </w:p>
              </w:tc>
              <w:tc>
                <w:tcPr>
                  <w:tcW w:w="1365"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21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粘土</w:t>
                  </w:r>
                </w:p>
              </w:tc>
              <w:tc>
                <w:tcPr>
                  <w:tcW w:w="69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t</w:t>
                  </w:r>
                </w:p>
              </w:tc>
              <w:tc>
                <w:tcPr>
                  <w:tcW w:w="112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1899.17</w:t>
                  </w:r>
                </w:p>
              </w:tc>
              <w:tc>
                <w:tcPr>
                  <w:tcW w:w="1365"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121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水泥</w:t>
                  </w:r>
                </w:p>
              </w:tc>
              <w:tc>
                <w:tcPr>
                  <w:tcW w:w="69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t</w:t>
                  </w:r>
                </w:p>
              </w:tc>
              <w:tc>
                <w:tcPr>
                  <w:tcW w:w="112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1062.08</w:t>
                  </w:r>
                </w:p>
              </w:tc>
              <w:tc>
                <w:tcPr>
                  <w:tcW w:w="1365"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7</w:t>
                  </w:r>
                </w:p>
              </w:tc>
              <w:tc>
                <w:tcPr>
                  <w:tcW w:w="121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沥青砼</w:t>
                  </w:r>
                </w:p>
              </w:tc>
              <w:tc>
                <w:tcPr>
                  <w:tcW w:w="69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t</w:t>
                  </w:r>
                </w:p>
              </w:tc>
              <w:tc>
                <w:tcPr>
                  <w:tcW w:w="112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1365"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8</w:t>
                  </w:r>
                </w:p>
              </w:tc>
              <w:tc>
                <w:tcPr>
                  <w:tcW w:w="121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锯材</w:t>
                  </w:r>
                </w:p>
              </w:tc>
              <w:tc>
                <w:tcPr>
                  <w:tcW w:w="69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3</w:t>
                  </w:r>
                </w:p>
              </w:tc>
              <w:tc>
                <w:tcPr>
                  <w:tcW w:w="112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0.60</w:t>
                  </w:r>
                </w:p>
              </w:tc>
              <w:tc>
                <w:tcPr>
                  <w:tcW w:w="1365"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9</w:t>
                  </w:r>
                </w:p>
              </w:tc>
              <w:tc>
                <w:tcPr>
                  <w:tcW w:w="121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钢筋</w:t>
                  </w:r>
                </w:p>
              </w:tc>
              <w:tc>
                <w:tcPr>
                  <w:tcW w:w="69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t</w:t>
                  </w:r>
                </w:p>
              </w:tc>
              <w:tc>
                <w:tcPr>
                  <w:tcW w:w="112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2.0</w:t>
                  </w:r>
                </w:p>
              </w:tc>
              <w:tc>
                <w:tcPr>
                  <w:tcW w:w="1365" w:type="pct"/>
                  <w:vMerge w:val="continue"/>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10</w:t>
                  </w:r>
                </w:p>
              </w:tc>
              <w:tc>
                <w:tcPr>
                  <w:tcW w:w="1216"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油料</w:t>
                  </w:r>
                </w:p>
              </w:tc>
              <w:tc>
                <w:tcPr>
                  <w:tcW w:w="694"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t</w:t>
                  </w:r>
                </w:p>
              </w:tc>
              <w:tc>
                <w:tcPr>
                  <w:tcW w:w="1121"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6.05</w:t>
                  </w:r>
                </w:p>
              </w:tc>
              <w:tc>
                <w:tcPr>
                  <w:tcW w:w="1365" w:type="pct"/>
                  <w:noWrap w:val="0"/>
                  <w:vAlign w:val="center"/>
                </w:tcPr>
                <w:p>
                  <w:pPr>
                    <w:pStyle w:val="90"/>
                    <w:keepNext w:val="0"/>
                    <w:keepLines w:val="0"/>
                    <w:pageBreakBefore w:val="0"/>
                    <w:widowControl w:val="0"/>
                    <w:tabs>
                      <w:tab w:val="left" w:pos="0"/>
                    </w:tabs>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sz w:val="21"/>
                      <w:szCs w:val="21"/>
                    </w:rPr>
                  </w:pPr>
                </w:p>
              </w:tc>
            </w:tr>
          </w:tbl>
          <w:p>
            <w:pPr>
              <w:widowControl/>
              <w:adjustRightInd w:val="0"/>
              <w:snapToGrid w:val="0"/>
              <w:spacing w:line="360" w:lineRule="auto"/>
              <w:ind w:firstLine="480" w:firstLineChars="200"/>
              <w:jc w:val="left"/>
              <w:rPr>
                <w:rFonts w:hint="default" w:ascii="Times New Roman" w:hAnsi="Times New Roman" w:eastAsia="宋体" w:cs="Times New Roman"/>
                <w:b w:val="0"/>
                <w:bCs/>
                <w:color w:val="auto"/>
                <w:kern w:val="0"/>
                <w:sz w:val="24"/>
                <w:szCs w:val="24"/>
                <w:lang w:val="en-US" w:eastAsia="zh-CN"/>
              </w:rPr>
            </w:pPr>
            <w:r>
              <w:rPr>
                <w:rFonts w:hint="eastAsia" w:ascii="Times New Roman" w:hAnsi="Times New Roman" w:eastAsia="宋体" w:cs="Times New Roman"/>
                <w:b w:val="0"/>
                <w:bCs/>
                <w:color w:val="auto"/>
                <w:kern w:val="0"/>
                <w:sz w:val="24"/>
                <w:szCs w:val="24"/>
                <w:lang w:val="en-US" w:eastAsia="zh-CN"/>
              </w:rPr>
              <w:t>（3）石渣料开采</w:t>
            </w:r>
          </w:p>
          <w:p>
            <w:pPr>
              <w:pStyle w:val="17"/>
              <w:numPr>
                <w:ilvl w:val="0"/>
                <w:numId w:val="0"/>
              </w:numPr>
              <w:adjustRightInd w:val="0"/>
              <w:snapToGrid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val="0"/>
                <w:bCs w:val="0"/>
                <w:color w:val="auto"/>
                <w:kern w:val="0"/>
                <w:sz w:val="24"/>
                <w:szCs w:val="24"/>
                <w:lang w:val="en-US" w:eastAsia="zh-CN"/>
              </w:rPr>
              <w:t>项目水库</w:t>
            </w:r>
            <w:r>
              <w:rPr>
                <w:rFonts w:hint="default" w:ascii="Times New Roman" w:hAnsi="Times New Roman" w:eastAsia="宋体" w:cs="Times New Roman"/>
                <w:b w:val="0"/>
                <w:bCs w:val="0"/>
                <w:color w:val="auto"/>
                <w:kern w:val="0"/>
                <w:sz w:val="24"/>
                <w:szCs w:val="24"/>
                <w:lang w:val="en-US" w:eastAsia="zh-CN"/>
              </w:rPr>
              <w:t>坝体后坡需进行培厚</w:t>
            </w:r>
            <w:r>
              <w:rPr>
                <w:rFonts w:hint="eastAsia" w:ascii="Times New Roman" w:hAnsi="Times New Roman" w:eastAsia="宋体" w:cs="Times New Roman"/>
                <w:b w:val="0"/>
                <w:bCs w:val="0"/>
                <w:color w:val="auto"/>
                <w:kern w:val="0"/>
                <w:sz w:val="24"/>
                <w:szCs w:val="24"/>
                <w:lang w:val="en-US" w:eastAsia="zh-CN"/>
              </w:rPr>
              <w:t>，根据设计资料，</w:t>
            </w:r>
            <w:r>
              <w:rPr>
                <w:rFonts w:hint="default" w:ascii="Times New Roman" w:hAnsi="Times New Roman" w:eastAsia="宋体" w:cs="Times New Roman"/>
                <w:b w:val="0"/>
                <w:bCs w:val="0"/>
                <w:color w:val="auto"/>
                <w:kern w:val="0"/>
                <w:sz w:val="24"/>
                <w:szCs w:val="24"/>
                <w:lang w:val="en-US" w:eastAsia="zh-CN"/>
              </w:rPr>
              <w:t>培厚</w:t>
            </w:r>
            <w:r>
              <w:rPr>
                <w:rFonts w:hint="eastAsia" w:ascii="Times New Roman" w:hAnsi="Times New Roman" w:eastAsia="宋体" w:cs="Times New Roman"/>
                <w:b w:val="0"/>
                <w:bCs w:val="0"/>
                <w:color w:val="auto"/>
                <w:kern w:val="0"/>
                <w:sz w:val="24"/>
                <w:szCs w:val="24"/>
                <w:lang w:val="en-US" w:eastAsia="zh-CN"/>
              </w:rPr>
              <w:t>需用石渣量2730m</w:t>
            </w:r>
            <w:r>
              <w:rPr>
                <w:rFonts w:hint="eastAsia" w:ascii="Times New Roman" w:hAnsi="Times New Roman" w:eastAsia="宋体" w:cs="Times New Roman"/>
                <w:b w:val="0"/>
                <w:bCs w:val="0"/>
                <w:color w:val="auto"/>
                <w:kern w:val="0"/>
                <w:sz w:val="24"/>
                <w:szCs w:val="24"/>
                <w:vertAlign w:val="superscript"/>
                <w:lang w:val="en-US" w:eastAsia="zh-CN"/>
              </w:rPr>
              <w:t>3</w:t>
            </w:r>
            <w:r>
              <w:rPr>
                <w:rFonts w:hint="eastAsia" w:ascii="Times New Roman" w:hAnsi="Times New Roman" w:eastAsia="宋体" w:cs="Times New Roman"/>
                <w:b w:val="0"/>
                <w:bCs w:val="0"/>
                <w:color w:val="auto"/>
                <w:kern w:val="0"/>
                <w:sz w:val="24"/>
                <w:szCs w:val="24"/>
                <w:lang w:val="en-US" w:eastAsia="zh-CN"/>
              </w:rPr>
              <w:t>。在坝体下游右岸为白垩系下统夹关组（K1j）厚层状砂岩，可开采作为石渣料，另外主体工程开挖料约1510m</w:t>
            </w:r>
            <w:r>
              <w:rPr>
                <w:rFonts w:hint="eastAsia" w:ascii="Times New Roman" w:hAnsi="Times New Roman" w:eastAsia="宋体" w:cs="Times New Roman"/>
                <w:b w:val="0"/>
                <w:bCs w:val="0"/>
                <w:color w:val="auto"/>
                <w:kern w:val="0"/>
                <w:sz w:val="24"/>
                <w:szCs w:val="24"/>
                <w:vertAlign w:val="superscript"/>
                <w:lang w:val="en-US" w:eastAsia="zh-CN"/>
              </w:rPr>
              <w:t>3</w:t>
            </w:r>
            <w:r>
              <w:rPr>
                <w:rFonts w:hint="eastAsia" w:ascii="Times New Roman" w:hAnsi="Times New Roman" w:eastAsia="宋体" w:cs="Times New Roman"/>
                <w:b w:val="0"/>
                <w:bCs w:val="0"/>
                <w:color w:val="auto"/>
                <w:kern w:val="0"/>
                <w:sz w:val="24"/>
                <w:szCs w:val="24"/>
                <w:lang w:val="en-US" w:eastAsia="zh-CN"/>
              </w:rPr>
              <w:t>，可利用约70%，约合1057m</w:t>
            </w:r>
            <w:r>
              <w:rPr>
                <w:rFonts w:hint="eastAsia" w:ascii="Times New Roman" w:hAnsi="Times New Roman" w:eastAsia="宋体" w:cs="Times New Roman"/>
                <w:b w:val="0"/>
                <w:bCs w:val="0"/>
                <w:color w:val="auto"/>
                <w:kern w:val="0"/>
                <w:sz w:val="24"/>
                <w:szCs w:val="24"/>
                <w:vertAlign w:val="superscript"/>
                <w:lang w:val="en-US" w:eastAsia="zh-CN"/>
              </w:rPr>
              <w:t>3</w:t>
            </w:r>
            <w:r>
              <w:rPr>
                <w:rFonts w:hint="eastAsia" w:ascii="Times New Roman" w:hAnsi="Times New Roman" w:eastAsia="宋体" w:cs="Times New Roman"/>
                <w:b w:val="0"/>
                <w:bCs w:val="0"/>
                <w:color w:val="auto"/>
                <w:kern w:val="0"/>
                <w:sz w:val="24"/>
                <w:szCs w:val="24"/>
                <w:lang w:val="en-US" w:eastAsia="zh-CN"/>
              </w:rPr>
              <w:t>，不足部分可在进库公路口右侧山体开采使用，运距约300m</w:t>
            </w:r>
            <w:r>
              <w:rPr>
                <w:rFonts w:hint="default" w:ascii="Times New Roman" w:hAnsi="Times New Roman" w:eastAsia="宋体" w:cs="Times New Roman"/>
                <w:b w:val="0"/>
                <w:bCs w:val="0"/>
                <w:color w:val="auto"/>
                <w:kern w:val="0"/>
                <w:sz w:val="24"/>
                <w:szCs w:val="24"/>
                <w:lang w:val="en-US" w:eastAsia="zh-CN"/>
              </w:rPr>
              <w:t>。</w:t>
            </w:r>
          </w:p>
          <w:p>
            <w:pPr>
              <w:widowControl/>
              <w:adjustRightInd w:val="0"/>
              <w:snapToGrid w:val="0"/>
              <w:spacing w:line="360" w:lineRule="auto"/>
              <w:ind w:firstLine="482" w:firstLineChars="200"/>
              <w:jc w:val="left"/>
              <w:rPr>
                <w:rFonts w:hint="default" w:ascii="Times New Roman" w:hAnsi="Times New Roman" w:eastAsia="宋体" w:cs="Times New Roman"/>
                <w:b/>
                <w:bCs w:val="0"/>
                <w:color w:val="auto"/>
                <w:sz w:val="24"/>
                <w:szCs w:val="24"/>
              </w:rPr>
            </w:pPr>
            <w:r>
              <w:rPr>
                <w:rFonts w:hint="default" w:ascii="Times New Roman" w:hAnsi="Times New Roman" w:eastAsia="宋体" w:cs="Times New Roman"/>
                <w:b/>
                <w:bCs w:val="0"/>
                <w:color w:val="auto"/>
                <w:kern w:val="0"/>
                <w:sz w:val="24"/>
                <w:szCs w:val="24"/>
                <w:lang w:val="en-US" w:eastAsia="zh-CN"/>
              </w:rPr>
              <w:t>3</w:t>
            </w:r>
            <w:r>
              <w:rPr>
                <w:rFonts w:hint="default" w:ascii="Times New Roman" w:hAnsi="Times New Roman" w:eastAsia="宋体" w:cs="Times New Roman"/>
                <w:b/>
                <w:bCs w:val="0"/>
                <w:color w:val="auto"/>
                <w:kern w:val="0"/>
                <w:sz w:val="24"/>
                <w:szCs w:val="24"/>
              </w:rPr>
              <w:t>、</w:t>
            </w:r>
            <w:r>
              <w:rPr>
                <w:rFonts w:hint="default" w:ascii="Times New Roman" w:hAnsi="Times New Roman" w:eastAsia="宋体" w:cs="Times New Roman"/>
                <w:b/>
                <w:bCs w:val="0"/>
                <w:iCs/>
                <w:color w:val="auto"/>
                <w:sz w:val="24"/>
                <w:szCs w:val="24"/>
              </w:rPr>
              <w:t>工程建设征地范围及实物指标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bookmarkStart w:id="3" w:name="_Toc529202606"/>
            <w:bookmarkStart w:id="4" w:name="_Toc489884624"/>
            <w:bookmarkStart w:id="5" w:name="_Toc496775378"/>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项目占地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rPr>
              <w:t>本次除险加固工程包括大坝整治、放水设施整治、进库道路、溢洪道等，涉及永久占地18.17亩，原有占地12.03亩，新增占地6.14亩，其中水利设施用地14.44亩、交通运输用地3.73亩；施工临时占地4.26亩，包括石渣料场占荒地3.00亩，施工便道占荒地1.26亩。</w:t>
            </w:r>
            <w:r>
              <w:rPr>
                <w:rFonts w:hint="default" w:ascii="Times New Roman" w:hAnsi="Times New Roman" w:eastAsia="宋体" w:cs="Times New Roman"/>
                <w:color w:val="auto"/>
                <w:kern w:val="0"/>
                <w:sz w:val="24"/>
                <w:szCs w:val="24"/>
                <w:lang w:val="en-US" w:eastAsia="zh-CN"/>
              </w:rPr>
              <w:t>项目新增占地</w:t>
            </w:r>
            <w:r>
              <w:rPr>
                <w:rFonts w:hint="default" w:ascii="Times New Roman" w:hAnsi="Times New Roman" w:eastAsia="宋体" w:cs="Times New Roman"/>
                <w:color w:val="auto"/>
                <w:kern w:val="0"/>
                <w:sz w:val="24"/>
                <w:szCs w:val="24"/>
              </w:rPr>
              <w:t>均为水库管理范围</w:t>
            </w:r>
            <w:r>
              <w:rPr>
                <w:rFonts w:hint="default" w:ascii="Times New Roman" w:hAnsi="Times New Roman" w:eastAsia="宋体" w:cs="Times New Roman"/>
                <w:color w:val="auto"/>
                <w:kern w:val="0"/>
                <w:sz w:val="24"/>
                <w:szCs w:val="24"/>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pacing w:val="-6"/>
                <w:lang w:val="en-US" w:eastAsia="zh-CN"/>
              </w:rPr>
            </w:pPr>
            <w:r>
              <w:rPr>
                <w:rFonts w:hint="default" w:ascii="Times New Roman" w:hAnsi="Times New Roman" w:eastAsia="宋体" w:cs="Times New Roman"/>
                <w:b/>
                <w:bCs/>
                <w:color w:val="auto"/>
                <w:spacing w:val="-6"/>
              </w:rPr>
              <w:t>表</w:t>
            </w:r>
            <w:r>
              <w:rPr>
                <w:rFonts w:hint="default" w:ascii="Times New Roman" w:hAnsi="Times New Roman" w:eastAsia="宋体" w:cs="Times New Roman"/>
                <w:b/>
                <w:bCs/>
                <w:color w:val="auto"/>
                <w:spacing w:val="-6"/>
                <w:lang w:val="en-US" w:eastAsia="zh-CN"/>
              </w:rPr>
              <w:t>2</w:t>
            </w:r>
            <w:r>
              <w:rPr>
                <w:rFonts w:hint="default" w:ascii="Times New Roman" w:hAnsi="Times New Roman" w:eastAsia="宋体" w:cs="Times New Roman"/>
                <w:b/>
                <w:bCs/>
                <w:color w:val="auto"/>
                <w:spacing w:val="-6"/>
              </w:rPr>
              <w:t>-</w:t>
            </w:r>
            <w:r>
              <w:rPr>
                <w:rFonts w:hint="default" w:ascii="Times New Roman" w:hAnsi="Times New Roman" w:eastAsia="宋体" w:cs="Times New Roman"/>
                <w:b/>
                <w:bCs/>
                <w:color w:val="auto"/>
                <w:spacing w:val="-6"/>
                <w:lang w:val="en-US" w:eastAsia="zh-CN"/>
              </w:rPr>
              <w:t>6</w:t>
            </w:r>
            <w:r>
              <w:rPr>
                <w:rFonts w:hint="default" w:ascii="Times New Roman" w:hAnsi="Times New Roman" w:eastAsia="宋体" w:cs="Times New Roman"/>
                <w:b/>
                <w:bCs/>
                <w:color w:val="auto"/>
                <w:spacing w:val="-6"/>
              </w:rPr>
              <w:t xml:space="preserve">  </w:t>
            </w:r>
            <w:r>
              <w:rPr>
                <w:rFonts w:hint="default" w:ascii="Times New Roman" w:hAnsi="Times New Roman" w:eastAsia="宋体" w:cs="Times New Roman"/>
                <w:b/>
                <w:bCs/>
                <w:color w:val="auto"/>
                <w:spacing w:val="-6"/>
                <w:lang w:val="en-US" w:eastAsia="zh-CN"/>
              </w:rPr>
              <w:t>项目占地情况一览表</w:t>
            </w:r>
          </w:p>
          <w:tbl>
            <w:tblPr>
              <w:tblStyle w:val="39"/>
              <w:tblW w:w="0" w:type="auto"/>
              <w:jc w:val="center"/>
              <w:tblLayout w:type="autofit"/>
              <w:tblCellMar>
                <w:top w:w="0" w:type="dxa"/>
                <w:left w:w="108" w:type="dxa"/>
                <w:bottom w:w="0" w:type="dxa"/>
                <w:right w:w="108" w:type="dxa"/>
              </w:tblCellMar>
            </w:tblPr>
            <w:tblGrid>
              <w:gridCol w:w="1169"/>
              <w:gridCol w:w="2211"/>
              <w:gridCol w:w="1067"/>
              <w:gridCol w:w="1253"/>
              <w:gridCol w:w="1331"/>
              <w:gridCol w:w="2075"/>
            </w:tblGrid>
            <w:tr>
              <w:tblPrEx>
                <w:tblCellMar>
                  <w:top w:w="0" w:type="dxa"/>
                  <w:left w:w="108" w:type="dxa"/>
                  <w:bottom w:w="0" w:type="dxa"/>
                  <w:right w:w="108" w:type="dxa"/>
                </w:tblCellMar>
              </w:tblPrEx>
              <w:trPr>
                <w:trHeight w:val="289" w:hRule="atLeast"/>
                <w:jc w:val="center"/>
              </w:trPr>
              <w:tc>
                <w:tcPr>
                  <w:tcW w:w="11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项      目</w:t>
                  </w:r>
                </w:p>
              </w:tc>
              <w:tc>
                <w:tcPr>
                  <w:tcW w:w="106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单位</w:t>
                  </w:r>
                </w:p>
              </w:tc>
              <w:tc>
                <w:tcPr>
                  <w:tcW w:w="4659"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工程建设区</w:t>
                  </w:r>
                </w:p>
              </w:tc>
            </w:tr>
            <w:tr>
              <w:tblPrEx>
                <w:tblCellMar>
                  <w:top w:w="0" w:type="dxa"/>
                  <w:left w:w="108" w:type="dxa"/>
                  <w:bottom w:w="0" w:type="dxa"/>
                  <w:right w:w="108" w:type="dxa"/>
                </w:tblCellMar>
              </w:tblPrEx>
              <w:trPr>
                <w:trHeight w:val="289" w:hRule="atLeast"/>
                <w:jc w:val="center"/>
              </w:trPr>
              <w:tc>
                <w:tcPr>
                  <w:tcW w:w="11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占地面积</w:t>
                  </w:r>
                </w:p>
              </w:tc>
              <w:tc>
                <w:tcPr>
                  <w:tcW w:w="106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lang w:val="en-US" w:eastAsia="zh-CN"/>
                    </w:rPr>
                  </w:pPr>
                </w:p>
              </w:tc>
              <w:tc>
                <w:tcPr>
                  <w:tcW w:w="12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合计</w:t>
                  </w:r>
                </w:p>
              </w:tc>
              <w:tc>
                <w:tcPr>
                  <w:tcW w:w="13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永久</w:t>
                  </w:r>
                </w:p>
              </w:tc>
              <w:tc>
                <w:tcPr>
                  <w:tcW w:w="207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临时</w:t>
                  </w:r>
                </w:p>
              </w:tc>
            </w:tr>
            <w:tr>
              <w:tblPrEx>
                <w:tblCellMar>
                  <w:top w:w="0" w:type="dxa"/>
                  <w:left w:w="108" w:type="dxa"/>
                  <w:bottom w:w="0" w:type="dxa"/>
                  <w:right w:w="108" w:type="dxa"/>
                </w:tblCellMar>
              </w:tblPrEx>
              <w:trPr>
                <w:trHeight w:val="289" w:hRule="atLeast"/>
                <w:jc w:val="center"/>
              </w:trPr>
              <w:tc>
                <w:tcPr>
                  <w:tcW w:w="11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1.1</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荒地</w:t>
                  </w:r>
                </w:p>
              </w:tc>
              <w:tc>
                <w:tcPr>
                  <w:tcW w:w="106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亩</w:t>
                  </w:r>
                </w:p>
              </w:tc>
              <w:tc>
                <w:tcPr>
                  <w:tcW w:w="12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4.26</w:t>
                  </w:r>
                </w:p>
              </w:tc>
              <w:tc>
                <w:tcPr>
                  <w:tcW w:w="13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207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4.26</w:t>
                  </w:r>
                </w:p>
              </w:tc>
            </w:tr>
            <w:tr>
              <w:tblPrEx>
                <w:tblCellMar>
                  <w:top w:w="0" w:type="dxa"/>
                  <w:left w:w="108" w:type="dxa"/>
                  <w:bottom w:w="0" w:type="dxa"/>
                  <w:right w:w="108" w:type="dxa"/>
                </w:tblCellMar>
              </w:tblPrEx>
              <w:trPr>
                <w:trHeight w:val="139" w:hRule="atLeast"/>
                <w:jc w:val="center"/>
              </w:trPr>
              <w:tc>
                <w:tcPr>
                  <w:tcW w:w="11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交通运输用地</w:t>
                  </w:r>
                </w:p>
              </w:tc>
              <w:tc>
                <w:tcPr>
                  <w:tcW w:w="106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亩</w:t>
                  </w:r>
                </w:p>
              </w:tc>
              <w:tc>
                <w:tcPr>
                  <w:tcW w:w="12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3.73</w:t>
                  </w:r>
                </w:p>
              </w:tc>
              <w:tc>
                <w:tcPr>
                  <w:tcW w:w="13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3.73</w:t>
                  </w:r>
                </w:p>
              </w:tc>
              <w:tc>
                <w:tcPr>
                  <w:tcW w:w="207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p>
              </w:tc>
            </w:tr>
            <w:tr>
              <w:tblPrEx>
                <w:tblCellMar>
                  <w:top w:w="0" w:type="dxa"/>
                  <w:left w:w="108" w:type="dxa"/>
                  <w:bottom w:w="0" w:type="dxa"/>
                  <w:right w:w="108" w:type="dxa"/>
                </w:tblCellMar>
              </w:tblPrEx>
              <w:trPr>
                <w:trHeight w:val="289" w:hRule="atLeast"/>
                <w:jc w:val="center"/>
              </w:trPr>
              <w:tc>
                <w:tcPr>
                  <w:tcW w:w="11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1.3</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水域及水利设施用地</w:t>
                  </w:r>
                </w:p>
              </w:tc>
              <w:tc>
                <w:tcPr>
                  <w:tcW w:w="106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亩</w:t>
                  </w:r>
                </w:p>
              </w:tc>
              <w:tc>
                <w:tcPr>
                  <w:tcW w:w="12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14.44</w:t>
                  </w:r>
                </w:p>
              </w:tc>
              <w:tc>
                <w:tcPr>
                  <w:tcW w:w="13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14.44</w:t>
                  </w:r>
                </w:p>
              </w:tc>
              <w:tc>
                <w:tcPr>
                  <w:tcW w:w="207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rPr>
                  </w:pPr>
                </w:p>
              </w:tc>
            </w:tr>
            <w:tr>
              <w:tblPrEx>
                <w:tblCellMar>
                  <w:top w:w="0" w:type="dxa"/>
                  <w:left w:w="108" w:type="dxa"/>
                  <w:bottom w:w="0" w:type="dxa"/>
                  <w:right w:w="108" w:type="dxa"/>
                </w:tblCellMar>
              </w:tblPrEx>
              <w:trPr>
                <w:trHeight w:val="289" w:hRule="atLeast"/>
                <w:jc w:val="center"/>
              </w:trPr>
              <w:tc>
                <w:tcPr>
                  <w:tcW w:w="4447"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合计</w:t>
                  </w:r>
                </w:p>
              </w:tc>
              <w:tc>
                <w:tcPr>
                  <w:tcW w:w="125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22.43</w:t>
                  </w:r>
                </w:p>
              </w:tc>
              <w:tc>
                <w:tcPr>
                  <w:tcW w:w="13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18.17</w:t>
                  </w:r>
                </w:p>
              </w:tc>
              <w:tc>
                <w:tcPr>
                  <w:tcW w:w="207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4.26</w:t>
                  </w:r>
                </w:p>
              </w:tc>
            </w:tr>
          </w:tbl>
          <w:p>
            <w:pPr>
              <w:pStyle w:val="4"/>
              <w:adjustRightInd w:val="0"/>
              <w:snapToGrid w:val="0"/>
              <w:spacing w:before="0" w:after="0" w:line="360" w:lineRule="auto"/>
              <w:ind w:left="494" w:leftChars="202" w:hanging="9" w:hangingChars="4"/>
              <w:jc w:val="both"/>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lang w:eastAsia="zh-CN"/>
              </w:rPr>
              <w:t>（</w:t>
            </w:r>
            <w:r>
              <w:rPr>
                <w:rFonts w:hint="default" w:ascii="Times New Roman" w:hAnsi="Times New Roman" w:eastAsia="宋体" w:cs="Times New Roman"/>
                <w:b w:val="0"/>
                <w:color w:val="auto"/>
                <w:sz w:val="24"/>
                <w:szCs w:val="24"/>
                <w:lang w:val="en-US" w:eastAsia="zh-CN"/>
              </w:rPr>
              <w:t>2</w:t>
            </w:r>
            <w:r>
              <w:rPr>
                <w:rFonts w:hint="default" w:ascii="Times New Roman" w:hAnsi="Times New Roman" w:eastAsia="宋体" w:cs="Times New Roman"/>
                <w:b w:val="0"/>
                <w:color w:val="auto"/>
                <w:sz w:val="24"/>
                <w:szCs w:val="24"/>
                <w:lang w:eastAsia="zh-CN"/>
              </w:rPr>
              <w:t>）</w:t>
            </w:r>
            <w:r>
              <w:rPr>
                <w:rFonts w:hint="default" w:ascii="Times New Roman" w:hAnsi="Times New Roman" w:eastAsia="宋体" w:cs="Times New Roman"/>
                <w:b w:val="0"/>
                <w:color w:val="auto"/>
                <w:sz w:val="24"/>
                <w:szCs w:val="24"/>
              </w:rPr>
              <w:t>移民</w:t>
            </w:r>
            <w:bookmarkEnd w:id="3"/>
            <w:bookmarkEnd w:id="4"/>
            <w:bookmarkEnd w:id="5"/>
            <w:r>
              <w:rPr>
                <w:rFonts w:hint="default" w:ascii="Times New Roman" w:hAnsi="Times New Roman" w:eastAsia="宋体" w:cs="Times New Roman"/>
                <w:b w:val="0"/>
                <w:color w:val="auto"/>
                <w:sz w:val="24"/>
                <w:szCs w:val="24"/>
              </w:rPr>
              <w:t>搬迁</w:t>
            </w:r>
          </w:p>
          <w:p>
            <w:pPr>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本工程征地范围内不涉及人口和房屋拆迁，因此无搬迁安置人口。</w:t>
            </w:r>
          </w:p>
          <w:p>
            <w:pPr>
              <w:keepNext w:val="0"/>
              <w:keepLines w:val="0"/>
              <w:pageBreakBefore w:val="0"/>
              <w:widowControl w:val="0"/>
              <w:kinsoku/>
              <w:wordWrap/>
              <w:overflowPunct/>
              <w:topLinePunct w:val="0"/>
              <w:autoSpaceDE/>
              <w:autoSpaceDN/>
              <w:bidi w:val="0"/>
              <w:adjustRightInd w:val="0"/>
              <w:snapToGrid w:val="0"/>
              <w:spacing w:line="360" w:lineRule="auto"/>
              <w:ind w:right="0"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、土石方工程</w:t>
            </w:r>
          </w:p>
          <w:p>
            <w:pPr>
              <w:keepNext w:val="0"/>
              <w:keepLines w:val="0"/>
              <w:pageBreakBefore w:val="0"/>
              <w:widowControl w:val="0"/>
              <w:kinsoku/>
              <w:wordWrap/>
              <w:overflowPunct/>
              <w:topLinePunct w:val="0"/>
              <w:autoSpaceDE/>
              <w:autoSpaceDN/>
              <w:bidi w:val="0"/>
              <w:adjustRightInd w:val="0"/>
              <w:snapToGrid w:val="0"/>
              <w:spacing w:line="360" w:lineRule="auto"/>
              <w:ind w:right="0"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本工程土石方开挖</w:t>
            </w:r>
            <w:r>
              <w:rPr>
                <w:rFonts w:hint="default" w:ascii="Times New Roman" w:hAnsi="Times New Roman" w:eastAsia="宋体" w:cs="Times New Roman"/>
                <w:color w:val="auto"/>
                <w:sz w:val="24"/>
                <w:szCs w:val="24"/>
                <w:lang w:val="en-US" w:eastAsia="zh-CN"/>
              </w:rPr>
              <w:t>1879</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vertAlign w:val="baseline"/>
                <w:lang w:eastAsia="zh-CN"/>
              </w:rPr>
              <w:t>（</w:t>
            </w:r>
            <w:r>
              <w:rPr>
                <w:rFonts w:hint="default" w:ascii="Times New Roman" w:hAnsi="Times New Roman" w:eastAsia="宋体" w:cs="Times New Roman"/>
                <w:color w:val="auto"/>
                <w:sz w:val="24"/>
                <w:szCs w:val="24"/>
                <w:vertAlign w:val="baseline"/>
                <w:lang w:val="en-US" w:eastAsia="zh-CN"/>
              </w:rPr>
              <w:t>表土剥离369</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vertAlign w:val="baseline"/>
                <w:lang w:eastAsia="zh-CN"/>
              </w:rPr>
              <w:t>）</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土石回填</w:t>
            </w:r>
            <w:r>
              <w:rPr>
                <w:rFonts w:hint="default" w:ascii="Times New Roman" w:hAnsi="Times New Roman" w:eastAsia="宋体" w:cs="Times New Roman"/>
                <w:color w:val="auto"/>
                <w:sz w:val="24"/>
                <w:szCs w:val="24"/>
                <w:lang w:val="en-US" w:eastAsia="zh-CN"/>
              </w:rPr>
              <w:t>1426</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vertAlign w:val="baseline"/>
                <w:lang w:eastAsia="zh-CN"/>
              </w:rPr>
              <w:t>（</w:t>
            </w:r>
            <w:r>
              <w:rPr>
                <w:rFonts w:hint="default" w:ascii="Times New Roman" w:hAnsi="Times New Roman" w:eastAsia="宋体" w:cs="Times New Roman"/>
                <w:color w:val="auto"/>
                <w:sz w:val="24"/>
                <w:szCs w:val="24"/>
                <w:vertAlign w:val="baseline"/>
                <w:lang w:val="en-US" w:eastAsia="zh-CN"/>
              </w:rPr>
              <w:t>表土回填369</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vertAlign w:val="baseline"/>
                <w:lang w:eastAsia="zh-CN"/>
              </w:rPr>
              <w:t>）</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弃渣</w:t>
            </w:r>
            <w:r>
              <w:rPr>
                <w:rFonts w:hint="default" w:ascii="Times New Roman" w:hAnsi="Times New Roman" w:eastAsia="宋体" w:cs="Times New Roman"/>
                <w:color w:val="auto"/>
                <w:sz w:val="24"/>
                <w:szCs w:val="24"/>
                <w:lang w:val="en-US" w:eastAsia="zh-CN"/>
              </w:rPr>
              <w:t>453</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vertAlign w:val="baseline"/>
                <w:lang w:eastAsia="zh-CN"/>
              </w:rPr>
              <w:t>，土</w:t>
            </w:r>
            <w:r>
              <w:rPr>
                <w:rFonts w:hint="eastAsia" w:ascii="Times New Roman" w:hAnsi="Times New Roman" w:eastAsia="宋体" w:cs="Times New Roman"/>
                <w:color w:val="auto"/>
                <w:sz w:val="24"/>
                <w:szCs w:val="24"/>
                <w:vertAlign w:val="baseline"/>
                <w:lang w:val="en-US" w:eastAsia="zh-CN"/>
              </w:rPr>
              <w:t>石</w:t>
            </w:r>
            <w:r>
              <w:rPr>
                <w:rFonts w:hint="default" w:ascii="Times New Roman" w:hAnsi="Times New Roman" w:eastAsia="宋体" w:cs="Times New Roman"/>
                <w:color w:val="auto"/>
                <w:sz w:val="24"/>
                <w:szCs w:val="24"/>
                <w:vertAlign w:val="baseline"/>
                <w:lang w:eastAsia="zh-CN"/>
              </w:rPr>
              <w:t>方开挖采用人工挖装胶轮车运输，就近堆放</w:t>
            </w:r>
            <w:r>
              <w:rPr>
                <w:rFonts w:hint="eastAsia" w:ascii="Times New Roman" w:hAnsi="Times New Roman" w:eastAsia="宋体" w:cs="Times New Roman"/>
                <w:color w:val="auto"/>
                <w:sz w:val="24"/>
                <w:szCs w:val="24"/>
                <w:vertAlign w:val="baseline"/>
                <w:lang w:val="en-US" w:eastAsia="zh-CN"/>
              </w:rPr>
              <w:t>，做好水土保持、防尘遮盖等措施，回填后无法利用的弃渣</w:t>
            </w:r>
            <w:r>
              <w:rPr>
                <w:rFonts w:hint="default" w:ascii="Times New Roman" w:hAnsi="Times New Roman" w:eastAsia="宋体" w:cs="Times New Roman"/>
                <w:color w:val="auto"/>
                <w:sz w:val="24"/>
                <w:szCs w:val="24"/>
                <w:lang w:val="en-US" w:eastAsia="zh-CN"/>
              </w:rPr>
              <w:t>运至乐山</w:t>
            </w:r>
            <w:r>
              <w:rPr>
                <w:rFonts w:hint="eastAsia" w:ascii="Times New Roman" w:hAnsi="Times New Roman" w:eastAsia="宋体" w:cs="Times New Roman"/>
                <w:color w:val="auto"/>
                <w:sz w:val="24"/>
                <w:szCs w:val="24"/>
                <w:lang w:val="en-US" w:eastAsia="zh-CN"/>
              </w:rPr>
              <w:t>市</w:t>
            </w:r>
            <w:r>
              <w:rPr>
                <w:rFonts w:hint="default" w:ascii="Times New Roman" w:hAnsi="Times New Roman" w:eastAsia="宋体" w:cs="Times New Roman"/>
                <w:color w:val="auto"/>
                <w:sz w:val="24"/>
                <w:szCs w:val="24"/>
                <w:lang w:val="en-US" w:eastAsia="zh-CN"/>
              </w:rPr>
              <w:t>指定弃渣场进行堆放</w:t>
            </w:r>
            <w:r>
              <w:rPr>
                <w:rFonts w:hint="default" w:ascii="Times New Roman" w:hAnsi="Times New Roman" w:eastAsia="宋体" w:cs="Times New Roman"/>
                <w:color w:val="auto"/>
                <w:sz w:val="24"/>
                <w:szCs w:val="24"/>
                <w:vertAlign w:val="baseline"/>
                <w:lang w:val="en-US" w:eastAsia="zh-CN"/>
              </w:rPr>
              <w:t>。</w:t>
            </w:r>
            <w:r>
              <w:rPr>
                <w:rFonts w:hint="default" w:ascii="Times New Roman" w:hAnsi="Times New Roman" w:eastAsia="宋体" w:cs="Times New Roman"/>
                <w:color w:val="auto"/>
                <w:sz w:val="24"/>
                <w:szCs w:val="24"/>
              </w:rPr>
              <w:t>项目土石方平衡见表</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w:t>
            </w:r>
          </w:p>
          <w:p>
            <w:pPr>
              <w:pStyle w:val="21"/>
              <w:adjustRightInd w:val="0"/>
              <w:snapToGrid w:val="0"/>
              <w:spacing w:line="360" w:lineRule="auto"/>
              <w:ind w:firstLine="0" w:firstLineChars="0"/>
              <w:jc w:val="center"/>
              <w:rPr>
                <w:rFonts w:hint="default" w:ascii="Times New Roman" w:hAnsi="Times New Roman" w:eastAsia="宋体" w:cs="Times New Roman"/>
                <w:b/>
                <w:bCs/>
                <w:color w:val="auto"/>
                <w:sz w:val="21"/>
                <w:szCs w:val="21"/>
                <w:vertAlign w:val="superscript"/>
              </w:rPr>
            </w:pPr>
            <w:r>
              <w:rPr>
                <w:rFonts w:hint="default" w:ascii="Times New Roman" w:hAnsi="Times New Roman" w:eastAsia="宋体" w:cs="Times New Roman"/>
                <w:b/>
                <w:bCs/>
                <w:color w:val="auto"/>
                <w:sz w:val="21"/>
                <w:szCs w:val="21"/>
              </w:rPr>
              <w:t>表</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7</w:t>
            </w:r>
            <w:r>
              <w:rPr>
                <w:rFonts w:hint="default" w:ascii="Times New Roman" w:hAnsi="Times New Roman" w:eastAsia="宋体" w:cs="Times New Roman"/>
                <w:b/>
                <w:bCs/>
                <w:color w:val="auto"/>
                <w:sz w:val="21"/>
                <w:szCs w:val="21"/>
              </w:rPr>
              <w:t xml:space="preserve">  项目土石方平衡一览表</w:t>
            </w:r>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5"/>
              <w:gridCol w:w="1616"/>
              <w:gridCol w:w="1488"/>
              <w:gridCol w:w="1550"/>
              <w:gridCol w:w="36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5" w:type="dxa"/>
                  <w:noWrap w:val="0"/>
                  <w:vAlign w:val="center"/>
                </w:tcPr>
                <w:p>
                  <w:pPr>
                    <w:pStyle w:val="21"/>
                    <w:adjustRightInd w:val="0"/>
                    <w:spacing w:line="312" w:lineRule="atLeast"/>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w:t>
                  </w:r>
                </w:p>
              </w:tc>
              <w:tc>
                <w:tcPr>
                  <w:tcW w:w="1616" w:type="dxa"/>
                  <w:noWrap w:val="0"/>
                  <w:vAlign w:val="center"/>
                </w:tcPr>
                <w:p>
                  <w:pPr>
                    <w:pStyle w:val="21"/>
                    <w:adjustRightInd w:val="0"/>
                    <w:spacing w:line="312" w:lineRule="atLeast"/>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挖方（m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rPr>
                    <w:t>）</w:t>
                  </w:r>
                </w:p>
              </w:tc>
              <w:tc>
                <w:tcPr>
                  <w:tcW w:w="1488" w:type="dxa"/>
                  <w:noWrap w:val="0"/>
                  <w:vAlign w:val="center"/>
                </w:tcPr>
                <w:p>
                  <w:pPr>
                    <w:pStyle w:val="21"/>
                    <w:adjustRightInd w:val="0"/>
                    <w:spacing w:line="312" w:lineRule="atLeast"/>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填方</w:t>
                  </w:r>
                  <w:r>
                    <w:rPr>
                      <w:rFonts w:hint="default" w:ascii="Times New Roman" w:hAnsi="Times New Roman" w:eastAsia="宋体" w:cs="Times New Roman"/>
                      <w:b/>
                      <w:bCs/>
                      <w:color w:val="auto"/>
                      <w:sz w:val="21"/>
                      <w:szCs w:val="21"/>
                    </w:rPr>
                    <w:t>（m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rPr>
                    <w:t>）</w:t>
                  </w:r>
                </w:p>
              </w:tc>
              <w:tc>
                <w:tcPr>
                  <w:tcW w:w="1550" w:type="dxa"/>
                  <w:noWrap w:val="0"/>
                  <w:vAlign w:val="center"/>
                </w:tcPr>
                <w:p>
                  <w:pPr>
                    <w:pStyle w:val="21"/>
                    <w:adjustRightInd w:val="0"/>
                    <w:spacing w:line="312" w:lineRule="atLeast"/>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弃方（m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rPr>
                    <w:t>）</w:t>
                  </w:r>
                </w:p>
              </w:tc>
              <w:tc>
                <w:tcPr>
                  <w:tcW w:w="3611" w:type="dxa"/>
                  <w:noWrap w:val="0"/>
                  <w:vAlign w:val="center"/>
                </w:tcPr>
                <w:p>
                  <w:pPr>
                    <w:pStyle w:val="21"/>
                    <w:adjustRightInd w:val="0"/>
                    <w:spacing w:line="312" w:lineRule="atLeast"/>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5" w:type="dxa"/>
                  <w:noWrap w:val="0"/>
                  <w:vAlign w:val="center"/>
                </w:tcPr>
                <w:p>
                  <w:pPr>
                    <w:pStyle w:val="21"/>
                    <w:adjustRightInd w:val="0"/>
                    <w:spacing w:line="312" w:lineRule="atLeast"/>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本项目工程</w:t>
                  </w:r>
                </w:p>
              </w:tc>
              <w:tc>
                <w:tcPr>
                  <w:tcW w:w="1616" w:type="dxa"/>
                  <w:noWrap w:val="0"/>
                  <w:vAlign w:val="center"/>
                </w:tcPr>
                <w:p>
                  <w:pPr>
                    <w:pStyle w:val="21"/>
                    <w:adjustRightInd w:val="0"/>
                    <w:spacing w:line="312" w:lineRule="atLeast"/>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1879</w:t>
                  </w:r>
                </w:p>
              </w:tc>
              <w:tc>
                <w:tcPr>
                  <w:tcW w:w="1488" w:type="dxa"/>
                  <w:noWrap w:val="0"/>
                  <w:vAlign w:val="center"/>
                </w:tcPr>
                <w:p>
                  <w:pPr>
                    <w:pStyle w:val="21"/>
                    <w:adjustRightInd w:val="0"/>
                    <w:spacing w:line="312" w:lineRule="atLeast"/>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1426</w:t>
                  </w:r>
                </w:p>
              </w:tc>
              <w:tc>
                <w:tcPr>
                  <w:tcW w:w="1550" w:type="dxa"/>
                  <w:noWrap w:val="0"/>
                  <w:vAlign w:val="center"/>
                </w:tcPr>
                <w:p>
                  <w:pPr>
                    <w:pStyle w:val="21"/>
                    <w:adjustRightInd w:val="0"/>
                    <w:spacing w:line="312" w:lineRule="atLeast"/>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453</w:t>
                  </w:r>
                </w:p>
              </w:tc>
              <w:tc>
                <w:tcPr>
                  <w:tcW w:w="3611" w:type="dxa"/>
                  <w:noWrap w:val="0"/>
                  <w:vAlign w:val="center"/>
                </w:tcPr>
                <w:p>
                  <w:pPr>
                    <w:pStyle w:val="21"/>
                    <w:adjustRightInd w:val="0"/>
                    <w:spacing w:line="312" w:lineRule="atLeast"/>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开挖土石方就近堆放，无法利用的</w:t>
                  </w:r>
                  <w:r>
                    <w:rPr>
                      <w:rFonts w:hint="default" w:ascii="Times New Roman" w:hAnsi="Times New Roman" w:eastAsia="宋体" w:cs="Times New Roman"/>
                      <w:color w:val="auto"/>
                      <w:sz w:val="21"/>
                      <w:szCs w:val="21"/>
                      <w:lang w:val="en-US" w:eastAsia="zh-CN"/>
                    </w:rPr>
                    <w:t>弃渣运至乐山市指定弃渣场进行堆放</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jc w:val="both"/>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5、</w:t>
            </w:r>
            <w:r>
              <w:rPr>
                <w:rFonts w:hint="default" w:ascii="Times New Roman" w:hAnsi="Times New Roman" w:eastAsia="宋体" w:cs="Times New Roman"/>
                <w:b/>
                <w:bCs/>
                <w:color w:val="auto"/>
                <w:sz w:val="24"/>
                <w:szCs w:val="24"/>
              </w:rPr>
              <w:t>职工人数及工作制度</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sz w:val="24"/>
                <w:szCs w:val="24"/>
              </w:rPr>
              <w:t>本工程施工工期为</w:t>
            </w:r>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个月，施工生活用房使用库区已有</w:t>
            </w:r>
            <w:r>
              <w:rPr>
                <w:rFonts w:hint="eastAsia" w:ascii="Times New Roman" w:hAnsi="Times New Roman" w:eastAsia="宋体" w:cs="Times New Roman"/>
                <w:color w:val="auto"/>
                <w:sz w:val="24"/>
                <w:szCs w:val="24"/>
                <w:lang w:eastAsia="zh-CN"/>
              </w:rPr>
              <w:t>管理处</w:t>
            </w:r>
            <w:r>
              <w:rPr>
                <w:rFonts w:hint="default" w:ascii="Times New Roman" w:hAnsi="Times New Roman" w:eastAsia="宋体" w:cs="Times New Roman"/>
                <w:color w:val="auto"/>
                <w:sz w:val="24"/>
                <w:szCs w:val="24"/>
              </w:rPr>
              <w:t>，高峰期施工人数共</w:t>
            </w:r>
            <w:r>
              <w:rPr>
                <w:rFonts w:hint="default" w:ascii="Times New Roman" w:hAnsi="Times New Roman" w:eastAsia="宋体" w:cs="Times New Roman"/>
                <w:color w:val="auto"/>
                <w:sz w:val="24"/>
                <w:szCs w:val="24"/>
                <w:lang w:val="en-US" w:eastAsia="zh-CN"/>
              </w:rPr>
              <w:t>50</w:t>
            </w:r>
            <w:r>
              <w:rPr>
                <w:rFonts w:hint="default" w:ascii="Times New Roman" w:hAnsi="Times New Roman" w:eastAsia="宋体" w:cs="Times New Roman"/>
                <w:color w:val="auto"/>
                <w:sz w:val="24"/>
                <w:szCs w:val="24"/>
              </w:rPr>
              <w:t>人。本项目为水库除险加固工程建设，非生产性项目，运营期维护工作由原水库管理人员负责，现有人员编制满足管理工作需要，主要职责为水库的巡查及维护，年工作3</w:t>
            </w:r>
            <w:r>
              <w:rPr>
                <w:rFonts w:hint="default" w:ascii="Times New Roman" w:hAnsi="Times New Roman" w:eastAsia="宋体" w:cs="Times New Roman"/>
                <w:color w:val="auto"/>
                <w:sz w:val="24"/>
                <w:szCs w:val="24"/>
                <w:lang w:val="en-US" w:eastAsia="zh-CN"/>
              </w:rPr>
              <w:t>65</w:t>
            </w:r>
            <w:r>
              <w:rPr>
                <w:rFonts w:hint="default" w:ascii="Times New Roman" w:hAnsi="Times New Roman" w:eastAsia="宋体" w:cs="Times New Roman"/>
                <w:color w:val="auto"/>
                <w:sz w:val="24"/>
                <w:szCs w:val="24"/>
              </w:rPr>
              <w:t>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228"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总平面及现场布置</w:t>
            </w:r>
          </w:p>
        </w:tc>
        <w:tc>
          <w:tcPr>
            <w:tcW w:w="4771" w:type="pct"/>
            <w:noWrap w:val="0"/>
            <w:vAlign w:val="center"/>
          </w:tcPr>
          <w:p>
            <w:pPr>
              <w:pStyle w:val="17"/>
              <w:numPr>
                <w:ilvl w:val="0"/>
                <w:numId w:val="0"/>
              </w:numPr>
              <w:adjustRightInd w:val="0"/>
              <w:snapToGrid w:val="0"/>
              <w:spacing w:line="360" w:lineRule="auto"/>
              <w:ind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施工工区</w:t>
            </w:r>
          </w:p>
          <w:p>
            <w:pPr>
              <w:pStyle w:val="1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工区</w:t>
            </w:r>
            <w:r>
              <w:rPr>
                <w:rFonts w:hint="default" w:ascii="Times New Roman" w:hAnsi="Times New Roman" w:eastAsia="宋体" w:cs="Times New Roman"/>
                <w:color w:val="auto"/>
                <w:sz w:val="24"/>
                <w:szCs w:val="24"/>
              </w:rPr>
              <w:t>布置在</w:t>
            </w:r>
            <w:r>
              <w:rPr>
                <w:rFonts w:hint="eastAsia" w:ascii="Times New Roman" w:hAnsi="Times New Roman" w:eastAsia="宋体" w:cs="Times New Roman"/>
                <w:color w:val="auto"/>
                <w:sz w:val="24"/>
                <w:szCs w:val="24"/>
                <w:lang w:eastAsia="zh-CN"/>
              </w:rPr>
              <w:t>管理处</w:t>
            </w:r>
            <w:r>
              <w:rPr>
                <w:rFonts w:hint="default" w:ascii="Times New Roman" w:hAnsi="Times New Roman" w:eastAsia="宋体" w:cs="Times New Roman"/>
                <w:color w:val="auto"/>
                <w:sz w:val="24"/>
                <w:szCs w:val="24"/>
              </w:rPr>
              <w:t>东侧</w:t>
            </w:r>
            <w:r>
              <w:rPr>
                <w:rFonts w:hint="eastAsia" w:ascii="Times New Roman" w:hAnsi="Times New Roman" w:cs="Times New Roman"/>
                <w:color w:val="auto"/>
                <w:sz w:val="24"/>
                <w:highlight w:val="none"/>
                <w:lang w:val="en-US" w:eastAsia="zh-CN"/>
              </w:rPr>
              <w:t>管理处</w:t>
            </w:r>
            <w:r>
              <w:rPr>
                <w:rFonts w:hint="default" w:ascii="Times New Roman" w:hAnsi="Times New Roman" w:cs="Times New Roman"/>
                <w:color w:val="auto"/>
                <w:sz w:val="24"/>
                <w:highlight w:val="none"/>
                <w:lang w:val="en-US" w:eastAsia="zh-CN"/>
              </w:rPr>
              <w:t>外场坝</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地面已硬化</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负责坝体、溢洪道及其他项目内容整治工程施工，占地200m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，布置有仓库、钢筋加工、拌合系统等。</w:t>
            </w:r>
            <w:r>
              <w:rPr>
                <w:rFonts w:hint="default" w:ascii="Times New Roman" w:hAnsi="Times New Roman" w:eastAsia="宋体" w:cs="Times New Roman"/>
                <w:color w:val="auto"/>
                <w:sz w:val="24"/>
                <w:szCs w:val="24"/>
                <w:lang w:val="en-US" w:eastAsia="zh-CN"/>
              </w:rPr>
              <w:t>施工北侧20m为山珍水库，西南侧55m处有1户居民。项目施工对周围环境造成了一定影响，将施工机械（高噪声设备）等布设于远离敏感点一侧，并设置围挡、洒水降尘，施工对周围居民敏感点的影响较小。</w:t>
            </w:r>
          </w:p>
          <w:p>
            <w:pPr>
              <w:pStyle w:val="17"/>
              <w:numPr>
                <w:ilvl w:val="0"/>
                <w:numId w:val="0"/>
              </w:numPr>
              <w:adjustRightInd w:val="0"/>
              <w:snapToGrid w:val="0"/>
              <w:spacing w:line="360" w:lineRule="auto"/>
              <w:ind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生活营地</w:t>
            </w:r>
          </w:p>
          <w:p>
            <w:pPr>
              <w:pStyle w:val="17"/>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工程高峰期施工人数约</w:t>
            </w:r>
            <w:r>
              <w:rPr>
                <w:rFonts w:hint="default" w:ascii="Times New Roman" w:hAnsi="Times New Roman" w:eastAsia="宋体" w:cs="Times New Roman"/>
                <w:color w:val="auto"/>
                <w:sz w:val="24"/>
                <w:szCs w:val="24"/>
                <w:lang w:val="en-US" w:eastAsia="zh-CN"/>
              </w:rPr>
              <w:t>50</w:t>
            </w:r>
            <w:r>
              <w:rPr>
                <w:rFonts w:hint="default" w:ascii="Times New Roman" w:hAnsi="Times New Roman" w:eastAsia="宋体" w:cs="Times New Roman"/>
                <w:color w:val="auto"/>
                <w:sz w:val="24"/>
                <w:szCs w:val="24"/>
              </w:rPr>
              <w:t>人，使用库区</w:t>
            </w:r>
            <w:r>
              <w:rPr>
                <w:rFonts w:hint="eastAsia" w:ascii="Times New Roman" w:hAnsi="Times New Roman" w:eastAsia="宋体" w:cs="Times New Roman"/>
                <w:color w:val="auto"/>
                <w:sz w:val="24"/>
                <w:szCs w:val="24"/>
                <w:lang w:eastAsia="zh-CN"/>
              </w:rPr>
              <w:t>管理处</w:t>
            </w:r>
            <w:r>
              <w:rPr>
                <w:rFonts w:hint="default" w:ascii="Times New Roman" w:hAnsi="Times New Roman" w:eastAsia="宋体" w:cs="Times New Roman"/>
                <w:color w:val="auto"/>
                <w:sz w:val="24"/>
                <w:szCs w:val="24"/>
              </w:rPr>
              <w:t>作为生活用房，不再设置生活营地。</w:t>
            </w:r>
          </w:p>
          <w:p>
            <w:pPr>
              <w:numPr>
                <w:ilvl w:val="0"/>
                <w:numId w:val="0"/>
              </w:numPr>
              <w:adjustRightInd w:val="0"/>
              <w:snapToGrid w:val="0"/>
              <w:spacing w:line="360" w:lineRule="auto"/>
              <w:ind w:firstLine="482" w:firstLineChars="200"/>
              <w:jc w:val="left"/>
              <w:rPr>
                <w:rFonts w:hint="default" w:ascii="Times New Roman" w:hAnsi="Times New Roman" w:eastAsia="宋体" w:cs="Times New Roman"/>
                <w:b/>
                <w:bCs/>
                <w:color w:val="auto"/>
                <w:kern w:val="0"/>
                <w:sz w:val="24"/>
                <w:szCs w:val="24"/>
                <w:lang w:val="en-US" w:eastAsia="zh-CN"/>
              </w:rPr>
            </w:pPr>
            <w:r>
              <w:rPr>
                <w:rFonts w:hint="eastAsia" w:ascii="Times New Roman" w:hAnsi="Times New Roman" w:eastAsia="宋体" w:cs="Times New Roman"/>
                <w:b/>
                <w:bCs/>
                <w:color w:val="auto"/>
                <w:kern w:val="0"/>
                <w:sz w:val="24"/>
                <w:szCs w:val="24"/>
                <w:lang w:val="en-US" w:eastAsia="zh-CN"/>
              </w:rPr>
              <w:t>3</w:t>
            </w:r>
            <w:r>
              <w:rPr>
                <w:rFonts w:hint="default" w:ascii="Times New Roman" w:hAnsi="Times New Roman" w:eastAsia="宋体" w:cs="Times New Roman"/>
                <w:b/>
                <w:bCs/>
                <w:color w:val="auto"/>
                <w:kern w:val="0"/>
                <w:sz w:val="24"/>
                <w:szCs w:val="24"/>
                <w:lang w:val="en-US" w:eastAsia="zh-CN"/>
              </w:rPr>
              <w:t>、石渣料</w:t>
            </w:r>
            <w:r>
              <w:rPr>
                <w:rFonts w:hint="eastAsia" w:ascii="Times New Roman" w:hAnsi="Times New Roman" w:cs="Times New Roman"/>
                <w:b/>
                <w:bCs/>
                <w:color w:val="auto"/>
                <w:sz w:val="24"/>
                <w:szCs w:val="24"/>
                <w:lang w:val="en-US" w:eastAsia="zh-CN"/>
              </w:rPr>
              <w:t>场</w:t>
            </w:r>
            <w:r>
              <w:rPr>
                <w:rFonts w:hint="eastAsia" w:ascii="Times New Roman" w:hAnsi="Times New Roman" w:eastAsia="宋体" w:cs="Times New Roman"/>
                <w:b/>
                <w:bCs/>
                <w:color w:val="auto"/>
                <w:kern w:val="0"/>
                <w:sz w:val="24"/>
                <w:szCs w:val="24"/>
                <w:lang w:val="en-US" w:eastAsia="zh-CN"/>
              </w:rPr>
              <w:t>区</w:t>
            </w:r>
          </w:p>
          <w:p>
            <w:pPr>
              <w:pStyle w:val="17"/>
              <w:numPr>
                <w:ilvl w:val="0"/>
                <w:numId w:val="0"/>
              </w:numPr>
              <w:adjustRightInd w:val="0"/>
              <w:snapToGrid w:val="0"/>
              <w:spacing w:line="360" w:lineRule="auto"/>
              <w:ind w:firstLine="480" w:firstLineChars="200"/>
              <w:rPr>
                <w:rFonts w:hint="default" w:ascii="Times New Roman" w:hAnsi="Times New Roman" w:eastAsia="宋体" w:cs="Times New Roman"/>
                <w:color w:val="auto"/>
                <w:sz w:val="24"/>
                <w:szCs w:val="24"/>
                <w:vertAlign w:val="baseline"/>
                <w:lang w:eastAsia="zh-CN"/>
              </w:rPr>
            </w:pPr>
            <w:r>
              <w:rPr>
                <w:rFonts w:hint="eastAsia" w:ascii="Times New Roman" w:hAnsi="Times New Roman" w:eastAsia="宋体" w:cs="Times New Roman"/>
                <w:b w:val="0"/>
                <w:bCs w:val="0"/>
                <w:color w:val="auto"/>
                <w:kern w:val="0"/>
                <w:sz w:val="24"/>
                <w:szCs w:val="24"/>
                <w:lang w:val="en-US" w:eastAsia="zh-CN"/>
              </w:rPr>
              <w:t>项目水库</w:t>
            </w:r>
            <w:r>
              <w:rPr>
                <w:rFonts w:hint="default" w:ascii="Times New Roman" w:hAnsi="Times New Roman" w:eastAsia="宋体" w:cs="Times New Roman"/>
                <w:b w:val="0"/>
                <w:bCs w:val="0"/>
                <w:color w:val="auto"/>
                <w:kern w:val="0"/>
                <w:sz w:val="24"/>
                <w:szCs w:val="24"/>
                <w:lang w:val="en-US" w:eastAsia="zh-CN"/>
              </w:rPr>
              <w:t>坝体后坡需进行培厚</w:t>
            </w:r>
            <w:r>
              <w:rPr>
                <w:rFonts w:hint="eastAsia" w:ascii="Times New Roman" w:hAnsi="Times New Roman" w:eastAsia="宋体" w:cs="Times New Roman"/>
                <w:b w:val="0"/>
                <w:bCs w:val="0"/>
                <w:color w:val="auto"/>
                <w:kern w:val="0"/>
                <w:sz w:val="24"/>
                <w:szCs w:val="24"/>
                <w:lang w:val="en-US" w:eastAsia="zh-CN"/>
              </w:rPr>
              <w:t>，根据设计资料，</w:t>
            </w:r>
            <w:r>
              <w:rPr>
                <w:rFonts w:hint="default" w:ascii="Times New Roman" w:hAnsi="Times New Roman" w:eastAsia="宋体" w:cs="Times New Roman"/>
                <w:b w:val="0"/>
                <w:bCs w:val="0"/>
                <w:color w:val="auto"/>
                <w:kern w:val="0"/>
                <w:sz w:val="24"/>
                <w:szCs w:val="24"/>
                <w:lang w:val="en-US" w:eastAsia="zh-CN"/>
              </w:rPr>
              <w:t>培厚</w:t>
            </w:r>
            <w:r>
              <w:rPr>
                <w:rFonts w:hint="eastAsia" w:ascii="Times New Roman" w:hAnsi="Times New Roman" w:eastAsia="宋体" w:cs="Times New Roman"/>
                <w:b w:val="0"/>
                <w:bCs w:val="0"/>
                <w:color w:val="auto"/>
                <w:kern w:val="0"/>
                <w:sz w:val="24"/>
                <w:szCs w:val="24"/>
                <w:lang w:val="en-US" w:eastAsia="zh-CN"/>
              </w:rPr>
              <w:t>需用石渣量2730m</w:t>
            </w:r>
            <w:r>
              <w:rPr>
                <w:rFonts w:hint="eastAsia" w:ascii="Times New Roman" w:hAnsi="Times New Roman" w:eastAsia="宋体" w:cs="Times New Roman"/>
                <w:b w:val="0"/>
                <w:bCs w:val="0"/>
                <w:color w:val="auto"/>
                <w:kern w:val="0"/>
                <w:sz w:val="24"/>
                <w:szCs w:val="24"/>
                <w:vertAlign w:val="superscript"/>
                <w:lang w:val="en-US" w:eastAsia="zh-CN"/>
              </w:rPr>
              <w:t>3</w:t>
            </w:r>
            <w:r>
              <w:rPr>
                <w:rFonts w:hint="eastAsia" w:ascii="Times New Roman" w:hAnsi="Times New Roman" w:eastAsia="宋体" w:cs="Times New Roman"/>
                <w:b w:val="0"/>
                <w:bCs w:val="0"/>
                <w:color w:val="auto"/>
                <w:kern w:val="0"/>
                <w:sz w:val="24"/>
                <w:szCs w:val="24"/>
                <w:lang w:val="en-US" w:eastAsia="zh-CN"/>
              </w:rPr>
              <w:t>。在坝体下游右岸为白垩系下统夹关组（K1j）厚层状砂岩，可开采作为石渣料，另外主体工程开挖料约1510m</w:t>
            </w:r>
            <w:r>
              <w:rPr>
                <w:rFonts w:hint="eastAsia" w:ascii="Times New Roman" w:hAnsi="Times New Roman" w:eastAsia="宋体" w:cs="Times New Roman"/>
                <w:b w:val="0"/>
                <w:bCs w:val="0"/>
                <w:color w:val="auto"/>
                <w:kern w:val="0"/>
                <w:sz w:val="24"/>
                <w:szCs w:val="24"/>
                <w:vertAlign w:val="superscript"/>
                <w:lang w:val="en-US" w:eastAsia="zh-CN"/>
              </w:rPr>
              <w:t>3</w:t>
            </w:r>
            <w:r>
              <w:rPr>
                <w:rFonts w:hint="eastAsia" w:ascii="Times New Roman" w:hAnsi="Times New Roman" w:eastAsia="宋体" w:cs="Times New Roman"/>
                <w:b w:val="0"/>
                <w:bCs w:val="0"/>
                <w:color w:val="auto"/>
                <w:kern w:val="0"/>
                <w:sz w:val="24"/>
                <w:szCs w:val="24"/>
                <w:lang w:val="en-US" w:eastAsia="zh-CN"/>
              </w:rPr>
              <w:t>，可利用约70%，约合1057m</w:t>
            </w:r>
            <w:r>
              <w:rPr>
                <w:rFonts w:hint="eastAsia" w:ascii="Times New Roman" w:hAnsi="Times New Roman" w:eastAsia="宋体" w:cs="Times New Roman"/>
                <w:b w:val="0"/>
                <w:bCs w:val="0"/>
                <w:color w:val="auto"/>
                <w:kern w:val="0"/>
                <w:sz w:val="24"/>
                <w:szCs w:val="24"/>
                <w:vertAlign w:val="superscript"/>
                <w:lang w:val="en-US" w:eastAsia="zh-CN"/>
              </w:rPr>
              <w:t>3</w:t>
            </w:r>
            <w:r>
              <w:rPr>
                <w:rFonts w:hint="eastAsia" w:ascii="Times New Roman" w:hAnsi="Times New Roman" w:eastAsia="宋体" w:cs="Times New Roman"/>
                <w:b w:val="0"/>
                <w:bCs w:val="0"/>
                <w:color w:val="auto"/>
                <w:kern w:val="0"/>
                <w:sz w:val="24"/>
                <w:szCs w:val="24"/>
                <w:lang w:val="en-US" w:eastAsia="zh-CN"/>
              </w:rPr>
              <w:t>，不足部分可在进库公路口右侧山体开采使用，运距约300m</w:t>
            </w:r>
            <w:r>
              <w:rPr>
                <w:rFonts w:hint="default" w:ascii="Times New Roman" w:hAnsi="Times New Roman" w:eastAsia="宋体" w:cs="Times New Roman"/>
                <w:b w:val="0"/>
                <w:bCs w:val="0"/>
                <w:color w:val="auto"/>
                <w:kern w:val="0"/>
                <w:sz w:val="24"/>
                <w:szCs w:val="24"/>
                <w:lang w:val="en-US" w:eastAsia="zh-CN"/>
              </w:rPr>
              <w:t>。</w:t>
            </w:r>
            <w:r>
              <w:rPr>
                <w:rFonts w:hint="eastAsia" w:ascii="Times New Roman" w:hAnsi="Times New Roman" w:eastAsia="宋体" w:cs="Times New Roman"/>
                <w:b w:val="0"/>
                <w:bCs w:val="0"/>
                <w:color w:val="auto"/>
                <w:kern w:val="0"/>
                <w:sz w:val="24"/>
                <w:szCs w:val="24"/>
                <w:lang w:val="en-US" w:eastAsia="zh-CN"/>
              </w:rPr>
              <w:t>项目石渣</w:t>
            </w:r>
            <w:r>
              <w:rPr>
                <w:rFonts w:hint="default" w:ascii="Times New Roman" w:hAnsi="Times New Roman" w:cs="Times New Roman"/>
                <w:color w:val="auto"/>
                <w:sz w:val="24"/>
                <w:szCs w:val="24"/>
                <w:vertAlign w:val="baseline"/>
                <w:lang w:val="en-US" w:eastAsia="zh-CN"/>
              </w:rPr>
              <w:t>开采量为1673</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vertAlign w:val="baseline"/>
                <w:lang w:eastAsia="zh-CN"/>
              </w:rPr>
              <w:t>。</w:t>
            </w:r>
          </w:p>
          <w:p>
            <w:pPr>
              <w:pStyle w:val="38"/>
              <w:adjustRightInd w:val="0"/>
              <w:snapToGrid w:val="0"/>
              <w:spacing w:after="0" w:line="360" w:lineRule="auto"/>
              <w:ind w:left="0" w:leftChars="0" w:firstLine="480"/>
              <w:jc w:val="left"/>
              <w:rPr>
                <w:rFonts w:hint="default" w:ascii="Times New Roman" w:hAnsi="Times New Roman" w:eastAsia="宋体" w:cs="Times New Roman"/>
                <w:color w:val="auto"/>
                <w:sz w:val="24"/>
                <w:szCs w:val="24"/>
                <w:vertAlign w:val="baseline"/>
                <w:lang w:eastAsia="zh-CN"/>
              </w:rPr>
            </w:pPr>
            <w:r>
              <w:rPr>
                <w:rFonts w:hint="default" w:ascii="Times New Roman" w:hAnsi="Times New Roman" w:eastAsia="宋体" w:cs="Times New Roman"/>
                <w:color w:val="auto"/>
                <w:sz w:val="24"/>
                <w:szCs w:val="24"/>
                <w:vertAlign w:val="baseline"/>
                <w:lang w:val="en-US" w:eastAsia="zh-CN"/>
              </w:rPr>
              <w:t>项目设置1个</w:t>
            </w:r>
            <w:r>
              <w:rPr>
                <w:rFonts w:hint="default" w:ascii="Times New Roman" w:hAnsi="Times New Roman" w:eastAsia="宋体" w:cs="Times New Roman"/>
                <w:color w:val="auto"/>
                <w:sz w:val="24"/>
                <w:szCs w:val="24"/>
              </w:rPr>
              <w:t>石渣料</w:t>
            </w:r>
            <w:r>
              <w:rPr>
                <w:rFonts w:hint="eastAsia" w:ascii="Times New Roman" w:hAnsi="Times New Roman" w:eastAsia="宋体" w:cs="Times New Roman"/>
                <w:color w:val="auto"/>
                <w:sz w:val="24"/>
                <w:szCs w:val="24"/>
                <w:lang w:val="en-US" w:eastAsia="zh-CN"/>
              </w:rPr>
              <w:t>场区用于石渣料开采</w:t>
            </w:r>
            <w:r>
              <w:rPr>
                <w:rFonts w:hint="default" w:ascii="Times New Roman" w:hAnsi="Times New Roman" w:eastAsia="宋体" w:cs="Times New Roman"/>
                <w:color w:val="auto"/>
                <w:sz w:val="24"/>
                <w:szCs w:val="24"/>
                <w:vertAlign w:val="baseline"/>
                <w:lang w:eastAsia="zh-CN"/>
              </w:rPr>
              <w:t>，</w:t>
            </w:r>
            <w:r>
              <w:rPr>
                <w:rFonts w:hint="default" w:ascii="Times New Roman" w:hAnsi="Times New Roman" w:eastAsia="宋体" w:cs="Times New Roman"/>
                <w:color w:val="auto"/>
                <w:sz w:val="24"/>
                <w:szCs w:val="24"/>
              </w:rPr>
              <w:t>石渣料</w:t>
            </w:r>
            <w:r>
              <w:rPr>
                <w:rFonts w:hint="eastAsia" w:ascii="Times New Roman" w:hAnsi="Times New Roman" w:eastAsia="宋体" w:cs="Times New Roman"/>
                <w:color w:val="auto"/>
                <w:sz w:val="24"/>
                <w:szCs w:val="24"/>
                <w:lang w:val="en-US" w:eastAsia="zh-CN"/>
              </w:rPr>
              <w:t>场区</w:t>
            </w:r>
            <w:r>
              <w:rPr>
                <w:rFonts w:hint="default" w:ascii="Times New Roman" w:hAnsi="Times New Roman" w:eastAsia="宋体" w:cs="Times New Roman"/>
                <w:color w:val="auto"/>
                <w:sz w:val="24"/>
                <w:szCs w:val="24"/>
                <w:lang w:eastAsia="zh-CN"/>
              </w:rPr>
              <w:t>占地为</w:t>
            </w:r>
            <w:r>
              <w:rPr>
                <w:rFonts w:hint="eastAsia" w:ascii="Times New Roman" w:hAnsi="Times New Roman" w:eastAsia="宋体" w:cs="Times New Roman"/>
                <w:color w:val="auto"/>
                <w:sz w:val="24"/>
                <w:szCs w:val="24"/>
                <w:lang w:val="en-US" w:eastAsia="zh-CN"/>
              </w:rPr>
              <w:t>3亩</w:t>
            </w:r>
            <w:r>
              <w:rPr>
                <w:rFonts w:hint="default" w:ascii="Times New Roman" w:hAnsi="Times New Roman" w:eastAsia="宋体" w:cs="Times New Roman"/>
                <w:color w:val="auto"/>
                <w:sz w:val="24"/>
                <w:szCs w:val="24"/>
                <w:vertAlign w:val="baseline"/>
                <w:lang w:eastAsia="zh-CN"/>
              </w:rPr>
              <w:t>，</w:t>
            </w:r>
            <w:r>
              <w:rPr>
                <w:rFonts w:hint="eastAsia" w:ascii="Times New Roman" w:hAnsi="Times New Roman" w:eastAsia="宋体" w:cs="Times New Roman"/>
                <w:color w:val="auto"/>
                <w:sz w:val="24"/>
                <w:szCs w:val="24"/>
                <w:vertAlign w:val="baseline"/>
                <w:lang w:val="en-US" w:eastAsia="zh-CN"/>
              </w:rPr>
              <w:t>占地类型为荒地，</w:t>
            </w:r>
            <w:r>
              <w:rPr>
                <w:rFonts w:hint="default" w:ascii="Times New Roman" w:hAnsi="Times New Roman" w:eastAsia="宋体" w:cs="Times New Roman"/>
                <w:color w:val="auto"/>
                <w:sz w:val="24"/>
                <w:lang w:val="en-US" w:eastAsia="zh-CN"/>
              </w:rPr>
              <w:t>位于项目管理</w:t>
            </w:r>
            <w:r>
              <w:rPr>
                <w:rFonts w:hint="eastAsia" w:ascii="Times New Roman" w:hAnsi="Times New Roman" w:eastAsia="宋体" w:cs="Times New Roman"/>
                <w:color w:val="auto"/>
                <w:sz w:val="24"/>
                <w:lang w:val="en-US" w:eastAsia="zh-CN"/>
              </w:rPr>
              <w:t>处</w:t>
            </w:r>
            <w:r>
              <w:rPr>
                <w:rFonts w:hint="default" w:ascii="Times New Roman" w:hAnsi="Times New Roman" w:eastAsia="宋体" w:cs="Times New Roman"/>
                <w:color w:val="auto"/>
                <w:sz w:val="24"/>
                <w:lang w:val="en-US" w:eastAsia="zh-CN"/>
              </w:rPr>
              <w:t>东侧，东北侧20m为山珍水库，西南侧100m有1户居民，东南侧85m有5户居民</w:t>
            </w:r>
            <w:r>
              <w:rPr>
                <w:rFonts w:hint="default" w:ascii="Times New Roman" w:hAnsi="Times New Roman" w:eastAsia="宋体" w:cs="Times New Roman"/>
                <w:color w:val="auto"/>
                <w:sz w:val="24"/>
              </w:rPr>
              <w:t>。</w:t>
            </w:r>
          </w:p>
          <w:p>
            <w:pPr>
              <w:pStyle w:val="38"/>
              <w:adjustRightInd w:val="0"/>
              <w:snapToGrid w:val="0"/>
              <w:spacing w:after="0" w:line="360" w:lineRule="auto"/>
              <w:ind w:left="0" w:leftChars="0" w:firstLine="480"/>
              <w:jc w:val="left"/>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在石渣料开采前，剥离本区域表土，临时堆放于一角，用于后期绿化覆土，对剥离的表土进行临时防护措施设计，防止施工期间表土土层流失，对表土采用塑料彩条布覆盖砖石压护。开采过程中设置围挡并洒水降尘，降低开采过程中对周围环境及居民的影响。开采完后进行撒播草籽，迹地恢复。</w:t>
            </w:r>
          </w:p>
          <w:p>
            <w:pPr>
              <w:pStyle w:val="38"/>
              <w:adjustRightInd w:val="0"/>
              <w:snapToGrid w:val="0"/>
              <w:spacing w:after="0" w:line="360" w:lineRule="auto"/>
              <w:ind w:left="0" w:leftChars="0" w:firstLine="48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采取上述环保措施后，项目</w:t>
            </w:r>
            <w:r>
              <w:rPr>
                <w:rFonts w:hint="default" w:ascii="Times New Roman" w:hAnsi="Times New Roman" w:eastAsia="宋体" w:cs="Times New Roman"/>
                <w:color w:val="auto"/>
                <w:sz w:val="24"/>
                <w:szCs w:val="24"/>
              </w:rPr>
              <w:t>石渣料</w:t>
            </w:r>
            <w:r>
              <w:rPr>
                <w:rFonts w:hint="eastAsia" w:ascii="Times New Roman" w:hAnsi="Times New Roman" w:eastAsia="宋体" w:cs="Times New Roman"/>
                <w:color w:val="auto"/>
                <w:sz w:val="24"/>
                <w:szCs w:val="24"/>
                <w:lang w:val="en-US" w:eastAsia="zh-CN"/>
              </w:rPr>
              <w:t>场区</w:t>
            </w:r>
            <w:r>
              <w:rPr>
                <w:rFonts w:hint="default" w:ascii="Times New Roman" w:hAnsi="Times New Roman" w:eastAsia="宋体" w:cs="Times New Roman"/>
                <w:color w:val="auto"/>
                <w:sz w:val="24"/>
              </w:rPr>
              <w:t>对周围环境影响较小。</w:t>
            </w:r>
          </w:p>
          <w:p>
            <w:pPr>
              <w:pStyle w:val="38"/>
              <w:adjustRightInd w:val="0"/>
              <w:snapToGrid w:val="0"/>
              <w:spacing w:after="0" w:line="360" w:lineRule="auto"/>
              <w:ind w:left="0" w:leftChars="0" w:firstLine="482" w:firstLineChars="200"/>
              <w:jc w:val="left"/>
              <w:rPr>
                <w:rFonts w:hint="default" w:ascii="Times New Roman" w:hAnsi="Times New Roman" w:eastAsia="宋体" w:cs="Times New Roman"/>
                <w:b/>
                <w:bCs/>
                <w:color w:val="auto"/>
                <w:sz w:val="24"/>
                <w:szCs w:val="24"/>
                <w:vertAlign w:val="baseline"/>
                <w:lang w:val="en-US" w:eastAsia="zh-CN"/>
              </w:rPr>
            </w:pPr>
            <w:r>
              <w:rPr>
                <w:rFonts w:hint="eastAsia" w:ascii="Times New Roman" w:hAnsi="Times New Roman" w:eastAsia="宋体" w:cs="Times New Roman"/>
                <w:b/>
                <w:bCs/>
                <w:color w:val="auto"/>
                <w:sz w:val="24"/>
                <w:szCs w:val="24"/>
                <w:vertAlign w:val="baseline"/>
                <w:lang w:val="en-US" w:eastAsia="zh-CN"/>
              </w:rPr>
              <w:t>4</w:t>
            </w:r>
            <w:r>
              <w:rPr>
                <w:rFonts w:hint="default" w:ascii="Times New Roman" w:hAnsi="Times New Roman" w:eastAsia="宋体" w:cs="Times New Roman"/>
                <w:b/>
                <w:bCs/>
                <w:color w:val="auto"/>
                <w:sz w:val="24"/>
                <w:szCs w:val="24"/>
                <w:vertAlign w:val="baseline"/>
                <w:lang w:val="en-US" w:eastAsia="zh-CN"/>
              </w:rPr>
              <w:t>、施工便道</w:t>
            </w:r>
          </w:p>
          <w:p>
            <w:pPr>
              <w:pStyle w:val="38"/>
              <w:adjustRightInd w:val="0"/>
              <w:snapToGrid w:val="0"/>
              <w:spacing w:after="0" w:line="360" w:lineRule="auto"/>
              <w:ind w:left="0" w:leftChars="0" w:firstLine="480" w:firstLineChars="200"/>
              <w:jc w:val="left"/>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sz w:val="24"/>
                <w:szCs w:val="24"/>
                <w:vertAlign w:val="baseline"/>
                <w:lang w:val="en-US" w:eastAsia="zh-CN"/>
              </w:rPr>
              <w:t>利用原有道路，连接进场道路及主坝，占地面积约1.26亩，占地类型为荒地。在工程开工前先将表土进行剥离，沿线堆放至施工道路区一角。主体工程施工结束后，平整各临时工程占用的土地，恢复原有使用功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8"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施工方案</w:t>
            </w:r>
          </w:p>
        </w:tc>
        <w:tc>
          <w:tcPr>
            <w:tcW w:w="4771" w:type="pct"/>
            <w:noWrap w:val="0"/>
            <w:vAlign w:val="center"/>
          </w:tcPr>
          <w:p>
            <w:pPr>
              <w:keepNext w:val="0"/>
              <w:keepLines w:val="0"/>
              <w:pageBreakBefore w:val="0"/>
              <w:widowControl/>
              <w:kinsoku/>
              <w:wordWrap/>
              <w:overflowPunct/>
              <w:topLinePunct w:val="0"/>
              <w:autoSpaceDE/>
              <w:autoSpaceDN/>
              <w:bidi w:val="0"/>
              <w:adjustRightInd w:val="0"/>
              <w:snapToGrid w:val="0"/>
              <w:spacing w:line="360" w:lineRule="auto"/>
              <w:ind w:right="0" w:firstLine="482" w:firstLineChars="200"/>
              <w:jc w:val="left"/>
              <w:textAlignment w:val="auto"/>
              <w:rPr>
                <w:rFonts w:hint="default" w:ascii="Times New Roman" w:hAnsi="Times New Roman" w:eastAsia="宋体" w:cs="Times New Roman"/>
                <w:b/>
                <w:bCs w:val="0"/>
                <w:color w:val="auto"/>
                <w:sz w:val="24"/>
                <w:szCs w:val="24"/>
              </w:rPr>
            </w:pPr>
            <w:r>
              <w:rPr>
                <w:rFonts w:hint="default" w:ascii="Times New Roman" w:hAnsi="Times New Roman" w:eastAsia="宋体" w:cs="Times New Roman"/>
                <w:b/>
                <w:bCs w:val="0"/>
                <w:color w:val="auto"/>
                <w:kern w:val="0"/>
                <w:sz w:val="24"/>
                <w:szCs w:val="24"/>
                <w:lang w:val="en-US" w:eastAsia="zh-CN" w:bidi="ar"/>
              </w:rPr>
              <w:t>1</w:t>
            </w:r>
            <w:r>
              <w:rPr>
                <w:rFonts w:hint="default" w:ascii="Times New Roman" w:hAnsi="Times New Roman" w:eastAsia="宋体" w:cs="Times New Roman"/>
                <w:b/>
                <w:bCs w:val="0"/>
                <w:color w:val="auto"/>
                <w:kern w:val="0"/>
                <w:sz w:val="24"/>
                <w:szCs w:val="24"/>
                <w:lang w:bidi="ar"/>
              </w:rPr>
              <w:t>、工艺流程简述（图示）：</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both"/>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为水库除险加固工程，主要包括大坝、溢洪道、放水设施、白蚁整治工程，同时完善了观测及管理设施。项目施工期会对周围产生一定的环境影响，主要是排放一定的生活污水、扬尘和建筑垃圾等，同时建筑施工机械和运输车辆会产生机械噪声。</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本项目施工工艺流程如下图。</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object>
                <v:shape id="_x0000_i1028" o:spt="75" alt="" type="#_x0000_t75" style="height:235.25pt;width:427.5pt;" o:ole="t" filled="f" o:preferrelative="t" stroked="f" coordsize="21600,21600">
                  <v:path/>
                  <v:fill on="f" focussize="0,0"/>
                  <v:stroke on="f"/>
                  <v:imagedata r:id="rId15" o:title=""/>
                  <o:lock v:ext="edit" aspectratio="t"/>
                  <w10:wrap type="none"/>
                  <w10:anchorlock/>
                </v:shape>
                <o:OLEObject Type="Embed" ProgID="" ShapeID="_x0000_i1028" DrawAspect="Content" ObjectID="_1468075725" r:id="rId14">
                  <o:LockedField>false</o:LockedField>
                </o:OLEObject>
              </w:object>
            </w:r>
          </w:p>
          <w:p>
            <w:pPr>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图2.1 项目施工期工艺流程及产污环节图</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工艺流程简述：</w:t>
            </w:r>
          </w:p>
          <w:p>
            <w:pPr>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大坝整治工程</w:t>
            </w:r>
          </w:p>
          <w:p>
            <w:pPr>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1）主坝</w:t>
            </w:r>
          </w:p>
          <w:p>
            <w:pPr>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highlight w:val="none"/>
                <w:lang w:val="en-US" w:eastAsia="zh-CN"/>
              </w:rPr>
              <w:t>本次整治</w:t>
            </w:r>
            <w:r>
              <w:rPr>
                <w:rFonts w:hint="default" w:ascii="Times New Roman" w:hAnsi="Times New Roman" w:eastAsia="宋体" w:cs="Times New Roman"/>
                <w:color w:val="auto"/>
                <w:sz w:val="24"/>
                <w:szCs w:val="24"/>
                <w:highlight w:val="none"/>
              </w:rPr>
              <w:t>坝后边坡放缓</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采用C2</w:t>
            </w:r>
            <w:r>
              <w:rPr>
                <w:rFonts w:hint="default" w:ascii="Times New Roman" w:hAnsi="Times New Roman" w:eastAsia="宋体" w:cs="Times New Roman"/>
                <w:color w:val="auto"/>
                <w:sz w:val="24"/>
                <w:szCs w:val="24"/>
                <w:highlight w:val="none"/>
                <w:lang w:val="en-US" w:eastAsia="zh-CN"/>
              </w:rPr>
              <w:t>5钢筋</w:t>
            </w:r>
            <w:r>
              <w:rPr>
                <w:rFonts w:hint="default" w:ascii="Times New Roman" w:hAnsi="Times New Roman" w:eastAsia="宋体" w:cs="Times New Roman"/>
                <w:color w:val="auto"/>
                <w:sz w:val="24"/>
                <w:szCs w:val="24"/>
                <w:highlight w:val="none"/>
              </w:rPr>
              <w:t>砼框格，</w:t>
            </w:r>
            <w:r>
              <w:rPr>
                <w:rFonts w:hint="default" w:ascii="Times New Roman" w:hAnsi="Times New Roman" w:eastAsia="宋体" w:cs="Times New Roman"/>
                <w:color w:val="auto"/>
                <w:sz w:val="24"/>
                <w:szCs w:val="24"/>
                <w:highlight w:val="none"/>
                <w:lang w:val="en-US" w:eastAsia="zh-CN"/>
              </w:rPr>
              <w:t>钢筋</w:t>
            </w:r>
            <w:r>
              <w:rPr>
                <w:rFonts w:hint="default" w:ascii="Times New Roman" w:hAnsi="Times New Roman" w:eastAsia="宋体" w:cs="Times New Roman"/>
                <w:color w:val="auto"/>
                <w:sz w:val="24"/>
                <w:szCs w:val="24"/>
                <w:highlight w:val="none"/>
              </w:rPr>
              <w:t>砼框格</w:t>
            </w:r>
            <w:r>
              <w:rPr>
                <w:rFonts w:hint="default" w:ascii="Times New Roman" w:hAnsi="Times New Roman" w:eastAsia="宋体" w:cs="Times New Roman"/>
                <w:color w:val="auto"/>
                <w:sz w:val="24"/>
                <w:szCs w:val="24"/>
                <w:highlight w:val="none"/>
                <w:lang w:val="en-US" w:eastAsia="zh-CN"/>
              </w:rPr>
              <w:t>梁宽×高为0.25×0.25m，框格采用棱形断面边长4m</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角度60°，</w:t>
            </w:r>
            <w:r>
              <w:rPr>
                <w:rFonts w:hint="default" w:ascii="Times New Roman" w:hAnsi="Times New Roman" w:eastAsia="宋体" w:cs="Times New Roman"/>
                <w:color w:val="auto"/>
                <w:sz w:val="24"/>
                <w:szCs w:val="24"/>
                <w:highlight w:val="none"/>
              </w:rPr>
              <w:t>框格内填土采用</w:t>
            </w:r>
            <w:r>
              <w:rPr>
                <w:rFonts w:hint="default" w:ascii="Times New Roman" w:hAnsi="Times New Roman" w:eastAsia="宋体" w:cs="Times New Roman"/>
                <w:color w:val="auto"/>
                <w:sz w:val="24"/>
                <w:szCs w:val="24"/>
                <w:highlight w:val="none"/>
                <w:lang w:val="en-US" w:eastAsia="zh-CN"/>
              </w:rPr>
              <w:t>种植麦冬草</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保水剂、粘合剂、及</w:t>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HYPERLINK "https://baike.baidu.com/item/%C3%A8?%A3%A4???/1283269" \t "_blank"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肥料</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color w:val="auto"/>
                <w:sz w:val="24"/>
                <w:szCs w:val="24"/>
                <w:highlight w:val="none"/>
              </w:rPr>
              <w:t>等</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护坡，</w:t>
            </w:r>
            <w:r>
              <w:rPr>
                <w:rFonts w:hint="default" w:ascii="Times New Roman" w:hAnsi="Times New Roman" w:eastAsia="宋体" w:cs="Times New Roman"/>
                <w:color w:val="auto"/>
                <w:sz w:val="24"/>
                <w:szCs w:val="24"/>
                <w:highlight w:val="none"/>
                <w:lang w:val="en-US" w:eastAsia="zh-CN"/>
              </w:rPr>
              <w:t>面积3077m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rPr>
              <w:t>，坝顶到一级马道坝坡坡比削坡为</w:t>
            </w:r>
            <w:r>
              <w:rPr>
                <w:rFonts w:hint="default" w:ascii="Times New Roman" w:hAnsi="Times New Roman" w:eastAsia="宋体" w:cs="Times New Roman"/>
                <w:color w:val="auto"/>
                <w:sz w:val="24"/>
                <w:szCs w:val="24"/>
                <w:highlight w:val="none"/>
                <w:lang w:val="en-US" w:eastAsia="zh-CN"/>
              </w:rPr>
              <w:t>1:1.8，一</w:t>
            </w:r>
            <w:r>
              <w:rPr>
                <w:rFonts w:hint="default" w:ascii="Times New Roman" w:hAnsi="Times New Roman" w:eastAsia="宋体" w:cs="Times New Roman"/>
                <w:color w:val="auto"/>
                <w:sz w:val="24"/>
                <w:szCs w:val="24"/>
                <w:highlight w:val="none"/>
              </w:rPr>
              <w:t>级马道</w:t>
            </w:r>
            <w:r>
              <w:rPr>
                <w:rFonts w:hint="default" w:ascii="Times New Roman" w:hAnsi="Times New Roman" w:eastAsia="宋体" w:cs="Times New Roman"/>
                <w:color w:val="auto"/>
                <w:sz w:val="24"/>
                <w:szCs w:val="24"/>
                <w:highlight w:val="none"/>
                <w:lang w:val="en-US" w:eastAsia="zh-CN"/>
              </w:rPr>
              <w:t>至排水棱体</w:t>
            </w:r>
            <w:r>
              <w:rPr>
                <w:rFonts w:hint="default" w:ascii="Times New Roman" w:hAnsi="Times New Roman" w:eastAsia="宋体" w:cs="Times New Roman"/>
                <w:color w:val="auto"/>
                <w:sz w:val="24"/>
                <w:szCs w:val="24"/>
                <w:highlight w:val="none"/>
              </w:rPr>
              <w:t>坝坡坡比削坡为</w:t>
            </w:r>
            <w:r>
              <w:rPr>
                <w:rFonts w:hint="default" w:ascii="Times New Roman" w:hAnsi="Times New Roman" w:eastAsia="宋体" w:cs="Times New Roman"/>
                <w:color w:val="auto"/>
                <w:sz w:val="24"/>
                <w:szCs w:val="24"/>
                <w:highlight w:val="none"/>
                <w:lang w:val="en-US" w:eastAsia="zh-CN"/>
              </w:rPr>
              <w:t>1:2.6，坡脚增设干砌条石排水棱体，</w:t>
            </w:r>
            <w:r>
              <w:rPr>
                <w:rFonts w:hint="default" w:ascii="Times New Roman" w:hAnsi="Times New Roman" w:eastAsia="宋体" w:cs="Times New Roman"/>
                <w:color w:val="auto"/>
                <w:sz w:val="24"/>
                <w:szCs w:val="24"/>
                <w:highlight w:val="none"/>
                <w:lang w:val="en-US" w:eastAsia="zh-CN" w:bidi="ar-SA"/>
              </w:rPr>
              <w:t>排水棱体厚度2m~6.9m，棱体下设0.6m的反滤层（从坝体至棱体分别填筑5~30mm卵（砾）石厚0.4m，1~5mm砂石厚0.2m），反滤层下坝体之间设500g/m</w:t>
            </w:r>
            <w:r>
              <w:rPr>
                <w:rFonts w:hint="default" w:ascii="Times New Roman" w:hAnsi="Times New Roman" w:eastAsia="宋体" w:cs="Times New Roman"/>
                <w:color w:val="auto"/>
                <w:sz w:val="24"/>
                <w:szCs w:val="24"/>
                <w:highlight w:val="none"/>
                <w:vertAlign w:val="superscript"/>
                <w:lang w:val="en-US" w:eastAsia="zh-CN" w:bidi="ar-SA"/>
              </w:rPr>
              <w:t>2</w:t>
            </w:r>
            <w:r>
              <w:rPr>
                <w:rFonts w:hint="default" w:ascii="Times New Roman" w:hAnsi="Times New Roman" w:eastAsia="宋体" w:cs="Times New Roman"/>
                <w:color w:val="auto"/>
                <w:sz w:val="24"/>
                <w:szCs w:val="24"/>
                <w:highlight w:val="none"/>
                <w:lang w:val="en-US" w:eastAsia="zh-CN" w:bidi="ar-SA"/>
              </w:rPr>
              <w:t>的无纺布。</w:t>
            </w:r>
            <w:r>
              <w:rPr>
                <w:rFonts w:hint="default" w:ascii="Times New Roman" w:hAnsi="Times New Roman" w:eastAsia="宋体" w:cs="Times New Roman"/>
                <w:color w:val="auto"/>
                <w:sz w:val="24"/>
                <w:szCs w:val="24"/>
                <w:highlight w:val="none"/>
                <w:lang w:val="en-US" w:eastAsia="zh-CN"/>
              </w:rPr>
              <w:t>排水沟采用C25砼矩形结构，</w:t>
            </w:r>
            <w:r>
              <w:rPr>
                <w:rFonts w:hint="default" w:ascii="Times New Roman" w:hAnsi="Times New Roman" w:eastAsia="宋体" w:cs="Times New Roman"/>
                <w:color w:val="auto"/>
                <w:sz w:val="24"/>
                <w:szCs w:val="24"/>
                <w:highlight w:val="none"/>
                <w:lang w:val="en-US" w:eastAsia="zh-CN" w:bidi="ar-SA"/>
              </w:rPr>
              <w:t>坝脚处新建排水沟采用C25砼矩形结构36m（深1.5m，宽1.1m，侧墙衬砌厚度0.6m，底板厚度0.3m），马道设置C25砼排水沟98m（深0.5m，宽0.5m，衬砌厚度0.2m），岸坡设置C25砼排水沟142m（深0.5m，宽0.5m，衬砌厚度0.2m），</w:t>
            </w:r>
            <w:r>
              <w:rPr>
                <w:rFonts w:hint="default" w:ascii="Times New Roman" w:hAnsi="Times New Roman" w:eastAsia="宋体" w:cs="Times New Roman"/>
                <w:color w:val="auto"/>
                <w:sz w:val="24"/>
                <w:szCs w:val="24"/>
                <w:highlight w:val="none"/>
              </w:rPr>
              <w:t>接坝后</w:t>
            </w:r>
            <w:r>
              <w:rPr>
                <w:rFonts w:hint="default" w:ascii="Times New Roman" w:hAnsi="Times New Roman" w:eastAsia="宋体" w:cs="Times New Roman"/>
                <w:color w:val="auto"/>
                <w:sz w:val="24"/>
                <w:szCs w:val="24"/>
                <w:highlight w:val="none"/>
                <w:lang w:val="en-US" w:eastAsia="zh-CN"/>
              </w:rPr>
              <w:t>接</w:t>
            </w:r>
            <w:r>
              <w:rPr>
                <w:rFonts w:hint="default" w:ascii="Times New Roman" w:hAnsi="Times New Roman" w:eastAsia="宋体" w:cs="Times New Roman"/>
                <w:color w:val="auto"/>
                <w:sz w:val="24"/>
                <w:szCs w:val="24"/>
                <w:highlight w:val="none"/>
              </w:rPr>
              <w:t>总排水沟</w:t>
            </w:r>
            <w:r>
              <w:rPr>
                <w:rFonts w:hint="default" w:ascii="Times New Roman" w:hAnsi="Times New Roman" w:eastAsia="宋体" w:cs="Times New Roman"/>
                <w:color w:val="auto"/>
                <w:sz w:val="24"/>
                <w:szCs w:val="24"/>
                <w:highlight w:val="none"/>
                <w:lang w:val="en-US" w:eastAsia="zh-CN" w:bidi="ar-SA"/>
              </w:rPr>
              <w:t>。</w:t>
            </w:r>
            <w:r>
              <w:rPr>
                <w:rFonts w:hint="default" w:ascii="Times New Roman" w:hAnsi="Times New Roman" w:eastAsia="宋体" w:cs="Times New Roman"/>
                <w:color w:val="auto"/>
                <w:spacing w:val="4"/>
                <w:sz w:val="24"/>
                <w:szCs w:val="24"/>
              </w:rPr>
              <w:t>在</w:t>
            </w:r>
            <w:r>
              <w:rPr>
                <w:rFonts w:hint="default" w:ascii="Times New Roman" w:hAnsi="Times New Roman" w:eastAsia="宋体" w:cs="Times New Roman"/>
                <w:color w:val="auto"/>
                <w:spacing w:val="4"/>
                <w:sz w:val="24"/>
                <w:szCs w:val="24"/>
                <w:lang w:val="en-US" w:eastAsia="zh-CN"/>
              </w:rPr>
              <w:t>主坝左坝肩</w:t>
            </w:r>
            <w:r>
              <w:rPr>
                <w:rFonts w:hint="default" w:ascii="Times New Roman" w:hAnsi="Times New Roman" w:eastAsia="宋体" w:cs="Times New Roman"/>
                <w:color w:val="auto"/>
                <w:sz w:val="24"/>
                <w:szCs w:val="24"/>
              </w:rPr>
              <w:t>桩号0+0</w:t>
            </w:r>
            <w:r>
              <w:rPr>
                <w:rFonts w:hint="default" w:ascii="Times New Roman" w:hAnsi="Times New Roman" w:eastAsia="宋体" w:cs="Times New Roman"/>
                <w:color w:val="auto"/>
                <w:sz w:val="24"/>
                <w:szCs w:val="24"/>
                <w:lang w:val="en-US" w:eastAsia="zh-CN"/>
              </w:rPr>
              <w:t>32m-</w:t>
            </w:r>
            <w:r>
              <w:rPr>
                <w:rFonts w:hint="default" w:ascii="Times New Roman" w:hAnsi="Times New Roman" w:eastAsia="宋体" w:cs="Times New Roman"/>
                <w:color w:val="auto"/>
                <w:sz w:val="24"/>
                <w:szCs w:val="24"/>
              </w:rPr>
              <w:t>0+</w:t>
            </w:r>
            <w:r>
              <w:rPr>
                <w:rFonts w:hint="default" w:ascii="Times New Roman" w:hAnsi="Times New Roman" w:eastAsia="宋体" w:cs="Times New Roman"/>
                <w:color w:val="auto"/>
                <w:sz w:val="24"/>
                <w:szCs w:val="24"/>
                <w:lang w:val="en-US" w:eastAsia="zh-CN"/>
              </w:rPr>
              <w:t>87m</w:t>
            </w:r>
            <w:r>
              <w:rPr>
                <w:rFonts w:hint="default" w:ascii="Times New Roman" w:hAnsi="Times New Roman" w:eastAsia="宋体" w:cs="Times New Roman"/>
                <w:color w:val="auto"/>
                <w:sz w:val="24"/>
                <w:szCs w:val="24"/>
              </w:rPr>
              <w:t>的渗水点高程</w:t>
            </w:r>
            <w:r>
              <w:rPr>
                <w:rFonts w:hint="default" w:ascii="Times New Roman" w:hAnsi="Times New Roman" w:eastAsia="宋体" w:cs="Times New Roman"/>
                <w:color w:val="auto"/>
                <w:sz w:val="24"/>
                <w:szCs w:val="24"/>
                <w:highlight w:val="none"/>
                <w:lang w:val="en-US" w:eastAsia="zh-CN"/>
              </w:rPr>
              <w:t>385.57m</w:t>
            </w:r>
            <w:r>
              <w:rPr>
                <w:rFonts w:hint="default" w:ascii="Times New Roman" w:hAnsi="Times New Roman" w:eastAsia="宋体" w:cs="Times New Roman"/>
                <w:color w:val="auto"/>
                <w:sz w:val="24"/>
                <w:szCs w:val="24"/>
              </w:rPr>
              <w:t>处设一道横向导渗沟，并在</w:t>
            </w:r>
            <w:r>
              <w:rPr>
                <w:rFonts w:hint="default" w:ascii="Times New Roman" w:hAnsi="Times New Roman" w:eastAsia="宋体" w:cs="Times New Roman"/>
                <w:color w:val="auto"/>
                <w:sz w:val="24"/>
                <w:szCs w:val="24"/>
                <w:highlight w:val="none"/>
                <w:lang w:val="en-US" w:eastAsia="zh-CN"/>
              </w:rPr>
              <w:t>385.57m</w:t>
            </w:r>
            <w:r>
              <w:rPr>
                <w:rFonts w:hint="default" w:ascii="Times New Roman" w:hAnsi="Times New Roman" w:eastAsia="宋体" w:cs="Times New Roman"/>
                <w:color w:val="auto"/>
                <w:sz w:val="24"/>
                <w:szCs w:val="24"/>
              </w:rPr>
              <w:t>至高程</w:t>
            </w:r>
            <w:r>
              <w:rPr>
                <w:rFonts w:hint="default" w:ascii="Times New Roman" w:hAnsi="Times New Roman" w:eastAsia="宋体" w:cs="Times New Roman"/>
                <w:color w:val="auto"/>
                <w:sz w:val="24"/>
                <w:szCs w:val="24"/>
                <w:lang w:val="en-US" w:eastAsia="zh-CN"/>
              </w:rPr>
              <w:t>384.65</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lang w:val="en-US" w:eastAsia="zh-CN"/>
              </w:rPr>
              <w:t>之间</w:t>
            </w:r>
            <w:r>
              <w:rPr>
                <w:rFonts w:hint="default" w:ascii="Times New Roman" w:hAnsi="Times New Roman" w:eastAsia="宋体" w:cs="Times New Roman"/>
                <w:color w:val="auto"/>
                <w:sz w:val="24"/>
                <w:szCs w:val="24"/>
              </w:rPr>
              <w:t>设置</w:t>
            </w:r>
            <w:r>
              <w:rPr>
                <w:rFonts w:hint="default" w:ascii="Times New Roman" w:hAnsi="Times New Roman" w:eastAsia="宋体" w:cs="Times New Roman"/>
                <w:color w:val="auto"/>
                <w:sz w:val="24"/>
                <w:szCs w:val="24"/>
                <w:lang w:val="en-US" w:eastAsia="zh-CN"/>
              </w:rPr>
              <w:t>5m</w:t>
            </w:r>
            <w:r>
              <w:rPr>
                <w:rFonts w:hint="default" w:ascii="Times New Roman" w:hAnsi="Times New Roman" w:eastAsia="宋体" w:cs="Times New Roman"/>
                <w:color w:val="auto"/>
                <w:sz w:val="24"/>
                <w:szCs w:val="24"/>
              </w:rPr>
              <w:t>纵向导渗沟，</w:t>
            </w:r>
            <w:r>
              <w:rPr>
                <w:rFonts w:hint="default" w:ascii="Times New Roman" w:hAnsi="Times New Roman" w:eastAsia="宋体" w:cs="Times New Roman"/>
                <w:color w:val="auto"/>
                <w:sz w:val="24"/>
                <w:szCs w:val="24"/>
                <w:lang w:val="en-US" w:eastAsia="zh-CN"/>
              </w:rPr>
              <w:t>接原后坝排水沟，利用原后坝排水沟整治成导渗沟，出口设置量水堰，</w:t>
            </w:r>
            <w:r>
              <w:rPr>
                <w:rFonts w:hint="default" w:ascii="Times New Roman" w:hAnsi="Times New Roman" w:eastAsia="宋体" w:cs="Times New Roman"/>
                <w:color w:val="auto"/>
                <w:sz w:val="24"/>
                <w:szCs w:val="24"/>
              </w:rPr>
              <w:t>导渗沟分为</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层，从下往上分别是厚度30cm粗砂反滤层d=0.05~0.5mm</w:t>
            </w:r>
            <w:r>
              <w:rPr>
                <w:rFonts w:hint="default" w:ascii="Times New Roman" w:hAnsi="Times New Roman" w:eastAsia="宋体" w:cs="Times New Roman"/>
                <w:color w:val="auto"/>
                <w:sz w:val="24"/>
                <w:szCs w:val="24"/>
                <w:lang w:eastAsia="zh-CN"/>
              </w:rPr>
              <w:t>，厚度20cm砂砾石反滤层d=0.5~5mm，厚度20cm砂砾石反滤层d=5~10mm</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反滤层采用</w:t>
            </w:r>
            <w:r>
              <w:rPr>
                <w:rFonts w:hint="default" w:ascii="Times New Roman" w:hAnsi="Times New Roman" w:eastAsia="宋体" w:cs="Times New Roman"/>
                <w:color w:val="auto"/>
                <w:sz w:val="24"/>
                <w:szCs w:val="24"/>
                <w:lang w:val="en-US" w:eastAsia="zh-CN"/>
              </w:rPr>
              <w:t>500g/m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土工布全包</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导渗沟上部采用</w:t>
            </w:r>
            <w:r>
              <w:rPr>
                <w:rFonts w:hint="default" w:ascii="Times New Roman" w:hAnsi="Times New Roman" w:eastAsia="宋体" w:cs="Times New Roman"/>
                <w:color w:val="auto"/>
                <w:sz w:val="24"/>
                <w:szCs w:val="24"/>
              </w:rPr>
              <w:t>原坝土夯实回填</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厚</w:t>
            </w:r>
            <w:r>
              <w:rPr>
                <w:rFonts w:hint="default" w:ascii="Times New Roman" w:hAnsi="Times New Roman" w:eastAsia="宋体" w:cs="Times New Roman"/>
                <w:color w:val="auto"/>
                <w:sz w:val="24"/>
                <w:szCs w:val="24"/>
                <w:lang w:val="en-US" w:eastAsia="zh-CN"/>
              </w:rPr>
              <w:t>2.37</w:t>
            </w:r>
            <w:r>
              <w:rPr>
                <w:rFonts w:hint="default" w:ascii="Times New Roman" w:hAnsi="Times New Roman" w:eastAsia="宋体" w:cs="Times New Roman"/>
                <w:color w:val="auto"/>
                <w:sz w:val="24"/>
                <w:szCs w:val="24"/>
              </w:rPr>
              <w:t>m，并进行植草护坡。导渗沟纵横总长</w:t>
            </w:r>
            <w:r>
              <w:rPr>
                <w:rFonts w:hint="default" w:ascii="Times New Roman" w:hAnsi="Times New Roman" w:eastAsia="宋体" w:cs="Times New Roman"/>
                <w:color w:val="auto"/>
                <w:sz w:val="24"/>
                <w:szCs w:val="24"/>
                <w:lang w:val="en-US" w:eastAsia="zh-CN"/>
              </w:rPr>
              <w:t>60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lang w:eastAsia="zh-CN"/>
              </w:rPr>
              <w:t>。坝顶两侧增设铸造式栏杆304m。</w:t>
            </w:r>
          </w:p>
          <w:p>
            <w:pPr>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2）副坝</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本次整治坝后边坡放缓，植草护坡面积866m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，坝后边坡上部坝比1:1.8，下部坝比1：2.0，坡脚增设干砌条石排水棱体，棱体下设0.6m的反滤层（从坝体至棱体分别填筑5~30mm卵（砾）石厚0.4m，1~5mm砂石厚0.2m）</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反滤层下坝体之间设500g/m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的无纺布。坝脚处新建排水沟采用C25砼矩形结构19m（深0.8m，宽0.8m，衬砌厚度0.4m，底板厚度0.2m），马道岸坡设置C25砼排水沟30m（深0.4m，宽0.4m，衬砌厚度0.2m），岸坡设置C25砼排水沟（深0.4m，宽0.4m，衬砌厚度0.2m），接坝后总排水沟</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长90m。</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对副坝坝顶削高1m后，在整个坝顶铺设沥青砼护面，采用15级碎石底基层上加20cm水泥稳定碎石基层，最后加铺5cm改性AC-13C细粒式沥青砼面层。坝顶两侧增设铸造式栏杆132m。</w:t>
            </w:r>
          </w:p>
          <w:p>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溢洪道整治工程</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rPr>
              <w:t>对进水渠进口增设喇叭口</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进水段两岸各17m，采用C25砼边墙，最大厚度1.5m，最大高度3m，并对进口底板进行硬化，采用C25砼结构，底板与墙体分缝部位设止水。下游47.5m处有一人行桥（影响行洪，本次整治拆除该桥，重建一人行桥，人行桥长跨度4m，桥宽1.2m</w:t>
            </w:r>
            <w:r>
              <w:rPr>
                <w:rFonts w:hint="default" w:ascii="Times New Roman" w:hAnsi="Times New Roman" w:cs="Times New Roman"/>
                <w:color w:val="auto"/>
                <w:sz w:val="24"/>
                <w:szCs w:val="24"/>
                <w:lang w:eastAsia="zh-CN"/>
              </w:rPr>
              <w:t>）。</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放水设施整治</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在原址重新建设放水塔，同时更换</w:t>
            </w:r>
            <w:r>
              <w:rPr>
                <w:rFonts w:hint="default" w:ascii="Times New Roman" w:hAnsi="Times New Roman" w:cs="Times New Roman"/>
                <w:color w:val="auto"/>
                <w:sz w:val="24"/>
                <w:szCs w:val="24"/>
              </w:rPr>
              <w:t>节制闸</w:t>
            </w:r>
            <w:r>
              <w:rPr>
                <w:rFonts w:hint="default" w:ascii="Times New Roman" w:hAnsi="Times New Roman" w:cs="Times New Roman"/>
                <w:color w:val="auto"/>
                <w:sz w:val="24"/>
                <w:szCs w:val="24"/>
                <w:lang w:val="en-US" w:eastAsia="zh-CN"/>
              </w:rPr>
              <w:t>1扇平板式钢闸门1.0m×1.0m</w:t>
            </w:r>
            <w:r>
              <w:rPr>
                <w:rFonts w:hint="default" w:ascii="Times New Roman" w:hAnsi="Times New Roman" w:cs="Times New Roman"/>
                <w:color w:val="auto"/>
                <w:sz w:val="24"/>
                <w:szCs w:val="24"/>
              </w:rPr>
              <w:t>，工作闸</w:t>
            </w:r>
            <w:r>
              <w:rPr>
                <w:rFonts w:hint="default" w:ascii="Times New Roman" w:hAnsi="Times New Roman" w:cs="Times New Roman"/>
                <w:color w:val="auto"/>
                <w:sz w:val="24"/>
                <w:szCs w:val="24"/>
                <w:lang w:val="en-US" w:eastAsia="zh-CN"/>
              </w:rPr>
              <w:t>2扇</w:t>
            </w:r>
            <w:r>
              <w:rPr>
                <w:rFonts w:hint="default" w:ascii="Times New Roman" w:hAnsi="Times New Roman" w:cs="Times New Roman"/>
                <w:color w:val="auto"/>
                <w:sz w:val="24"/>
                <w:szCs w:val="24"/>
              </w:rPr>
              <w:t>，门槽埋件</w:t>
            </w:r>
            <w:r>
              <w:rPr>
                <w:rFonts w:hint="default" w:ascii="Times New Roman" w:hAnsi="Times New Roman" w:cs="Times New Roman"/>
                <w:color w:val="auto"/>
                <w:sz w:val="24"/>
                <w:szCs w:val="24"/>
                <w:lang w:val="en-US" w:eastAsia="zh-CN"/>
              </w:rPr>
              <w:t>2t</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3台螺杆式启闭机，止水方式采用</w:t>
            </w:r>
            <w:r>
              <w:rPr>
                <w:rFonts w:hint="default" w:ascii="Times New Roman" w:hAnsi="Times New Roman" w:cs="Times New Roman"/>
                <w:color w:val="auto"/>
                <w:sz w:val="24"/>
                <w:szCs w:val="24"/>
                <w:highlight w:val="none"/>
                <w:lang w:val="en-US" w:eastAsia="zh-CN"/>
              </w:rPr>
              <w:t>水磨镶铜</w:t>
            </w:r>
            <w:r>
              <w:rPr>
                <w:rFonts w:hint="default" w:ascii="Times New Roman" w:hAnsi="Times New Roman" w:cs="Times New Roman"/>
                <w:color w:val="auto"/>
                <w:sz w:val="24"/>
                <w:szCs w:val="24"/>
                <w:highlight w:val="none"/>
              </w:rPr>
              <w:t>止水</w:t>
            </w:r>
            <w:r>
              <w:rPr>
                <w:rFonts w:hint="default" w:ascii="Times New Roman" w:hAnsi="Times New Roman" w:cs="Times New Roman"/>
                <w:color w:val="auto"/>
                <w:sz w:val="24"/>
                <w:szCs w:val="24"/>
                <w:lang w:val="en-US" w:eastAsia="zh-CN"/>
              </w:rPr>
              <w:t>。最大放水流量1.5m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/s。</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lang w:eastAsia="zh-CN"/>
              </w:rPr>
              <w:t>）附属设施</w:t>
            </w:r>
            <w:r>
              <w:rPr>
                <w:rFonts w:hint="default" w:ascii="Times New Roman" w:hAnsi="Times New Roman" w:cs="Times New Roman"/>
                <w:color w:val="auto"/>
                <w:sz w:val="24"/>
                <w:szCs w:val="24"/>
                <w:lang w:val="en-US" w:eastAsia="zh-CN"/>
              </w:rPr>
              <w:t>整治</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原有库区道路为水泥路面3m，局部宽度2.7~3m，溢洪道与副坝之间为泥结石路面宽2.5m，道路为本次针对水库进场道路长629.49m拓宽至4m，采用C25砼路面，溢洪道与副坝之间的道路201.23m进行拓宽硬化，拓宽至4m，采用改性AC-13C细粒式沥青砼面层，在道路右侧进行拓宽，管理</w:t>
            </w:r>
            <w:r>
              <w:rPr>
                <w:rFonts w:hint="eastAsia" w:ascii="Times New Roman" w:hAnsi="Times New Roman" w:cs="Times New Roman"/>
                <w:color w:val="auto"/>
                <w:sz w:val="24"/>
                <w:szCs w:val="24"/>
                <w:lang w:val="en-US" w:eastAsia="zh-CN"/>
              </w:rPr>
              <w:t>处</w:t>
            </w:r>
            <w:r>
              <w:rPr>
                <w:rFonts w:hint="default" w:ascii="Times New Roman" w:hAnsi="Times New Roman" w:cs="Times New Roman"/>
                <w:color w:val="auto"/>
                <w:sz w:val="24"/>
                <w:szCs w:val="24"/>
              </w:rPr>
              <w:t>至主坝下游道路200m进行拓宽硬化，拓宽至4m，采用改性AC-13C细粒式沥青砼面层，在道路右侧进行拓宽。整治管理</w:t>
            </w:r>
            <w:r>
              <w:rPr>
                <w:rFonts w:hint="eastAsia" w:ascii="Times New Roman" w:hAnsi="Times New Roman" w:cs="Times New Roman"/>
                <w:color w:val="auto"/>
                <w:sz w:val="24"/>
                <w:szCs w:val="24"/>
                <w:lang w:val="en-US" w:eastAsia="zh-CN"/>
              </w:rPr>
              <w:t>处</w:t>
            </w:r>
            <w:r>
              <w:rPr>
                <w:rFonts w:hint="default" w:ascii="Times New Roman" w:hAnsi="Times New Roman" w:cs="Times New Roman"/>
                <w:color w:val="auto"/>
                <w:sz w:val="24"/>
                <w:szCs w:val="24"/>
              </w:rPr>
              <w:t>渗水采用渗漏整治700m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，拆除原有防水层后重新补充防水层，并进行瓷砖贴面，屋顶铺设隔热层，对</w:t>
            </w:r>
            <w:r>
              <w:rPr>
                <w:rFonts w:hint="eastAsia" w:ascii="Times New Roman" w:hAnsi="Times New Roman" w:cs="Times New Roman"/>
                <w:color w:val="auto"/>
                <w:sz w:val="24"/>
                <w:szCs w:val="24"/>
                <w:lang w:eastAsia="zh-CN"/>
              </w:rPr>
              <w:t>管理处</w:t>
            </w:r>
            <w:r>
              <w:rPr>
                <w:rFonts w:hint="default" w:ascii="Times New Roman" w:hAnsi="Times New Roman" w:cs="Times New Roman"/>
                <w:color w:val="auto"/>
                <w:sz w:val="24"/>
                <w:szCs w:val="24"/>
              </w:rPr>
              <w:t>破损花台进行拆除重建，采用M7.5浆砌砖结构，更换</w:t>
            </w:r>
            <w:r>
              <w:rPr>
                <w:rFonts w:hint="eastAsia" w:ascii="Times New Roman" w:hAnsi="Times New Roman" w:cs="Times New Roman"/>
                <w:color w:val="auto"/>
                <w:sz w:val="24"/>
                <w:szCs w:val="24"/>
                <w:lang w:eastAsia="zh-CN"/>
              </w:rPr>
              <w:t>管理处</w:t>
            </w:r>
            <w:r>
              <w:rPr>
                <w:rFonts w:hint="default" w:ascii="Times New Roman" w:hAnsi="Times New Roman" w:cs="Times New Roman"/>
                <w:color w:val="auto"/>
                <w:sz w:val="24"/>
                <w:szCs w:val="24"/>
              </w:rPr>
              <w:t>大门</w:t>
            </w:r>
            <w:r>
              <w:rPr>
                <w:rFonts w:hint="eastAsia" w:ascii="Times New Roman" w:hAnsi="Times New Roman" w:cs="Times New Roman"/>
                <w:color w:val="auto"/>
                <w:sz w:val="24"/>
                <w:szCs w:val="24"/>
                <w:lang w:eastAsia="zh-CN"/>
              </w:rPr>
              <w:t>管理处</w:t>
            </w:r>
            <w:r>
              <w:rPr>
                <w:rFonts w:hint="default" w:ascii="Times New Roman" w:hAnsi="Times New Roman" w:cs="Times New Roman"/>
                <w:color w:val="auto"/>
                <w:sz w:val="24"/>
                <w:szCs w:val="24"/>
              </w:rPr>
              <w:t>周围围墙破损严重，对周边围墙进行拆除重建，采用仿古围墙，高度1.8m，长度200m，购置部分办公设施。</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lang w:eastAsia="zh-CN"/>
              </w:rPr>
              <w:t>）白蚁整治</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①</w:t>
            </w:r>
            <w:r>
              <w:rPr>
                <w:rFonts w:hint="default" w:ascii="Times New Roman" w:hAnsi="Times New Roman" w:cs="Times New Roman"/>
                <w:color w:val="auto"/>
                <w:sz w:val="24"/>
                <w:szCs w:val="24"/>
              </w:rPr>
              <w:t xml:space="preserve">找蚁路人工挖巢法 </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挖巢法就是在水库坝体迎水坡面的正常蓄水位线以上，到背水坡浸润线之间的坝体、斜坡面，及坝肩外100米左右的周山范围内，根据白蚁活动迹象和规律，选准部位在坝面挖沟找路，分析判断出主蚁道，从主蚁道开始追挖蚁巢，直至挖出主巢、副巢。开挖主巢须捉住蚁王、蚁后，同时取出卫星菌圃。然后对窝巢投放适量的灭白蚁药剂，将巢穴封闭36小时后，再采用坝体原土分层回填、夯实，恢复坝体原状。对其中白蚁道进行药物喷杀，使主巢的白蚁和蚁道的白蚁相互传染，直到死亡。</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②</w:t>
            </w:r>
            <w:r>
              <w:rPr>
                <w:rFonts w:hint="default" w:ascii="Times New Roman" w:hAnsi="Times New Roman" w:cs="Times New Roman"/>
                <w:color w:val="auto"/>
                <w:sz w:val="24"/>
                <w:szCs w:val="24"/>
              </w:rPr>
              <w:t xml:space="preserve">设置毒土隔离墙 </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毒土隔离墙是将坝外白蚁向坝体修筑的蚁路、蚁道隔断，防止白蚁上坝筑巢繁殖和危害的有效措施。就是在大坝两端与周山的结合部，挖毒土隔离沟，喷撒专杀白蚁药剂。其规格为：0.3×0.3米（宽×深），每米用药0.20kg。呈梯形状，分层回填土，每层不超过10cm，先平铺，后夯实，以阻断周边白蚁上坝建巢危害。投入专杀白蚁药剂。 </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③</w:t>
            </w:r>
            <w:r>
              <w:rPr>
                <w:rFonts w:hint="default" w:ascii="Times New Roman" w:hAnsi="Times New Roman" w:cs="Times New Roman"/>
                <w:color w:val="auto"/>
                <w:sz w:val="24"/>
                <w:szCs w:val="24"/>
              </w:rPr>
              <w:t xml:space="preserve">坝面打孔灌药 </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就是在常年水位以上坝体表面和外坡面，按一定的规格密度打孔，并向孔中灌注特效慢性传染灭白蚁药剂，使坝体表面形成毒土层，防治白蚁分群期飞落到大坝上来进行繁殖坝面打孔，孔深0.5m，孔径5cm，间距1.0-1.2m，相邻两孔交错排列，呈梅花形分布，使坝体形成毒土网幕，杀灭浅层幼龄群体，防止有翅成虫落坝建群，灌药后立即封闭孔口。 </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④</w:t>
            </w:r>
            <w:r>
              <w:rPr>
                <w:rFonts w:hint="default" w:ascii="Times New Roman" w:hAnsi="Times New Roman" w:cs="Times New Roman"/>
                <w:color w:val="auto"/>
                <w:sz w:val="24"/>
                <w:szCs w:val="24"/>
              </w:rPr>
              <w:t>表层施药</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在坝体施工形成的封闭区域内进行表层施药，使坝体形成毒土网幕，以杀灭浅表层幼年群体，以防止有翅成虫落坝建巢。坝面施药应全面，使土壤充分浸润药剂；施药后，坝上严禁放牧牲畜，坝上沾药草及土壤不作它用，只宜土埋。 </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⑤</w:t>
            </w:r>
            <w:r>
              <w:rPr>
                <w:rFonts w:hint="default" w:ascii="Times New Roman" w:hAnsi="Times New Roman" w:cs="Times New Roman"/>
                <w:color w:val="auto"/>
                <w:sz w:val="24"/>
                <w:szCs w:val="24"/>
              </w:rPr>
              <w:t xml:space="preserve">药物诱杀法 </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对深入堤坝内部或建筑物内部的蚁巢，不能采用人工开挖法处理的；或者坝体上白蚁巢穴较集中的地方挖巢后采用药物诱杀法进行处理。</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6</w:t>
            </w:r>
            <w:r>
              <w:rPr>
                <w:rFonts w:hint="default" w:ascii="Times New Roman" w:hAnsi="Times New Roman" w:cs="Times New Roman"/>
                <w:color w:val="auto"/>
                <w:sz w:val="24"/>
                <w:szCs w:val="24"/>
                <w:lang w:eastAsia="zh-CN"/>
              </w:rPr>
              <w:t>）监测设施整治</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主坝设置表面变形测线2条，平行坝轴线，每条变形测线设置控制点3个，每个间距20m，视准线工作基点2个，在测线两岸延长线上各布置1个，校核基点1个，位于右岸测线延长线最末端，测线一条布置在坝顶，一条布置在下游马道，其中，在坝下游总排水沟设一个三角形量水堰，通过观测坝下游总排水沟量水堰水深计算出漏水量，同时观测库水位，以了解水库渗水情况（下雨天不观测），设置渗压管测线3条，平行坝轴线，每条渗压测线设置控制点3个。</w:t>
            </w:r>
          </w:p>
          <w:p>
            <w:pPr>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副坝设置表面变形测线2条，平行坝轴线，每条变形测线设置控制点3个，每个间距10m，视准线工作基点2个，在测线两岸延长线上各布置1个，校核基点1个，位于右岸测线延长线最末端，测线一条布置在坝顶，一条布置在下游马道，其中，在坝下游总排水沟设一个三角形量水堰，通过观测坝下游总排水沟量水堰水深计算出漏水量，同时观测库水位，以了解水库渗水情况（下雨天不观测），设置渗压管测线3条，平行坝轴线，每条渗压测线设置控制点3个。</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主要污染工序：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废气：</w:t>
            </w:r>
            <w:r>
              <w:rPr>
                <w:rFonts w:hint="default" w:ascii="Times New Roman" w:hAnsi="Times New Roman" w:eastAsia="宋体" w:cs="Times New Roman"/>
                <w:color w:val="auto"/>
                <w:kern w:val="0"/>
                <w:sz w:val="24"/>
                <w:szCs w:val="24"/>
                <w:lang w:val="en-US" w:eastAsia="zh-CN" w:bidi="ar"/>
              </w:rPr>
              <w:t>施工阶段的大气污染源主要来自建设期间土石方和建筑材料运输、装卸所产生的扬尘，机械设备和运输车辆排放的尾气以及柴油发电机燃烧废气；</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废水：</w:t>
            </w:r>
            <w:r>
              <w:rPr>
                <w:rFonts w:hint="default" w:ascii="Times New Roman" w:hAnsi="Times New Roman" w:eastAsia="宋体" w:cs="Times New Roman"/>
                <w:color w:val="auto"/>
                <w:kern w:val="0"/>
                <w:sz w:val="24"/>
                <w:szCs w:val="24"/>
                <w:lang w:val="en-US" w:eastAsia="zh-CN" w:bidi="ar"/>
              </w:rPr>
              <w:t>主要是建筑施工人员的生活污水、拌和系统冲洗废水；</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噪声：</w:t>
            </w:r>
            <w:r>
              <w:rPr>
                <w:rFonts w:hint="default" w:ascii="Times New Roman" w:hAnsi="Times New Roman" w:eastAsia="宋体" w:cs="Times New Roman"/>
                <w:color w:val="auto"/>
                <w:kern w:val="0"/>
                <w:sz w:val="24"/>
                <w:szCs w:val="24"/>
                <w:lang w:val="en-US" w:eastAsia="zh-CN" w:bidi="ar"/>
              </w:rPr>
              <w:t>本项目建设期间施工活动产生的噪声主要为施工机械设备的噪声和运输车辆的流动噪声；</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固废：</w:t>
            </w:r>
            <w:r>
              <w:rPr>
                <w:rFonts w:hint="default" w:ascii="Times New Roman" w:hAnsi="Times New Roman" w:eastAsia="宋体" w:cs="Times New Roman"/>
                <w:color w:val="auto"/>
                <w:kern w:val="0"/>
                <w:sz w:val="24"/>
                <w:szCs w:val="24"/>
                <w:lang w:val="en-US" w:eastAsia="zh-CN" w:bidi="ar"/>
              </w:rPr>
              <w:t>施工期工程产生的固体废弃物主要是工程弃渣、生活垃圾、白蚁防治废药品包装袋。</w:t>
            </w:r>
          </w:p>
          <w:p>
            <w:pPr>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2、施工时序和建设周期</w:t>
            </w:r>
          </w:p>
          <w:p>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本工程综合考虑水工布置和施工条件等因素，同时考虑水库运行和渡汛要求，确定施工主要安排在汛后</w:t>
            </w:r>
            <w:r>
              <w:rPr>
                <w:rFonts w:hint="default" w:ascii="Times New Roman" w:hAnsi="Times New Roman" w:cs="Times New Roman"/>
                <w:color w:val="auto"/>
                <w:sz w:val="24"/>
                <w:szCs w:val="24"/>
                <w:lang w:val="en-US" w:eastAsia="zh-CN"/>
              </w:rPr>
              <w:t>10月</w:t>
            </w:r>
            <w:r>
              <w:rPr>
                <w:rFonts w:hint="default" w:ascii="Times New Roman" w:hAnsi="Times New Roman" w:cs="Times New Roman"/>
                <w:color w:val="auto"/>
                <w:sz w:val="24"/>
                <w:szCs w:val="24"/>
              </w:rPr>
              <w:t>至次年</w:t>
            </w:r>
            <w:r>
              <w:rPr>
                <w:rFonts w:hint="default"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rPr>
              <w:t>月，水库放水至低水位，总工期</w:t>
            </w:r>
            <w:r>
              <w:rPr>
                <w:rFonts w:hint="default" w:ascii="Times New Roman" w:hAnsi="Times New Roman" w:cs="Times New Roman"/>
                <w:color w:val="auto"/>
                <w:sz w:val="24"/>
                <w:szCs w:val="24"/>
                <w:lang w:val="en-US" w:eastAsia="zh-CN"/>
              </w:rPr>
              <w:t>为</w:t>
            </w:r>
            <w:r>
              <w:rPr>
                <w:rFonts w:hint="default" w:ascii="Times New Roman" w:hAnsi="Times New Roman" w:cs="Times New Roman"/>
                <w:color w:val="auto"/>
                <w:sz w:val="24"/>
                <w:szCs w:val="24"/>
              </w:rPr>
              <w:t>6个月。施工总工期由施工准备期、主体工程施工期、工程完建期组成。</w:t>
            </w:r>
          </w:p>
          <w:p>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施工准备期安排在第一年</w:t>
            </w:r>
            <w:r>
              <w:rPr>
                <w:rFonts w:hint="default" w:ascii="Times New Roman" w:hAnsi="Times New Roman" w:cs="Times New Roman"/>
                <w:color w:val="auto"/>
                <w:sz w:val="24"/>
                <w:szCs w:val="24"/>
                <w:lang w:val="en-US" w:eastAsia="zh-CN"/>
              </w:rPr>
              <w:t>10</w:t>
            </w:r>
            <w:r>
              <w:rPr>
                <w:rFonts w:hint="default" w:ascii="Times New Roman" w:hAnsi="Times New Roman" w:cs="Times New Roman"/>
                <w:color w:val="auto"/>
                <w:sz w:val="24"/>
                <w:szCs w:val="24"/>
              </w:rPr>
              <w:t>月1日至15日，主体工程施工期安排在第一年</w:t>
            </w:r>
            <w:r>
              <w:rPr>
                <w:rFonts w:hint="default" w:ascii="Times New Roman" w:hAnsi="Times New Roman" w:cs="Times New Roman"/>
                <w:color w:val="auto"/>
                <w:sz w:val="24"/>
                <w:szCs w:val="24"/>
                <w:lang w:val="en-US" w:eastAsia="zh-CN"/>
              </w:rPr>
              <w:t>10</w:t>
            </w:r>
            <w:r>
              <w:rPr>
                <w:rFonts w:hint="default" w:ascii="Times New Roman" w:hAnsi="Times New Roman" w:cs="Times New Roman"/>
                <w:color w:val="auto"/>
                <w:sz w:val="24"/>
                <w:szCs w:val="24"/>
              </w:rPr>
              <w:t>月16日至次年</w:t>
            </w:r>
            <w:r>
              <w:rPr>
                <w:rFonts w:hint="default"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rPr>
              <w:t>月中旬。大坝坝体整治施工安排在第一年</w:t>
            </w:r>
            <w:r>
              <w:rPr>
                <w:rFonts w:hint="default" w:ascii="Times New Roman" w:hAnsi="Times New Roman" w:cs="Times New Roman"/>
                <w:color w:val="auto"/>
                <w:sz w:val="24"/>
                <w:szCs w:val="24"/>
                <w:lang w:val="en-US" w:eastAsia="zh-CN"/>
              </w:rPr>
              <w:t>10</w:t>
            </w:r>
            <w:r>
              <w:rPr>
                <w:rFonts w:hint="default" w:ascii="Times New Roman" w:hAnsi="Times New Roman" w:cs="Times New Roman"/>
                <w:color w:val="auto"/>
                <w:sz w:val="24"/>
                <w:szCs w:val="24"/>
              </w:rPr>
              <w:t>月16日至</w:t>
            </w:r>
            <w:r>
              <w:rPr>
                <w:rFonts w:hint="default" w:ascii="Times New Roman" w:hAnsi="Times New Roman" w:cs="Times New Roman"/>
                <w:color w:val="auto"/>
                <w:sz w:val="24"/>
                <w:szCs w:val="24"/>
                <w:lang w:val="en-US" w:eastAsia="zh-CN"/>
              </w:rPr>
              <w:t>次年1</w:t>
            </w:r>
            <w:r>
              <w:rPr>
                <w:rFonts w:hint="default" w:ascii="Times New Roman" w:hAnsi="Times New Roman" w:cs="Times New Roman"/>
                <w:color w:val="auto"/>
                <w:sz w:val="24"/>
                <w:szCs w:val="24"/>
              </w:rPr>
              <w:t>月中旬；溢洪道及放水设施结合大坝工程在第一年1</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月1日至次年</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月中旬进行。进库道路整治结合大坝工程在第二年</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月1日至</w:t>
            </w:r>
            <w:r>
              <w:rPr>
                <w:rFonts w:hint="default"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rPr>
              <w:t>月中旬，工程扫尾和竣工期安排在次年</w:t>
            </w:r>
            <w:r>
              <w:rPr>
                <w:rFonts w:hint="default"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rPr>
              <w:t>月16日至30日。</w:t>
            </w:r>
          </w:p>
          <w:p>
            <w:pPr>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cs="Times New Roman"/>
                <w:b/>
                <w:bCs/>
                <w:color w:val="auto"/>
                <w:sz w:val="24"/>
                <w:szCs w:val="24"/>
              </w:rPr>
              <w:t>根据本工程建设内容及施工组织安排，结合分期洪水计算的结果，在施工期不存在施工导流的影响。放水闸整治时，把工期安排于202</w:t>
            </w:r>
            <w:r>
              <w:rPr>
                <w:rFonts w:hint="default" w:ascii="Times New Roman" w:hAnsi="Times New Roman" w:cs="Times New Roman"/>
                <w:b/>
                <w:bCs/>
                <w:color w:val="auto"/>
                <w:sz w:val="24"/>
                <w:szCs w:val="24"/>
                <w:lang w:val="en-US" w:eastAsia="zh-CN"/>
              </w:rPr>
              <w:t>2</w:t>
            </w:r>
            <w:r>
              <w:rPr>
                <w:rFonts w:hint="default" w:ascii="Times New Roman" w:hAnsi="Times New Roman" w:cs="Times New Roman"/>
                <w:b/>
                <w:bCs/>
                <w:color w:val="auto"/>
                <w:sz w:val="24"/>
                <w:szCs w:val="24"/>
              </w:rPr>
              <w:t>年1</w:t>
            </w:r>
            <w:r>
              <w:rPr>
                <w:rFonts w:hint="default" w:ascii="Times New Roman" w:hAnsi="Times New Roman" w:cs="Times New Roman"/>
                <w:b/>
                <w:bCs/>
                <w:color w:val="auto"/>
                <w:sz w:val="24"/>
                <w:szCs w:val="24"/>
                <w:lang w:val="en-US" w:eastAsia="zh-CN"/>
              </w:rPr>
              <w:t>2</w:t>
            </w:r>
            <w:r>
              <w:rPr>
                <w:rFonts w:hint="default" w:ascii="Times New Roman" w:hAnsi="Times New Roman" w:cs="Times New Roman"/>
                <w:b/>
                <w:bCs/>
                <w:color w:val="auto"/>
                <w:sz w:val="24"/>
                <w:szCs w:val="24"/>
              </w:rPr>
              <w:t>月，即枯水期。其余时间则把放水闸全启，把放水洞作为导流通道</w:t>
            </w:r>
            <w:r>
              <w:rPr>
                <w:rFonts w:hint="default" w:ascii="Times New Roman" w:hAnsi="Times New Roman" w:cs="Times New Roman"/>
                <w:b/>
                <w:bCs/>
                <w:color w:val="auto"/>
                <w:sz w:val="24"/>
                <w:szCs w:val="24"/>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8"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其他</w:t>
            </w:r>
          </w:p>
        </w:tc>
        <w:tc>
          <w:tcPr>
            <w:tcW w:w="4771" w:type="pct"/>
            <w:noWrap w:val="0"/>
            <w:vAlign w:val="bottom"/>
          </w:tcPr>
          <w:p>
            <w:pPr>
              <w:pStyle w:val="249"/>
              <w:jc w:val="center"/>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无</w:t>
            </w:r>
          </w:p>
        </w:tc>
      </w:tr>
    </w:tbl>
    <w:p>
      <w:pPr>
        <w:pStyle w:val="34"/>
        <w:keepNext w:val="0"/>
        <w:keepLines w:val="0"/>
        <w:pageBreakBefore w:val="0"/>
        <w:kinsoku/>
        <w:wordWrap/>
        <w:overflowPunct/>
        <w:topLinePunct w:val="0"/>
        <w:bidi w:val="0"/>
        <w:adjustRightInd w:val="0"/>
        <w:snapToGrid w:val="0"/>
        <w:jc w:val="center"/>
        <w:textAlignment w:val="auto"/>
        <w:outlineLvl w:val="0"/>
        <w:rPr>
          <w:rFonts w:hint="default" w:ascii="Times New Roman" w:hAnsi="Times New Roman" w:eastAsia="宋体" w:cs="Times New Roman"/>
          <w:b/>
          <w:bCs/>
          <w:snapToGrid w:val="0"/>
          <w:color w:val="auto"/>
          <w:sz w:val="30"/>
          <w:szCs w:val="30"/>
        </w:rPr>
      </w:pPr>
      <w:r>
        <w:rPr>
          <w:rFonts w:hint="default" w:ascii="Times New Roman" w:hAnsi="Times New Roman" w:eastAsia="宋体" w:cs="Times New Roman"/>
          <w:b/>
          <w:bCs/>
          <w:color w:val="auto"/>
        </w:rPr>
        <w:br w:type="page"/>
      </w:r>
      <w:r>
        <w:rPr>
          <w:rFonts w:hint="default" w:ascii="Times New Roman" w:hAnsi="Times New Roman" w:eastAsia="宋体" w:cs="Times New Roman"/>
          <w:b/>
          <w:bCs/>
          <w:snapToGrid w:val="0"/>
          <w:color w:val="auto"/>
          <w:sz w:val="30"/>
          <w:szCs w:val="30"/>
        </w:rPr>
        <w:t>三、生态环境现状、保护目标及评价标准</w:t>
      </w:r>
    </w:p>
    <w:tbl>
      <w:tblPr>
        <w:tblStyle w:val="3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1"/>
        <w:gridCol w:w="951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11" w:type="pct"/>
            <w:noWrap w:val="0"/>
            <w:vAlign w:val="center"/>
          </w:tcPr>
          <w:p>
            <w:pPr>
              <w:keepNext w:val="0"/>
              <w:keepLines w:val="0"/>
              <w:pageBreakBefore w:val="0"/>
              <w:kinsoku/>
              <w:wordWrap/>
              <w:overflowPunct/>
              <w:topLinePunct w:val="0"/>
              <w:bidi w:val="0"/>
              <w:adjustRightInd w:val="0"/>
              <w:snapToGrid w:val="0"/>
              <w:jc w:val="center"/>
              <w:textAlignment w:val="auto"/>
              <w:outlineLvl w:val="9"/>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生态环境现状</w:t>
            </w:r>
          </w:p>
        </w:tc>
        <w:tc>
          <w:tcPr>
            <w:tcW w:w="4788"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center"/>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、生态环境质量</w:t>
            </w:r>
          </w:p>
          <w:p>
            <w:pPr>
              <w:adjustRightInd w:val="0"/>
              <w:spacing w:line="360" w:lineRule="auto"/>
              <w:ind w:firstLine="482"/>
              <w:rPr>
                <w:rFonts w:hint="default" w:ascii="Times New Roman" w:hAnsi="Times New Roman" w:cs="Times New Roman"/>
                <w:color w:val="auto"/>
                <w:sz w:val="24"/>
              </w:rPr>
            </w:pPr>
            <w:r>
              <w:rPr>
                <w:rFonts w:hint="default" w:ascii="Times New Roman" w:hAnsi="Times New Roman" w:cs="Times New Roman"/>
                <w:color w:val="auto"/>
                <w:sz w:val="24"/>
              </w:rPr>
              <w:t>本章节生态环境状况分析中，根据流域调查并结合《四川省主体功能区规划》（川府发〔2013〕16号）、《全国生态功能区划（修编版）》（环境保护部、中国科学院，2015年11月）、《四川省生态功能区划》（2006年5月）开展分析。</w:t>
            </w:r>
          </w:p>
          <w:p>
            <w:pPr>
              <w:adjustRightInd w:val="0"/>
              <w:spacing w:line="360" w:lineRule="auto"/>
              <w:ind w:firstLine="482" w:firstLineChars="200"/>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sz w:val="24"/>
                <w:lang w:eastAsia="zh-CN"/>
              </w:rPr>
              <w:t>（</w:t>
            </w:r>
            <w:r>
              <w:rPr>
                <w:rFonts w:hint="default" w:ascii="Times New Roman" w:hAnsi="Times New Roman" w:eastAsia="宋体" w:cs="Times New Roman"/>
                <w:b/>
                <w:bCs/>
                <w:color w:val="auto"/>
                <w:sz w:val="24"/>
                <w:lang w:val="en-US" w:eastAsia="zh-CN"/>
              </w:rPr>
              <w:t>1</w:t>
            </w:r>
            <w:r>
              <w:rPr>
                <w:rFonts w:hint="default" w:ascii="Times New Roman" w:hAnsi="Times New Roman" w:eastAsia="宋体" w:cs="Times New Roman"/>
                <w:b/>
                <w:bCs/>
                <w:color w:val="auto"/>
                <w:sz w:val="24"/>
                <w:lang w:eastAsia="zh-CN"/>
              </w:rPr>
              <w:t>）</w:t>
            </w:r>
            <w:r>
              <w:rPr>
                <w:rFonts w:hint="default" w:ascii="Times New Roman" w:hAnsi="Times New Roman" w:eastAsia="宋体" w:cs="Times New Roman"/>
                <w:b/>
                <w:bCs/>
                <w:color w:val="auto"/>
                <w:sz w:val="24"/>
              </w:rPr>
              <w:t>主体功能区规划</w:t>
            </w:r>
          </w:p>
          <w:p>
            <w:pPr>
              <w:adjustRightInd w:val="0"/>
              <w:spacing w:line="360" w:lineRule="auto"/>
              <w:ind w:firstLine="480" w:firstLineChars="200"/>
              <w:jc w:val="left"/>
              <w:rPr>
                <w:rFonts w:hint="default" w:ascii="Times New Roman" w:hAnsi="Times New Roman" w:cs="Times New Roman"/>
                <w:i w:val="0"/>
                <w:iCs w:val="0"/>
                <w:color w:val="auto"/>
                <w:kern w:val="0"/>
                <w:sz w:val="24"/>
              </w:rPr>
            </w:pPr>
            <w:r>
              <w:rPr>
                <w:rFonts w:hint="default" w:ascii="Times New Roman" w:hAnsi="Times New Roman" w:cs="Times New Roman"/>
                <w:i w:val="0"/>
                <w:iCs w:val="0"/>
                <w:color w:val="auto"/>
                <w:kern w:val="0"/>
                <w:sz w:val="24"/>
              </w:rPr>
              <w:t>2013年4月16日，四川省人民政府以“川府发〔2013〕16号”印发了《四川省主体功能区规划》。按开发方式，四川省国土空间主体功能区划可分为：重点开发区域、</w:t>
            </w:r>
            <w:r>
              <w:rPr>
                <w:rFonts w:hint="default" w:ascii="Times New Roman" w:hAnsi="Times New Roman" w:cs="Times New Roman"/>
                <w:i w:val="0"/>
                <w:iCs w:val="0"/>
                <w:color w:val="auto"/>
                <w:kern w:val="0"/>
                <w:sz w:val="24"/>
                <w:u w:val="single"/>
              </w:rPr>
              <w:t>限制开发区域</w:t>
            </w:r>
            <w:r>
              <w:rPr>
                <w:rFonts w:hint="default" w:ascii="Times New Roman" w:hAnsi="Times New Roman" w:cs="Times New Roman"/>
                <w:i w:val="0"/>
                <w:iCs w:val="0"/>
                <w:color w:val="auto"/>
                <w:kern w:val="0"/>
                <w:sz w:val="24"/>
              </w:rPr>
              <w:t>和禁止开发区域三种类型。其中限制开发区域分为两类：一类是农产品主产区；</w:t>
            </w:r>
            <w:r>
              <w:rPr>
                <w:rFonts w:hint="default" w:ascii="Times New Roman" w:hAnsi="Times New Roman" w:cs="Times New Roman"/>
                <w:i w:val="0"/>
                <w:iCs w:val="0"/>
                <w:color w:val="auto"/>
                <w:kern w:val="0"/>
                <w:sz w:val="24"/>
                <w:u w:val="single"/>
              </w:rPr>
              <w:t>一类是重点生态功能区（</w:t>
            </w:r>
            <w:r>
              <w:rPr>
                <w:rFonts w:hint="default" w:ascii="Times New Roman" w:hAnsi="Times New Roman" w:cs="Times New Roman"/>
                <w:i w:val="0"/>
                <w:iCs w:val="0"/>
                <w:color w:val="auto"/>
                <w:kern w:val="0"/>
                <w:sz w:val="24"/>
              </w:rPr>
              <w:t>又可细分为国家层面的重点生态功能区、</w:t>
            </w:r>
            <w:r>
              <w:rPr>
                <w:rFonts w:hint="default" w:ascii="Times New Roman" w:hAnsi="Times New Roman" w:cs="Times New Roman"/>
                <w:i w:val="0"/>
                <w:iCs w:val="0"/>
                <w:color w:val="auto"/>
                <w:kern w:val="0"/>
                <w:sz w:val="24"/>
                <w:u w:val="single"/>
              </w:rPr>
              <w:t>省级层面的重点生态功能区</w:t>
            </w:r>
            <w:r>
              <w:rPr>
                <w:rFonts w:hint="default" w:ascii="Times New Roman" w:hAnsi="Times New Roman" w:cs="Times New Roman"/>
                <w:i w:val="0"/>
                <w:iCs w:val="0"/>
                <w:color w:val="auto"/>
                <w:kern w:val="0"/>
                <w:sz w:val="24"/>
              </w:rPr>
              <w:t>）。</w:t>
            </w:r>
          </w:p>
          <w:p>
            <w:pPr>
              <w:adjustRightInd w:val="0"/>
              <w:spacing w:line="360" w:lineRule="auto"/>
              <w:ind w:firstLine="480" w:firstLineChars="200"/>
              <w:jc w:val="left"/>
              <w:rPr>
                <w:rFonts w:hint="default" w:ascii="Times New Roman" w:hAnsi="Times New Roman" w:cs="Times New Roman"/>
                <w:i w:val="0"/>
                <w:iCs w:val="0"/>
                <w:color w:val="auto"/>
                <w:kern w:val="0"/>
                <w:sz w:val="24"/>
              </w:rPr>
            </w:pPr>
            <w:r>
              <w:rPr>
                <w:rFonts w:hint="default" w:ascii="Times New Roman" w:hAnsi="Times New Roman" w:cs="Times New Roman"/>
                <w:i w:val="0"/>
                <w:iCs w:val="0"/>
                <w:color w:val="auto"/>
                <w:kern w:val="0"/>
                <w:sz w:val="24"/>
              </w:rPr>
              <w:t>本工程所在的</w:t>
            </w:r>
            <w:r>
              <w:rPr>
                <w:rFonts w:hint="default" w:ascii="Times New Roman" w:hAnsi="Times New Roman" w:cs="Times New Roman"/>
                <w:i w:val="0"/>
                <w:iCs w:val="0"/>
                <w:color w:val="auto"/>
                <w:kern w:val="0"/>
                <w:sz w:val="24"/>
                <w:lang w:val="en-US" w:eastAsia="zh-CN"/>
              </w:rPr>
              <w:t>乐山市市中区</w:t>
            </w:r>
            <w:r>
              <w:rPr>
                <w:rFonts w:hint="default" w:ascii="Times New Roman" w:hAnsi="Times New Roman" w:cs="Times New Roman"/>
                <w:i w:val="0"/>
                <w:iCs w:val="0"/>
                <w:color w:val="auto"/>
                <w:kern w:val="0"/>
                <w:sz w:val="24"/>
              </w:rPr>
              <w:t>属于《四川省主体功能区规划》中“</w:t>
            </w:r>
            <w:r>
              <w:rPr>
                <w:rFonts w:hint="default" w:ascii="Times New Roman" w:hAnsi="Times New Roman" w:cs="Times New Roman"/>
                <w:i w:val="0"/>
                <w:iCs w:val="0"/>
                <w:color w:val="auto"/>
                <w:kern w:val="0"/>
                <w:sz w:val="24"/>
                <w:u w:val="single"/>
              </w:rPr>
              <w:t>重点开发区域</w:t>
            </w:r>
            <w:r>
              <w:rPr>
                <w:rFonts w:hint="default" w:ascii="Times New Roman" w:hAnsi="Times New Roman" w:cs="Times New Roman"/>
                <w:i w:val="0"/>
                <w:iCs w:val="0"/>
                <w:color w:val="auto"/>
                <w:kern w:val="0"/>
                <w:sz w:val="24"/>
              </w:rPr>
              <w:t>中的</w:t>
            </w:r>
            <w:r>
              <w:rPr>
                <w:rFonts w:hint="default" w:ascii="Times New Roman" w:hAnsi="Times New Roman" w:cs="Times New Roman"/>
                <w:i w:val="0"/>
                <w:iCs w:val="0"/>
                <w:color w:val="auto"/>
                <w:kern w:val="0"/>
                <w:sz w:val="24"/>
                <w:u w:val="single"/>
              </w:rPr>
              <w:t>国家层面重点开发区域</w:t>
            </w:r>
            <w:r>
              <w:rPr>
                <w:rFonts w:hint="default" w:ascii="Times New Roman" w:hAnsi="Times New Roman" w:cs="Times New Roman"/>
                <w:i w:val="0"/>
                <w:iCs w:val="0"/>
                <w:color w:val="auto"/>
                <w:kern w:val="0"/>
                <w:sz w:val="24"/>
              </w:rPr>
              <w:t>中的</w:t>
            </w:r>
            <w:r>
              <w:rPr>
                <w:rFonts w:hint="default" w:ascii="Times New Roman" w:hAnsi="Times New Roman" w:cs="Times New Roman"/>
                <w:i w:val="0"/>
                <w:iCs w:val="0"/>
                <w:color w:val="auto"/>
                <w:kern w:val="0"/>
                <w:sz w:val="24"/>
                <w:u w:val="single"/>
              </w:rPr>
              <w:t>成都平原地区。</w:t>
            </w:r>
            <w:r>
              <w:rPr>
                <w:rFonts w:hint="default" w:ascii="Times New Roman" w:hAnsi="Times New Roman" w:cs="Times New Roman"/>
                <w:i w:val="0"/>
                <w:iCs w:val="0"/>
                <w:color w:val="auto"/>
                <w:kern w:val="0"/>
                <w:sz w:val="24"/>
              </w:rPr>
              <w:t>”</w:t>
            </w:r>
          </w:p>
          <w:p>
            <w:pPr>
              <w:adjustRightInd w:val="0"/>
              <w:spacing w:line="360" w:lineRule="auto"/>
              <w:ind w:firstLine="480" w:firstLineChars="200"/>
              <w:jc w:val="left"/>
              <w:rPr>
                <w:rFonts w:hint="default" w:ascii="Times New Roman" w:hAnsi="Times New Roman" w:cs="Times New Roman"/>
                <w:color w:val="auto"/>
                <w:kern w:val="0"/>
                <w:sz w:val="24"/>
              </w:rPr>
            </w:pPr>
            <w:r>
              <w:rPr>
                <w:rFonts w:hint="default" w:ascii="Times New Roman" w:hAnsi="Times New Roman" w:cs="Times New Roman"/>
                <w:color w:val="auto"/>
                <w:kern w:val="0"/>
                <w:sz w:val="24"/>
              </w:rPr>
              <w:t>1）重点开发区域相关开发要求</w:t>
            </w:r>
          </w:p>
          <w:p>
            <w:pPr>
              <w:adjustRightInd w:val="0"/>
              <w:spacing w:line="360" w:lineRule="auto"/>
              <w:ind w:firstLine="480" w:firstLineChars="200"/>
              <w:jc w:val="left"/>
              <w:rPr>
                <w:rFonts w:hint="default" w:ascii="Times New Roman" w:hAnsi="Times New Roman" w:cs="Times New Roman"/>
                <w:color w:val="auto"/>
                <w:kern w:val="0"/>
                <w:sz w:val="24"/>
              </w:rPr>
            </w:pPr>
            <w:r>
              <w:rPr>
                <w:rFonts w:hint="default" w:ascii="Times New Roman" w:hAnsi="Times New Roman" w:cs="Times New Roman"/>
                <w:color w:val="auto"/>
                <w:kern w:val="0"/>
                <w:sz w:val="24"/>
              </w:rPr>
              <w:t>根据《四川省主体功能区规划》：重点开发区域应在保护生态环境、降低能源资源消耗、控制污染物排放总量、提高经济效益的前提下，坚持走新型工业化道路，推进产业结构优化升级，提高自主创新能力，增强产业竞争能力，大力发展战略性新兴产业和先进制造业，壮大发展特色优势产业，加快发展现代服务业和现代农业，推动经济持续快速发展；坚持走新型城镇化发展道路，完善城镇体系，优化空间布局，增强城镇集聚产业、承载人口、辐射带动区域发展的能力，提升城镇化质量和水平，大力发展区域性中心城市，促进大中小城市和小城镇协调发展。</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2）成都平原地区</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该区域主体功能定位：成渝经济区重要的经济带，国家重要的资源深加工和现代制造业基地，成渝经济区重要的特大城市集群，川滇黔渝结合部综合交通枢纽，四川沿江和南向对外开放门户，长江上游生态屏障建设示范区。</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——以宜宾、自贡、泸州、内江等区域性中心城市为核心，主要交通干线为轴线，中小城市和重点镇为支撑的空间开发格局。</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——加快培育区域性中心城市，拓展城市空间，优化城市布局，提升综合承载能力，加快城际快速通道建设，强化各城市功能定位和产业分工，构建分工协作紧密的城市群，形成四川南向开放的重要门户。</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依托“黄金水道”，加快沿江产业带发展。加快建设川南现代化工和“中国白酒金三角”等重大产业基地，推动自贡、内江、宜宾老工业基地城市振兴发展，支持泸州资源枯竭型城市可持续发展。有序推进岸线开发和港口建设，加强建设宜宾港、泸州港，大力发展临港经济。积极发展自然生态旅游和恐龙、彩灯、盐酒等为特色的文化旅游产业。</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坚持开发与保护并重，构建区域“生态走廊”。加强水资源开发利用与节约保护，加快大中型水利工程建设和防洪工程建设。加强长江、沱江等主要流域水土流失防治和水污染治理，保护地表水和地下水源水质，构建功能完备的防护林体系，保障长江、沱江等主要流域水生态安全，增强区域防洪和水资源的调蓄能力，加强向家坝电站库区生态建设及重要采煤区生态修复和环境治理，加强城市、交通干线及江河沿线的生态建设。</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9"/>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drawing>
                <wp:inline distT="0" distB="0" distL="114300" distR="114300">
                  <wp:extent cx="5916930" cy="5168265"/>
                  <wp:effectExtent l="0" t="0" r="7620" b="13335"/>
                  <wp:docPr id="5" name="图片 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1"/>
                          <pic:cNvPicPr>
                            <a:picLocks noChangeAspect="1"/>
                          </pic:cNvPicPr>
                        </pic:nvPicPr>
                        <pic:blipFill>
                          <a:blip r:embed="rId16"/>
                          <a:stretch>
                            <a:fillRect/>
                          </a:stretch>
                        </pic:blipFill>
                        <pic:spPr>
                          <a:xfrm>
                            <a:off x="0" y="0"/>
                            <a:ext cx="5916930" cy="5168265"/>
                          </a:xfrm>
                          <a:prstGeom prst="rect">
                            <a:avLst/>
                          </a:prstGeom>
                          <a:noFill/>
                          <a:ln>
                            <a:noFill/>
                          </a:ln>
                        </pic:spPr>
                      </pic:pic>
                    </a:graphicData>
                  </a:graphic>
                </wp:inline>
              </w:drawing>
            </w:r>
          </w:p>
          <w:p>
            <w:pPr>
              <w:adjustRightInd w:val="0"/>
              <w:spacing w:line="360" w:lineRule="auto"/>
              <w:jc w:val="center"/>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图</w:t>
            </w:r>
            <w:r>
              <w:rPr>
                <w:rFonts w:hint="default" w:ascii="Times New Roman" w:hAnsi="Times New Roman" w:eastAsia="宋体" w:cs="Times New Roman"/>
                <w:b/>
                <w:bCs/>
                <w:color w:val="auto"/>
                <w:kern w:val="0"/>
                <w:szCs w:val="21"/>
                <w:lang w:val="en-US" w:eastAsia="zh-CN"/>
              </w:rPr>
              <w:t>3-1</w:t>
            </w:r>
            <w:r>
              <w:rPr>
                <w:rFonts w:hint="default" w:ascii="Times New Roman" w:hAnsi="Times New Roman" w:eastAsia="宋体" w:cs="Times New Roman"/>
                <w:b/>
                <w:bCs/>
                <w:color w:val="auto"/>
                <w:kern w:val="0"/>
                <w:szCs w:val="21"/>
              </w:rPr>
              <w:t xml:space="preserve">  本工程所在区域与四川省</w:t>
            </w:r>
            <w:r>
              <w:rPr>
                <w:rFonts w:hint="default" w:ascii="Times New Roman" w:hAnsi="Times New Roman" w:eastAsia="宋体" w:cs="Times New Roman"/>
                <w:b/>
                <w:bCs/>
                <w:color w:val="auto"/>
                <w:kern w:val="0"/>
                <w:szCs w:val="21"/>
                <w:lang w:val="en-US" w:eastAsia="zh-CN"/>
              </w:rPr>
              <w:t>重点</w:t>
            </w:r>
            <w:r>
              <w:rPr>
                <w:rFonts w:hint="default" w:ascii="Times New Roman" w:hAnsi="Times New Roman" w:eastAsia="宋体" w:cs="Times New Roman"/>
                <w:b/>
                <w:bCs/>
                <w:color w:val="auto"/>
                <w:kern w:val="0"/>
                <w:szCs w:val="21"/>
              </w:rPr>
              <w:t>开发区域位置关系图</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（2）生态功能区规划</w:t>
            </w:r>
          </w:p>
          <w:p>
            <w:pPr>
              <w:adjustRightInd w:val="0"/>
              <w:spacing w:line="360" w:lineRule="auto"/>
              <w:ind w:firstLine="480" w:firstLineChars="200"/>
              <w:jc w:val="left"/>
              <w:rPr>
                <w:rFonts w:hint="default" w:ascii="Times New Roman" w:hAnsi="Times New Roman" w:cs="Times New Roman"/>
                <w:i w:val="0"/>
                <w:iCs w:val="0"/>
                <w:color w:val="auto"/>
                <w:kern w:val="0"/>
                <w:sz w:val="24"/>
              </w:rPr>
            </w:pPr>
            <w:r>
              <w:rPr>
                <w:rFonts w:hint="default" w:ascii="Times New Roman" w:hAnsi="Times New Roman" w:cs="Times New Roman"/>
                <w:i w:val="0"/>
                <w:iCs w:val="0"/>
                <w:color w:val="auto"/>
                <w:kern w:val="0"/>
                <w:sz w:val="24"/>
              </w:rPr>
              <w:t>1）《全国生态功能区划（修编版）》</w:t>
            </w:r>
          </w:p>
          <w:p>
            <w:pPr>
              <w:spacing w:line="360" w:lineRule="auto"/>
              <w:ind w:firstLine="480" w:firstLineChars="200"/>
              <w:rPr>
                <w:rFonts w:hint="default" w:ascii="Times New Roman" w:hAnsi="Times New Roman" w:cs="Times New Roman"/>
                <w:i w:val="0"/>
                <w:iCs w:val="0"/>
                <w:color w:val="auto"/>
                <w:sz w:val="24"/>
              </w:rPr>
            </w:pPr>
            <w:r>
              <w:rPr>
                <w:rFonts w:hint="default" w:ascii="Times New Roman" w:hAnsi="Times New Roman" w:cs="Times New Roman"/>
                <w:i w:val="0"/>
                <w:iCs w:val="0"/>
                <w:color w:val="auto"/>
                <w:sz w:val="24"/>
              </w:rPr>
              <w:t>根据《全国生态功能区划（修编版）》，全国生态功能区划包括生态功能区242个，其中生态调节功能区148个、产品提供功能区63个，人居保障功能区31个。本工程所在的</w:t>
            </w:r>
            <w:r>
              <w:rPr>
                <w:rFonts w:hint="default" w:ascii="Times New Roman" w:hAnsi="Times New Roman" w:cs="Times New Roman"/>
                <w:i w:val="0"/>
                <w:iCs w:val="0"/>
                <w:color w:val="auto"/>
                <w:sz w:val="24"/>
                <w:lang w:val="en-US" w:eastAsia="zh-CN"/>
              </w:rPr>
              <w:t>乐山市市中区</w:t>
            </w:r>
            <w:r>
              <w:rPr>
                <w:rFonts w:hint="default" w:ascii="Times New Roman" w:hAnsi="Times New Roman" w:cs="Times New Roman"/>
                <w:i w:val="0"/>
                <w:iCs w:val="0"/>
                <w:color w:val="auto"/>
                <w:sz w:val="24"/>
              </w:rPr>
              <w:t>属于“</w:t>
            </w:r>
            <w:r>
              <w:rPr>
                <w:rFonts w:hint="default" w:ascii="Times New Roman" w:hAnsi="Times New Roman" w:cs="Times New Roman"/>
                <w:i w:val="0"/>
                <w:iCs w:val="0"/>
                <w:color w:val="auto"/>
                <w:kern w:val="0"/>
                <w:sz w:val="24"/>
                <w:u w:val="single"/>
                <w:lang w:val="en-US" w:eastAsia="zh-CN"/>
              </w:rPr>
              <w:t>14</w:t>
            </w:r>
            <w:r>
              <w:rPr>
                <w:rFonts w:hint="default" w:ascii="Times New Roman" w:hAnsi="Times New Roman" w:cs="Times New Roman"/>
                <w:i w:val="0"/>
                <w:iCs w:val="0"/>
                <w:color w:val="auto"/>
                <w:kern w:val="0"/>
                <w:sz w:val="24"/>
                <w:u w:val="single"/>
              </w:rPr>
              <w:t xml:space="preserve"> 川西北水源涵养与生物多样性保护重要区</w:t>
            </w:r>
            <w:r>
              <w:rPr>
                <w:rFonts w:hint="default" w:ascii="Times New Roman" w:hAnsi="Times New Roman" w:cs="Times New Roman"/>
                <w:i w:val="0"/>
                <w:iCs w:val="0"/>
                <w:color w:val="auto"/>
                <w:sz w:val="24"/>
              </w:rPr>
              <w:t>。”相关情况详见下表所示。</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该区位于四川省的西北部，包含1个功能区:川西北水源涵养与生物多样性保护功能区，是长江重要支流雅袭江、大渡河、金沙江的源头区和水源补给区，也是黄河上游重要水源补给区，行政区主要涉及甘孜藏族自治州和阿坝藏族羌族自治州，面积为180 606平方公里。区内生物多样性丰富，建有多个自然保护区。地貌类型以高原丘陵为主，地势平坦，沼泽、牛辄湖星罗棋布。植被类型主要以高寒草甸和沼泽草甸为主;其次有少量亚高山森林及灌草丛分布。此外，该区植被在生物多样性保护、水土保持和土地沙化防治方面也具有重要作用。</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主要生态问题:大规模水电开发导致的生态破坏加剧，湿地疏干垦殖和过度放牧导致的沼泽萎缩、草甸退化和草地沙化问题突出。</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生态保护主要措施:合理开发水电资源,强化水电开发与运行中的生态保护，严格控制支流小水电的无序开发。加大牧业生产设施建设力度，逐步改变牧业粗放经营和过度放牧，加强草地恢复，加大草地沙化和鼠虫害防治力度，严禁沼泽湿地疏干改造，退牧还沼，恢复湿地，加大天然草地、沼泽湿地和生物多样性的保护力度。发展生态旅游、观光旅游和科学考察服务的第三产业，开发具有地方特色的畜产品产业，走生态经济型发展道路。</w:t>
            </w:r>
          </w:p>
          <w:p>
            <w:pPr>
              <w:adjustRightInd w:val="0"/>
              <w:snapToGrid w:val="0"/>
              <w:spacing w:line="360" w:lineRule="auto"/>
              <w:ind w:firstLine="482" w:firstLineChars="200"/>
              <w:jc w:val="left"/>
              <w:rPr>
                <w:rFonts w:hint="default" w:ascii="Times New Roman" w:hAnsi="Times New Roman" w:cs="Times New Roman"/>
                <w:b/>
                <w:bCs w:val="0"/>
                <w:color w:val="auto"/>
                <w:kern w:val="0"/>
                <w:sz w:val="24"/>
              </w:rPr>
            </w:pPr>
            <w:r>
              <w:rPr>
                <w:rFonts w:hint="default" w:ascii="Times New Roman" w:hAnsi="Times New Roman" w:cs="Times New Roman"/>
                <w:b/>
                <w:bCs w:val="0"/>
                <w:color w:val="auto"/>
                <w:kern w:val="0"/>
                <w:sz w:val="24"/>
                <w:lang w:eastAsia="zh-CN"/>
              </w:rPr>
              <w:t>（</w:t>
            </w:r>
            <w:r>
              <w:rPr>
                <w:rFonts w:hint="default" w:ascii="Times New Roman" w:hAnsi="Times New Roman" w:cs="Times New Roman"/>
                <w:b/>
                <w:bCs w:val="0"/>
                <w:color w:val="auto"/>
                <w:kern w:val="0"/>
                <w:sz w:val="24"/>
                <w:lang w:val="en-US" w:eastAsia="zh-CN"/>
              </w:rPr>
              <w:t>3</w:t>
            </w:r>
            <w:r>
              <w:rPr>
                <w:rFonts w:hint="default" w:ascii="Times New Roman" w:hAnsi="Times New Roman" w:cs="Times New Roman"/>
                <w:b/>
                <w:bCs w:val="0"/>
                <w:color w:val="auto"/>
                <w:kern w:val="0"/>
                <w:sz w:val="24"/>
                <w:lang w:eastAsia="zh-CN"/>
              </w:rPr>
              <w:t>）</w:t>
            </w:r>
            <w:r>
              <w:rPr>
                <w:rFonts w:hint="default" w:ascii="Times New Roman" w:hAnsi="Times New Roman" w:cs="Times New Roman"/>
                <w:b/>
                <w:bCs w:val="0"/>
                <w:color w:val="auto"/>
                <w:kern w:val="0"/>
                <w:sz w:val="24"/>
              </w:rPr>
              <w:t>土地利用现状</w:t>
            </w:r>
          </w:p>
          <w:p>
            <w:pPr>
              <w:pStyle w:val="129"/>
              <w:widowControl/>
              <w:snapToGrid w:val="0"/>
              <w:spacing w:line="360" w:lineRule="auto"/>
              <w:ind w:firstLine="480" w:firstLineChars="200"/>
              <w:jc w:val="both"/>
              <w:rPr>
                <w:rFonts w:hint="default" w:ascii="Times New Roman" w:hAnsi="Times New Roman" w:eastAsia="宋体" w:cs="Times New Roman"/>
                <w:color w:val="auto"/>
                <w:lang w:eastAsia="zh-CN"/>
              </w:rPr>
            </w:pPr>
            <w:r>
              <w:rPr>
                <w:rFonts w:hint="default" w:ascii="Times New Roman" w:hAnsi="Times New Roman" w:cs="Times New Roman"/>
                <w:color w:val="auto"/>
              </w:rPr>
              <w:t>依据全国土地利用现状调查技术规程、《土地利用现状分类》（GB/T 2010-2017），结合四川省土地利用资料</w:t>
            </w:r>
            <w:r>
              <w:rPr>
                <w:rFonts w:hint="default" w:ascii="Times New Roman" w:hAnsi="Times New Roman" w:cs="Times New Roman"/>
                <w:color w:val="auto"/>
                <w:lang w:val="en-US" w:eastAsia="zh-CN"/>
              </w:rPr>
              <w:t>等相关</w:t>
            </w:r>
            <w:r>
              <w:rPr>
                <w:rFonts w:hint="default" w:ascii="Times New Roman" w:hAnsi="Times New Roman" w:cs="Times New Roman"/>
                <w:color w:val="auto"/>
              </w:rPr>
              <w:t>相关资料，将调查区域土地利用情况划分为</w:t>
            </w:r>
            <w:r>
              <w:rPr>
                <w:rFonts w:hint="default" w:ascii="Times New Roman" w:hAnsi="Times New Roman" w:cs="Times New Roman"/>
                <w:color w:val="auto"/>
                <w:lang w:val="en-US" w:eastAsia="zh-CN"/>
              </w:rPr>
              <w:t>荒地</w:t>
            </w:r>
            <w:r>
              <w:rPr>
                <w:rFonts w:hint="default" w:ascii="Times New Roman" w:hAnsi="Times New Roman" w:cs="Times New Roman"/>
                <w:color w:val="auto"/>
              </w:rPr>
              <w:t>、</w:t>
            </w:r>
            <w:r>
              <w:rPr>
                <w:rFonts w:hint="default" w:ascii="Times New Roman" w:hAnsi="Times New Roman" w:cs="Times New Roman"/>
                <w:color w:val="auto"/>
                <w:lang w:val="en-US" w:eastAsia="zh-CN"/>
              </w:rPr>
              <w:t>水域及水利设施用地</w:t>
            </w:r>
            <w:r>
              <w:rPr>
                <w:rFonts w:hint="default" w:ascii="Times New Roman" w:hAnsi="Times New Roman" w:cs="Times New Roman"/>
                <w:color w:val="auto"/>
              </w:rPr>
              <w:t>、交通运输用地</w:t>
            </w:r>
            <w:r>
              <w:rPr>
                <w:rFonts w:hint="default" w:ascii="Times New Roman" w:hAnsi="Times New Roman" w:cs="Times New Roman"/>
                <w:color w:val="auto"/>
                <w:lang w:val="en-US" w:eastAsia="zh-CN"/>
              </w:rPr>
              <w:t>3</w:t>
            </w:r>
            <w:r>
              <w:rPr>
                <w:rFonts w:hint="default" w:ascii="Times New Roman" w:hAnsi="Times New Roman" w:cs="Times New Roman"/>
                <w:color w:val="auto"/>
              </w:rPr>
              <w:t>种类型。</w:t>
            </w:r>
            <w:r>
              <w:rPr>
                <w:rFonts w:hint="default" w:ascii="Times New Roman" w:hAnsi="Times New Roman" w:eastAsia="宋体" w:cs="Times New Roman"/>
                <w:color w:val="auto"/>
                <w:kern w:val="0"/>
                <w:sz w:val="24"/>
                <w:szCs w:val="24"/>
              </w:rPr>
              <w:t>其中水利设施用地14.44亩、交通运输用地3.73亩；</w:t>
            </w:r>
            <w:r>
              <w:rPr>
                <w:rFonts w:hint="default" w:ascii="Times New Roman" w:hAnsi="Times New Roman" w:eastAsia="宋体" w:cs="Times New Roman"/>
                <w:color w:val="auto"/>
                <w:kern w:val="0"/>
                <w:sz w:val="24"/>
                <w:szCs w:val="24"/>
                <w:lang w:val="en-US" w:eastAsia="zh-CN"/>
              </w:rPr>
              <w:t>荒</w:t>
            </w:r>
            <w:r>
              <w:rPr>
                <w:rFonts w:hint="default" w:ascii="Times New Roman" w:hAnsi="Times New Roman" w:eastAsia="宋体" w:cs="Times New Roman"/>
                <w:color w:val="auto"/>
                <w:kern w:val="0"/>
                <w:sz w:val="24"/>
                <w:szCs w:val="24"/>
              </w:rPr>
              <w:t>地4.26亩</w:t>
            </w:r>
            <w:r>
              <w:rPr>
                <w:rFonts w:hint="default" w:ascii="Times New Roman" w:hAnsi="Times New Roman" w:eastAsia="宋体" w:cs="Times New Roman"/>
                <w:color w:val="auto"/>
                <w:kern w:val="0"/>
                <w:sz w:val="24"/>
                <w:szCs w:val="24"/>
                <w:lang w:eastAsia="zh-CN"/>
              </w:rPr>
              <w:t>。</w:t>
            </w:r>
          </w:p>
          <w:p>
            <w:pPr>
              <w:keepNext w:val="0"/>
              <w:keepLines w:val="0"/>
              <w:pageBreakBefore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val="0"/>
                <w:color w:val="auto"/>
                <w:kern w:val="0"/>
                <w:sz w:val="24"/>
              </w:rPr>
            </w:pPr>
            <w:r>
              <w:rPr>
                <w:rFonts w:hint="default" w:ascii="Times New Roman" w:hAnsi="Times New Roman" w:cs="Times New Roman"/>
                <w:b/>
                <w:bCs w:val="0"/>
                <w:color w:val="auto"/>
                <w:kern w:val="0"/>
                <w:sz w:val="24"/>
                <w:lang w:eastAsia="zh-CN"/>
              </w:rPr>
              <w:t>（</w:t>
            </w:r>
            <w:r>
              <w:rPr>
                <w:rFonts w:hint="default" w:ascii="Times New Roman" w:hAnsi="Times New Roman" w:cs="Times New Roman"/>
                <w:b/>
                <w:bCs w:val="0"/>
                <w:color w:val="auto"/>
                <w:kern w:val="0"/>
                <w:sz w:val="24"/>
                <w:lang w:val="en-US" w:eastAsia="zh-CN"/>
              </w:rPr>
              <w:t>4</w:t>
            </w:r>
            <w:r>
              <w:rPr>
                <w:rFonts w:hint="default" w:ascii="Times New Roman" w:hAnsi="Times New Roman" w:cs="Times New Roman"/>
                <w:b/>
                <w:bCs w:val="0"/>
                <w:color w:val="auto"/>
                <w:kern w:val="0"/>
                <w:sz w:val="24"/>
                <w:lang w:eastAsia="zh-CN"/>
              </w:rPr>
              <w:t>）</w:t>
            </w:r>
            <w:r>
              <w:rPr>
                <w:rFonts w:hint="default" w:ascii="Times New Roman" w:hAnsi="Times New Roman" w:cs="Times New Roman"/>
                <w:b/>
                <w:bCs w:val="0"/>
                <w:color w:val="auto"/>
                <w:kern w:val="0"/>
                <w:sz w:val="24"/>
              </w:rPr>
              <w:t>主要生态保护目标</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kern w:val="0"/>
                <w:sz w:val="24"/>
              </w:rPr>
            </w:pPr>
            <w:r>
              <w:rPr>
                <w:rFonts w:hint="default" w:ascii="Times New Roman" w:hAnsi="Times New Roman" w:cs="Times New Roman"/>
                <w:color w:val="auto"/>
                <w:kern w:val="0"/>
                <w:sz w:val="24"/>
              </w:rPr>
              <w:t>本项目主要生态保护目标是对</w:t>
            </w:r>
            <w:r>
              <w:rPr>
                <w:rFonts w:hint="default" w:ascii="Times New Roman" w:hAnsi="Times New Roman" w:cs="Times New Roman"/>
                <w:color w:val="auto"/>
                <w:kern w:val="0"/>
                <w:sz w:val="24"/>
                <w:lang w:val="en-US" w:eastAsia="zh-CN"/>
              </w:rPr>
              <w:t>水库</w:t>
            </w:r>
            <w:r>
              <w:rPr>
                <w:rFonts w:hint="default" w:ascii="Times New Roman" w:hAnsi="Times New Roman" w:cs="Times New Roman"/>
                <w:color w:val="auto"/>
                <w:kern w:val="0"/>
                <w:sz w:val="24"/>
              </w:rPr>
              <w:t>其配套占地设施等范围内陆生生物多样性的保护，以及在施工建设</w:t>
            </w:r>
            <w:r>
              <w:rPr>
                <w:rFonts w:hint="default" w:ascii="Times New Roman" w:hAnsi="Times New Roman" w:cs="Times New Roman"/>
                <w:color w:val="auto"/>
                <w:kern w:val="0"/>
                <w:sz w:val="24"/>
                <w:lang w:val="en-US" w:eastAsia="zh-CN"/>
              </w:rPr>
              <w:t>过程中</w:t>
            </w:r>
            <w:r>
              <w:rPr>
                <w:rFonts w:hint="default" w:ascii="Times New Roman" w:hAnsi="Times New Roman" w:cs="Times New Roman"/>
                <w:color w:val="auto"/>
                <w:kern w:val="0"/>
                <w:sz w:val="24"/>
              </w:rPr>
              <w:t>对水土流失的控制和治理。尽可能减少项目建设对陆生</w:t>
            </w:r>
            <w:r>
              <w:rPr>
                <w:rFonts w:hint="default" w:ascii="Times New Roman" w:hAnsi="Times New Roman" w:cs="Times New Roman"/>
                <w:color w:val="auto"/>
                <w:kern w:val="0"/>
                <w:sz w:val="24"/>
                <w:lang w:eastAsia="zh-CN"/>
              </w:rPr>
              <w:t>、</w:t>
            </w:r>
            <w:r>
              <w:rPr>
                <w:rFonts w:hint="default" w:ascii="Times New Roman" w:hAnsi="Times New Roman" w:cs="Times New Roman"/>
                <w:color w:val="auto"/>
                <w:kern w:val="0"/>
                <w:sz w:val="24"/>
                <w:lang w:val="en-US" w:eastAsia="zh-CN"/>
              </w:rPr>
              <w:t>水生生物</w:t>
            </w:r>
            <w:r>
              <w:rPr>
                <w:rFonts w:hint="default" w:ascii="Times New Roman" w:hAnsi="Times New Roman" w:cs="Times New Roman"/>
                <w:color w:val="auto"/>
                <w:kern w:val="0"/>
                <w:sz w:val="24"/>
              </w:rPr>
              <w:t>生境的破坏和动物的活动范围的影响，确保项目区域生态系统的完整性和稳定性不受影响；减少水土流失量，控制水土流失量；增加陆生</w:t>
            </w:r>
            <w:r>
              <w:rPr>
                <w:rFonts w:hint="default" w:ascii="Times New Roman" w:hAnsi="Times New Roman" w:cs="Times New Roman"/>
                <w:color w:val="auto"/>
                <w:kern w:val="0"/>
                <w:sz w:val="24"/>
                <w:lang w:eastAsia="zh-CN"/>
              </w:rPr>
              <w:t>、</w:t>
            </w:r>
            <w:r>
              <w:rPr>
                <w:rFonts w:hint="default" w:ascii="Times New Roman" w:hAnsi="Times New Roman" w:cs="Times New Roman"/>
                <w:color w:val="auto"/>
                <w:kern w:val="0"/>
                <w:sz w:val="24"/>
                <w:lang w:val="en-US" w:eastAsia="zh-CN"/>
              </w:rPr>
              <w:t>水生</w:t>
            </w:r>
            <w:r>
              <w:rPr>
                <w:rFonts w:hint="default" w:ascii="Times New Roman" w:hAnsi="Times New Roman" w:cs="Times New Roman"/>
                <w:color w:val="auto"/>
                <w:kern w:val="0"/>
                <w:sz w:val="24"/>
              </w:rPr>
              <w:t>生物保护措施，保护生态环境不受影响，并通过一定的工程措施加以改善，确保工程区域内陆生</w:t>
            </w:r>
            <w:r>
              <w:rPr>
                <w:rFonts w:hint="default" w:ascii="Times New Roman" w:hAnsi="Times New Roman" w:cs="Times New Roman"/>
                <w:color w:val="auto"/>
                <w:kern w:val="0"/>
                <w:sz w:val="24"/>
                <w:lang w:eastAsia="zh-CN"/>
              </w:rPr>
              <w:t>、</w:t>
            </w:r>
            <w:r>
              <w:rPr>
                <w:rFonts w:hint="default" w:ascii="Times New Roman" w:hAnsi="Times New Roman" w:cs="Times New Roman"/>
                <w:color w:val="auto"/>
                <w:kern w:val="0"/>
                <w:sz w:val="24"/>
                <w:lang w:val="en-US" w:eastAsia="zh-CN"/>
              </w:rPr>
              <w:t>水生</w:t>
            </w:r>
            <w:r>
              <w:rPr>
                <w:rFonts w:hint="default" w:ascii="Times New Roman" w:hAnsi="Times New Roman" w:cs="Times New Roman"/>
                <w:color w:val="auto"/>
                <w:kern w:val="0"/>
                <w:sz w:val="24"/>
              </w:rPr>
              <w:t>动植物的生存环境的破坏最小化。</w:t>
            </w:r>
          </w:p>
          <w:p>
            <w:pPr>
              <w:pStyle w:val="37"/>
              <w:keepNext w:val="0"/>
              <w:keepLines w:val="0"/>
              <w:pageBreakBefore w:val="0"/>
              <w:kinsoku/>
              <w:wordWrap/>
              <w:overflowPunct/>
              <w:topLinePunct w:val="0"/>
              <w:autoSpaceDE/>
              <w:autoSpaceDN/>
              <w:bidi w:val="0"/>
              <w:adjustRightInd/>
              <w:snapToGrid/>
              <w:spacing w:before="0" w:after="0" w:line="360" w:lineRule="auto"/>
              <w:ind w:right="0" w:firstLine="52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项目生态保护内容见下表3-</w:t>
            </w:r>
            <w:r>
              <w:rPr>
                <w:rFonts w:hint="default"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rPr>
              <w:t>。</w:t>
            </w:r>
          </w:p>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rPr>
            </w:pPr>
            <w:r>
              <w:rPr>
                <w:rFonts w:hint="default" w:ascii="Times New Roman" w:hAnsi="Times New Roman" w:cs="Times New Roman"/>
                <w:b/>
                <w:color w:val="auto"/>
                <w:sz w:val="21"/>
                <w:szCs w:val="21"/>
              </w:rPr>
              <w:t>表3-</w:t>
            </w:r>
            <w:r>
              <w:rPr>
                <w:rFonts w:hint="default" w:ascii="Times New Roman" w:hAnsi="Times New Roman" w:cs="Times New Roman"/>
                <w:b/>
                <w:color w:val="auto"/>
                <w:sz w:val="21"/>
                <w:szCs w:val="21"/>
                <w:lang w:val="en-US" w:eastAsia="zh-CN"/>
              </w:rPr>
              <w:t>1</w:t>
            </w:r>
            <w:r>
              <w:rPr>
                <w:rFonts w:hint="default" w:ascii="Times New Roman" w:hAnsi="Times New Roman" w:cs="Times New Roman"/>
                <w:b/>
                <w:color w:val="auto"/>
                <w:sz w:val="21"/>
                <w:szCs w:val="21"/>
              </w:rPr>
              <w:t xml:space="preserve">  项目生态保护内容</w:t>
            </w:r>
          </w:p>
          <w:tbl>
            <w:tblPr>
              <w:tblStyle w:val="39"/>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
              <w:gridCol w:w="875"/>
              <w:gridCol w:w="1548"/>
              <w:gridCol w:w="4052"/>
              <w:gridCol w:w="19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470"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类型</w:t>
                  </w:r>
                </w:p>
              </w:tc>
              <w:tc>
                <w:tcPr>
                  <w:tcW w:w="471"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833"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保护对象</w:t>
                  </w:r>
                </w:p>
              </w:tc>
              <w:tc>
                <w:tcPr>
                  <w:tcW w:w="2181"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内容</w:t>
                  </w:r>
                </w:p>
              </w:tc>
              <w:tc>
                <w:tcPr>
                  <w:tcW w:w="1043"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主要保护内容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470" w:type="pct"/>
                  <w:vMerge w:val="restar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常规生态保护内容</w:t>
                  </w:r>
                </w:p>
              </w:tc>
              <w:tc>
                <w:tcPr>
                  <w:tcW w:w="471"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833"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土地资源</w:t>
                  </w:r>
                </w:p>
              </w:tc>
              <w:tc>
                <w:tcPr>
                  <w:tcW w:w="2181"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项目</w:t>
                  </w:r>
                  <w:r>
                    <w:rPr>
                      <w:rFonts w:hint="default" w:ascii="Times New Roman" w:hAnsi="Times New Roman" w:cs="Times New Roman"/>
                      <w:color w:val="auto"/>
                      <w:sz w:val="21"/>
                      <w:szCs w:val="21"/>
                      <w:lang w:val="en-US" w:eastAsia="zh-CN"/>
                    </w:rPr>
                    <w:t>施工区</w:t>
                  </w:r>
                </w:p>
              </w:tc>
              <w:tc>
                <w:tcPr>
                  <w:tcW w:w="1043"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施工</w:t>
                  </w:r>
                  <w:r>
                    <w:rPr>
                      <w:rFonts w:hint="default" w:ascii="Times New Roman" w:hAnsi="Times New Roman" w:cs="Times New Roman"/>
                      <w:color w:val="auto"/>
                      <w:sz w:val="21"/>
                      <w:szCs w:val="21"/>
                    </w:rPr>
                    <w:t>完成后恢复原有土地利用性质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470" w:type="pct"/>
                  <w:vMerge w:val="continue"/>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471"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833"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生物多样性</w:t>
                  </w:r>
                </w:p>
              </w:tc>
              <w:tc>
                <w:tcPr>
                  <w:tcW w:w="2181"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评价区内的陆生</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水生</w:t>
                  </w:r>
                  <w:r>
                    <w:rPr>
                      <w:rFonts w:hint="default" w:ascii="Times New Roman" w:hAnsi="Times New Roman" w:cs="Times New Roman"/>
                      <w:color w:val="auto"/>
                      <w:sz w:val="21"/>
                      <w:szCs w:val="21"/>
                    </w:rPr>
                    <w:t>生态系统</w:t>
                  </w:r>
                </w:p>
              </w:tc>
              <w:tc>
                <w:tcPr>
                  <w:tcW w:w="1043"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生物多样性不减少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pct"/>
                  <w:vMerge w:val="continue"/>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471"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833"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自然植被</w:t>
                  </w:r>
                </w:p>
              </w:tc>
              <w:tc>
                <w:tcPr>
                  <w:tcW w:w="2181"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工程直接影响区可能受到扰动的自然植被，涵盖了灌丛等多种植被类型</w:t>
                  </w:r>
                </w:p>
              </w:tc>
              <w:tc>
                <w:tcPr>
                  <w:tcW w:w="1043"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减少自然植被破坏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pct"/>
                  <w:vMerge w:val="continue"/>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471"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833"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资源植物</w:t>
                  </w:r>
                </w:p>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名木古树</w:t>
                  </w:r>
                </w:p>
              </w:tc>
              <w:tc>
                <w:tcPr>
                  <w:tcW w:w="2181"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工程直接占地范围内未发现国家保护野生植物和古树名木；无开发利用突出资源优势和潜在开发价值的野生资源植物</w:t>
                  </w:r>
                </w:p>
              </w:tc>
              <w:tc>
                <w:tcPr>
                  <w:tcW w:w="1043"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470" w:type="pct"/>
                  <w:vMerge w:val="continue"/>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471"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833"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野生动物</w:t>
                  </w:r>
                </w:p>
              </w:tc>
              <w:tc>
                <w:tcPr>
                  <w:tcW w:w="2181"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评价区内无国家重点保护野生动物</w:t>
                  </w:r>
                </w:p>
              </w:tc>
              <w:tc>
                <w:tcPr>
                  <w:tcW w:w="1043"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70" w:type="pct"/>
                  <w:vMerge w:val="continue"/>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471"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c>
                <w:tcPr>
                  <w:tcW w:w="833"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景观格局</w:t>
                  </w:r>
                </w:p>
              </w:tc>
              <w:tc>
                <w:tcPr>
                  <w:tcW w:w="2181"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评价范围内的景观风貌与景观格局</w:t>
                  </w:r>
                </w:p>
              </w:tc>
              <w:tc>
                <w:tcPr>
                  <w:tcW w:w="1043"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与周边自然景观协调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470" w:type="pct"/>
                  <w:vMerge w:val="continue"/>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471"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w:t>
                  </w:r>
                </w:p>
              </w:tc>
              <w:tc>
                <w:tcPr>
                  <w:tcW w:w="833"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水生生态系统</w:t>
                  </w:r>
                </w:p>
              </w:tc>
              <w:tc>
                <w:tcPr>
                  <w:tcW w:w="2181"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水库及周围地表水水质</w:t>
                  </w:r>
                </w:p>
              </w:tc>
              <w:tc>
                <w:tcPr>
                  <w:tcW w:w="1043"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减少水质污染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pct"/>
                  <w:vMerge w:val="continue"/>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471"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8</w:t>
                  </w:r>
                </w:p>
              </w:tc>
              <w:tc>
                <w:tcPr>
                  <w:tcW w:w="833"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水土保持</w:t>
                  </w:r>
                </w:p>
              </w:tc>
              <w:tc>
                <w:tcPr>
                  <w:tcW w:w="2181"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剥离表土的堆存与回用</w:t>
                  </w:r>
                </w:p>
              </w:tc>
              <w:tc>
                <w:tcPr>
                  <w:tcW w:w="1043" w:type="pct"/>
                  <w:noWrap w:val="0"/>
                  <w:vAlign w:val="center"/>
                </w:tcPr>
                <w:p>
                  <w:pPr>
                    <w:pStyle w:val="21"/>
                    <w:keepNext w:val="0"/>
                    <w:keepLines w:val="0"/>
                    <w:pageBreakBefore w:val="0"/>
                    <w:widowControl w:val="0"/>
                    <w:tabs>
                      <w:tab w:val="left" w:pos="2925"/>
                    </w:tabs>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土壤侵蚀类型现状不改变</w:t>
                  </w:r>
                </w:p>
              </w:tc>
            </w:tr>
          </w:tbl>
          <w:p>
            <w:pPr>
              <w:keepNext w:val="0"/>
              <w:keepLines w:val="0"/>
              <w:pageBreakBefore w:val="0"/>
              <w:kinsoku/>
              <w:wordWrap/>
              <w:overflowPunct/>
              <w:topLinePunct w:val="0"/>
              <w:autoSpaceDE/>
              <w:autoSpaceDN/>
              <w:bidi w:val="0"/>
              <w:adjustRightInd w:val="0"/>
              <w:snapToGrid w:val="0"/>
              <w:spacing w:line="360" w:lineRule="auto"/>
              <w:ind w:right="0" w:firstLine="482" w:firstLineChars="200"/>
              <w:textAlignment w:val="auto"/>
              <w:rPr>
                <w:rFonts w:hint="default" w:ascii="Times New Roman" w:hAnsi="Times New Roman" w:cs="Times New Roman"/>
                <w:b/>
                <w:bCs w:val="0"/>
                <w:color w:val="auto"/>
                <w:sz w:val="24"/>
              </w:rPr>
            </w:pPr>
            <w:r>
              <w:rPr>
                <w:rFonts w:hint="default" w:ascii="Times New Roman" w:hAnsi="Times New Roman" w:cs="Times New Roman"/>
                <w:b/>
                <w:bCs w:val="0"/>
                <w:color w:val="auto"/>
                <w:sz w:val="24"/>
                <w:lang w:eastAsia="zh-CN"/>
              </w:rPr>
              <w:t>（</w:t>
            </w:r>
            <w:r>
              <w:rPr>
                <w:rFonts w:hint="eastAsia" w:ascii="Times New Roman" w:hAnsi="Times New Roman" w:cs="Times New Roman"/>
                <w:b/>
                <w:bCs w:val="0"/>
                <w:color w:val="auto"/>
                <w:sz w:val="24"/>
                <w:lang w:val="en-US" w:eastAsia="zh-CN"/>
              </w:rPr>
              <w:t>5</w:t>
            </w:r>
            <w:r>
              <w:rPr>
                <w:rFonts w:hint="default" w:ascii="Times New Roman" w:hAnsi="Times New Roman" w:cs="Times New Roman"/>
                <w:b/>
                <w:bCs w:val="0"/>
                <w:color w:val="auto"/>
                <w:sz w:val="24"/>
                <w:lang w:eastAsia="zh-CN"/>
              </w:rPr>
              <w:t>）</w:t>
            </w:r>
            <w:r>
              <w:rPr>
                <w:rFonts w:hint="default" w:ascii="Times New Roman" w:hAnsi="Times New Roman" w:cs="Times New Roman"/>
                <w:b/>
                <w:bCs w:val="0"/>
                <w:color w:val="auto"/>
                <w:sz w:val="24"/>
              </w:rPr>
              <w:t>生态外环境关系与环境敏感对象</w:t>
            </w:r>
          </w:p>
          <w:p>
            <w:pPr>
              <w:pStyle w:val="166"/>
              <w:keepNext w:val="0"/>
              <w:keepLines w:val="0"/>
              <w:pageBreakBefore w:val="0"/>
              <w:kinsoku/>
              <w:wordWrap/>
              <w:overflowPunct/>
              <w:topLinePunct w:val="0"/>
              <w:autoSpaceDE/>
              <w:autoSpaceDN/>
              <w:bidi w:val="0"/>
              <w:adjustRightInd w:val="0"/>
              <w:snapToGrid w:val="0"/>
              <w:spacing w:line="360" w:lineRule="auto"/>
              <w:ind w:right="0"/>
              <w:textAlignment w:val="auto"/>
              <w:rPr>
                <w:rFonts w:hint="default" w:ascii="Times New Roman" w:hAnsi="Times New Roman" w:cs="Times New Roman"/>
                <w:color w:val="auto"/>
              </w:rPr>
            </w:pPr>
            <w:r>
              <w:rPr>
                <w:rFonts w:hint="default" w:ascii="Times New Roman" w:hAnsi="Times New Roman" w:cs="Times New Roman"/>
                <w:color w:val="auto"/>
              </w:rPr>
              <w:t>项目占地主要为林地，区域内由于长期受人类活动的影响，当地无名木古树，无国家（省）级保护植物；野生动物（物种、数量）分布较少，主要分布一些当地常见的爬行类、鸟类和兽类等，区域内未见珍稀保护野生动物分布。另外，根据对区域资料收集分析可知，项目拟建工程范围内不涉及自然保护区、风景名胜区等敏感目标。生态环境保护目标为</w:t>
            </w:r>
            <w:r>
              <w:rPr>
                <w:rFonts w:hint="default" w:ascii="Times New Roman" w:hAnsi="Times New Roman" w:cs="Times New Roman"/>
                <w:bCs/>
                <w:color w:val="auto"/>
              </w:rPr>
              <w:t>以</w:t>
            </w:r>
            <w:r>
              <w:rPr>
                <w:rFonts w:hint="default" w:ascii="Times New Roman" w:hAnsi="Times New Roman" w:cs="Times New Roman"/>
                <w:color w:val="auto"/>
              </w:rPr>
              <w:t>不破坏区域内生态系统完整性为目标，水土流失以不增加土壤侵蚀强度为准。</w:t>
            </w:r>
          </w:p>
          <w:p>
            <w:pPr>
              <w:keepNext w:val="0"/>
              <w:keepLines w:val="0"/>
              <w:pageBreakBefore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项目生态环境影响评价范围为</w:t>
            </w:r>
            <w:r>
              <w:rPr>
                <w:rFonts w:hint="default" w:ascii="Times New Roman" w:hAnsi="Times New Roman" w:cs="Times New Roman"/>
                <w:bCs/>
                <w:color w:val="auto"/>
                <w:sz w:val="24"/>
              </w:rPr>
              <w:t>本项目</w:t>
            </w:r>
            <w:r>
              <w:rPr>
                <w:rFonts w:hint="default" w:ascii="Times New Roman" w:hAnsi="Times New Roman" w:cs="Times New Roman"/>
                <w:color w:val="auto"/>
                <w:sz w:val="24"/>
                <w:lang w:val="en-US" w:eastAsia="zh-CN"/>
              </w:rPr>
              <w:t>水库</w:t>
            </w:r>
            <w:r>
              <w:rPr>
                <w:rFonts w:hint="default" w:ascii="Times New Roman" w:hAnsi="Times New Roman" w:cs="Times New Roman"/>
                <w:color w:val="auto"/>
                <w:sz w:val="24"/>
              </w:rPr>
              <w:t>边界</w:t>
            </w:r>
            <w:r>
              <w:rPr>
                <w:rFonts w:hint="default" w:ascii="Times New Roman" w:hAnsi="Times New Roman" w:cs="Times New Roman"/>
                <w:bCs/>
                <w:color w:val="auto"/>
                <w:sz w:val="24"/>
              </w:rPr>
              <w:t>外延约500m的范围</w:t>
            </w:r>
            <w:r>
              <w:rPr>
                <w:rFonts w:hint="default" w:ascii="Times New Roman" w:hAnsi="Times New Roman" w:cs="Times New Roman"/>
                <w:color w:val="auto"/>
                <w:sz w:val="24"/>
              </w:rPr>
              <w:t>，主要保护目标为评价范围内的植被、景观、水土流失、生态系统结构与功能。项目周边以山林地为主。</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w:t>
            </w:r>
            <w:r>
              <w:rPr>
                <w:rFonts w:hint="eastAsia" w:ascii="Times New Roman" w:hAnsi="Times New Roman" w:eastAsia="宋体" w:cs="Times New Roman"/>
                <w:b/>
                <w:bCs/>
                <w:color w:val="auto"/>
                <w:sz w:val="24"/>
                <w:szCs w:val="24"/>
                <w:lang w:val="en-US" w:eastAsia="zh-CN"/>
              </w:rPr>
              <w:t>6</w:t>
            </w:r>
            <w:r>
              <w:rPr>
                <w:rFonts w:hint="default" w:ascii="Times New Roman" w:hAnsi="Times New Roman" w:eastAsia="宋体" w:cs="Times New Roman"/>
                <w:b/>
                <w:bCs/>
                <w:color w:val="auto"/>
                <w:sz w:val="24"/>
                <w:szCs w:val="24"/>
                <w:lang w:val="en-US" w:eastAsia="zh-CN"/>
              </w:rPr>
              <w:t>）生态环境质量现状</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21"/>
                <w:sz w:val="24"/>
                <w:szCs w:val="24"/>
                <w:lang w:val="en-US" w:eastAsia="zh-CN"/>
              </w:rPr>
            </w:pPr>
            <w:r>
              <w:rPr>
                <w:rFonts w:hint="default" w:ascii="Times New Roman" w:hAnsi="Times New Roman" w:eastAsia="宋体" w:cs="Times New Roman"/>
                <w:color w:val="auto"/>
                <w:kern w:val="21"/>
                <w:sz w:val="24"/>
                <w:szCs w:val="24"/>
                <w:lang w:val="en-US" w:eastAsia="zh-CN"/>
              </w:rPr>
              <w:t>本项目位于</w:t>
            </w:r>
            <w:r>
              <w:rPr>
                <w:rFonts w:hint="default" w:ascii="Times New Roman" w:hAnsi="Times New Roman" w:eastAsia="宋体" w:cs="Times New Roman"/>
                <w:b w:val="0"/>
                <w:bCs w:val="0"/>
                <w:color w:val="auto"/>
                <w:sz w:val="24"/>
                <w:lang w:val="en-US" w:eastAsia="zh-CN"/>
              </w:rPr>
              <w:t>乐山市市中区大佛街道（原凌云乡）三尊村</w:t>
            </w:r>
            <w:r>
              <w:rPr>
                <w:rFonts w:hint="default" w:ascii="Times New Roman" w:hAnsi="Times New Roman" w:eastAsia="宋体" w:cs="Times New Roman"/>
                <w:color w:val="auto"/>
                <w:kern w:val="21"/>
                <w:sz w:val="24"/>
                <w:szCs w:val="24"/>
                <w:lang w:val="en-US" w:eastAsia="zh-CN"/>
              </w:rPr>
              <w:t>，项目所在区域属传统农业生产区，区域生态环境类型主要表现为农业生态环境，系统生物多样性程度较低。根据现场勘查，项目所在区域不涉及重点生态功能区和生物多样性优先保护区域，评价区陆域内无国家和地方保护的野生动、植物种类，也没有重要野生动物栖息特殊生态敏感区，主要植被为人工经济林和农田植被。</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21"/>
                <w:sz w:val="24"/>
                <w:szCs w:val="24"/>
                <w:lang w:val="en-US" w:eastAsia="zh-CN"/>
              </w:rPr>
            </w:pPr>
            <w:r>
              <w:rPr>
                <w:rFonts w:hint="eastAsia" w:ascii="Times New Roman" w:hAnsi="Times New Roman" w:eastAsia="宋体" w:cs="Times New Roman"/>
                <w:color w:val="auto"/>
                <w:kern w:val="21"/>
                <w:sz w:val="24"/>
                <w:szCs w:val="24"/>
                <w:lang w:val="en-US" w:eastAsia="zh-CN"/>
              </w:rPr>
              <w:t>1）</w:t>
            </w:r>
            <w:r>
              <w:rPr>
                <w:rFonts w:hint="default" w:ascii="Times New Roman" w:hAnsi="Times New Roman" w:eastAsia="宋体" w:cs="Times New Roman"/>
                <w:color w:val="auto"/>
                <w:kern w:val="21"/>
                <w:sz w:val="24"/>
                <w:szCs w:val="24"/>
                <w:lang w:val="en-US" w:eastAsia="zh-CN"/>
              </w:rPr>
              <w:t xml:space="preserve">陆生生态 </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21"/>
                <w:sz w:val="24"/>
                <w:szCs w:val="24"/>
                <w:lang w:val="en-US" w:eastAsia="zh-CN"/>
              </w:rPr>
            </w:pPr>
            <w:r>
              <w:rPr>
                <w:rFonts w:hint="eastAsia" w:ascii="Times New Roman" w:hAnsi="Times New Roman" w:eastAsia="宋体" w:cs="Times New Roman"/>
                <w:color w:val="auto"/>
                <w:kern w:val="21"/>
                <w:sz w:val="24"/>
                <w:szCs w:val="24"/>
                <w:lang w:val="en-US" w:eastAsia="zh-CN"/>
              </w:rPr>
              <w:t>①</w:t>
            </w:r>
            <w:r>
              <w:rPr>
                <w:rFonts w:hint="default" w:ascii="Times New Roman" w:hAnsi="Times New Roman" w:eastAsia="宋体" w:cs="Times New Roman"/>
                <w:color w:val="auto"/>
                <w:kern w:val="21"/>
                <w:sz w:val="24"/>
                <w:szCs w:val="24"/>
                <w:lang w:val="en-US" w:eastAsia="zh-CN"/>
              </w:rPr>
              <w:t xml:space="preserve">陆生植物 </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21"/>
                <w:sz w:val="24"/>
                <w:szCs w:val="24"/>
                <w:lang w:val="en-US" w:eastAsia="zh-CN"/>
              </w:rPr>
            </w:pPr>
            <w:r>
              <w:rPr>
                <w:rFonts w:hint="default" w:ascii="Times New Roman" w:hAnsi="Times New Roman" w:eastAsia="宋体" w:cs="Times New Roman"/>
                <w:color w:val="auto"/>
                <w:kern w:val="21"/>
                <w:sz w:val="24"/>
                <w:szCs w:val="24"/>
                <w:lang w:val="en-US" w:eastAsia="zh-CN"/>
              </w:rPr>
              <w:t>项目所在区域主要乔木树种以桉树、松树等人工林为主，主要灌木树种以荆条、金叶女贞、豚草等禾草类为主，群落结构较简单。林下及草丛周边零星分布有蕨类、苔藓和地衣。陆生植物以栽培的农作物为主，有水稻、豆类等粮食作物和油菜等经济作物，还有各类蔬菜等。</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textAlignment w:val="auto"/>
              <w:outlineLvl w:val="9"/>
              <w:rPr>
                <w:rFonts w:hint="default" w:ascii="Times New Roman" w:hAnsi="Times New Roman" w:eastAsia="宋体" w:cs="Times New Roman"/>
                <w:color w:val="auto"/>
                <w:kern w:val="21"/>
                <w:sz w:val="24"/>
                <w:szCs w:val="24"/>
                <w:lang w:val="en-US" w:eastAsia="zh-CN"/>
              </w:rPr>
            </w:pPr>
            <w:r>
              <w:rPr>
                <w:rFonts w:hint="eastAsia" w:ascii="Times New Roman" w:hAnsi="Times New Roman" w:eastAsia="宋体" w:cs="Times New Roman"/>
                <w:color w:val="auto"/>
                <w:kern w:val="21"/>
                <w:sz w:val="24"/>
                <w:szCs w:val="24"/>
                <w:lang w:val="en-US" w:eastAsia="zh-CN"/>
              </w:rPr>
              <w:t>②</w:t>
            </w:r>
            <w:r>
              <w:rPr>
                <w:rFonts w:hint="default" w:ascii="Times New Roman" w:hAnsi="Times New Roman" w:eastAsia="宋体" w:cs="Times New Roman"/>
                <w:color w:val="auto"/>
                <w:kern w:val="21"/>
                <w:sz w:val="24"/>
                <w:szCs w:val="24"/>
                <w:lang w:val="en-US" w:eastAsia="zh-CN"/>
              </w:rPr>
              <w:t>陆生动物</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21"/>
                <w:sz w:val="24"/>
                <w:szCs w:val="24"/>
                <w:lang w:val="en-US" w:eastAsia="zh-CN"/>
              </w:rPr>
            </w:pPr>
            <w:r>
              <w:rPr>
                <w:rFonts w:hint="default" w:ascii="Times New Roman" w:hAnsi="Times New Roman" w:eastAsia="宋体" w:cs="Times New Roman"/>
                <w:color w:val="auto"/>
                <w:kern w:val="21"/>
                <w:sz w:val="24"/>
                <w:szCs w:val="24"/>
                <w:lang w:val="en-US" w:eastAsia="zh-CN"/>
              </w:rPr>
              <w:t>项目所在区域人为活动较为频繁，活动于其中的动物种类相对自然生态系统较少，以褐家鼠、社鼠等小型兽类以及家燕、金腰燕、树麻雀等雀形目鸟类为主。此外，该生态系统也常见一些爬行动物分布。人工养殖的动物主要有猪、牛、狗、鸡等。</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textAlignment w:val="auto"/>
              <w:outlineLvl w:val="9"/>
              <w:rPr>
                <w:rFonts w:hint="default" w:ascii="Times New Roman" w:hAnsi="Times New Roman" w:eastAsia="宋体" w:cs="Times New Roman"/>
                <w:color w:val="auto"/>
                <w:kern w:val="21"/>
                <w:sz w:val="24"/>
                <w:szCs w:val="24"/>
                <w:lang w:val="en-US" w:eastAsia="zh-CN"/>
              </w:rPr>
            </w:pPr>
            <w:r>
              <w:rPr>
                <w:rFonts w:hint="eastAsia" w:ascii="Times New Roman" w:hAnsi="Times New Roman" w:eastAsia="宋体" w:cs="Times New Roman"/>
                <w:color w:val="auto"/>
                <w:kern w:val="21"/>
                <w:sz w:val="24"/>
                <w:szCs w:val="24"/>
                <w:lang w:val="en-US" w:eastAsia="zh-CN"/>
              </w:rPr>
              <w:t>③</w:t>
            </w:r>
            <w:r>
              <w:rPr>
                <w:rFonts w:hint="default" w:ascii="Times New Roman" w:hAnsi="Times New Roman" w:eastAsia="宋体" w:cs="Times New Roman"/>
                <w:color w:val="auto"/>
                <w:kern w:val="21"/>
                <w:sz w:val="24"/>
                <w:szCs w:val="24"/>
                <w:lang w:val="en-US" w:eastAsia="zh-CN"/>
              </w:rPr>
              <w:t>土地利用现状</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21"/>
                <w:sz w:val="24"/>
                <w:szCs w:val="24"/>
                <w:lang w:val="en-US" w:eastAsia="zh-CN"/>
              </w:rPr>
            </w:pPr>
            <w:r>
              <w:rPr>
                <w:rFonts w:hint="default" w:ascii="Times New Roman" w:hAnsi="Times New Roman" w:eastAsia="宋体" w:cs="Times New Roman"/>
                <w:color w:val="auto"/>
                <w:kern w:val="21"/>
                <w:sz w:val="24"/>
                <w:szCs w:val="24"/>
                <w:lang w:val="en-US" w:eastAsia="zh-CN"/>
              </w:rPr>
              <w:t>项目周边土地类型主要为林地、耕地、乡村建设用地等。本项目用地主要为水利设施用地、</w:t>
            </w:r>
            <w:r>
              <w:rPr>
                <w:rFonts w:hint="default" w:ascii="Times New Roman" w:hAnsi="Times New Roman" w:eastAsia="宋体" w:cs="Times New Roman"/>
                <w:color w:val="auto"/>
                <w:kern w:val="0"/>
                <w:sz w:val="24"/>
                <w:szCs w:val="24"/>
              </w:rPr>
              <w:t>交通运输用地</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lang w:val="en-US" w:eastAsia="zh-CN"/>
              </w:rPr>
              <w:t>荒地等</w:t>
            </w:r>
            <w:r>
              <w:rPr>
                <w:rFonts w:hint="default" w:ascii="Times New Roman" w:hAnsi="Times New Roman" w:eastAsia="宋体" w:cs="Times New Roman"/>
                <w:color w:val="auto"/>
                <w:kern w:val="21"/>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textAlignment w:val="auto"/>
              <w:outlineLvl w:val="9"/>
              <w:rPr>
                <w:rFonts w:hint="default" w:ascii="Times New Roman" w:hAnsi="Times New Roman" w:eastAsia="宋体" w:cs="Times New Roman"/>
                <w:color w:val="auto"/>
                <w:kern w:val="21"/>
                <w:sz w:val="24"/>
                <w:szCs w:val="24"/>
                <w:lang w:val="en-US" w:eastAsia="zh-CN"/>
              </w:rPr>
            </w:pPr>
            <w:r>
              <w:rPr>
                <w:rFonts w:hint="eastAsia" w:ascii="Times New Roman" w:hAnsi="Times New Roman" w:eastAsia="宋体" w:cs="Times New Roman"/>
                <w:color w:val="auto"/>
                <w:kern w:val="21"/>
                <w:sz w:val="24"/>
                <w:szCs w:val="24"/>
                <w:lang w:val="en-US" w:eastAsia="zh-CN"/>
              </w:rPr>
              <w:t>④</w:t>
            </w:r>
            <w:r>
              <w:rPr>
                <w:rFonts w:hint="default" w:ascii="Times New Roman" w:hAnsi="Times New Roman" w:eastAsia="宋体" w:cs="Times New Roman"/>
                <w:color w:val="auto"/>
                <w:kern w:val="21"/>
                <w:sz w:val="24"/>
                <w:szCs w:val="24"/>
                <w:lang w:val="en-US" w:eastAsia="zh-CN"/>
              </w:rPr>
              <w:t xml:space="preserve">水土流失 </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21"/>
                <w:sz w:val="24"/>
                <w:szCs w:val="24"/>
                <w:lang w:val="en-US" w:eastAsia="zh-CN"/>
              </w:rPr>
            </w:pPr>
            <w:r>
              <w:rPr>
                <w:rFonts w:hint="default" w:ascii="Times New Roman" w:hAnsi="Times New Roman" w:eastAsia="宋体" w:cs="Times New Roman"/>
                <w:color w:val="auto"/>
                <w:kern w:val="21"/>
                <w:sz w:val="24"/>
                <w:szCs w:val="24"/>
                <w:lang w:val="en-US" w:eastAsia="zh-CN"/>
              </w:rPr>
              <w:t>工程区水土流失以水力侵蚀为主，流失形成表现为面蚀和沟蚀。</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textAlignment w:val="auto"/>
              <w:outlineLvl w:val="9"/>
              <w:rPr>
                <w:rFonts w:hint="default" w:ascii="Times New Roman" w:hAnsi="Times New Roman" w:eastAsia="宋体" w:cs="Times New Roman"/>
                <w:color w:val="auto"/>
                <w:kern w:val="21"/>
                <w:sz w:val="24"/>
                <w:szCs w:val="24"/>
                <w:lang w:val="en-US" w:eastAsia="zh-CN"/>
              </w:rPr>
            </w:pPr>
            <w:r>
              <w:rPr>
                <w:rFonts w:hint="eastAsia" w:ascii="Times New Roman" w:hAnsi="Times New Roman" w:eastAsia="宋体" w:cs="Times New Roman"/>
                <w:color w:val="auto"/>
                <w:kern w:val="21"/>
                <w:sz w:val="24"/>
                <w:szCs w:val="24"/>
                <w:lang w:val="en-US" w:eastAsia="zh-CN"/>
              </w:rPr>
              <w:t>2）</w:t>
            </w:r>
            <w:r>
              <w:rPr>
                <w:rFonts w:hint="default" w:ascii="Times New Roman" w:hAnsi="Times New Roman" w:eastAsia="宋体" w:cs="Times New Roman"/>
                <w:color w:val="auto"/>
                <w:kern w:val="21"/>
                <w:sz w:val="24"/>
                <w:szCs w:val="24"/>
                <w:lang w:val="en-US" w:eastAsia="zh-CN"/>
              </w:rPr>
              <w:t xml:space="preserve">水生生态 </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color w:val="auto"/>
                <w:kern w:val="21"/>
                <w:sz w:val="24"/>
                <w:szCs w:val="24"/>
                <w:lang w:val="en-US" w:eastAsia="zh-CN"/>
              </w:rPr>
              <w:t>①</w:t>
            </w:r>
            <w:r>
              <w:rPr>
                <w:rFonts w:hint="default" w:ascii="Times New Roman" w:hAnsi="Times New Roman" w:eastAsia="宋体" w:cs="Times New Roman"/>
                <w:color w:val="auto"/>
                <w:kern w:val="21"/>
                <w:sz w:val="24"/>
                <w:szCs w:val="24"/>
                <w:lang w:val="en-US" w:eastAsia="zh-CN"/>
              </w:rPr>
              <w:t xml:space="preserve">流域概况 </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21"/>
                <w:sz w:val="24"/>
                <w:szCs w:val="24"/>
                <w:lang w:val="en-US" w:eastAsia="zh-CN"/>
              </w:rPr>
            </w:pPr>
            <w:r>
              <w:rPr>
                <w:rFonts w:hint="default" w:ascii="Times New Roman" w:hAnsi="Times New Roman" w:eastAsia="宋体" w:cs="Times New Roman"/>
                <w:color w:val="auto"/>
                <w:kern w:val="21"/>
                <w:sz w:val="24"/>
                <w:szCs w:val="24"/>
                <w:lang w:val="en-US" w:eastAsia="zh-CN"/>
              </w:rPr>
              <w:t>根据业主提供的《乐山市市中区2022年山珍水库枢纽除险加固工程初步设计报告》可知，山珍水库座落在岷江中下游左岸支流冷水河上游，位于乐山市市中区大佛街道（原凌云乡）东北约3km的三尊村境内。水库坝址位于冷水河上游三尊佛西北约0.8km处的白庙堂，坝址以上集水面积3.39km</w:t>
            </w:r>
            <w:r>
              <w:rPr>
                <w:rFonts w:hint="default" w:ascii="Times New Roman" w:hAnsi="Times New Roman" w:eastAsia="宋体" w:cs="Times New Roman"/>
                <w:color w:val="auto"/>
                <w:kern w:val="21"/>
                <w:sz w:val="24"/>
                <w:szCs w:val="24"/>
                <w:vertAlign w:val="superscript"/>
                <w:lang w:val="en-US" w:eastAsia="zh-CN"/>
              </w:rPr>
              <w:t>2</w:t>
            </w:r>
            <w:r>
              <w:rPr>
                <w:rFonts w:hint="default" w:ascii="Times New Roman" w:hAnsi="Times New Roman" w:eastAsia="宋体" w:cs="Times New Roman"/>
                <w:color w:val="auto"/>
                <w:kern w:val="21"/>
                <w:sz w:val="24"/>
                <w:szCs w:val="24"/>
                <w:lang w:val="en-US" w:eastAsia="zh-CN"/>
              </w:rPr>
              <w:t>，主河道长2.74km，河道平均比降6.68‰。水库总库容600.41万m</w:t>
            </w:r>
            <w:r>
              <w:rPr>
                <w:rFonts w:hint="default" w:ascii="Times New Roman" w:hAnsi="Times New Roman" w:eastAsia="宋体" w:cs="Times New Roman"/>
                <w:color w:val="auto"/>
                <w:kern w:val="21"/>
                <w:sz w:val="24"/>
                <w:szCs w:val="24"/>
                <w:vertAlign w:val="superscript"/>
                <w:lang w:val="en-US" w:eastAsia="zh-CN"/>
              </w:rPr>
              <w:t>3</w:t>
            </w:r>
            <w:r>
              <w:rPr>
                <w:rFonts w:hint="default" w:ascii="Times New Roman" w:hAnsi="Times New Roman" w:eastAsia="宋体" w:cs="Times New Roman"/>
                <w:color w:val="auto"/>
                <w:kern w:val="21"/>
                <w:sz w:val="24"/>
                <w:szCs w:val="24"/>
                <w:lang w:val="en-US" w:eastAsia="zh-CN"/>
              </w:rPr>
              <w:t>，正常蓄水位400.99m，相应库容510.6万m</w:t>
            </w:r>
            <w:r>
              <w:rPr>
                <w:rFonts w:hint="default" w:ascii="Times New Roman" w:hAnsi="Times New Roman" w:eastAsia="宋体" w:cs="Times New Roman"/>
                <w:color w:val="auto"/>
                <w:kern w:val="21"/>
                <w:sz w:val="24"/>
                <w:szCs w:val="24"/>
                <w:vertAlign w:val="superscript"/>
                <w:lang w:val="en-US" w:eastAsia="zh-CN"/>
              </w:rPr>
              <w:t>3</w:t>
            </w:r>
            <w:r>
              <w:rPr>
                <w:rFonts w:hint="default" w:ascii="Times New Roman" w:hAnsi="Times New Roman" w:eastAsia="宋体" w:cs="Times New Roman"/>
                <w:color w:val="auto"/>
                <w:kern w:val="21"/>
                <w:sz w:val="24"/>
                <w:szCs w:val="24"/>
                <w:lang w:val="en-US" w:eastAsia="zh-CN"/>
              </w:rPr>
              <w:t>。本水库为充囤水库，引高中水库之水补充山珍水库天然来水的不足量，高中水库向山珍水库年均输水量约400万m</w:t>
            </w:r>
            <w:r>
              <w:rPr>
                <w:rFonts w:hint="default" w:ascii="Times New Roman" w:hAnsi="Times New Roman" w:eastAsia="宋体" w:cs="Times New Roman"/>
                <w:color w:val="auto"/>
                <w:kern w:val="21"/>
                <w:sz w:val="24"/>
                <w:szCs w:val="24"/>
                <w:vertAlign w:val="superscript"/>
                <w:lang w:val="en-US" w:eastAsia="zh-CN"/>
              </w:rPr>
              <w:t>3</w:t>
            </w:r>
            <w:r>
              <w:rPr>
                <w:rFonts w:hint="default" w:ascii="Times New Roman" w:hAnsi="Times New Roman" w:eastAsia="宋体" w:cs="Times New Roman"/>
                <w:color w:val="auto"/>
                <w:kern w:val="21"/>
                <w:sz w:val="24"/>
                <w:szCs w:val="24"/>
                <w:lang w:val="en-US" w:eastAsia="zh-CN"/>
              </w:rPr>
              <w:t>。用于解决山珍水库供水不足问题，并利用山珍水库灌溉后富裕水量解决凌云河大佛景区段生态环保用水问题。</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21"/>
                <w:sz w:val="24"/>
                <w:szCs w:val="24"/>
                <w:lang w:val="en-US" w:eastAsia="zh-CN"/>
              </w:rPr>
            </w:pPr>
            <w:r>
              <w:rPr>
                <w:rFonts w:hint="default" w:ascii="Times New Roman" w:hAnsi="Times New Roman" w:eastAsia="宋体" w:cs="Times New Roman"/>
                <w:color w:val="auto"/>
                <w:kern w:val="21"/>
                <w:sz w:val="24"/>
                <w:szCs w:val="24"/>
                <w:lang w:val="en-US" w:eastAsia="zh-CN"/>
              </w:rPr>
              <w:t xml:space="preserve">水库下游为冷水河，冷水河为岷江中下游左岸一级支流，发源于市中区凌云乡东北三尊村之小岭坳、马沟头、园水井及连花寺一带，源头支沟众多，主要支沟为马沟和顺河沟，两沟于白庙堂以北约300m处汇合后，一路曲折向南，于一善桥处转向西南，沿途接纳左、右岸支沟，经桅杆坝、毛坝，于凌云乡转向西北，至庙儿沱后复转西南，最后经板凳岩、大石桥，于乌尤寺处汇入岷江。该流域全在市中区凌云乡及九峰乡境内，呈树叶型，海拔高程至411~480m，全部为丘陵区。 </w:t>
            </w:r>
          </w:p>
          <w:p>
            <w:pPr>
              <w:pageBreakBefore w:val="0"/>
              <w:numPr>
                <w:ilvl w:val="0"/>
                <w:numId w:val="0"/>
              </w:numPr>
              <w:kinsoku/>
              <w:wordWrap/>
              <w:overflowPunct/>
              <w:topLinePunct w:val="0"/>
              <w:bidi w:val="0"/>
              <w:adjustRightInd w:val="0"/>
              <w:snapToGrid w:val="0"/>
              <w:spacing w:line="360" w:lineRule="auto"/>
              <w:ind w:leftChars="200"/>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②</w:t>
            </w:r>
            <w:r>
              <w:rPr>
                <w:rFonts w:hint="default" w:ascii="Times New Roman" w:hAnsi="Times New Roman" w:eastAsia="宋体" w:cs="Times New Roman"/>
                <w:b w:val="0"/>
                <w:bCs w:val="0"/>
                <w:color w:val="auto"/>
                <w:sz w:val="24"/>
                <w:szCs w:val="24"/>
                <w:lang w:val="en-US" w:eastAsia="zh-CN"/>
              </w:rPr>
              <w:t xml:space="preserve">水生生态 </w:t>
            </w:r>
          </w:p>
          <w:p>
            <w:pPr>
              <w:pageBreakBefore w:val="0"/>
              <w:numPr>
                <w:ilvl w:val="0"/>
                <w:numId w:val="0"/>
              </w:numPr>
              <w:kinsoku/>
              <w:wordWrap/>
              <w:overflowPunct/>
              <w:topLinePunct w:val="0"/>
              <w:bidi w:val="0"/>
              <w:adjustRightInd w:val="0"/>
              <w:snapToGrid w:val="0"/>
              <w:spacing w:line="360" w:lineRule="auto"/>
              <w:ind w:firstLine="480" w:firstLineChars="200"/>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项目水库主要涉及浮游植物（硅藻门、绿藻门、裸藻门等）、浮游动物（以原生动物、轮虫为主）、底栖动物（水丝蚓、颤蚓、摇蚊等）以及常见的鱼类（鲤鱼、鲫鱼、山鳅、鲢鱼等）。</w:t>
            </w:r>
          </w:p>
          <w:p>
            <w:pPr>
              <w:pageBreakBefore w:val="0"/>
              <w:numPr>
                <w:ilvl w:val="0"/>
                <w:numId w:val="0"/>
              </w:numPr>
              <w:kinsoku/>
              <w:wordWrap/>
              <w:overflowPunct/>
              <w:topLinePunct w:val="0"/>
              <w:bidi w:val="0"/>
              <w:adjustRightInd w:val="0"/>
              <w:snapToGrid w:val="0"/>
              <w:spacing w:line="360" w:lineRule="auto"/>
              <w:ind w:firstLine="480" w:firstLineChars="200"/>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冷水河为岷江中下游左岸一级支流，本次冷水河水生生态调查引用《岷江大件航道（老江坝-萝卜寺段）临时航道疏浚工程环境影响报告表》（批复文号：乐中环审〔2020〕37号）中岷江水生生态调查情况。调查区域为冷水河汇入岷江断面处，因此引用数据可行。</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A.</w:t>
            </w:r>
            <w:r>
              <w:rPr>
                <w:rFonts w:hint="default" w:ascii="Times New Roman" w:hAnsi="Times New Roman" w:eastAsia="宋体" w:cs="Times New Roman"/>
                <w:color w:val="auto"/>
                <w:sz w:val="24"/>
                <w:szCs w:val="24"/>
                <w:lang w:val="en-US" w:eastAsia="zh-CN"/>
              </w:rPr>
              <w:t>浮游植物</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浮游植物种类繁多，区系组成复杂，数量丰富。查阅相关资料，浮游植物7门53属113种，其中硅藻门22属60种、占总种数的53.10%，绿藻门15属28种、占总种数的24.78%，蓝藻门10属15种、占总种数的13.27%，甲藻门2属4种、占总种数的3.54%，裸藻门2属3种、占总种数的2.65%，隐藻门1属2种、占总种数的1.77%，金藻门1属1种、占总种数的0.88%。常见种类有变异直链藻、尖头舟形藻、钝脆杆藻、尖针杆藻、普通等片藻、缢缩异极藻、毛枝藻、巨颤藻等。浮游植物的种类组成为典型的内陆河流生境浮游植物群落结构。</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B.</w:t>
            </w:r>
            <w:r>
              <w:rPr>
                <w:rFonts w:hint="default" w:ascii="Times New Roman" w:hAnsi="Times New Roman" w:eastAsia="宋体" w:cs="Times New Roman"/>
                <w:color w:val="auto"/>
                <w:sz w:val="24"/>
                <w:szCs w:val="24"/>
                <w:lang w:val="en-US" w:eastAsia="zh-CN"/>
              </w:rPr>
              <w:t>浮游动物</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浮游动物71属124种（表2-3）。其中原生动物50种，占总种数的40.32％；轮虫53种，占总种数的42.74％；枝角类12种，占总种数的9.68％；桡足类9种，占总种数的 7.26％。浮游动物的平均生物量为 0.1014mg/L，平均密度为779.20ind./L，其中原生动物平均生物量为 0.0364mg/L、平均密度为726.56ind./L，分别站35.87％和93.24％； 轮虫平均生物量为0.0630mg/L、平均密度为52.5ind./L，分别占62.16％和6.74%；枝角类平均生物量为0.0010mg/L、平均密度为0.0469ind./L，分别占1.01％和0.01％；桡足 类平均生物量为0.0010mg/L、平均密度为0.0875 ind./L，分别占0.96％和0.01％。</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C.</w:t>
            </w:r>
            <w:r>
              <w:rPr>
                <w:rFonts w:hint="default" w:ascii="Times New Roman" w:hAnsi="Times New Roman" w:eastAsia="宋体" w:cs="Times New Roman"/>
                <w:color w:val="auto"/>
                <w:sz w:val="24"/>
                <w:szCs w:val="24"/>
                <w:lang w:val="en-US" w:eastAsia="zh-CN"/>
              </w:rPr>
              <w:t>底栖动物</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底栖动物3门6纲13目27科44种（属），其中节肢动物门25种（属），占总种数的56.82％；软体动物门12种（属），占27.27％；环节动物门7种（属），占15.91％。保护区底栖动物主要由节肢动物门中的水生昆虫组成，其中鞘 翅目、半翅目均1科1种，蜻蜓目和蜉蝣目均2科2种，毛翅目3科3种，双翅目最多，5科15种。底栖动物优势种类有水丝蚓、泽蛭、湖沼股蛤、 沼虾、多足摇蚊、羽摇蚊、粗腹摇蚊等</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D.</w:t>
            </w:r>
            <w:r>
              <w:rPr>
                <w:rFonts w:hint="default" w:ascii="Times New Roman" w:hAnsi="Times New Roman" w:eastAsia="宋体" w:cs="Times New Roman"/>
                <w:color w:val="auto"/>
                <w:sz w:val="24"/>
                <w:szCs w:val="24"/>
                <w:lang w:val="en-US" w:eastAsia="zh-CN"/>
              </w:rPr>
              <w:t>鱼类</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岷江水系包括岷江干流、大渡河、青衣江等支流计有鱼类164种和亚种，其中岷江干流鱼类148种，调查水域所属的岷江下游干流分布种134种，其中有4种分别为两组同物异名种，实际132种。调查水域近年来调查采集到鱼类106种，分属5目16科74属。其中鲤形目57属77种，占种数的72.6%；鲇形目9属19种，占种数的17.9%；鲈形目6属8种，占种数的7.5%；其余鳉形目、合鳃鱼目各为1属1种。科一级水平上，列前3位的依次是鲤科43属58种，占54.7%；鳅科8属12种，占11.3%；鲿科4 属9种占8.5%。保护区水域共采集和调查到66种鱼类，分别隶属于4目12科53属。其中鲤形目胭脂鱼科1属1种，鳅科6属 7种，鲤科30属37种，平鳍鳅科4属4种；鲇形目鲇科1属2种，鲿科4属7种，钝头鮠科1属1种，鮡科2属3种；合鳃鱼目合鳃鱼科1属1种；鲈形目鮨科1属1种，鰕虎鱼科1属1种，鳢科1属1种。鲤形目鱼类属于保护区水域的主要构成类群，共有41属49 种，占鱼类种数的74.24%；鲇形目次之，共有8属13种，占19.7%。在组成保护区水域鱼类的12个科中，以鲤科鱼类种类最多，计有37种，占鱼类种数的56.06%，其中鮈亚科11种，约占16.67%；鲌亚科6种，鳅科7种，鲿科6种，平鳍鳅科4种。调查中共采集到14种长江上游特有鱼类，鲤科7属7种，鳅科3属3种，平鳍鳅科3属3种，鮡科1属1种。</w:t>
            </w:r>
          </w:p>
          <w:p>
            <w:pPr>
              <w:pageBreakBefore w:val="0"/>
              <w:numPr>
                <w:ilvl w:val="0"/>
                <w:numId w:val="0"/>
              </w:numPr>
              <w:kinsoku/>
              <w:wordWrap/>
              <w:overflowPunct/>
              <w:topLinePunct w:val="0"/>
              <w:bidi w:val="0"/>
              <w:adjustRightInd w:val="0"/>
              <w:snapToGrid w:val="0"/>
              <w:spacing w:line="360" w:lineRule="auto"/>
              <w:ind w:firstLine="480" w:firstLineChars="200"/>
              <w:rPr>
                <w:rFonts w:hint="default" w:ascii="Times New Roman" w:hAnsi="Times New Roman" w:cs="Times New Roman"/>
                <w:color w:val="auto"/>
                <w:lang w:val="en-US" w:eastAsia="zh-CN"/>
              </w:rPr>
            </w:pPr>
            <w:r>
              <w:rPr>
                <w:rFonts w:hint="default" w:ascii="Times New Roman" w:hAnsi="Times New Roman" w:eastAsia="宋体" w:cs="Times New Roman"/>
                <w:b w:val="0"/>
                <w:bCs w:val="0"/>
                <w:color w:val="auto"/>
                <w:sz w:val="24"/>
                <w:szCs w:val="24"/>
                <w:lang w:val="en-US" w:eastAsia="zh-CN"/>
              </w:rPr>
              <w:t>项目不涉及鱼类越冬场、产卵场、索饵场，无珍稀、特有鱼类自然保护区，无水产种质资源保护区。</w:t>
            </w:r>
          </w:p>
          <w:p>
            <w:pPr>
              <w:adjustRightInd w:val="0"/>
              <w:snapToGrid w:val="0"/>
              <w:spacing w:line="360" w:lineRule="auto"/>
              <w:ind w:firstLine="482" w:firstLineChars="200"/>
              <w:textAlignment w:val="center"/>
              <w:outlineLvl w:val="9"/>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、环境空气质量现状调查与评价</w:t>
            </w:r>
          </w:p>
          <w:p>
            <w:pPr>
              <w:adjustRightInd w:val="0"/>
              <w:snapToGrid w:val="0"/>
              <w:spacing w:line="360" w:lineRule="auto"/>
              <w:ind w:firstLine="480" w:firstLineChars="200"/>
              <w:outlineLvl w:val="9"/>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1</w:t>
            </w:r>
            <w:r>
              <w:rPr>
                <w:rFonts w:hint="default" w:ascii="Times New Roman" w:hAnsi="Times New Roman" w:eastAsia="宋体" w:cs="Times New Roman"/>
                <w:b w:val="0"/>
                <w:bCs w:val="0"/>
                <w:color w:val="auto"/>
                <w:sz w:val="24"/>
                <w:szCs w:val="24"/>
                <w:lang w:eastAsia="zh-CN"/>
              </w:rPr>
              <w:t>）达标区判定</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eastAsia="宋体" w:cs="Times New Roman"/>
                <w:i w:val="0"/>
                <w:caps w:val="0"/>
                <w:color w:val="auto"/>
                <w:spacing w:val="0"/>
                <w:sz w:val="24"/>
                <w:szCs w:val="24"/>
                <w:shd w:val="clear" w:color="auto" w:fill="FFFFFF"/>
              </w:rPr>
              <w:t>根据乐山市生态环境局网站发布的《乐山市2021年环境质量公报》乐山市主城区环境空气有效监测天数为365天，达标天数314天，达标率86.0%。全年优125天、良189天、轻度污染45天、中度污染6天、重度污染0天。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vertAlign w:val="baseline"/>
                <w:lang w:eastAsia="zh-CN"/>
              </w:rPr>
            </w:pPr>
            <w:r>
              <w:rPr>
                <w:rFonts w:hint="default" w:ascii="Times New Roman" w:hAnsi="Times New Roman" w:cs="Times New Roman"/>
                <w:color w:val="auto"/>
                <w:sz w:val="24"/>
              </w:rPr>
              <w:t>乐山市11个县（市、区）环境空气中二氧化硫、二氧化氮、臭氧、一氧化碳、可吸入颗粒物和细颗粒物浓度分别为9μg/m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、23μg/m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、118μg/m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、1</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0mg/m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、54μg/m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和35μg/m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vertAlign w:val="baseline"/>
                <w:lang w:eastAsia="zh-CN"/>
              </w:rPr>
              <w:t>，均达到国家环境空气二级标准，其中除二氧化氮浓度持平，细颗粒物浓度同比上升了</w:t>
            </w:r>
            <w:r>
              <w:rPr>
                <w:rFonts w:hint="default" w:ascii="Times New Roman" w:hAnsi="Times New Roman" w:cs="Times New Roman"/>
                <w:color w:val="auto"/>
                <w:sz w:val="24"/>
                <w:vertAlign w:val="baseline"/>
                <w:lang w:val="en-US" w:eastAsia="zh-CN"/>
              </w:rPr>
              <w:t>1.9%</w:t>
            </w:r>
            <w:r>
              <w:rPr>
                <w:rFonts w:hint="default" w:ascii="Times New Roman" w:hAnsi="Times New Roman" w:cs="Times New Roman"/>
                <w:color w:val="auto"/>
                <w:sz w:val="24"/>
                <w:vertAlign w:val="baseline"/>
                <w:lang w:eastAsia="zh-CN"/>
              </w:rPr>
              <w:t>外，其余4项污染物同比下降了</w:t>
            </w:r>
            <w:r>
              <w:rPr>
                <w:rFonts w:hint="default" w:ascii="Times New Roman" w:hAnsi="Times New Roman" w:cs="Times New Roman"/>
                <w:color w:val="auto"/>
                <w:sz w:val="24"/>
                <w:vertAlign w:val="baseline"/>
                <w:lang w:val="en-US" w:eastAsia="zh-CN"/>
              </w:rPr>
              <w:t>16.2%</w:t>
            </w:r>
            <w:r>
              <w:rPr>
                <w:rFonts w:hint="default" w:ascii="Times New Roman" w:hAnsi="Times New Roman" w:cs="Times New Roman"/>
                <w:color w:val="auto"/>
                <w:sz w:val="24"/>
                <w:vertAlign w:val="baseline"/>
                <w:lang w:eastAsia="zh-CN"/>
              </w:rPr>
              <w:t>、</w:t>
            </w:r>
            <w:r>
              <w:rPr>
                <w:rFonts w:hint="default" w:ascii="Times New Roman" w:hAnsi="Times New Roman" w:cs="Times New Roman"/>
                <w:color w:val="auto"/>
                <w:sz w:val="24"/>
                <w:vertAlign w:val="baseline"/>
                <w:lang w:val="en-US" w:eastAsia="zh-CN"/>
              </w:rPr>
              <w:t>6.7%</w:t>
            </w:r>
            <w:r>
              <w:rPr>
                <w:rFonts w:hint="default" w:ascii="Times New Roman" w:hAnsi="Times New Roman" w:cs="Times New Roman"/>
                <w:color w:val="auto"/>
                <w:sz w:val="24"/>
                <w:vertAlign w:val="baseline"/>
                <w:lang w:eastAsia="zh-CN"/>
              </w:rPr>
              <w:t>、</w:t>
            </w:r>
            <w:r>
              <w:rPr>
                <w:rFonts w:hint="default" w:ascii="Times New Roman" w:hAnsi="Times New Roman" w:cs="Times New Roman"/>
                <w:color w:val="auto"/>
                <w:sz w:val="24"/>
                <w:vertAlign w:val="baseline"/>
                <w:lang w:val="en-US" w:eastAsia="zh-CN"/>
              </w:rPr>
              <w:t>8.9%</w:t>
            </w:r>
            <w:r>
              <w:rPr>
                <w:rFonts w:hint="default" w:ascii="Times New Roman" w:hAnsi="Times New Roman" w:cs="Times New Roman"/>
                <w:color w:val="auto"/>
                <w:sz w:val="24"/>
                <w:vertAlign w:val="baseline"/>
                <w:lang w:eastAsia="zh-CN"/>
              </w:rPr>
              <w:t>和</w:t>
            </w:r>
            <w:r>
              <w:rPr>
                <w:rFonts w:hint="default" w:ascii="Times New Roman" w:hAnsi="Times New Roman" w:cs="Times New Roman"/>
                <w:color w:val="auto"/>
                <w:sz w:val="24"/>
                <w:vertAlign w:val="baseline"/>
                <w:lang w:val="en-US" w:eastAsia="zh-CN"/>
              </w:rPr>
              <w:t>1.2%</w:t>
            </w:r>
            <w:r>
              <w:rPr>
                <w:rFonts w:hint="default" w:ascii="Times New Roman" w:hAnsi="Times New Roman" w:cs="Times New Roman"/>
                <w:color w:val="auto"/>
                <w:sz w:val="24"/>
                <w:vertAlign w:val="baseli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空气质量达标判定见下表：</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val="0"/>
                <w:color w:val="auto"/>
                <w:szCs w:val="21"/>
              </w:rPr>
            </w:pPr>
            <w:r>
              <w:rPr>
                <w:rFonts w:hint="default" w:ascii="Times New Roman" w:hAnsi="Times New Roman" w:eastAsia="宋体" w:cs="Times New Roman"/>
                <w:b/>
                <w:bCs w:val="0"/>
                <w:color w:val="auto"/>
                <w:szCs w:val="21"/>
              </w:rPr>
              <w:t>表3-</w:t>
            </w:r>
            <w:r>
              <w:rPr>
                <w:rFonts w:hint="default" w:ascii="Times New Roman" w:hAnsi="Times New Roman" w:eastAsia="宋体" w:cs="Times New Roman"/>
                <w:b/>
                <w:bCs w:val="0"/>
                <w:color w:val="auto"/>
                <w:szCs w:val="21"/>
                <w:lang w:val="en-US" w:eastAsia="zh-CN"/>
              </w:rPr>
              <w:t>1</w:t>
            </w:r>
            <w:r>
              <w:rPr>
                <w:rFonts w:hint="default" w:ascii="Times New Roman" w:hAnsi="Times New Roman" w:eastAsia="宋体" w:cs="Times New Roman"/>
                <w:b/>
                <w:bCs w:val="0"/>
                <w:color w:val="auto"/>
                <w:szCs w:val="21"/>
              </w:rPr>
              <w:t xml:space="preserve"> </w:t>
            </w:r>
            <w:r>
              <w:rPr>
                <w:rFonts w:hint="default" w:ascii="Times New Roman" w:hAnsi="Times New Roman" w:eastAsia="宋体" w:cs="Times New Roman"/>
                <w:b/>
                <w:bCs w:val="0"/>
                <w:color w:val="auto"/>
                <w:szCs w:val="21"/>
                <w:lang w:val="en-US" w:eastAsia="zh-CN"/>
              </w:rPr>
              <w:t xml:space="preserve"> </w:t>
            </w:r>
            <w:r>
              <w:rPr>
                <w:rFonts w:hint="default" w:ascii="Times New Roman" w:hAnsi="Times New Roman" w:eastAsia="宋体" w:cs="Times New Roman"/>
                <w:b/>
                <w:bCs w:val="0"/>
                <w:color w:val="auto"/>
                <w:szCs w:val="21"/>
              </w:rPr>
              <w:t>区域空气质量现状评价表</w:t>
            </w:r>
          </w:p>
          <w:tbl>
            <w:tblPr>
              <w:tblStyle w:val="3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4"/>
              <w:gridCol w:w="3283"/>
              <w:gridCol w:w="1523"/>
              <w:gridCol w:w="1192"/>
              <w:gridCol w:w="993"/>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5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污染物</w:t>
                  </w:r>
                </w:p>
              </w:tc>
              <w:tc>
                <w:tcPr>
                  <w:tcW w:w="1768" w:type="pct"/>
                  <w:tcBorders>
                    <w:tl2br w:val="nil"/>
                    <w:tr2bl w:val="nil"/>
                  </w:tcBorders>
                  <w:noWrap w:val="0"/>
                  <w:vAlign w:val="center"/>
                </w:tcPr>
                <w:p>
                  <w:pPr>
                    <w:pStyle w:val="73"/>
                    <w:keepNext w:val="0"/>
                    <w:keepLines w:val="0"/>
                    <w:pageBreakBefore w:val="0"/>
                    <w:widowControl w:val="0"/>
                    <w:kinsoku/>
                    <w:wordWrap/>
                    <w:overflowPunct/>
                    <w:topLinePunct w:val="0"/>
                    <w:autoSpaceDE/>
                    <w:autoSpaceDN/>
                    <w:bidi w:val="0"/>
                    <w:adjustRightInd w:val="0"/>
                    <w:snapToGrid w:val="0"/>
                    <w:spacing w:before="0"/>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年评价指标</w:t>
                  </w:r>
                </w:p>
              </w:tc>
              <w:tc>
                <w:tcPr>
                  <w:tcW w:w="8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现状浓度</w:t>
                  </w:r>
                </w:p>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（ug/m</w:t>
                  </w:r>
                  <w:r>
                    <w:rPr>
                      <w:rFonts w:hint="default" w:ascii="Times New Roman" w:hAnsi="Times New Roman" w:eastAsia="宋体" w:cs="Times New Roman"/>
                      <w:b/>
                      <w:bCs w:val="0"/>
                      <w:color w:val="auto"/>
                      <w:sz w:val="21"/>
                      <w:szCs w:val="21"/>
                      <w:vertAlign w:val="superscript"/>
                    </w:rPr>
                    <w:t>3</w:t>
                  </w:r>
                  <w:r>
                    <w:rPr>
                      <w:rFonts w:hint="default" w:ascii="Times New Roman" w:hAnsi="Times New Roman" w:eastAsia="宋体" w:cs="Times New Roman"/>
                      <w:b/>
                      <w:bCs w:val="0"/>
                      <w:color w:val="auto"/>
                      <w:sz w:val="21"/>
                      <w:szCs w:val="21"/>
                    </w:rPr>
                    <w:t>）</w:t>
                  </w:r>
                </w:p>
              </w:tc>
              <w:tc>
                <w:tcPr>
                  <w:tcW w:w="6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标准值</w:t>
                  </w:r>
                </w:p>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（ug/m</w:t>
                  </w:r>
                  <w:r>
                    <w:rPr>
                      <w:rFonts w:hint="default" w:ascii="Times New Roman" w:hAnsi="Times New Roman" w:eastAsia="宋体" w:cs="Times New Roman"/>
                      <w:b/>
                      <w:bCs w:val="0"/>
                      <w:color w:val="auto"/>
                      <w:sz w:val="21"/>
                      <w:szCs w:val="21"/>
                      <w:vertAlign w:val="superscript"/>
                    </w:rPr>
                    <w:t>3</w:t>
                  </w:r>
                  <w:r>
                    <w:rPr>
                      <w:rFonts w:hint="default" w:ascii="Times New Roman" w:hAnsi="Times New Roman" w:eastAsia="宋体" w:cs="Times New Roman"/>
                      <w:b/>
                      <w:bCs w:val="0"/>
                      <w:color w:val="auto"/>
                      <w:sz w:val="21"/>
                      <w:szCs w:val="21"/>
                    </w:rPr>
                    <w:t>）</w:t>
                  </w:r>
                </w:p>
              </w:tc>
              <w:tc>
                <w:tcPr>
                  <w:tcW w:w="5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bCs w:val="0"/>
                      <w:color w:val="auto"/>
                      <w:sz w:val="21"/>
                      <w:szCs w:val="21"/>
                      <w:lang w:val="en-US" w:eastAsia="zh-CN"/>
                    </w:rPr>
                  </w:pPr>
                  <w:r>
                    <w:rPr>
                      <w:rFonts w:hint="default" w:ascii="Times New Roman" w:hAnsi="Times New Roman" w:cs="Times New Roman"/>
                      <w:b/>
                      <w:bCs w:val="0"/>
                      <w:color w:val="auto"/>
                      <w:sz w:val="21"/>
                      <w:szCs w:val="21"/>
                      <w:lang w:val="en-US" w:eastAsia="zh-CN"/>
                    </w:rPr>
                    <w:t>占标率%</w:t>
                  </w:r>
                </w:p>
              </w:tc>
              <w:tc>
                <w:tcPr>
                  <w:tcW w:w="6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46" w:type="pct"/>
                  <w:tcBorders>
                    <w:tl2br w:val="nil"/>
                    <w:tr2bl w:val="nil"/>
                  </w:tcBorders>
                  <w:noWrap w:val="0"/>
                  <w:vAlign w:val="center"/>
                </w:tcPr>
                <w:p>
                  <w:pPr>
                    <w:pStyle w:val="7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sz w:val="21"/>
                      <w:szCs w:val="21"/>
                    </w:rPr>
                    <w:t>SO</w:t>
                  </w:r>
                  <w:r>
                    <w:rPr>
                      <w:rFonts w:hint="default" w:ascii="Times New Roman" w:hAnsi="Times New Roman" w:eastAsia="宋体" w:cs="Times New Roman"/>
                      <w:b w:val="0"/>
                      <w:bCs/>
                      <w:color w:val="auto"/>
                      <w:sz w:val="21"/>
                      <w:szCs w:val="21"/>
                      <w:vertAlign w:val="subscript"/>
                    </w:rPr>
                    <w:t>2</w:t>
                  </w:r>
                </w:p>
              </w:tc>
              <w:tc>
                <w:tcPr>
                  <w:tcW w:w="1768" w:type="pct"/>
                  <w:vMerge w:val="restart"/>
                  <w:tcBorders>
                    <w:tl2br w:val="nil"/>
                    <w:tr2bl w:val="nil"/>
                  </w:tcBorders>
                  <w:noWrap w:val="0"/>
                  <w:vAlign w:val="center"/>
                </w:tcPr>
                <w:p>
                  <w:pPr>
                    <w:pStyle w:val="7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年平均浓度值</w:t>
                  </w:r>
                </w:p>
              </w:tc>
              <w:tc>
                <w:tcPr>
                  <w:tcW w:w="8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9</w:t>
                  </w:r>
                </w:p>
              </w:tc>
              <w:tc>
                <w:tcPr>
                  <w:tcW w:w="6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60</w:t>
                  </w:r>
                </w:p>
              </w:tc>
              <w:tc>
                <w:tcPr>
                  <w:tcW w:w="5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0.15</w:t>
                  </w:r>
                </w:p>
              </w:tc>
              <w:tc>
                <w:tcPr>
                  <w:tcW w:w="6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bCs w:val="0"/>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6" w:type="pct"/>
                  <w:tcBorders>
                    <w:tl2br w:val="nil"/>
                    <w:tr2bl w:val="nil"/>
                  </w:tcBorders>
                  <w:noWrap w:val="0"/>
                  <w:vAlign w:val="center"/>
                </w:tcPr>
                <w:p>
                  <w:pPr>
                    <w:pStyle w:val="7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sz w:val="21"/>
                      <w:szCs w:val="21"/>
                    </w:rPr>
                    <w:t>NO</w:t>
                  </w:r>
                  <w:r>
                    <w:rPr>
                      <w:rFonts w:hint="default" w:ascii="Times New Roman" w:hAnsi="Times New Roman" w:eastAsia="宋体" w:cs="Times New Roman"/>
                      <w:b w:val="0"/>
                      <w:bCs/>
                      <w:color w:val="auto"/>
                      <w:sz w:val="21"/>
                      <w:szCs w:val="21"/>
                      <w:vertAlign w:val="subscript"/>
                    </w:rPr>
                    <w:t>2</w:t>
                  </w:r>
                </w:p>
              </w:tc>
              <w:tc>
                <w:tcPr>
                  <w:tcW w:w="1768" w:type="pct"/>
                  <w:vMerge w:val="continue"/>
                  <w:tcBorders>
                    <w:tl2br w:val="nil"/>
                    <w:tr2bl w:val="nil"/>
                  </w:tcBorders>
                  <w:noWrap w:val="0"/>
                  <w:vAlign w:val="center"/>
                </w:tcPr>
                <w:p>
                  <w:pPr>
                    <w:pStyle w:val="7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b w:val="0"/>
                      <w:bCs/>
                      <w:color w:val="auto"/>
                      <w:kern w:val="0"/>
                      <w:sz w:val="21"/>
                      <w:szCs w:val="21"/>
                    </w:rPr>
                  </w:pPr>
                </w:p>
              </w:tc>
              <w:tc>
                <w:tcPr>
                  <w:tcW w:w="8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23</w:t>
                  </w:r>
                </w:p>
              </w:tc>
              <w:tc>
                <w:tcPr>
                  <w:tcW w:w="6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40</w:t>
                  </w:r>
                </w:p>
              </w:tc>
              <w:tc>
                <w:tcPr>
                  <w:tcW w:w="5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0.575</w:t>
                  </w:r>
                </w:p>
              </w:tc>
              <w:tc>
                <w:tcPr>
                  <w:tcW w:w="6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bCs w:val="0"/>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546" w:type="pct"/>
                  <w:tcBorders>
                    <w:tl2br w:val="nil"/>
                    <w:tr2bl w:val="nil"/>
                  </w:tcBorders>
                  <w:noWrap w:val="0"/>
                  <w:vAlign w:val="center"/>
                </w:tcPr>
                <w:p>
                  <w:pPr>
                    <w:pStyle w:val="7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sz w:val="21"/>
                      <w:szCs w:val="21"/>
                    </w:rPr>
                    <w:t>PM</w:t>
                  </w:r>
                  <w:r>
                    <w:rPr>
                      <w:rFonts w:hint="default" w:ascii="Times New Roman" w:hAnsi="Times New Roman" w:eastAsia="宋体" w:cs="Times New Roman"/>
                      <w:b w:val="0"/>
                      <w:bCs/>
                      <w:color w:val="auto"/>
                      <w:sz w:val="21"/>
                      <w:szCs w:val="21"/>
                      <w:vertAlign w:val="subscript"/>
                    </w:rPr>
                    <w:t>10</w:t>
                  </w:r>
                </w:p>
              </w:tc>
              <w:tc>
                <w:tcPr>
                  <w:tcW w:w="1768" w:type="pct"/>
                  <w:vMerge w:val="continue"/>
                  <w:tcBorders>
                    <w:tl2br w:val="nil"/>
                    <w:tr2bl w:val="nil"/>
                  </w:tcBorders>
                  <w:noWrap w:val="0"/>
                  <w:vAlign w:val="center"/>
                </w:tcPr>
                <w:p>
                  <w:pPr>
                    <w:pStyle w:val="7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b w:val="0"/>
                      <w:bCs/>
                      <w:color w:val="auto"/>
                      <w:kern w:val="0"/>
                      <w:sz w:val="21"/>
                      <w:szCs w:val="21"/>
                    </w:rPr>
                  </w:pPr>
                </w:p>
              </w:tc>
              <w:tc>
                <w:tcPr>
                  <w:tcW w:w="8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54</w:t>
                  </w:r>
                </w:p>
              </w:tc>
              <w:tc>
                <w:tcPr>
                  <w:tcW w:w="6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70</w:t>
                  </w:r>
                </w:p>
              </w:tc>
              <w:tc>
                <w:tcPr>
                  <w:tcW w:w="5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0.77</w:t>
                  </w:r>
                </w:p>
              </w:tc>
              <w:tc>
                <w:tcPr>
                  <w:tcW w:w="6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bCs w:val="0"/>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46" w:type="pct"/>
                  <w:tcBorders>
                    <w:tl2br w:val="nil"/>
                    <w:tr2bl w:val="nil"/>
                  </w:tcBorders>
                  <w:noWrap w:val="0"/>
                  <w:vAlign w:val="center"/>
                </w:tcPr>
                <w:p>
                  <w:pPr>
                    <w:pStyle w:val="7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PM</w:t>
                  </w:r>
                  <w:r>
                    <w:rPr>
                      <w:rFonts w:hint="default" w:ascii="Times New Roman" w:hAnsi="Times New Roman" w:eastAsia="宋体" w:cs="Times New Roman"/>
                      <w:b w:val="0"/>
                      <w:bCs/>
                      <w:color w:val="auto"/>
                      <w:sz w:val="21"/>
                      <w:szCs w:val="21"/>
                      <w:vertAlign w:val="subscript"/>
                    </w:rPr>
                    <w:t>2.5</w:t>
                  </w:r>
                </w:p>
              </w:tc>
              <w:tc>
                <w:tcPr>
                  <w:tcW w:w="1768" w:type="pct"/>
                  <w:vMerge w:val="continue"/>
                  <w:tcBorders>
                    <w:tl2br w:val="nil"/>
                    <w:tr2bl w:val="nil"/>
                  </w:tcBorders>
                  <w:noWrap w:val="0"/>
                  <w:vAlign w:val="center"/>
                </w:tcPr>
                <w:p>
                  <w:pPr>
                    <w:pStyle w:val="7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b w:val="0"/>
                      <w:bCs/>
                      <w:color w:val="auto"/>
                      <w:kern w:val="0"/>
                      <w:sz w:val="21"/>
                      <w:szCs w:val="21"/>
                    </w:rPr>
                  </w:pPr>
                </w:p>
              </w:tc>
              <w:tc>
                <w:tcPr>
                  <w:tcW w:w="8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35</w:t>
                  </w:r>
                </w:p>
              </w:tc>
              <w:tc>
                <w:tcPr>
                  <w:tcW w:w="6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35</w:t>
                  </w:r>
                </w:p>
              </w:tc>
              <w:tc>
                <w:tcPr>
                  <w:tcW w:w="5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1.0</w:t>
                  </w:r>
                </w:p>
              </w:tc>
              <w:tc>
                <w:tcPr>
                  <w:tcW w:w="6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bCs w:val="0"/>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546" w:type="pct"/>
                  <w:tcBorders>
                    <w:tl2br w:val="nil"/>
                    <w:tr2bl w:val="nil"/>
                  </w:tcBorders>
                  <w:noWrap w:val="0"/>
                  <w:vAlign w:val="center"/>
                </w:tcPr>
                <w:p>
                  <w:pPr>
                    <w:pStyle w:val="7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O</w:t>
                  </w:r>
                  <w:r>
                    <w:rPr>
                      <w:rFonts w:hint="default" w:ascii="Times New Roman" w:hAnsi="Times New Roman" w:eastAsia="宋体" w:cs="Times New Roman"/>
                      <w:b w:val="0"/>
                      <w:bCs/>
                      <w:color w:val="auto"/>
                      <w:sz w:val="21"/>
                      <w:szCs w:val="21"/>
                      <w:vertAlign w:val="subscript"/>
                    </w:rPr>
                    <w:t>3</w:t>
                  </w:r>
                </w:p>
              </w:tc>
              <w:tc>
                <w:tcPr>
                  <w:tcW w:w="17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sz w:val="21"/>
                      <w:szCs w:val="21"/>
                    </w:rPr>
                    <w:t>日最大8小时均值的第90百分位</w:t>
                  </w:r>
                </w:p>
              </w:tc>
              <w:tc>
                <w:tcPr>
                  <w:tcW w:w="8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118</w:t>
                  </w:r>
                </w:p>
              </w:tc>
              <w:tc>
                <w:tcPr>
                  <w:tcW w:w="6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160</w:t>
                  </w:r>
                </w:p>
              </w:tc>
              <w:tc>
                <w:tcPr>
                  <w:tcW w:w="5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0.74</w:t>
                  </w:r>
                </w:p>
              </w:tc>
              <w:tc>
                <w:tcPr>
                  <w:tcW w:w="6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lang w:val="en-US"/>
                    </w:rPr>
                  </w:pPr>
                  <w:r>
                    <w:rPr>
                      <w:rFonts w:hint="default" w:ascii="Times New Roman" w:hAnsi="Times New Roman" w:eastAsia="宋体" w:cs="Times New Roman"/>
                      <w:b/>
                      <w:bCs w:val="0"/>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546" w:type="pct"/>
                  <w:tcBorders>
                    <w:tl2br w:val="nil"/>
                    <w:tr2bl w:val="nil"/>
                  </w:tcBorders>
                  <w:noWrap w:val="0"/>
                  <w:vAlign w:val="center"/>
                </w:tcPr>
                <w:p>
                  <w:pPr>
                    <w:pStyle w:val="75"/>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sz w:val="21"/>
                      <w:szCs w:val="21"/>
                    </w:rPr>
                    <w:t>CO</w:t>
                  </w:r>
                </w:p>
              </w:tc>
              <w:tc>
                <w:tcPr>
                  <w:tcW w:w="17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24小时均值的第95百分位</w:t>
                  </w:r>
                </w:p>
              </w:tc>
              <w:tc>
                <w:tcPr>
                  <w:tcW w:w="8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1000</w:t>
                  </w:r>
                </w:p>
              </w:tc>
              <w:tc>
                <w:tcPr>
                  <w:tcW w:w="6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4000</w:t>
                  </w:r>
                </w:p>
              </w:tc>
              <w:tc>
                <w:tcPr>
                  <w:tcW w:w="5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0.25</w:t>
                  </w:r>
                </w:p>
              </w:tc>
              <w:tc>
                <w:tcPr>
                  <w:tcW w:w="6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bCs w:val="0"/>
                      <w:color w:val="auto"/>
                      <w:sz w:val="21"/>
                      <w:szCs w:val="21"/>
                    </w:rPr>
                    <w:t>达标</w:t>
                  </w:r>
                </w:p>
              </w:tc>
            </w:tr>
          </w:tbl>
          <w:p>
            <w:pPr>
              <w:adjustRightInd w:val="0"/>
              <w:snapToGrid w:val="0"/>
              <w:spacing w:line="360" w:lineRule="auto"/>
              <w:ind w:firstLine="480"/>
              <w:rPr>
                <w:rFonts w:hint="default" w:ascii="Times New Roman" w:hAnsi="Times New Roman" w:cs="Times New Roman"/>
                <w:bCs/>
                <w:color w:val="auto"/>
                <w:sz w:val="24"/>
              </w:rPr>
            </w:pPr>
            <w:r>
              <w:rPr>
                <w:rFonts w:hint="default" w:ascii="Times New Roman" w:hAnsi="Times New Roman" w:cs="Times New Roman"/>
                <w:bCs/>
                <w:color w:val="auto"/>
                <w:sz w:val="24"/>
              </w:rPr>
              <w:t>由以上可知，本项目所在地城市环境空气质量达标情况评价指标为SO</w:t>
            </w:r>
            <w:r>
              <w:rPr>
                <w:rFonts w:hint="default" w:ascii="Times New Roman" w:hAnsi="Times New Roman" w:cs="Times New Roman"/>
                <w:bCs/>
                <w:color w:val="auto"/>
                <w:sz w:val="24"/>
                <w:vertAlign w:val="subscript"/>
              </w:rPr>
              <w:t>2</w:t>
            </w:r>
            <w:r>
              <w:rPr>
                <w:rFonts w:hint="default" w:ascii="Times New Roman" w:hAnsi="Times New Roman" w:cs="Times New Roman"/>
                <w:bCs/>
                <w:color w:val="auto"/>
                <w:sz w:val="24"/>
              </w:rPr>
              <w:t>、NO</w:t>
            </w:r>
            <w:r>
              <w:rPr>
                <w:rFonts w:hint="default" w:ascii="Times New Roman" w:hAnsi="Times New Roman" w:cs="Times New Roman"/>
                <w:bCs/>
                <w:color w:val="auto"/>
                <w:sz w:val="24"/>
                <w:vertAlign w:val="subscript"/>
              </w:rPr>
              <w:t>2</w:t>
            </w:r>
            <w:r>
              <w:rPr>
                <w:rFonts w:hint="default" w:ascii="Times New Roman" w:hAnsi="Times New Roman" w:cs="Times New Roman"/>
                <w:bCs/>
                <w:color w:val="auto"/>
                <w:sz w:val="24"/>
              </w:rPr>
              <w:t>、PM</w:t>
            </w:r>
            <w:r>
              <w:rPr>
                <w:rFonts w:hint="default" w:ascii="Times New Roman" w:hAnsi="Times New Roman" w:cs="Times New Roman"/>
                <w:bCs/>
                <w:color w:val="auto"/>
                <w:sz w:val="24"/>
                <w:vertAlign w:val="subscript"/>
              </w:rPr>
              <w:t>10</w:t>
            </w:r>
            <w:r>
              <w:rPr>
                <w:rFonts w:hint="default" w:ascii="Times New Roman" w:hAnsi="Times New Roman" w:cs="Times New Roman"/>
                <w:bCs/>
                <w:color w:val="auto"/>
                <w:sz w:val="24"/>
              </w:rPr>
              <w:t>、PM</w:t>
            </w:r>
            <w:r>
              <w:rPr>
                <w:rFonts w:hint="default" w:ascii="Times New Roman" w:hAnsi="Times New Roman" w:cs="Times New Roman"/>
                <w:bCs/>
                <w:color w:val="auto"/>
                <w:sz w:val="24"/>
                <w:vertAlign w:val="subscript"/>
              </w:rPr>
              <w:t>2.5</w:t>
            </w:r>
            <w:r>
              <w:rPr>
                <w:rFonts w:hint="default" w:ascii="Times New Roman" w:hAnsi="Times New Roman" w:cs="Times New Roman"/>
                <w:bCs/>
                <w:color w:val="auto"/>
                <w:sz w:val="24"/>
              </w:rPr>
              <w:t>、CO和O</w:t>
            </w:r>
            <w:r>
              <w:rPr>
                <w:rFonts w:hint="default" w:ascii="Times New Roman" w:hAnsi="Times New Roman" w:cs="Times New Roman"/>
                <w:bCs/>
                <w:color w:val="auto"/>
                <w:sz w:val="24"/>
                <w:vertAlign w:val="subscript"/>
              </w:rPr>
              <w:t>3</w:t>
            </w:r>
            <w:r>
              <w:rPr>
                <w:rFonts w:hint="default" w:ascii="Times New Roman" w:hAnsi="Times New Roman" w:cs="Times New Roman"/>
                <w:bCs/>
                <w:color w:val="auto"/>
                <w:sz w:val="24"/>
              </w:rPr>
              <w:t>各项指标年均浓度和相应百分位数24h平均或8h平均质量浓度满足《环境空气质量标准》（GB3095-2012）二级标准限值要求。</w:t>
            </w:r>
          </w:p>
          <w:p>
            <w:pPr>
              <w:adjustRightInd w:val="0"/>
              <w:snapToGrid w:val="0"/>
              <w:spacing w:line="360" w:lineRule="auto"/>
              <w:ind w:firstLine="480"/>
              <w:rPr>
                <w:rFonts w:hint="default" w:ascii="Times New Roman" w:hAnsi="Times New Roman" w:cs="Times New Roman"/>
                <w:b/>
                <w:bCs w:val="0"/>
                <w:color w:val="auto"/>
                <w:sz w:val="24"/>
              </w:rPr>
            </w:pPr>
            <w:r>
              <w:rPr>
                <w:rFonts w:hint="default" w:ascii="Times New Roman" w:hAnsi="Times New Roman" w:cs="Times New Roman"/>
                <w:bCs/>
                <w:color w:val="auto"/>
                <w:sz w:val="24"/>
              </w:rPr>
              <w:t>因此，项目所在评价区域为</w:t>
            </w:r>
            <w:r>
              <w:rPr>
                <w:rFonts w:hint="default" w:ascii="Times New Roman" w:hAnsi="Times New Roman" w:cs="Times New Roman"/>
                <w:b/>
                <w:bCs w:val="0"/>
                <w:color w:val="auto"/>
                <w:sz w:val="24"/>
              </w:rPr>
              <w:t>达标区。</w:t>
            </w:r>
          </w:p>
          <w:p>
            <w:pPr>
              <w:autoSpaceDE w:val="0"/>
              <w:autoSpaceDN w:val="0"/>
              <w:adjustRightInd w:val="0"/>
              <w:snapToGrid w:val="0"/>
              <w:spacing w:line="360" w:lineRule="auto"/>
              <w:ind w:firstLine="482" w:firstLineChars="200"/>
              <w:textAlignment w:val="center"/>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、地表水环境质量现状调查与评价</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根据四川中和环境检测技术有限公司于202</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月对市中区水库水质环境质量例行监测报告（川中环检字（2022）第</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水</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1066号），本项目</w:t>
            </w:r>
            <w:r>
              <w:rPr>
                <w:rFonts w:hint="default" w:ascii="Times New Roman" w:hAnsi="Times New Roman" w:eastAsia="宋体" w:cs="Times New Roman"/>
                <w:color w:val="auto"/>
                <w:sz w:val="24"/>
                <w:szCs w:val="24"/>
                <w:lang w:val="en-US" w:eastAsia="zh-CN"/>
              </w:rPr>
              <w:t>山珍</w:t>
            </w:r>
            <w:r>
              <w:rPr>
                <w:rFonts w:hint="default" w:ascii="Times New Roman" w:hAnsi="Times New Roman" w:eastAsia="宋体" w:cs="Times New Roman"/>
                <w:color w:val="auto"/>
                <w:sz w:val="24"/>
                <w:szCs w:val="24"/>
              </w:rPr>
              <w:t>水库水质监测结果如表3-</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所示。</w:t>
            </w:r>
          </w:p>
          <w:p>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表</w:t>
            </w:r>
            <w:r>
              <w:rPr>
                <w:rFonts w:hint="default" w:ascii="Times New Roman" w:hAnsi="Times New Roman" w:eastAsia="宋体" w:cs="Times New Roman"/>
                <w:b/>
                <w:bCs/>
                <w:color w:val="auto"/>
                <w:sz w:val="21"/>
                <w:szCs w:val="21"/>
              </w:rPr>
              <w:t>3-</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 xml:space="preserve"> </w:t>
            </w:r>
            <w:r>
              <w:rPr>
                <w:rFonts w:hint="default" w:ascii="Times New Roman" w:hAnsi="Times New Roman" w:eastAsia="宋体"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rPr>
              <w:t>202</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年</w:t>
            </w:r>
            <w:r>
              <w:rPr>
                <w:rFonts w:hint="default" w:ascii="Times New Roman" w:hAnsi="Times New Roman" w:eastAsia="宋体" w:cs="Times New Roman"/>
                <w:b/>
                <w:bCs/>
                <w:color w:val="auto"/>
                <w:sz w:val="21"/>
                <w:szCs w:val="21"/>
                <w:lang w:val="en-US" w:eastAsia="zh-CN"/>
              </w:rPr>
              <w:t>7</w:t>
            </w:r>
            <w:r>
              <w:rPr>
                <w:rFonts w:hint="default" w:ascii="Times New Roman" w:hAnsi="Times New Roman" w:eastAsia="宋体" w:cs="Times New Roman"/>
                <w:b/>
                <w:bCs/>
                <w:color w:val="auto"/>
                <w:sz w:val="21"/>
                <w:szCs w:val="21"/>
              </w:rPr>
              <w:t>月</w:t>
            </w:r>
            <w:r>
              <w:rPr>
                <w:rFonts w:hint="default" w:ascii="Times New Roman" w:hAnsi="Times New Roman" w:eastAsia="宋体" w:cs="Times New Roman"/>
                <w:b/>
                <w:bCs/>
                <w:color w:val="auto"/>
                <w:sz w:val="21"/>
                <w:szCs w:val="21"/>
                <w:lang w:val="en-US" w:eastAsia="zh-CN"/>
              </w:rPr>
              <w:t>山珍</w:t>
            </w:r>
            <w:r>
              <w:rPr>
                <w:rFonts w:hint="default" w:ascii="Times New Roman" w:hAnsi="Times New Roman" w:eastAsia="宋体" w:cs="Times New Roman"/>
                <w:b/>
                <w:bCs/>
                <w:color w:val="auto"/>
                <w:sz w:val="21"/>
                <w:szCs w:val="21"/>
              </w:rPr>
              <w:t xml:space="preserve">水库水质监测结果 </w:t>
            </w:r>
            <w:r>
              <w:rPr>
                <w:rFonts w:hint="default" w:ascii="Times New Roman" w:hAnsi="Times New Roman" w:eastAsia="宋体"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rPr>
              <w:t>单位：mg/L</w:t>
            </w:r>
          </w:p>
          <w:tbl>
            <w:tblPr>
              <w:tblStyle w:val="40"/>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1"/>
              <w:gridCol w:w="1722"/>
              <w:gridCol w:w="1854"/>
              <w:gridCol w:w="1856"/>
              <w:gridCol w:w="18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 w:type="pct"/>
                  <w:noWrap w:val="0"/>
                  <w:vAlign w:val="center"/>
                </w:tcPr>
                <w:p>
                  <w:pPr>
                    <w:keepNext w:val="0"/>
                    <w:keepLines w:val="0"/>
                    <w:pageBreakBefore w:val="0"/>
                    <w:widowControl w:val="0"/>
                    <w:kinsoku/>
                    <w:wordWrap/>
                    <w:overflowPunct/>
                    <w:topLinePunct w:val="0"/>
                    <w:bidi w:val="0"/>
                    <w:adjustRightInd/>
                    <w:snapToGrid/>
                    <w:spacing w:line="240" w:lineRule="auto"/>
                    <w:ind w:firstLine="840" w:firstLineChars="400"/>
                    <w:textAlignment w:val="auto"/>
                    <w:outlineLvl w:val="9"/>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color w:val="auto"/>
                      <w:sz w:val="21"/>
                    </w:rPr>
                    <mc:AlternateContent>
                      <mc:Choice Requires="wps">
                        <w:drawing>
                          <wp:anchor distT="0" distB="0" distL="114300" distR="114300" simplePos="0" relativeHeight="251659264" behindDoc="0" locked="0" layoutInCell="1" allowOverlap="1">
                            <wp:simplePos x="0" y="0"/>
                            <wp:positionH relativeFrom="column">
                              <wp:posOffset>-55245</wp:posOffset>
                            </wp:positionH>
                            <wp:positionV relativeFrom="paragraph">
                              <wp:posOffset>-5715</wp:posOffset>
                            </wp:positionV>
                            <wp:extent cx="1213485" cy="354965"/>
                            <wp:effectExtent l="1270" t="4445" r="4445" b="21590"/>
                            <wp:wrapNone/>
                            <wp:docPr id="6" name="直接连接符 6"/>
                            <wp:cNvGraphicFramePr/>
                            <a:graphic xmlns:a="http://schemas.openxmlformats.org/drawingml/2006/main">
                              <a:graphicData uri="http://schemas.microsoft.com/office/word/2010/wordprocessingShape">
                                <wps:wsp>
                                  <wps:cNvSpPr/>
                                  <wps:spPr>
                                    <a:xfrm>
                                      <a:off x="0" y="0"/>
                                      <a:ext cx="1213485" cy="35496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4.35pt;margin-top:-0.45pt;height:27.95pt;width:95.55pt;z-index:251659264;mso-width-relative:page;mso-height-relative:page;" filled="f" stroked="t" coordsize="21600,21600" o:gfxdata="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C7P8x1gAAAAcBAAAPAAAAAAAAAAEAIAAAACIAAABkcnMvZG93bnJldi54bWxQ&#10;SwECFAAUAAAACACHTuJAYoHKo/kBAADpAwAADgAAAAAAAAABACAAAAAlAQAAZHJzL2Uyb0RvYy54&#10;bWxQSwUGAAAAAAYABgBZAQAAkAUAAAAA&#10;">
                            <v:fill on="f" focussize="0,0"/>
                            <v:stroke color="#000000" joinstyle="round"/>
                            <v:imagedata o:title=""/>
                            <o:lock v:ext="edit" aspectratio="f"/>
                          </v:line>
                        </w:pict>
                      </mc:Fallback>
                    </mc:AlternateContent>
                  </w:r>
                  <w:r>
                    <w:rPr>
                      <w:rFonts w:hint="default" w:ascii="Times New Roman" w:hAnsi="Times New Roman" w:cs="Times New Roman"/>
                      <w:b w:val="0"/>
                      <w:bCs w:val="0"/>
                      <w:color w:val="auto"/>
                      <w:sz w:val="21"/>
                      <w:szCs w:val="21"/>
                      <w:lang w:val="en-US" w:eastAsia="zh-CN"/>
                    </w:rPr>
                    <w:t>监测项目</w:t>
                  </w:r>
                </w:p>
                <w:p>
                  <w:pPr>
                    <w:pStyle w:val="50"/>
                    <w:keepNext w:val="0"/>
                    <w:keepLines w:val="0"/>
                    <w:pageBreakBefore w:val="0"/>
                    <w:widowControl w:val="0"/>
                    <w:kinsoku/>
                    <w:wordWrap/>
                    <w:overflowPunct/>
                    <w:topLinePunct w:val="0"/>
                    <w:bidi w:val="0"/>
                    <w:adjustRightInd/>
                    <w:snapToGrid/>
                    <w:spacing w:line="240" w:lineRule="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vertAlign w:val="baseline"/>
                      <w:lang w:val="en-US" w:eastAsia="zh-CN"/>
                    </w:rPr>
                    <w:t>名称</w:t>
                  </w:r>
                </w:p>
              </w:tc>
              <w:tc>
                <w:tcPr>
                  <w:tcW w:w="928" w:type="pct"/>
                  <w:noWrap w:val="0"/>
                  <w:vAlign w:val="center"/>
                </w:tcPr>
                <w:p>
                  <w:pPr>
                    <w:keepNext w:val="0"/>
                    <w:keepLines w:val="0"/>
                    <w:pageBreakBefore w:val="0"/>
                    <w:widowControl w:val="0"/>
                    <w:kinsoku/>
                    <w:wordWrap/>
                    <w:overflowPunct/>
                    <w:topLinePunct w:val="0"/>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COD</w:t>
                  </w:r>
                  <w:r>
                    <w:rPr>
                      <w:rFonts w:hint="default" w:ascii="Times New Roman" w:hAnsi="Times New Roman" w:eastAsia="宋体" w:cs="Times New Roman"/>
                      <w:b w:val="0"/>
                      <w:bCs w:val="0"/>
                      <w:color w:val="auto"/>
                      <w:sz w:val="21"/>
                      <w:szCs w:val="21"/>
                      <w:vertAlign w:val="subscript"/>
                      <w:lang w:val="en-US" w:eastAsia="zh-CN"/>
                    </w:rPr>
                    <w:t>Mn</w:t>
                  </w:r>
                </w:p>
              </w:tc>
              <w:tc>
                <w:tcPr>
                  <w:tcW w:w="999" w:type="pct"/>
                  <w:noWrap w:val="0"/>
                  <w:vAlign w:val="center"/>
                </w:tcPr>
                <w:p>
                  <w:pPr>
                    <w:keepNext w:val="0"/>
                    <w:keepLines w:val="0"/>
                    <w:pageBreakBefore w:val="0"/>
                    <w:widowControl w:val="0"/>
                    <w:kinsoku/>
                    <w:wordWrap/>
                    <w:overflowPunct/>
                    <w:topLinePunct w:val="0"/>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总氮</w:t>
                  </w:r>
                </w:p>
              </w:tc>
              <w:tc>
                <w:tcPr>
                  <w:tcW w:w="1000" w:type="pct"/>
                  <w:noWrap w:val="0"/>
                  <w:vAlign w:val="center"/>
                </w:tcPr>
                <w:p>
                  <w:pPr>
                    <w:keepNext w:val="0"/>
                    <w:keepLines w:val="0"/>
                    <w:pageBreakBefore w:val="0"/>
                    <w:widowControl w:val="0"/>
                    <w:kinsoku/>
                    <w:wordWrap/>
                    <w:overflowPunct/>
                    <w:topLinePunct w:val="0"/>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总磷</w:t>
                  </w:r>
                </w:p>
              </w:tc>
              <w:tc>
                <w:tcPr>
                  <w:tcW w:w="1002" w:type="pct"/>
                  <w:noWrap w:val="0"/>
                  <w:vAlign w:val="center"/>
                </w:tcPr>
                <w:p>
                  <w:pPr>
                    <w:keepNext w:val="0"/>
                    <w:keepLines w:val="0"/>
                    <w:pageBreakBefore w:val="0"/>
                    <w:widowControl w:val="0"/>
                    <w:kinsoku/>
                    <w:wordWrap/>
                    <w:overflowPunct/>
                    <w:topLinePunct w:val="0"/>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叶绿素a（ug/L）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 w:type="pct"/>
                  <w:noWrap w:val="0"/>
                  <w:vAlign w:val="center"/>
                </w:tcPr>
                <w:p>
                  <w:pPr>
                    <w:keepNext w:val="0"/>
                    <w:keepLines w:val="0"/>
                    <w:pageBreakBefore w:val="0"/>
                    <w:widowControl w:val="0"/>
                    <w:kinsoku/>
                    <w:wordWrap/>
                    <w:overflowPunct/>
                    <w:topLinePunct w:val="0"/>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山珍水库</w:t>
                  </w:r>
                </w:p>
              </w:tc>
              <w:tc>
                <w:tcPr>
                  <w:tcW w:w="928" w:type="pct"/>
                  <w:noWrap w:val="0"/>
                  <w:vAlign w:val="center"/>
                </w:tcPr>
                <w:p>
                  <w:pPr>
                    <w:keepNext w:val="0"/>
                    <w:keepLines w:val="0"/>
                    <w:pageBreakBefore w:val="0"/>
                    <w:widowControl w:val="0"/>
                    <w:kinsoku/>
                    <w:wordWrap/>
                    <w:overflowPunct/>
                    <w:topLinePunct w:val="0"/>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7.1</w:t>
                  </w:r>
                </w:p>
              </w:tc>
              <w:tc>
                <w:tcPr>
                  <w:tcW w:w="999" w:type="pct"/>
                  <w:noWrap w:val="0"/>
                  <w:vAlign w:val="center"/>
                </w:tcPr>
                <w:p>
                  <w:pPr>
                    <w:keepNext w:val="0"/>
                    <w:keepLines w:val="0"/>
                    <w:pageBreakBefore w:val="0"/>
                    <w:widowControl w:val="0"/>
                    <w:kinsoku/>
                    <w:wordWrap/>
                    <w:overflowPunct/>
                    <w:topLinePunct w:val="0"/>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2.13</w:t>
                  </w:r>
                </w:p>
              </w:tc>
              <w:tc>
                <w:tcPr>
                  <w:tcW w:w="1000" w:type="pct"/>
                  <w:noWrap w:val="0"/>
                  <w:vAlign w:val="center"/>
                </w:tcPr>
                <w:p>
                  <w:pPr>
                    <w:keepNext w:val="0"/>
                    <w:keepLines w:val="0"/>
                    <w:pageBreakBefore w:val="0"/>
                    <w:widowControl w:val="0"/>
                    <w:kinsoku/>
                    <w:wordWrap/>
                    <w:overflowPunct/>
                    <w:topLinePunct w:val="0"/>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0.08</w:t>
                  </w:r>
                </w:p>
              </w:tc>
              <w:tc>
                <w:tcPr>
                  <w:tcW w:w="1002" w:type="pct"/>
                  <w:noWrap w:val="0"/>
                  <w:vAlign w:val="center"/>
                </w:tcPr>
                <w:p>
                  <w:pPr>
                    <w:keepNext w:val="0"/>
                    <w:keepLines w:val="0"/>
                    <w:pageBreakBefore w:val="0"/>
                    <w:widowControl w:val="0"/>
                    <w:kinsoku/>
                    <w:wordWrap/>
                    <w:overflowPunct/>
                    <w:topLinePunct w:val="0"/>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5"/>
                  <w:noWrap w:val="0"/>
                  <w:vAlign w:val="center"/>
                </w:tcPr>
                <w:p>
                  <w:pPr>
                    <w:keepNext w:val="0"/>
                    <w:keepLines w:val="0"/>
                    <w:pageBreakBefore w:val="0"/>
                    <w:widowControl w:val="0"/>
                    <w:kinsoku/>
                    <w:wordWrap/>
                    <w:overflowPunct/>
                    <w:topLinePunct w:val="0"/>
                    <w:bidi w:val="0"/>
                    <w:adjustRightInd/>
                    <w:snapToGrid/>
                    <w:spacing w:line="240" w:lineRule="auto"/>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《地表水环境质量标准》（GB3838-2002）中Ⅲ类水域功能标准限值：高锰酸盐指数（COD</w:t>
                  </w:r>
                  <w:r>
                    <w:rPr>
                      <w:rFonts w:hint="default" w:ascii="Times New Roman" w:hAnsi="Times New Roman" w:eastAsia="宋体" w:cs="Times New Roman"/>
                      <w:b w:val="0"/>
                      <w:bCs w:val="0"/>
                      <w:color w:val="auto"/>
                      <w:sz w:val="21"/>
                      <w:szCs w:val="21"/>
                      <w:vertAlign w:val="subscript"/>
                      <w:lang w:val="en-US" w:eastAsia="zh-CN"/>
                    </w:rPr>
                    <w:t>Mn</w:t>
                  </w:r>
                  <w:r>
                    <w:rPr>
                      <w:rFonts w:hint="default" w:ascii="Times New Roman" w:hAnsi="Times New Roman" w:eastAsia="宋体" w:cs="Times New Roman"/>
                      <w:b w:val="0"/>
                      <w:bCs w:val="0"/>
                      <w:color w:val="auto"/>
                      <w:sz w:val="21"/>
                      <w:szCs w:val="21"/>
                      <w:vertAlign w:val="baseline"/>
                      <w:lang w:val="en-US" w:eastAsia="zh-CN"/>
                    </w:rPr>
                    <w:t>）≤6；总氮≤1；总磷≤0.05</w:t>
                  </w:r>
                </w:p>
              </w:tc>
            </w:tr>
          </w:tbl>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根据现场踏勘，山珍水库水体功能主要为灌溉，不涉及饮用、发电等功能。由监测结果分析可知，水库各水质监测因子中COD</w:t>
            </w:r>
            <w:r>
              <w:rPr>
                <w:rFonts w:hint="default" w:ascii="Times New Roman" w:hAnsi="Times New Roman" w:eastAsia="宋体" w:cs="Times New Roman"/>
                <w:b w:val="0"/>
                <w:bCs w:val="0"/>
                <w:color w:val="auto"/>
                <w:sz w:val="24"/>
                <w:szCs w:val="24"/>
                <w:vertAlign w:val="subscript"/>
                <w:lang w:val="en-US" w:eastAsia="zh-CN"/>
              </w:rPr>
              <w:t>Mn</w:t>
            </w:r>
            <w:r>
              <w:rPr>
                <w:rFonts w:hint="default" w:ascii="Times New Roman" w:hAnsi="Times New Roman" w:eastAsia="宋体" w:cs="Times New Roman"/>
                <w:b w:val="0"/>
                <w:bCs w:val="0"/>
                <w:color w:val="auto"/>
                <w:sz w:val="24"/>
                <w:szCs w:val="24"/>
                <w:lang w:val="en-US" w:eastAsia="zh-CN"/>
              </w:rPr>
              <w:t>、总氮、总磷均不能达到《地表水环境质量标准》（GB3838-2002）中Ⅲ类水域功能标准。</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根据调查，水库涉及水产养殖，对水库水质造成一定影响；水库周边有零星散户，生活污染物（生活废水、固体废物）通过地表径流进入库区，对库区水质造成影响；水库周边农田耕地，农作物化肥、农药的施用导致水体污染；库区内植被沉积腐烂，一定程度上增加了水体富营养化。本项目要求水库除险加固后严禁肥水养鱼；加强库区水生植物管理，定期打捞水葫芦、紫茎泽兰、浮萍等，严格控制其繁殖和蔓延；加村宣传，提高村民治污意识，禁止生活污水直接排放；建立水质保护长效管理机制。通过以上措施使水库水质不低于《地表水环境质量标准》（GB3838-2002）Ⅲ类。</w:t>
            </w:r>
          </w:p>
          <w:p>
            <w:pPr>
              <w:autoSpaceDE w:val="0"/>
              <w:autoSpaceDN w:val="0"/>
              <w:adjustRightInd w:val="0"/>
              <w:snapToGrid w:val="0"/>
              <w:spacing w:line="360" w:lineRule="auto"/>
              <w:ind w:firstLine="482" w:firstLineChars="200"/>
              <w:textAlignment w:val="center"/>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、声环境质量现状调查与评价</w:t>
            </w:r>
          </w:p>
          <w:p>
            <w:pPr>
              <w:autoSpaceDE w:val="0"/>
              <w:autoSpaceDN w:val="0"/>
              <w:adjustRightInd w:val="0"/>
              <w:snapToGrid w:val="0"/>
              <w:spacing w:line="360" w:lineRule="auto"/>
              <w:ind w:firstLine="480" w:firstLineChars="200"/>
              <w:textAlignment w:val="center"/>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监测点位布设单位：LeqdB(A)</w:t>
            </w:r>
          </w:p>
          <w:p>
            <w:pPr>
              <w:autoSpaceDE w:val="0"/>
              <w:autoSpaceDN w:val="0"/>
              <w:adjustRightInd w:val="0"/>
              <w:snapToGrid w:val="0"/>
              <w:spacing w:line="360" w:lineRule="auto"/>
              <w:ind w:firstLine="480" w:firstLineChars="200"/>
              <w:textAlignment w:val="center"/>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项目设</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个监测点：1#</w:t>
            </w:r>
            <w:r>
              <w:rPr>
                <w:rFonts w:hint="default" w:ascii="Times New Roman" w:hAnsi="Times New Roman" w:cs="Times New Roman"/>
                <w:b w:val="0"/>
                <w:bCs/>
                <w:color w:val="auto"/>
                <w:sz w:val="24"/>
                <w:szCs w:val="24"/>
                <w:lang w:val="en-US" w:eastAsia="zh-CN"/>
              </w:rPr>
              <w:t>项目水库主坝西侧居民处</w:t>
            </w:r>
            <w:r>
              <w:rPr>
                <w:rFonts w:hint="default" w:ascii="Times New Roman" w:hAnsi="Times New Roman" w:eastAsia="宋体" w:cs="Times New Roman"/>
                <w:color w:val="auto"/>
                <w:kern w:val="0"/>
                <w:sz w:val="24"/>
                <w:szCs w:val="24"/>
              </w:rPr>
              <w:t>；</w:t>
            </w:r>
            <w:r>
              <w:rPr>
                <w:rFonts w:hint="default" w:ascii="Times New Roman" w:hAnsi="Times New Roman" w:eastAsia="宋体" w:cs="Times New Roman"/>
                <w:color w:val="auto"/>
                <w:sz w:val="24"/>
                <w:szCs w:val="24"/>
              </w:rPr>
              <w:t>2#</w:t>
            </w:r>
            <w:r>
              <w:rPr>
                <w:rFonts w:hint="default" w:ascii="Times New Roman" w:hAnsi="Times New Roman" w:cs="Times New Roman"/>
                <w:b w:val="0"/>
                <w:bCs/>
                <w:color w:val="auto"/>
                <w:sz w:val="24"/>
                <w:szCs w:val="24"/>
                <w:lang w:val="en-US" w:eastAsia="zh-CN"/>
              </w:rPr>
              <w:t>项目水库管理处南侧居民处</w:t>
            </w:r>
            <w:r>
              <w:rPr>
                <w:rFonts w:hint="default" w:ascii="Times New Roman" w:hAnsi="Times New Roman" w:eastAsia="宋体" w:cs="Times New Roman"/>
                <w:color w:val="auto"/>
                <w:kern w:val="0"/>
                <w:sz w:val="24"/>
                <w:szCs w:val="24"/>
              </w:rPr>
              <w:t>；</w:t>
            </w:r>
            <w:r>
              <w:rPr>
                <w:rFonts w:hint="default" w:ascii="Times New Roman" w:hAnsi="Times New Roman" w:eastAsia="宋体" w:cs="Times New Roman"/>
                <w:color w:val="auto"/>
                <w:sz w:val="24"/>
                <w:szCs w:val="24"/>
              </w:rPr>
              <w:t>3#</w:t>
            </w:r>
            <w:r>
              <w:rPr>
                <w:rFonts w:hint="default" w:ascii="Times New Roman" w:hAnsi="Times New Roman" w:cs="Times New Roman"/>
                <w:b w:val="0"/>
                <w:bCs/>
                <w:color w:val="auto"/>
                <w:sz w:val="24"/>
                <w:szCs w:val="24"/>
                <w:lang w:val="en-US" w:eastAsia="zh-CN"/>
              </w:rPr>
              <w:t>项目水库溢洪道南侧居民处</w:t>
            </w:r>
            <w:r>
              <w:rPr>
                <w:rFonts w:hint="default" w:ascii="Times New Roman" w:hAnsi="Times New Roman" w:eastAsia="宋体" w:cs="Times New Roman"/>
                <w:color w:val="auto"/>
                <w:sz w:val="24"/>
                <w:szCs w:val="24"/>
              </w:rPr>
              <w:t>；4#</w:t>
            </w:r>
            <w:r>
              <w:rPr>
                <w:rFonts w:hint="default" w:ascii="Times New Roman" w:hAnsi="Times New Roman" w:cs="Times New Roman"/>
                <w:b w:val="0"/>
                <w:bCs/>
                <w:color w:val="auto"/>
                <w:sz w:val="24"/>
                <w:szCs w:val="24"/>
                <w:lang w:val="en-US" w:eastAsia="zh-CN"/>
              </w:rPr>
              <w:t>项目水库副坝东侧居民处</w:t>
            </w:r>
            <w:r>
              <w:rPr>
                <w:rFonts w:hint="default" w:ascii="Times New Roman" w:hAnsi="Times New Roman" w:eastAsia="宋体" w:cs="Times New Roman"/>
                <w:color w:val="auto"/>
                <w:kern w:val="0"/>
                <w:sz w:val="24"/>
                <w:szCs w:val="24"/>
              </w:rPr>
              <w:t>。</w:t>
            </w:r>
          </w:p>
          <w:p>
            <w:pPr>
              <w:autoSpaceDE w:val="0"/>
              <w:autoSpaceDN w:val="0"/>
              <w:adjustRightInd w:val="0"/>
              <w:snapToGrid w:val="0"/>
              <w:spacing w:line="360" w:lineRule="auto"/>
              <w:ind w:firstLine="480" w:firstLineChars="200"/>
              <w:textAlignment w:val="center"/>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噪声现状监测结果见表3-</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w:t>
            </w:r>
          </w:p>
          <w:p>
            <w:pPr>
              <w:adjustRightInd w:val="0"/>
              <w:snapToGrid w:val="0"/>
              <w:spacing w:line="360" w:lineRule="auto"/>
              <w:jc w:val="center"/>
              <w:textAlignment w:val="baseline"/>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表3-</w:t>
            </w:r>
            <w:r>
              <w:rPr>
                <w:rFonts w:hint="default" w:ascii="Times New Roman" w:hAnsi="Times New Roman" w:eastAsia="宋体" w:cs="Times New Roman"/>
                <w:b/>
                <w:bCs/>
                <w:color w:val="auto"/>
                <w:sz w:val="21"/>
                <w:szCs w:val="21"/>
                <w:lang w:val="en-US" w:eastAsia="zh-CN"/>
              </w:rPr>
              <w:t>3</w:t>
            </w:r>
            <w:r>
              <w:rPr>
                <w:rFonts w:hint="default" w:ascii="Times New Roman" w:hAnsi="Times New Roman" w:eastAsia="宋体" w:cs="Times New Roman"/>
                <w:b/>
                <w:bCs/>
                <w:color w:val="auto"/>
                <w:sz w:val="21"/>
                <w:szCs w:val="21"/>
              </w:rPr>
              <w:t xml:space="preserve">  环境噪声监测统计结果  单位：Leq dB(A)</w:t>
            </w:r>
          </w:p>
          <w:tbl>
            <w:tblPr>
              <w:tblStyle w:val="3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15"/>
              <w:gridCol w:w="1336"/>
              <w:gridCol w:w="1340"/>
              <w:gridCol w:w="16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8" w:type="pct"/>
                  <w:vMerge w:val="restart"/>
                  <w:noWrap w:val="0"/>
                  <w:vAlign w:val="center"/>
                </w:tcPr>
                <w:p>
                  <w:pPr>
                    <w:keepNext w:val="0"/>
                    <w:keepLines w:val="0"/>
                    <w:pageBreakBefore w:val="0"/>
                    <w:kinsoku/>
                    <w:wordWrap/>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监测点位</w:t>
                  </w:r>
                </w:p>
              </w:tc>
              <w:tc>
                <w:tcPr>
                  <w:tcW w:w="1442" w:type="pct"/>
                  <w:gridSpan w:val="2"/>
                  <w:noWrap w:val="0"/>
                  <w:vAlign w:val="center"/>
                </w:tcPr>
                <w:p>
                  <w:pPr>
                    <w:keepNext w:val="0"/>
                    <w:keepLines w:val="0"/>
                    <w:pageBreakBefore w:val="0"/>
                    <w:kinsoku/>
                    <w:wordWrap/>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b/>
                      <w:bCs/>
                      <w:i w:val="0"/>
                      <w:iCs w:val="0"/>
                      <w:color w:val="auto"/>
                      <w:sz w:val="21"/>
                      <w:szCs w:val="21"/>
                    </w:rPr>
                    <w:t>202</w:t>
                  </w:r>
                  <w:r>
                    <w:rPr>
                      <w:rFonts w:hint="default" w:ascii="Times New Roman" w:hAnsi="Times New Roman" w:eastAsia="宋体" w:cs="Times New Roman"/>
                      <w:b/>
                      <w:bCs/>
                      <w:i w:val="0"/>
                      <w:iCs w:val="0"/>
                      <w:color w:val="auto"/>
                      <w:sz w:val="21"/>
                      <w:szCs w:val="21"/>
                      <w:lang w:val="en-US" w:eastAsia="zh-CN"/>
                    </w:rPr>
                    <w:t>2</w:t>
                  </w:r>
                  <w:r>
                    <w:rPr>
                      <w:rFonts w:hint="default" w:ascii="Times New Roman" w:hAnsi="Times New Roman" w:eastAsia="宋体" w:cs="Times New Roman"/>
                      <w:b/>
                      <w:bCs/>
                      <w:i w:val="0"/>
                      <w:iCs w:val="0"/>
                      <w:color w:val="auto"/>
                      <w:sz w:val="21"/>
                      <w:szCs w:val="21"/>
                    </w:rPr>
                    <w:t>年</w:t>
                  </w:r>
                  <w:r>
                    <w:rPr>
                      <w:rFonts w:hint="default" w:ascii="Times New Roman" w:hAnsi="Times New Roman" w:eastAsia="宋体" w:cs="Times New Roman"/>
                      <w:b/>
                      <w:bCs/>
                      <w:i w:val="0"/>
                      <w:iCs w:val="0"/>
                      <w:color w:val="auto"/>
                      <w:sz w:val="21"/>
                      <w:szCs w:val="21"/>
                      <w:lang w:val="en-US" w:eastAsia="zh-CN"/>
                    </w:rPr>
                    <w:t>8月22日</w:t>
                  </w:r>
                </w:p>
              </w:tc>
              <w:tc>
                <w:tcPr>
                  <w:tcW w:w="909" w:type="pct"/>
                  <w:vMerge w:val="restart"/>
                  <w:noWrap w:val="0"/>
                  <w:vAlign w:val="center"/>
                </w:tcPr>
                <w:p>
                  <w:pPr>
                    <w:keepNext w:val="0"/>
                    <w:keepLines w:val="0"/>
                    <w:pageBreakBefore w:val="0"/>
                    <w:kinsoku/>
                    <w:wordWrap/>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auto"/>
                      <w:sz w:val="21"/>
                      <w:szCs w:val="21"/>
                      <w:lang w:val="en-US" w:eastAsia="zh-CN"/>
                    </w:rPr>
                  </w:pPr>
                  <w:r>
                    <w:rPr>
                      <w:rFonts w:hint="default" w:ascii="Times New Roman" w:hAnsi="Times New Roman" w:eastAsia="宋体" w:cs="Times New Roman"/>
                      <w:b/>
                      <w:bCs/>
                      <w:i w:val="0"/>
                      <w:iCs w:val="0"/>
                      <w:color w:val="auto"/>
                      <w:sz w:val="21"/>
                      <w:szCs w:val="21"/>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8" w:type="pct"/>
                  <w:vMerge w:val="continue"/>
                  <w:noWrap w:val="0"/>
                  <w:vAlign w:val="center"/>
                </w:tcPr>
                <w:p>
                  <w:pPr>
                    <w:keepNext w:val="0"/>
                    <w:keepLines w:val="0"/>
                    <w:pageBreakBefore w:val="0"/>
                    <w:kinsoku/>
                    <w:wordWrap/>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sz w:val="21"/>
                      <w:szCs w:val="21"/>
                    </w:rPr>
                  </w:pPr>
                </w:p>
              </w:tc>
              <w:tc>
                <w:tcPr>
                  <w:tcW w:w="720" w:type="pct"/>
                  <w:noWrap w:val="0"/>
                  <w:vAlign w:val="center"/>
                </w:tcPr>
                <w:p>
                  <w:pPr>
                    <w:keepNext w:val="0"/>
                    <w:keepLines w:val="0"/>
                    <w:pageBreakBefore w:val="0"/>
                    <w:kinsoku/>
                    <w:wordWrap/>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昼间</w:t>
                  </w:r>
                </w:p>
              </w:tc>
              <w:tc>
                <w:tcPr>
                  <w:tcW w:w="721" w:type="pct"/>
                  <w:noWrap w:val="0"/>
                  <w:vAlign w:val="center"/>
                </w:tcPr>
                <w:p>
                  <w:pPr>
                    <w:keepNext w:val="0"/>
                    <w:keepLines w:val="0"/>
                    <w:pageBreakBefore w:val="0"/>
                    <w:kinsoku/>
                    <w:wordWrap/>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夜间</w:t>
                  </w:r>
                </w:p>
              </w:tc>
              <w:tc>
                <w:tcPr>
                  <w:tcW w:w="909" w:type="pct"/>
                  <w:vMerge w:val="continue"/>
                  <w:noWrap w:val="0"/>
                  <w:vAlign w:val="center"/>
                </w:tcPr>
                <w:p>
                  <w:pPr>
                    <w:keepNext w:val="0"/>
                    <w:keepLines w:val="0"/>
                    <w:pageBreakBefore w:val="0"/>
                    <w:kinsoku/>
                    <w:wordWrap/>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8" w:type="pct"/>
                  <w:noWrap w:val="0"/>
                  <w:vAlign w:val="center"/>
                </w:tcPr>
                <w:p>
                  <w:pPr>
                    <w:keepNext w:val="0"/>
                    <w:keepLines w:val="0"/>
                    <w:pageBreakBefore w:val="0"/>
                    <w:widowControl w:val="0"/>
                    <w:kinsoku/>
                    <w:wordWrap/>
                    <w:overflowPunct/>
                    <w:topLinePunct w:val="0"/>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rPr>
                  </w:pPr>
                  <w:r>
                    <w:rPr>
                      <w:rFonts w:hint="default" w:ascii="Times New Roman" w:hAnsi="Times New Roman" w:cs="Times New Roman"/>
                      <w:b w:val="0"/>
                      <w:bCs/>
                      <w:color w:val="auto"/>
                      <w:sz w:val="21"/>
                      <w:szCs w:val="21"/>
                      <w:lang w:val="en-US" w:eastAsia="zh-CN"/>
                    </w:rPr>
                    <w:t>1#项目水库主坝西侧居民处</w:t>
                  </w:r>
                </w:p>
              </w:tc>
              <w:tc>
                <w:tcPr>
                  <w:tcW w:w="720" w:type="pct"/>
                  <w:noWrap w:val="0"/>
                  <w:vAlign w:val="center"/>
                </w:tcPr>
                <w:p>
                  <w:pPr>
                    <w:keepNext w:val="0"/>
                    <w:keepLines w:val="0"/>
                    <w:pageBreakBefore w:val="0"/>
                    <w:widowControl/>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SA"/>
                    </w:rPr>
                    <w:t>51</w:t>
                  </w:r>
                </w:p>
              </w:tc>
              <w:tc>
                <w:tcPr>
                  <w:tcW w:w="721" w:type="pct"/>
                  <w:noWrap w:val="0"/>
                  <w:vAlign w:val="center"/>
                </w:tcPr>
                <w:p>
                  <w:pPr>
                    <w:keepNext w:val="0"/>
                    <w:keepLines w:val="0"/>
                    <w:pageBreakBefore w:val="0"/>
                    <w:widowControl/>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SA"/>
                    </w:rPr>
                    <w:t>43</w:t>
                  </w:r>
                </w:p>
              </w:tc>
              <w:tc>
                <w:tcPr>
                  <w:tcW w:w="909" w:type="pct"/>
                  <w:vMerge w:val="restart"/>
                  <w:noWrap w:val="0"/>
                  <w:vAlign w:val="center"/>
                </w:tcPr>
                <w:p>
                  <w:pPr>
                    <w:keepNext w:val="0"/>
                    <w:keepLines w:val="0"/>
                    <w:pageBreakBefore w:val="0"/>
                    <w:kinsoku/>
                    <w:wordWrap/>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8" w:type="pct"/>
                  <w:noWrap w:val="0"/>
                  <w:vAlign w:val="center"/>
                </w:tcPr>
                <w:p>
                  <w:pPr>
                    <w:keepNext w:val="0"/>
                    <w:keepLines w:val="0"/>
                    <w:pageBreakBefore w:val="0"/>
                    <w:widowControl w:val="0"/>
                    <w:kinsoku/>
                    <w:wordWrap/>
                    <w:overflowPunct/>
                    <w:topLinePunct w:val="0"/>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rPr>
                  </w:pPr>
                  <w:r>
                    <w:rPr>
                      <w:rFonts w:hint="default" w:ascii="Times New Roman" w:hAnsi="Times New Roman" w:cs="Times New Roman"/>
                      <w:b w:val="0"/>
                      <w:bCs/>
                      <w:color w:val="auto"/>
                      <w:sz w:val="21"/>
                      <w:szCs w:val="21"/>
                      <w:lang w:val="en-US" w:eastAsia="zh-CN"/>
                    </w:rPr>
                    <w:t>2#项目水库管理处南侧居民处</w:t>
                  </w:r>
                </w:p>
              </w:tc>
              <w:tc>
                <w:tcPr>
                  <w:tcW w:w="720" w:type="pct"/>
                  <w:noWrap w:val="0"/>
                  <w:vAlign w:val="center"/>
                </w:tcPr>
                <w:p>
                  <w:pPr>
                    <w:keepNext w:val="0"/>
                    <w:keepLines w:val="0"/>
                    <w:pageBreakBefore w:val="0"/>
                    <w:widowControl/>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SA"/>
                    </w:rPr>
                    <w:t>56</w:t>
                  </w:r>
                </w:p>
              </w:tc>
              <w:tc>
                <w:tcPr>
                  <w:tcW w:w="721" w:type="pct"/>
                  <w:noWrap w:val="0"/>
                  <w:vAlign w:val="center"/>
                </w:tcPr>
                <w:p>
                  <w:pPr>
                    <w:keepNext w:val="0"/>
                    <w:keepLines w:val="0"/>
                    <w:pageBreakBefore w:val="0"/>
                    <w:widowControl/>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SA"/>
                    </w:rPr>
                    <w:t>47</w:t>
                  </w:r>
                </w:p>
              </w:tc>
              <w:tc>
                <w:tcPr>
                  <w:tcW w:w="909" w:type="pct"/>
                  <w:vMerge w:val="continue"/>
                  <w:noWrap w:val="0"/>
                  <w:vAlign w:val="center"/>
                </w:tcPr>
                <w:p>
                  <w:pPr>
                    <w:keepNext w:val="0"/>
                    <w:keepLines w:val="0"/>
                    <w:pageBreakBefore w:val="0"/>
                    <w:kinsoku/>
                    <w:wordWrap/>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8" w:type="pct"/>
                  <w:noWrap w:val="0"/>
                  <w:vAlign w:val="center"/>
                </w:tcPr>
                <w:p>
                  <w:pPr>
                    <w:keepNext w:val="0"/>
                    <w:keepLines w:val="0"/>
                    <w:pageBreakBefore w:val="0"/>
                    <w:widowControl w:val="0"/>
                    <w:kinsoku/>
                    <w:wordWrap/>
                    <w:overflowPunct/>
                    <w:topLinePunct w:val="0"/>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rPr>
                  </w:pPr>
                  <w:r>
                    <w:rPr>
                      <w:rFonts w:hint="default" w:ascii="Times New Roman" w:hAnsi="Times New Roman" w:cs="Times New Roman"/>
                      <w:b w:val="0"/>
                      <w:bCs/>
                      <w:color w:val="auto"/>
                      <w:sz w:val="21"/>
                      <w:szCs w:val="21"/>
                      <w:lang w:val="en-US" w:eastAsia="zh-CN"/>
                    </w:rPr>
                    <w:t>3#项目水库溢洪道南侧居民处</w:t>
                  </w:r>
                </w:p>
              </w:tc>
              <w:tc>
                <w:tcPr>
                  <w:tcW w:w="720" w:type="pct"/>
                  <w:noWrap w:val="0"/>
                  <w:vAlign w:val="center"/>
                </w:tcPr>
                <w:p>
                  <w:pPr>
                    <w:keepNext w:val="0"/>
                    <w:keepLines w:val="0"/>
                    <w:pageBreakBefore w:val="0"/>
                    <w:widowControl/>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SA"/>
                    </w:rPr>
                    <w:t>53</w:t>
                  </w:r>
                </w:p>
              </w:tc>
              <w:tc>
                <w:tcPr>
                  <w:tcW w:w="721" w:type="pct"/>
                  <w:noWrap w:val="0"/>
                  <w:vAlign w:val="center"/>
                </w:tcPr>
                <w:p>
                  <w:pPr>
                    <w:keepNext w:val="0"/>
                    <w:keepLines w:val="0"/>
                    <w:pageBreakBefore w:val="0"/>
                    <w:widowControl/>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SA"/>
                    </w:rPr>
                    <w:t>44</w:t>
                  </w:r>
                </w:p>
              </w:tc>
              <w:tc>
                <w:tcPr>
                  <w:tcW w:w="909" w:type="pct"/>
                  <w:vMerge w:val="continue"/>
                  <w:noWrap w:val="0"/>
                  <w:vAlign w:val="center"/>
                </w:tcPr>
                <w:p>
                  <w:pPr>
                    <w:keepNext w:val="0"/>
                    <w:keepLines w:val="0"/>
                    <w:pageBreakBefore w:val="0"/>
                    <w:kinsoku/>
                    <w:wordWrap/>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2648" w:type="pct"/>
                  <w:noWrap w:val="0"/>
                  <w:vAlign w:val="center"/>
                </w:tcPr>
                <w:p>
                  <w:pPr>
                    <w:keepNext w:val="0"/>
                    <w:keepLines w:val="0"/>
                    <w:pageBreakBefore w:val="0"/>
                    <w:widowControl w:val="0"/>
                    <w:kinsoku/>
                    <w:wordWrap/>
                    <w:overflowPunct/>
                    <w:topLinePunct w:val="0"/>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rPr>
                  </w:pPr>
                  <w:r>
                    <w:rPr>
                      <w:rFonts w:hint="default" w:ascii="Times New Roman" w:hAnsi="Times New Roman" w:cs="Times New Roman"/>
                      <w:b w:val="0"/>
                      <w:bCs/>
                      <w:color w:val="auto"/>
                      <w:sz w:val="21"/>
                      <w:szCs w:val="21"/>
                      <w:lang w:val="en-US" w:eastAsia="zh-CN"/>
                    </w:rPr>
                    <w:t>4#项目水库副坝东侧居民处</w:t>
                  </w:r>
                </w:p>
              </w:tc>
              <w:tc>
                <w:tcPr>
                  <w:tcW w:w="720" w:type="pct"/>
                  <w:noWrap w:val="0"/>
                  <w:vAlign w:val="center"/>
                </w:tcPr>
                <w:p>
                  <w:pPr>
                    <w:keepNext w:val="0"/>
                    <w:keepLines w:val="0"/>
                    <w:pageBreakBefore w:val="0"/>
                    <w:widowControl/>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SA"/>
                    </w:rPr>
                    <w:t>53</w:t>
                  </w:r>
                </w:p>
              </w:tc>
              <w:tc>
                <w:tcPr>
                  <w:tcW w:w="721" w:type="pct"/>
                  <w:noWrap w:val="0"/>
                  <w:vAlign w:val="center"/>
                </w:tcPr>
                <w:p>
                  <w:pPr>
                    <w:keepNext w:val="0"/>
                    <w:keepLines w:val="0"/>
                    <w:pageBreakBefore w:val="0"/>
                    <w:widowControl/>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SA"/>
                    </w:rPr>
                    <w:t>47</w:t>
                  </w:r>
                </w:p>
              </w:tc>
              <w:tc>
                <w:tcPr>
                  <w:tcW w:w="909" w:type="pct"/>
                  <w:vMerge w:val="continue"/>
                  <w:noWrap w:val="0"/>
                  <w:vAlign w:val="center"/>
                </w:tcPr>
                <w:p>
                  <w:pPr>
                    <w:keepNext w:val="0"/>
                    <w:keepLines w:val="0"/>
                    <w:pageBreakBefore w:val="0"/>
                    <w:kinsoku/>
                    <w:wordWrap/>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8" w:type="pct"/>
                  <w:noWrap w:val="0"/>
                  <w:vAlign w:val="center"/>
                </w:tcPr>
                <w:p>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《声环境质量标准》（GB3096-2008）中2类标准</w:t>
                  </w:r>
                </w:p>
              </w:tc>
              <w:tc>
                <w:tcPr>
                  <w:tcW w:w="2351" w:type="pct"/>
                  <w:gridSpan w:val="3"/>
                  <w:noWrap w:val="0"/>
                  <w:vAlign w:val="center"/>
                </w:tcPr>
                <w:p>
                  <w:pPr>
                    <w:keepNext w:val="0"/>
                    <w:keepLines w:val="0"/>
                    <w:pageBreakBefore w:val="0"/>
                    <w:kinsoku/>
                    <w:wordWrap/>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2类</w:t>
                  </w:r>
                  <w:r>
                    <w:rPr>
                      <w:rFonts w:hint="default" w:ascii="Times New Roman" w:hAnsi="Times New Roman" w:eastAsia="宋体" w:cs="Times New Roman"/>
                      <w:color w:val="auto"/>
                      <w:sz w:val="21"/>
                      <w:szCs w:val="21"/>
                    </w:rPr>
                    <w:t>：昼间≤60，夜间≤50</w:t>
                  </w:r>
                </w:p>
              </w:tc>
            </w:tr>
          </w:tbl>
          <w:p>
            <w:pPr>
              <w:autoSpaceDE w:val="0"/>
              <w:autoSpaceDN w:val="0"/>
              <w:adjustRightInd w:val="0"/>
              <w:snapToGrid w:val="0"/>
              <w:spacing w:line="360" w:lineRule="auto"/>
              <w:ind w:firstLine="480" w:firstLineChars="200"/>
              <w:textAlignment w:val="center"/>
              <w:outlineLvl w:val="9"/>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sz w:val="24"/>
                <w:szCs w:val="24"/>
              </w:rPr>
              <w:t>从表3-</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监测结果可见，</w:t>
            </w:r>
            <w:r>
              <w:rPr>
                <w:rFonts w:hint="default" w:ascii="Times New Roman" w:hAnsi="Times New Roman" w:eastAsia="宋体" w:cs="Times New Roman"/>
                <w:color w:val="auto"/>
                <w:sz w:val="24"/>
                <w:szCs w:val="24"/>
                <w:lang w:val="en-US" w:eastAsia="zh-CN" w:bidi="ar"/>
              </w:rPr>
              <w:t>4</w:t>
            </w:r>
            <w:r>
              <w:rPr>
                <w:rFonts w:hint="default" w:ascii="Times New Roman" w:hAnsi="Times New Roman" w:eastAsia="宋体" w:cs="Times New Roman"/>
                <w:color w:val="auto"/>
                <w:sz w:val="24"/>
                <w:szCs w:val="24"/>
                <w:lang w:bidi="ar"/>
              </w:rPr>
              <w:t>个监测点噪声监测值满足《声环境质量标准》（GB3096-2008）中2</w:t>
            </w:r>
            <w:r>
              <w:rPr>
                <w:rFonts w:hint="default" w:ascii="Times New Roman" w:hAnsi="Times New Roman" w:eastAsia="宋体" w:cs="Times New Roman"/>
                <w:color w:val="auto"/>
                <w:sz w:val="24"/>
                <w:szCs w:val="24"/>
                <w:lang w:val="en-US" w:eastAsia="zh-CN" w:bidi="ar"/>
              </w:rPr>
              <w:t>类</w:t>
            </w:r>
            <w:r>
              <w:rPr>
                <w:rFonts w:hint="default" w:ascii="Times New Roman" w:hAnsi="Times New Roman" w:eastAsia="宋体" w:cs="Times New Roman"/>
                <w:color w:val="auto"/>
                <w:sz w:val="24"/>
                <w:szCs w:val="24"/>
                <w:lang w:bidi="ar"/>
              </w:rPr>
              <w:t>标准限值。</w:t>
            </w:r>
            <w:r>
              <w:rPr>
                <w:rFonts w:hint="default" w:ascii="Times New Roman" w:hAnsi="Times New Roman" w:eastAsia="宋体" w:cs="Times New Roman"/>
                <w:color w:val="auto"/>
                <w:sz w:val="24"/>
                <w:szCs w:val="24"/>
              </w:rPr>
              <w:t>表明评价区内声学环境质量良好。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11" w:type="pct"/>
            <w:noWrap w:val="0"/>
            <w:vAlign w:val="center"/>
          </w:tcPr>
          <w:p>
            <w:pPr>
              <w:keepNext w:val="0"/>
              <w:keepLines w:val="0"/>
              <w:pageBreakBefore w:val="0"/>
              <w:kinsoku/>
              <w:wordWrap/>
              <w:overflowPunct/>
              <w:topLinePunct w:val="0"/>
              <w:bidi w:val="0"/>
              <w:adjustRightInd w:val="0"/>
              <w:snapToGrid w:val="0"/>
              <w:jc w:val="center"/>
              <w:textAlignment w:val="auto"/>
              <w:outlineLvl w:val="9"/>
              <w:rPr>
                <w:rFonts w:hint="default" w:ascii="Times New Roman" w:hAnsi="Times New Roman" w:eastAsia="宋体" w:cs="Times New Roman"/>
                <w:color w:val="auto"/>
                <w:kern w:val="0"/>
                <w:szCs w:val="21"/>
              </w:rPr>
            </w:pPr>
            <w:r>
              <w:rPr>
                <w:rFonts w:hint="default" w:ascii="Times New Roman" w:hAnsi="Times New Roman" w:eastAsia="宋体" w:cs="Times New Roman"/>
                <w:bCs/>
                <w:color w:val="auto"/>
                <w:szCs w:val="21"/>
              </w:rPr>
              <w:t>与项目有关的原有环境污染和生态破坏问题</w:t>
            </w:r>
          </w:p>
        </w:tc>
        <w:tc>
          <w:tcPr>
            <w:tcW w:w="4788" w:type="pct"/>
            <w:noWrap w:val="0"/>
            <w:vAlign w:val="center"/>
          </w:tcPr>
          <w:p>
            <w:pPr>
              <w:pStyle w:val="38"/>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482" w:firstLineChars="200"/>
              <w:textAlignment w:val="auto"/>
              <w:rPr>
                <w:rFonts w:hint="default" w:ascii="Times New Roman" w:hAnsi="Times New Roman" w:eastAsia="宋体" w:cs="Times New Roman"/>
                <w:b/>
                <w:bCs/>
                <w:color w:val="auto"/>
                <w:kern w:val="0"/>
                <w:sz w:val="24"/>
                <w:lang w:val="en-US" w:eastAsia="zh-CN"/>
              </w:rPr>
            </w:pPr>
            <w:r>
              <w:rPr>
                <w:rFonts w:hint="default" w:ascii="Times New Roman" w:hAnsi="Times New Roman" w:eastAsia="宋体" w:cs="Times New Roman"/>
                <w:b/>
                <w:bCs/>
                <w:color w:val="auto"/>
                <w:kern w:val="0"/>
                <w:sz w:val="24"/>
                <w:lang w:val="en-US" w:eastAsia="zh-CN"/>
              </w:rPr>
              <w:t>1、项目原有情况及问题</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color w:val="auto"/>
                <w:kern w:val="0"/>
                <w:sz w:val="24"/>
              </w:rPr>
              <w:t>本项目是水库除险加固项目，山珍水库于1971年11月动工，1974年3月完成主体工程，并开始蓄水投入运行。</w:t>
            </w:r>
            <w:r>
              <w:rPr>
                <w:rFonts w:hint="default" w:ascii="Times New Roman" w:hAnsi="Times New Roman" w:eastAsia="宋体" w:cs="Times New Roman"/>
                <w:color w:val="auto"/>
                <w:kern w:val="0"/>
                <w:sz w:val="24"/>
                <w:lang w:val="en-US" w:eastAsia="zh-CN"/>
              </w:rPr>
              <w:t>水库</w:t>
            </w:r>
            <w:r>
              <w:rPr>
                <w:rFonts w:hint="default" w:ascii="Times New Roman" w:hAnsi="Times New Roman" w:eastAsia="宋体" w:cs="Times New Roman"/>
                <w:b w:val="0"/>
                <w:bCs w:val="0"/>
                <w:color w:val="auto"/>
                <w:sz w:val="24"/>
                <w:lang w:val="en-US" w:eastAsia="zh-CN"/>
              </w:rPr>
              <w:t>工程等别为IV等工程，属小（I）型水库，主要建筑物级别为4级。坝址以上集水面积3.39km</w:t>
            </w:r>
            <w:r>
              <w:rPr>
                <w:rFonts w:hint="default" w:ascii="Times New Roman" w:hAnsi="Times New Roman" w:eastAsia="宋体" w:cs="Times New Roman"/>
                <w:b w:val="0"/>
                <w:bCs w:val="0"/>
                <w:color w:val="auto"/>
                <w:sz w:val="24"/>
                <w:vertAlign w:val="superscript"/>
                <w:lang w:val="en-US" w:eastAsia="zh-CN"/>
              </w:rPr>
              <w:t>2</w:t>
            </w:r>
            <w:r>
              <w:rPr>
                <w:rFonts w:hint="default" w:ascii="Times New Roman" w:hAnsi="Times New Roman" w:eastAsia="宋体" w:cs="Times New Roman"/>
                <w:b w:val="0"/>
                <w:bCs w:val="0"/>
                <w:color w:val="auto"/>
                <w:sz w:val="24"/>
                <w:lang w:val="en-US" w:eastAsia="zh-CN"/>
              </w:rPr>
              <w:t>，总库容600.41万m</w:t>
            </w:r>
            <w:r>
              <w:rPr>
                <w:rFonts w:hint="default" w:ascii="Times New Roman" w:hAnsi="Times New Roman" w:eastAsia="宋体" w:cs="Times New Roman"/>
                <w:b w:val="0"/>
                <w:bCs w:val="0"/>
                <w:color w:val="auto"/>
                <w:sz w:val="24"/>
                <w:vertAlign w:val="superscript"/>
                <w:lang w:val="en-US" w:eastAsia="zh-CN"/>
              </w:rPr>
              <w:t>3</w:t>
            </w:r>
            <w:r>
              <w:rPr>
                <w:rFonts w:hint="default" w:ascii="Times New Roman" w:hAnsi="Times New Roman" w:eastAsia="宋体" w:cs="Times New Roman"/>
                <w:b w:val="0"/>
                <w:bCs w:val="0"/>
                <w:color w:val="auto"/>
                <w:sz w:val="24"/>
                <w:lang w:val="en-US" w:eastAsia="zh-CN"/>
              </w:rPr>
              <w:t>，兴利库容498.84万m</w:t>
            </w:r>
            <w:r>
              <w:rPr>
                <w:rFonts w:hint="default" w:ascii="Times New Roman" w:hAnsi="Times New Roman" w:eastAsia="宋体" w:cs="Times New Roman"/>
                <w:b w:val="0"/>
                <w:bCs w:val="0"/>
                <w:color w:val="auto"/>
                <w:sz w:val="24"/>
                <w:vertAlign w:val="superscript"/>
                <w:lang w:val="en-US" w:eastAsia="zh-CN"/>
              </w:rPr>
              <w:t>3</w:t>
            </w:r>
            <w:r>
              <w:rPr>
                <w:rFonts w:hint="default" w:ascii="Times New Roman" w:hAnsi="Times New Roman" w:eastAsia="宋体" w:cs="Times New Roman"/>
                <w:b w:val="0"/>
                <w:bCs w:val="0"/>
                <w:color w:val="auto"/>
                <w:sz w:val="24"/>
                <w:lang w:val="en-US" w:eastAsia="zh-CN"/>
              </w:rPr>
              <w:t>，有效灌面7908亩，此外，高中水库每年向山珍水库输水量约400万m</w:t>
            </w:r>
            <w:r>
              <w:rPr>
                <w:rFonts w:hint="default" w:ascii="Times New Roman" w:hAnsi="Times New Roman" w:eastAsia="宋体" w:cs="Times New Roman"/>
                <w:b w:val="0"/>
                <w:bCs w:val="0"/>
                <w:color w:val="auto"/>
                <w:sz w:val="24"/>
                <w:vertAlign w:val="superscript"/>
                <w:lang w:val="en-US" w:eastAsia="zh-CN"/>
              </w:rPr>
              <w:t>3</w:t>
            </w:r>
            <w:r>
              <w:rPr>
                <w:rFonts w:hint="default" w:ascii="Times New Roman" w:hAnsi="Times New Roman" w:eastAsia="宋体" w:cs="Times New Roman"/>
                <w:b w:val="0"/>
                <w:bCs w:val="0"/>
                <w:color w:val="auto"/>
                <w:sz w:val="24"/>
                <w:lang w:val="en-US" w:eastAsia="zh-CN"/>
              </w:rPr>
              <w:t>，用于山珍水库灌溉农田后解决凌云河大佛景区段生态环保用水问题。</w:t>
            </w:r>
          </w:p>
          <w:p>
            <w:pPr>
              <w:pStyle w:val="38"/>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水库建成历史久远，水库建设之初尚未要求进行环境影响评价。本项目水库除农灌外无其他资源开发，无厂矿企业，居民居住较分散，项目运行至今未有居民投诉等问题。</w:t>
            </w:r>
          </w:p>
          <w:p>
            <w:pPr>
              <w:pStyle w:val="38"/>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2021年委托四川百塔工程设计咨询有限公司重新进行安全鉴定。按照水利部颁发的《水库大坝安全鉴定办法》(2003年)及《水库大坝安全评价导则》(SL258-2017)的规定和要求，对山珍水库大坝进行了现场安全检查，并展开对设计、施工、运行及维修情况的调查，编写了《山珍水库大坝安全评价报告》。根据四川百塔工程设计咨询有限公司2021年编制的《山珍水库大坝安全鉴定报告书》，目前山珍水库存在的主要问题如下：</w:t>
            </w:r>
          </w:p>
          <w:p>
            <w:pPr>
              <w:pStyle w:val="38"/>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val="en-US" w:eastAsia="zh-CN"/>
              </w:rPr>
              <w:t>①</w:t>
            </w:r>
            <w:r>
              <w:rPr>
                <w:rFonts w:hint="default" w:ascii="Times New Roman" w:hAnsi="Times New Roman" w:eastAsia="宋体" w:cs="Times New Roman"/>
                <w:color w:val="auto"/>
                <w:kern w:val="0"/>
                <w:sz w:val="24"/>
              </w:rPr>
              <w:t>主坝坝顶出现贯通性裂缝，长度31.22m，宽度0.5~1.5cm，起点位于大坝右岸，终点位于下河梯步。</w:t>
            </w:r>
          </w:p>
          <w:p>
            <w:pPr>
              <w:pStyle w:val="38"/>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val="en-US" w:eastAsia="zh-CN"/>
              </w:rPr>
              <w:t>②</w:t>
            </w:r>
            <w:r>
              <w:rPr>
                <w:rFonts w:hint="default" w:ascii="Times New Roman" w:hAnsi="Times New Roman" w:eastAsia="宋体" w:cs="Times New Roman"/>
                <w:color w:val="auto"/>
                <w:kern w:val="0"/>
                <w:sz w:val="24"/>
              </w:rPr>
              <w:t>主坝左坝肩高程385.57m处发现渗漏点，对应库水位398.8m，渗漏量为0.01L/s，本次整治设计对应库水位399.4m现场观测渗漏量为0.05L/s，渗漏量有增大趋势。</w:t>
            </w:r>
          </w:p>
          <w:p>
            <w:pPr>
              <w:pStyle w:val="38"/>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val="en-US" w:eastAsia="zh-CN"/>
              </w:rPr>
              <w:t>③</w:t>
            </w:r>
            <w:r>
              <w:rPr>
                <w:rFonts w:hint="default" w:ascii="Times New Roman" w:hAnsi="Times New Roman" w:eastAsia="宋体" w:cs="Times New Roman"/>
                <w:color w:val="auto"/>
                <w:kern w:val="0"/>
                <w:sz w:val="24"/>
              </w:rPr>
              <w:t>副坝上游坝坡面局部滑裂，下游坝坡不平整，局部出现滑坡，副坝浸润线与马道位置接近，高水位有浸润坝面的风险，坝脚排水沟有明显渗水。</w:t>
            </w:r>
          </w:p>
          <w:p>
            <w:pPr>
              <w:pStyle w:val="38"/>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val="en-US" w:eastAsia="zh-CN"/>
              </w:rPr>
              <w:t>④</w:t>
            </w:r>
            <w:r>
              <w:rPr>
                <w:rFonts w:hint="default" w:ascii="Times New Roman" w:hAnsi="Times New Roman" w:eastAsia="宋体" w:cs="Times New Roman"/>
                <w:color w:val="auto"/>
                <w:kern w:val="0"/>
                <w:sz w:val="24"/>
              </w:rPr>
              <w:t>溢洪道进水口挡水堰体渗漏，下游47.5m处有一人行桥位于退水渠内，高度0.8m，影响泄洪，且易被冲毁。</w:t>
            </w:r>
          </w:p>
          <w:p>
            <w:pPr>
              <w:pStyle w:val="38"/>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val="en-US" w:eastAsia="zh-CN"/>
              </w:rPr>
              <w:t>⑤</w:t>
            </w:r>
            <w:r>
              <w:rPr>
                <w:rFonts w:hint="default" w:ascii="Times New Roman" w:hAnsi="Times New Roman" w:eastAsia="宋体" w:cs="Times New Roman"/>
                <w:color w:val="auto"/>
                <w:kern w:val="0"/>
                <w:sz w:val="24"/>
              </w:rPr>
              <w:t>放水闸结构稳定，但闸门金属结构锈蚀，启闭机设备老化，启闭卡顿，闭门时螺杆出现弯曲，放水底孔出现渗水，渗漏量为0.02L/s，渗漏量较小。</w:t>
            </w:r>
          </w:p>
          <w:p>
            <w:pPr>
              <w:pStyle w:val="38"/>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val="en-US" w:eastAsia="zh-CN"/>
              </w:rPr>
              <w:t>⑥</w:t>
            </w:r>
            <w:r>
              <w:rPr>
                <w:rFonts w:hint="default" w:ascii="Times New Roman" w:hAnsi="Times New Roman" w:eastAsia="宋体" w:cs="Times New Roman"/>
                <w:color w:val="auto"/>
                <w:kern w:val="0"/>
                <w:sz w:val="24"/>
              </w:rPr>
              <w:t>原有库区道路为泥结石路面平均宽度2.8m，道路较窄，无法满足抢险要求，</w:t>
            </w:r>
            <w:r>
              <w:rPr>
                <w:rFonts w:hint="default" w:ascii="Times New Roman" w:hAnsi="Times New Roman" w:eastAsia="宋体" w:cs="Times New Roman"/>
                <w:color w:val="auto"/>
                <w:kern w:val="0"/>
                <w:sz w:val="24"/>
                <w:lang w:eastAsia="zh-CN"/>
              </w:rPr>
              <w:t>管理处</w:t>
            </w:r>
            <w:r>
              <w:rPr>
                <w:rFonts w:hint="default" w:ascii="Times New Roman" w:hAnsi="Times New Roman" w:eastAsia="宋体" w:cs="Times New Roman"/>
                <w:color w:val="auto"/>
                <w:kern w:val="0"/>
                <w:sz w:val="24"/>
              </w:rPr>
              <w:t>局部出现漏水。</w:t>
            </w:r>
          </w:p>
          <w:p>
            <w:pPr>
              <w:pStyle w:val="38"/>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val="en-US" w:eastAsia="zh-CN"/>
              </w:rPr>
              <w:t>⑦</w:t>
            </w:r>
            <w:r>
              <w:rPr>
                <w:rFonts w:hint="default" w:ascii="Times New Roman" w:hAnsi="Times New Roman" w:eastAsia="宋体" w:cs="Times New Roman"/>
                <w:color w:val="auto"/>
                <w:kern w:val="0"/>
                <w:sz w:val="24"/>
                <w:lang w:eastAsia="zh-CN"/>
              </w:rPr>
              <w:t>管理处</w:t>
            </w:r>
            <w:r>
              <w:rPr>
                <w:rFonts w:hint="default" w:ascii="Times New Roman" w:hAnsi="Times New Roman" w:eastAsia="宋体" w:cs="Times New Roman"/>
                <w:color w:val="auto"/>
                <w:kern w:val="0"/>
                <w:sz w:val="24"/>
              </w:rPr>
              <w:t>局部出现渗漏。</w:t>
            </w:r>
          </w:p>
          <w:p>
            <w:pPr>
              <w:pStyle w:val="38"/>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val="en-US" w:eastAsia="zh-CN"/>
              </w:rPr>
              <w:t>⑧</w:t>
            </w:r>
            <w:r>
              <w:rPr>
                <w:rFonts w:hint="default" w:ascii="Times New Roman" w:hAnsi="Times New Roman" w:eastAsia="宋体" w:cs="Times New Roman"/>
                <w:color w:val="auto"/>
                <w:kern w:val="0"/>
                <w:sz w:val="24"/>
              </w:rPr>
              <w:t>大坝存在白蚁危害。</w:t>
            </w:r>
          </w:p>
          <w:p>
            <w:pPr>
              <w:pStyle w:val="38"/>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因此进行除险加固是十分紧迫，也是非常必要的。</w:t>
            </w:r>
          </w:p>
          <w:tbl>
            <w:tblPr>
              <w:tblStyle w:val="4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48"/>
              <w:gridCol w:w="44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5" w:type="pct"/>
                  <w:noWrap w:val="0"/>
                  <w:vAlign w:val="center"/>
                </w:tcPr>
                <w:p>
                  <w:pPr>
                    <w:pStyle w:val="90"/>
                    <w:tabs>
                      <w:tab w:val="left" w:pos="0"/>
                    </w:tabs>
                    <w:bidi w:val="0"/>
                    <w:rPr>
                      <w:rFonts w:hint="default" w:ascii="Times New Roman" w:hAnsi="Times New Roman"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2987675" cy="2146300"/>
                        <wp:effectExtent l="0" t="0" r="3175" b="6350"/>
                        <wp:docPr id="7" name="图片 6" descr="C:/Users/lenovo/AppData/Local/Temp/picturecompress_2021080519134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C:/Users/lenovo/AppData/Local/Temp/picturecompress_20210805191341/output_1.jpgoutput_1"/>
                                <pic:cNvPicPr>
                                  <a:picLocks noChangeAspect="1"/>
                                </pic:cNvPicPr>
                              </pic:nvPicPr>
                              <pic:blipFill>
                                <a:blip r:embed="rId17"/>
                                <a:stretch>
                                  <a:fillRect/>
                                </a:stretch>
                              </pic:blipFill>
                              <pic:spPr>
                                <a:xfrm>
                                  <a:off x="0" y="0"/>
                                  <a:ext cx="2987675" cy="2146300"/>
                                </a:xfrm>
                                <a:prstGeom prst="rect">
                                  <a:avLst/>
                                </a:prstGeom>
                                <a:noFill/>
                                <a:ln>
                                  <a:noFill/>
                                </a:ln>
                              </pic:spPr>
                            </pic:pic>
                          </a:graphicData>
                        </a:graphic>
                      </wp:inline>
                    </w:drawing>
                  </w:r>
                </w:p>
              </w:tc>
              <w:tc>
                <w:tcPr>
                  <w:tcW w:w="2374" w:type="pct"/>
                  <w:noWrap w:val="0"/>
                  <w:vAlign w:val="center"/>
                </w:tcPr>
                <w:p>
                  <w:pPr>
                    <w:pStyle w:val="90"/>
                    <w:tabs>
                      <w:tab w:val="left" w:pos="0"/>
                    </w:tabs>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drawing>
                      <wp:inline distT="0" distB="0" distL="114300" distR="114300">
                        <wp:extent cx="2689225" cy="2117090"/>
                        <wp:effectExtent l="0" t="0" r="15875" b="16510"/>
                        <wp:docPr id="8" name="图片 7" descr="C:/Users/lenovo/AppData/Local/Temp/picturecompress_2021080519162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C:/Users/lenovo/AppData/Local/Temp/picturecompress_20210805191623/output_1.jpgoutput_1"/>
                                <pic:cNvPicPr>
                                  <a:picLocks noChangeAspect="1"/>
                                </pic:cNvPicPr>
                              </pic:nvPicPr>
                              <pic:blipFill>
                                <a:blip r:embed="rId18"/>
                                <a:stretch>
                                  <a:fillRect/>
                                </a:stretch>
                              </pic:blipFill>
                              <pic:spPr>
                                <a:xfrm>
                                  <a:off x="0" y="0"/>
                                  <a:ext cx="2689225" cy="21170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5" w:type="pct"/>
                  <w:noWrap w:val="0"/>
                  <w:vAlign w:val="center"/>
                </w:tcPr>
                <w:p>
                  <w:pPr>
                    <w:pStyle w:val="90"/>
                    <w:tabs>
                      <w:tab w:val="left" w:pos="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主</w:t>
                  </w:r>
                  <w:r>
                    <w:rPr>
                      <w:rFonts w:hint="default" w:ascii="Times New Roman" w:hAnsi="Times New Roman" w:cs="Times New Roman"/>
                      <w:color w:val="auto"/>
                      <w:highlight w:val="none"/>
                    </w:rPr>
                    <w:t>坝坝顶</w:t>
                  </w:r>
                </w:p>
              </w:tc>
              <w:tc>
                <w:tcPr>
                  <w:tcW w:w="2374" w:type="pct"/>
                  <w:noWrap w:val="0"/>
                  <w:vAlign w:val="center"/>
                </w:tcPr>
                <w:p>
                  <w:pPr>
                    <w:pStyle w:val="90"/>
                    <w:tabs>
                      <w:tab w:val="left" w:pos="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主坝上游坝坡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5" w:type="pct"/>
                  <w:noWrap w:val="0"/>
                  <w:vAlign w:val="center"/>
                </w:tcPr>
                <w:p>
                  <w:pPr>
                    <w:pStyle w:val="90"/>
                    <w:tabs>
                      <w:tab w:val="left" w:pos="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drawing>
                      <wp:inline distT="0" distB="0" distL="114300" distR="114300">
                        <wp:extent cx="2935605" cy="2378075"/>
                        <wp:effectExtent l="0" t="0" r="17145" b="3175"/>
                        <wp:docPr id="10" name="图片 8" descr="C:/Users/lenovo/AppData/Local/Temp/picturecompress_2021080519181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descr="C:/Users/lenovo/AppData/Local/Temp/picturecompress_20210805191814/output_1.jpgoutput_1"/>
                                <pic:cNvPicPr>
                                  <a:picLocks noChangeAspect="1"/>
                                </pic:cNvPicPr>
                              </pic:nvPicPr>
                              <pic:blipFill>
                                <a:blip r:embed="rId19"/>
                                <a:stretch>
                                  <a:fillRect/>
                                </a:stretch>
                              </pic:blipFill>
                              <pic:spPr>
                                <a:xfrm>
                                  <a:off x="0" y="0"/>
                                  <a:ext cx="2935605" cy="2378075"/>
                                </a:xfrm>
                                <a:prstGeom prst="rect">
                                  <a:avLst/>
                                </a:prstGeom>
                                <a:noFill/>
                                <a:ln>
                                  <a:noFill/>
                                </a:ln>
                              </pic:spPr>
                            </pic:pic>
                          </a:graphicData>
                        </a:graphic>
                      </wp:inline>
                    </w:drawing>
                  </w:r>
                </w:p>
              </w:tc>
              <w:tc>
                <w:tcPr>
                  <w:tcW w:w="2374" w:type="pct"/>
                  <w:noWrap w:val="0"/>
                  <w:vAlign w:val="center"/>
                </w:tcPr>
                <w:p>
                  <w:pPr>
                    <w:pStyle w:val="90"/>
                    <w:tabs>
                      <w:tab w:val="left" w:pos="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drawing>
                      <wp:inline distT="0" distB="0" distL="114300" distR="114300">
                        <wp:extent cx="2668905" cy="2320925"/>
                        <wp:effectExtent l="0" t="0" r="17145" b="3175"/>
                        <wp:docPr id="12" name="图片 9" descr="C:/Users/lenovo/AppData/Local/Temp/picturecompress_2021080519224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descr="C:/Users/lenovo/AppData/Local/Temp/picturecompress_20210805192246/output_1.jpgoutput_1"/>
                                <pic:cNvPicPr>
                                  <a:picLocks noChangeAspect="1"/>
                                </pic:cNvPicPr>
                              </pic:nvPicPr>
                              <pic:blipFill>
                                <a:blip r:embed="rId20"/>
                                <a:stretch>
                                  <a:fillRect/>
                                </a:stretch>
                              </pic:blipFill>
                              <pic:spPr>
                                <a:xfrm>
                                  <a:off x="0" y="0"/>
                                  <a:ext cx="2668905" cy="23209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2625" w:type="pct"/>
                  <w:noWrap w:val="0"/>
                  <w:vAlign w:val="center"/>
                </w:tcPr>
                <w:p>
                  <w:pPr>
                    <w:pStyle w:val="90"/>
                    <w:tabs>
                      <w:tab w:val="left" w:pos="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下游坝坡</w:t>
                  </w:r>
                </w:p>
              </w:tc>
              <w:tc>
                <w:tcPr>
                  <w:tcW w:w="2374" w:type="pct"/>
                  <w:noWrap w:val="0"/>
                  <w:vAlign w:val="center"/>
                </w:tcPr>
                <w:p>
                  <w:pPr>
                    <w:pStyle w:val="90"/>
                    <w:tabs>
                      <w:tab w:val="left" w:pos="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左坝肩漏水点</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渗漏量0.01l/s，对应库水位398.8m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5" w:type="pct"/>
                  <w:noWrap w:val="0"/>
                  <w:vAlign w:val="center"/>
                </w:tcPr>
                <w:p>
                  <w:pPr>
                    <w:pStyle w:val="90"/>
                    <w:tabs>
                      <w:tab w:val="left" w:pos="0"/>
                    </w:tabs>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drawing>
                      <wp:inline distT="0" distB="0" distL="114300" distR="114300">
                        <wp:extent cx="2962910" cy="2131060"/>
                        <wp:effectExtent l="0" t="0" r="8890" b="2540"/>
                        <wp:docPr id="11" name="图片 10" descr="C:/Users/lenovo/AppData/Local/Temp/picturecompress_2021080517054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C:/Users/lenovo/AppData/Local/Temp/picturecompress_20210805170548/output_1.jpgoutput_1"/>
                                <pic:cNvPicPr>
                                  <a:picLocks noChangeAspect="1"/>
                                </pic:cNvPicPr>
                              </pic:nvPicPr>
                              <pic:blipFill>
                                <a:blip r:embed="rId21"/>
                                <a:stretch>
                                  <a:fillRect/>
                                </a:stretch>
                              </pic:blipFill>
                              <pic:spPr>
                                <a:xfrm>
                                  <a:off x="0" y="0"/>
                                  <a:ext cx="2962910" cy="2131060"/>
                                </a:xfrm>
                                <a:prstGeom prst="rect">
                                  <a:avLst/>
                                </a:prstGeom>
                                <a:noFill/>
                                <a:ln>
                                  <a:noFill/>
                                </a:ln>
                              </pic:spPr>
                            </pic:pic>
                          </a:graphicData>
                        </a:graphic>
                      </wp:inline>
                    </w:drawing>
                  </w:r>
                </w:p>
              </w:tc>
              <w:tc>
                <w:tcPr>
                  <w:tcW w:w="2374" w:type="pct"/>
                  <w:noWrap w:val="0"/>
                  <w:vAlign w:val="center"/>
                </w:tcPr>
                <w:p>
                  <w:pPr>
                    <w:pStyle w:val="90"/>
                    <w:tabs>
                      <w:tab w:val="left" w:pos="0"/>
                    </w:tabs>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drawing>
                      <wp:inline distT="0" distB="0" distL="114300" distR="114300">
                        <wp:extent cx="2737485" cy="2172970"/>
                        <wp:effectExtent l="0" t="0" r="5715" b="17780"/>
                        <wp:docPr id="13" name="图片 11" descr="C:/Users/lenovo/AppData/Local/Temp/picturecompress_2021080519213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descr="C:/Users/lenovo/AppData/Local/Temp/picturecompress_20210805192134/output_1.jpgoutput_1"/>
                                <pic:cNvPicPr>
                                  <a:picLocks noChangeAspect="1"/>
                                </pic:cNvPicPr>
                              </pic:nvPicPr>
                              <pic:blipFill>
                                <a:blip r:embed="rId22"/>
                                <a:stretch>
                                  <a:fillRect/>
                                </a:stretch>
                              </pic:blipFill>
                              <pic:spPr>
                                <a:xfrm>
                                  <a:off x="0" y="0"/>
                                  <a:ext cx="2737485" cy="21729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5" w:type="pct"/>
                  <w:noWrap w:val="0"/>
                  <w:vAlign w:val="center"/>
                </w:tcPr>
                <w:p>
                  <w:pPr>
                    <w:pStyle w:val="90"/>
                    <w:tabs>
                      <w:tab w:val="left" w:pos="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副</w:t>
                  </w:r>
                  <w:r>
                    <w:rPr>
                      <w:rFonts w:hint="default" w:ascii="Times New Roman" w:hAnsi="Times New Roman" w:cs="Times New Roman"/>
                      <w:color w:val="auto"/>
                      <w:highlight w:val="none"/>
                    </w:rPr>
                    <w:t>坝坝顶</w:t>
                  </w:r>
                </w:p>
              </w:tc>
              <w:tc>
                <w:tcPr>
                  <w:tcW w:w="2374" w:type="pct"/>
                  <w:noWrap w:val="0"/>
                  <w:vAlign w:val="center"/>
                </w:tcPr>
                <w:p>
                  <w:pPr>
                    <w:pStyle w:val="90"/>
                    <w:tabs>
                      <w:tab w:val="left" w:pos="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副坝上游坝坡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5" w:type="pct"/>
                  <w:noWrap w:val="0"/>
                  <w:vAlign w:val="center"/>
                </w:tcPr>
                <w:p>
                  <w:pPr>
                    <w:pStyle w:val="90"/>
                    <w:tabs>
                      <w:tab w:val="left" w:pos="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2955290" cy="2216785"/>
                        <wp:effectExtent l="0" t="0" r="16510" b="12065"/>
                        <wp:docPr id="9" name="图片 12" descr="C:/Users/lenovo/AppData/Local/Temp/picturecompress_2021080519243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2" descr="C:/Users/lenovo/AppData/Local/Temp/picturecompress_20210805192438/output_1.jpgoutput_1"/>
                                <pic:cNvPicPr>
                                  <a:picLocks noChangeAspect="1"/>
                                </pic:cNvPicPr>
                              </pic:nvPicPr>
                              <pic:blipFill>
                                <a:blip r:embed="rId23"/>
                                <a:stretch>
                                  <a:fillRect/>
                                </a:stretch>
                              </pic:blipFill>
                              <pic:spPr>
                                <a:xfrm>
                                  <a:off x="0" y="0"/>
                                  <a:ext cx="2955290" cy="2216785"/>
                                </a:xfrm>
                                <a:prstGeom prst="rect">
                                  <a:avLst/>
                                </a:prstGeom>
                                <a:noFill/>
                                <a:ln>
                                  <a:noFill/>
                                </a:ln>
                              </pic:spPr>
                            </pic:pic>
                          </a:graphicData>
                        </a:graphic>
                      </wp:inline>
                    </w:drawing>
                  </w:r>
                </w:p>
              </w:tc>
              <w:tc>
                <w:tcPr>
                  <w:tcW w:w="2374" w:type="pct"/>
                  <w:noWrap w:val="0"/>
                  <w:vAlign w:val="center"/>
                </w:tcPr>
                <w:p>
                  <w:pPr>
                    <w:pStyle w:val="90"/>
                    <w:tabs>
                      <w:tab w:val="left" w:pos="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2700655" cy="2161540"/>
                        <wp:effectExtent l="0" t="0" r="4445" b="10160"/>
                        <wp:docPr id="18" name="图片 13" descr="C:/Users/lenovo/AppData/Local/Temp/picturecompress_2021080519262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descr="C:/Users/lenovo/AppData/Local/Temp/picturecompress_20210805192624/output_1.jpgoutput_1"/>
                                <pic:cNvPicPr>
                                  <a:picLocks noChangeAspect="1"/>
                                </pic:cNvPicPr>
                              </pic:nvPicPr>
                              <pic:blipFill>
                                <a:blip r:embed="rId24"/>
                                <a:stretch>
                                  <a:fillRect/>
                                </a:stretch>
                              </pic:blipFill>
                              <pic:spPr>
                                <a:xfrm>
                                  <a:off x="0" y="0"/>
                                  <a:ext cx="2700655" cy="21615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5" w:type="pct"/>
                  <w:noWrap w:val="0"/>
                  <w:vAlign w:val="center"/>
                </w:tcPr>
                <w:p>
                  <w:pPr>
                    <w:pStyle w:val="90"/>
                    <w:tabs>
                      <w:tab w:val="left" w:pos="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副坝下游坝坡</w:t>
                  </w:r>
                </w:p>
              </w:tc>
              <w:tc>
                <w:tcPr>
                  <w:tcW w:w="2374" w:type="pct"/>
                  <w:noWrap w:val="0"/>
                  <w:vAlign w:val="center"/>
                </w:tcPr>
                <w:p>
                  <w:pPr>
                    <w:pStyle w:val="90"/>
                    <w:tabs>
                      <w:tab w:val="left" w:pos="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副坝道路滑坡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5" w:type="pct"/>
                  <w:noWrap w:val="0"/>
                  <w:vAlign w:val="center"/>
                </w:tcPr>
                <w:p>
                  <w:pPr>
                    <w:pStyle w:val="90"/>
                    <w:tabs>
                      <w:tab w:val="left" w:pos="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rPr>
                    <w:drawing>
                      <wp:inline distT="0" distB="0" distL="114300" distR="114300">
                        <wp:extent cx="2940685" cy="2007235"/>
                        <wp:effectExtent l="0" t="0" r="12065" b="12065"/>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25"/>
                                <a:stretch>
                                  <a:fillRect/>
                                </a:stretch>
                              </pic:blipFill>
                              <pic:spPr>
                                <a:xfrm>
                                  <a:off x="0" y="0"/>
                                  <a:ext cx="2940685" cy="2007235"/>
                                </a:xfrm>
                                <a:prstGeom prst="rect">
                                  <a:avLst/>
                                </a:prstGeom>
                                <a:noFill/>
                                <a:ln>
                                  <a:noFill/>
                                </a:ln>
                              </pic:spPr>
                            </pic:pic>
                          </a:graphicData>
                        </a:graphic>
                      </wp:inline>
                    </w:drawing>
                  </w:r>
                </w:p>
              </w:tc>
              <w:tc>
                <w:tcPr>
                  <w:tcW w:w="2374" w:type="pct"/>
                  <w:noWrap w:val="0"/>
                  <w:vAlign w:val="center"/>
                </w:tcPr>
                <w:p>
                  <w:pPr>
                    <w:pStyle w:val="90"/>
                    <w:tabs>
                      <w:tab w:val="left" w:pos="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2136775" cy="2708275"/>
                        <wp:effectExtent l="0" t="0" r="15875" b="15875"/>
                        <wp:docPr id="14" name="图片 15" descr="9cb320159138909d5b0eb1567cf19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descr="9cb320159138909d5b0eb1567cf199e"/>
                                <pic:cNvPicPr>
                                  <a:picLocks noChangeAspect="1"/>
                                </pic:cNvPicPr>
                              </pic:nvPicPr>
                              <pic:blipFill>
                                <a:blip r:embed="rId26"/>
                                <a:stretch>
                                  <a:fillRect/>
                                </a:stretch>
                              </pic:blipFill>
                              <pic:spPr>
                                <a:xfrm rot="5400000">
                                  <a:off x="0" y="0"/>
                                  <a:ext cx="2136775" cy="27082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5" w:type="pct"/>
                  <w:noWrap w:val="0"/>
                  <w:vAlign w:val="center"/>
                </w:tcPr>
                <w:p>
                  <w:pPr>
                    <w:pStyle w:val="90"/>
                    <w:tabs>
                      <w:tab w:val="left" w:pos="0"/>
                    </w:tabs>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溢洪道</w:t>
                  </w:r>
                  <w:r>
                    <w:rPr>
                      <w:rFonts w:hint="default" w:ascii="Times New Roman" w:hAnsi="Times New Roman" w:cs="Times New Roman"/>
                      <w:color w:val="auto"/>
                      <w:highlight w:val="none"/>
                      <w:lang w:val="en-US" w:eastAsia="zh-CN"/>
                    </w:rPr>
                    <w:t>桥梁处</w:t>
                  </w:r>
                </w:p>
              </w:tc>
              <w:tc>
                <w:tcPr>
                  <w:tcW w:w="2374" w:type="pct"/>
                  <w:noWrap w:val="0"/>
                  <w:vAlign w:val="center"/>
                </w:tcPr>
                <w:p>
                  <w:pPr>
                    <w:pStyle w:val="90"/>
                    <w:tabs>
                      <w:tab w:val="left" w:pos="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入库道路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5" w:type="pct"/>
                  <w:noWrap w:val="0"/>
                  <w:vAlign w:val="center"/>
                </w:tcPr>
                <w:p>
                  <w:pPr>
                    <w:pStyle w:val="90"/>
                    <w:tabs>
                      <w:tab w:val="left" w:pos="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3006090" cy="2080895"/>
                        <wp:effectExtent l="0" t="0" r="3810" b="14605"/>
                        <wp:docPr id="17" name="图片 16" descr="C:/Users/lenovo/AppData/Local/Temp/picturecompress_2021080519303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descr="C:/Users/lenovo/AppData/Local/Temp/picturecompress_20210805193039/output_1.jpgoutput_1"/>
                                <pic:cNvPicPr>
                                  <a:picLocks noChangeAspect="1"/>
                                </pic:cNvPicPr>
                              </pic:nvPicPr>
                              <pic:blipFill>
                                <a:blip r:embed="rId27"/>
                                <a:stretch>
                                  <a:fillRect/>
                                </a:stretch>
                              </pic:blipFill>
                              <pic:spPr>
                                <a:xfrm>
                                  <a:off x="0" y="0"/>
                                  <a:ext cx="3006090" cy="2080895"/>
                                </a:xfrm>
                                <a:prstGeom prst="rect">
                                  <a:avLst/>
                                </a:prstGeom>
                                <a:noFill/>
                                <a:ln>
                                  <a:noFill/>
                                </a:ln>
                              </pic:spPr>
                            </pic:pic>
                          </a:graphicData>
                        </a:graphic>
                      </wp:inline>
                    </w:drawing>
                  </w:r>
                </w:p>
              </w:tc>
              <w:tc>
                <w:tcPr>
                  <w:tcW w:w="2374" w:type="pct"/>
                  <w:noWrap w:val="0"/>
                  <w:vAlign w:val="center"/>
                </w:tcPr>
                <w:p>
                  <w:pPr>
                    <w:pStyle w:val="90"/>
                    <w:tabs>
                      <w:tab w:val="left" w:pos="0"/>
                    </w:tabs>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2736215" cy="2113915"/>
                        <wp:effectExtent l="0" t="0" r="6985" b="635"/>
                        <wp:docPr id="15" name="图片 17" descr="c371c4ab829df78b38807c405df5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7" descr="c371c4ab829df78b38807c405df5899"/>
                                <pic:cNvPicPr>
                                  <a:picLocks noChangeAspect="1"/>
                                </pic:cNvPicPr>
                              </pic:nvPicPr>
                              <pic:blipFill>
                                <a:blip r:embed="rId28"/>
                                <a:stretch>
                                  <a:fillRect/>
                                </a:stretch>
                              </pic:blipFill>
                              <pic:spPr>
                                <a:xfrm>
                                  <a:off x="0" y="0"/>
                                  <a:ext cx="2736215" cy="21139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5" w:type="pct"/>
                  <w:noWrap w:val="0"/>
                  <w:vAlign w:val="center"/>
                </w:tcPr>
                <w:p>
                  <w:pPr>
                    <w:pStyle w:val="90"/>
                    <w:tabs>
                      <w:tab w:val="left" w:pos="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放水设施现状</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主坝左岸）</w:t>
                  </w:r>
                </w:p>
              </w:tc>
              <w:tc>
                <w:tcPr>
                  <w:tcW w:w="2374" w:type="pct"/>
                  <w:noWrap w:val="0"/>
                  <w:vAlign w:val="center"/>
                </w:tcPr>
                <w:p>
                  <w:pPr>
                    <w:pStyle w:val="90"/>
                    <w:tabs>
                      <w:tab w:val="left" w:pos="0"/>
                    </w:tabs>
                    <w:bidi w:val="0"/>
                    <w:rPr>
                      <w:rFonts w:hint="default" w:ascii="Times New Roman" w:hAnsi="Times New Roman" w:cs="Times New Roman"/>
                      <w:color w:val="auto"/>
                      <w:highlight w:val="none"/>
                      <w:lang w:val="en-US" w:eastAsia="zh-CN"/>
                    </w:rPr>
                  </w:pPr>
                  <w:r>
                    <w:rPr>
                      <w:rFonts w:hint="default" w:ascii="Times New Roman" w:hAnsi="Times New Roman" w:cs="Times New Roman"/>
                      <w:b w:val="0"/>
                      <w:bCs w:val="0"/>
                      <w:color w:val="auto"/>
                      <w:highlight w:val="none"/>
                      <w:lang w:val="en-US" w:eastAsia="zh-CN"/>
                    </w:rPr>
                    <w:t>螺杆弯曲照片</w:t>
                  </w:r>
                </w:p>
              </w:tc>
            </w:tr>
          </w:tbl>
          <w:p>
            <w:pPr>
              <w:pStyle w:val="38"/>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422" w:firstLineChars="200"/>
              <w:jc w:val="center"/>
              <w:textAlignment w:val="auto"/>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lang w:val="en-US" w:eastAsia="zh-CN"/>
              </w:rPr>
              <w:t>图3-1  项目现状图</w:t>
            </w:r>
          </w:p>
          <w:p>
            <w:pPr>
              <w:pStyle w:val="38"/>
              <w:keepNext w:val="0"/>
              <w:keepLines w:val="0"/>
              <w:pageBreakBefore w:val="0"/>
              <w:widowControl w:val="0"/>
              <w:numPr>
                <w:ilvl w:val="0"/>
                <w:numId w:val="0"/>
              </w:numPr>
              <w:kinsoku/>
              <w:wordWrap/>
              <w:overflowPunct/>
              <w:topLinePunct w:val="0"/>
              <w:autoSpaceDE/>
              <w:autoSpaceDN/>
              <w:bidi w:val="0"/>
              <w:adjustRightInd w:val="0"/>
              <w:snapToGrid w:val="0"/>
              <w:spacing w:after="0" w:afterLines="0" w:line="360" w:lineRule="auto"/>
              <w:ind w:left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b/>
                <w:bCs/>
                <w:color w:val="auto"/>
                <w:kern w:val="0"/>
                <w:sz w:val="24"/>
                <w:lang w:val="en-US" w:eastAsia="zh-CN"/>
              </w:rPr>
              <w:t>2、</w:t>
            </w:r>
            <w:r>
              <w:rPr>
                <w:rFonts w:hint="default" w:ascii="Times New Roman" w:hAnsi="Times New Roman" w:eastAsia="宋体" w:cs="Times New Roman"/>
                <w:b/>
                <w:bCs/>
                <w:color w:val="auto"/>
                <w:kern w:val="0"/>
                <w:sz w:val="24"/>
              </w:rPr>
              <w:t xml:space="preserve">现状污染物排放情况 </w:t>
            </w:r>
          </w:p>
          <w:p>
            <w:pPr>
              <w:pStyle w:val="38"/>
              <w:keepNext w:val="0"/>
              <w:keepLines w:val="0"/>
              <w:pageBreakBefore w:val="0"/>
              <w:widowControl w:val="0"/>
              <w:numPr>
                <w:ilvl w:val="0"/>
                <w:numId w:val="0"/>
              </w:numPr>
              <w:kinsoku/>
              <w:wordWrap/>
              <w:overflowPunct/>
              <w:topLinePunct w:val="0"/>
              <w:autoSpaceDE/>
              <w:autoSpaceDN/>
              <w:bidi w:val="0"/>
              <w:adjustRightInd w:val="0"/>
              <w:snapToGrid w:val="0"/>
              <w:spacing w:after="0" w:afterLines="0" w:line="360" w:lineRule="auto"/>
              <w:ind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val="en-US" w:eastAsia="zh-CN"/>
              </w:rPr>
              <w:t>项目</w:t>
            </w:r>
            <w:r>
              <w:rPr>
                <w:rFonts w:hint="default" w:ascii="Times New Roman" w:hAnsi="Times New Roman" w:eastAsia="宋体" w:cs="Times New Roman"/>
                <w:color w:val="auto"/>
                <w:kern w:val="0"/>
                <w:sz w:val="24"/>
              </w:rPr>
              <w:t>水库建成至今已运行</w:t>
            </w:r>
            <w:r>
              <w:rPr>
                <w:rFonts w:hint="default" w:ascii="Times New Roman" w:hAnsi="Times New Roman" w:eastAsia="宋体" w:cs="Times New Roman"/>
                <w:color w:val="auto"/>
                <w:kern w:val="0"/>
                <w:sz w:val="24"/>
                <w:lang w:val="en-US" w:eastAsia="zh-CN"/>
              </w:rPr>
              <w:t>50</w:t>
            </w:r>
            <w:r>
              <w:rPr>
                <w:rFonts w:hint="default" w:ascii="Times New Roman" w:hAnsi="Times New Roman" w:eastAsia="宋体" w:cs="Times New Roman"/>
                <w:color w:val="auto"/>
                <w:kern w:val="0"/>
                <w:sz w:val="24"/>
              </w:rPr>
              <w:t>余年，陆生生态和水生生态系统已趋于稳定，项目现有污染主要为生活区产生的生活污水、生活垃圾及噪声等污染物。库内污染主要来于水产养殖业、部分生活污水</w:t>
            </w:r>
            <w:r>
              <w:rPr>
                <w:rFonts w:hint="default" w:ascii="Times New Roman" w:hAnsi="Times New Roman" w:eastAsia="宋体" w:cs="Times New Roman"/>
                <w:color w:val="auto"/>
                <w:kern w:val="0"/>
                <w:sz w:val="24"/>
                <w:lang w:val="en-US" w:eastAsia="zh-CN"/>
              </w:rPr>
              <w:t>等对水库水质造成一定影响</w:t>
            </w:r>
            <w:r>
              <w:rPr>
                <w:rFonts w:hint="default" w:ascii="Times New Roman" w:hAnsi="Times New Roman" w:eastAsia="宋体" w:cs="Times New Roman"/>
                <w:color w:val="auto"/>
                <w:kern w:val="0"/>
                <w:sz w:val="24"/>
              </w:rPr>
              <w:t>。</w:t>
            </w:r>
          </w:p>
          <w:p>
            <w:pPr>
              <w:pStyle w:val="38"/>
              <w:keepNext w:val="0"/>
              <w:keepLines w:val="0"/>
              <w:pageBreakBefore w:val="0"/>
              <w:widowControl w:val="0"/>
              <w:numPr>
                <w:ilvl w:val="0"/>
                <w:numId w:val="0"/>
              </w:numPr>
              <w:kinsoku/>
              <w:wordWrap/>
              <w:overflowPunct/>
              <w:topLinePunct w:val="0"/>
              <w:autoSpaceDE/>
              <w:autoSpaceDN/>
              <w:bidi w:val="0"/>
              <w:adjustRightInd w:val="0"/>
              <w:snapToGrid w:val="0"/>
              <w:spacing w:after="0" w:afterLines="0" w:line="360" w:lineRule="auto"/>
              <w:ind w:firstLine="482" w:firstLineChars="200"/>
              <w:textAlignment w:val="auto"/>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lang w:val="en-US" w:eastAsia="zh-CN"/>
              </w:rPr>
              <w:t>3、</w:t>
            </w:r>
            <w:r>
              <w:rPr>
                <w:rFonts w:hint="default" w:ascii="Times New Roman" w:hAnsi="Times New Roman" w:eastAsia="宋体" w:cs="Times New Roman"/>
                <w:b/>
                <w:bCs/>
                <w:color w:val="auto"/>
                <w:kern w:val="0"/>
                <w:sz w:val="24"/>
              </w:rPr>
              <w:t xml:space="preserve">拟采取的整改方案 </w:t>
            </w:r>
          </w:p>
          <w:p>
            <w:pPr>
              <w:pStyle w:val="38"/>
              <w:keepNext w:val="0"/>
              <w:keepLines w:val="0"/>
              <w:pageBreakBefore w:val="0"/>
              <w:widowControl w:val="0"/>
              <w:numPr>
                <w:ilvl w:val="0"/>
                <w:numId w:val="0"/>
              </w:numPr>
              <w:kinsoku/>
              <w:wordWrap/>
              <w:overflowPunct/>
              <w:topLinePunct w:val="0"/>
              <w:autoSpaceDE/>
              <w:autoSpaceDN/>
              <w:bidi w:val="0"/>
              <w:adjustRightInd w:val="0"/>
              <w:snapToGrid w:val="0"/>
              <w:spacing w:after="0" w:afterLines="0" w:line="360" w:lineRule="auto"/>
              <w:ind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主要环境问题为库内污染，主要采取以下措施：</w:t>
            </w:r>
          </w:p>
          <w:p>
            <w:pPr>
              <w:pStyle w:val="38"/>
              <w:keepNext w:val="0"/>
              <w:keepLines w:val="0"/>
              <w:pageBreakBefore w:val="0"/>
              <w:widowControl w:val="0"/>
              <w:numPr>
                <w:ilvl w:val="0"/>
                <w:numId w:val="0"/>
              </w:numPr>
              <w:kinsoku/>
              <w:wordWrap/>
              <w:overflowPunct/>
              <w:topLinePunct w:val="0"/>
              <w:autoSpaceDE/>
              <w:autoSpaceDN/>
              <w:bidi w:val="0"/>
              <w:adjustRightInd w:val="0"/>
              <w:snapToGrid w:val="0"/>
              <w:spacing w:after="0" w:afterLines="0" w:line="360" w:lineRule="auto"/>
              <w:ind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lang w:val="en-US" w:eastAsia="zh-CN"/>
              </w:rPr>
              <w:t>1</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 xml:space="preserve">严禁水库肥水养鱼，提倡有利于水质保护的渔业生态养殖方式。 </w:t>
            </w:r>
          </w:p>
          <w:p>
            <w:pPr>
              <w:pStyle w:val="38"/>
              <w:keepNext w:val="0"/>
              <w:keepLines w:val="0"/>
              <w:pageBreakBefore w:val="0"/>
              <w:widowControl w:val="0"/>
              <w:numPr>
                <w:ilvl w:val="0"/>
                <w:numId w:val="0"/>
              </w:numPr>
              <w:kinsoku/>
              <w:wordWrap/>
              <w:overflowPunct/>
              <w:topLinePunct w:val="0"/>
              <w:autoSpaceDE/>
              <w:autoSpaceDN/>
              <w:bidi w:val="0"/>
              <w:adjustRightInd w:val="0"/>
              <w:snapToGrid w:val="0"/>
              <w:spacing w:after="0" w:afterLines="0" w:line="360" w:lineRule="auto"/>
              <w:ind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lang w:val="en-US" w:eastAsia="zh-CN"/>
              </w:rPr>
              <w:t>2</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加强库区水生植物管理，定期打捞水葫芦、紫茎泽兰、浮萍等，严格控制其繁殖和蔓延。</w:t>
            </w:r>
          </w:p>
          <w:p>
            <w:pPr>
              <w:pStyle w:val="38"/>
              <w:keepNext w:val="0"/>
              <w:keepLines w:val="0"/>
              <w:pageBreakBefore w:val="0"/>
              <w:widowControl w:val="0"/>
              <w:numPr>
                <w:ilvl w:val="0"/>
                <w:numId w:val="0"/>
              </w:numPr>
              <w:kinsoku/>
              <w:wordWrap/>
              <w:overflowPunct/>
              <w:topLinePunct w:val="0"/>
              <w:autoSpaceDE/>
              <w:autoSpaceDN/>
              <w:bidi w:val="0"/>
              <w:adjustRightInd w:val="0"/>
              <w:snapToGrid w:val="0"/>
              <w:spacing w:after="0" w:afterLines="0" w:line="360" w:lineRule="auto"/>
              <w:ind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lang w:val="en-US" w:eastAsia="zh-CN"/>
              </w:rPr>
              <w:t>3</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加村宣传，提高村民治污意识，禁止生活污水直接排放。</w:t>
            </w:r>
          </w:p>
          <w:p>
            <w:pPr>
              <w:pStyle w:val="38"/>
              <w:keepNext w:val="0"/>
              <w:keepLines w:val="0"/>
              <w:pageBreakBefore w:val="0"/>
              <w:widowControl w:val="0"/>
              <w:numPr>
                <w:ilvl w:val="0"/>
                <w:numId w:val="0"/>
              </w:numPr>
              <w:kinsoku/>
              <w:wordWrap/>
              <w:overflowPunct/>
              <w:topLinePunct w:val="0"/>
              <w:autoSpaceDE/>
              <w:autoSpaceDN/>
              <w:bidi w:val="0"/>
              <w:adjustRightInd w:val="0"/>
              <w:snapToGrid w:val="0"/>
              <w:spacing w:after="0" w:afterLines="0" w:line="360" w:lineRule="auto"/>
              <w:ind w:firstLine="480" w:firstLineChars="200"/>
              <w:textAlignment w:val="auto"/>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rPr>
              <w:t>（</w:t>
            </w:r>
            <w:r>
              <w:rPr>
                <w:rFonts w:hint="default" w:ascii="Times New Roman" w:hAnsi="Times New Roman" w:eastAsia="宋体" w:cs="Times New Roman"/>
                <w:color w:val="auto"/>
                <w:kern w:val="0"/>
                <w:sz w:val="24"/>
                <w:lang w:val="en-US" w:eastAsia="zh-CN"/>
              </w:rPr>
              <w:t>4</w:t>
            </w:r>
            <w:r>
              <w:rPr>
                <w:rFonts w:hint="default" w:ascii="Times New Roman" w:hAnsi="Times New Roman" w:eastAsia="宋体" w:cs="Times New Roman"/>
                <w:color w:val="auto"/>
                <w:kern w:val="0"/>
                <w:sz w:val="24"/>
              </w:rPr>
              <w:t>）建立水质保护长效管理机制</w:t>
            </w:r>
            <w:r>
              <w:rPr>
                <w:rFonts w:hint="default" w:ascii="Times New Roman" w:hAnsi="Times New Roman" w:eastAsia="宋体" w:cs="Times New Roman"/>
                <w:color w:val="auto"/>
                <w:kern w:val="0"/>
                <w:sz w:val="24"/>
                <w:lang w:eastAsia="zh-CN"/>
              </w:rPr>
              <w:t>。</w:t>
            </w:r>
          </w:p>
          <w:p>
            <w:pPr>
              <w:pStyle w:val="38"/>
              <w:keepNext w:val="0"/>
              <w:keepLines w:val="0"/>
              <w:pageBreakBefore w:val="0"/>
              <w:widowControl w:val="0"/>
              <w:numPr>
                <w:ilvl w:val="0"/>
                <w:numId w:val="0"/>
              </w:numPr>
              <w:kinsoku/>
              <w:wordWrap/>
              <w:overflowPunct/>
              <w:topLinePunct w:val="0"/>
              <w:autoSpaceDE/>
              <w:autoSpaceDN/>
              <w:bidi w:val="0"/>
              <w:adjustRightInd w:val="0"/>
              <w:snapToGrid w:val="0"/>
              <w:spacing w:after="0" w:afterLines="0" w:line="360" w:lineRule="auto"/>
              <w:ind w:firstLine="480" w:firstLineChars="200"/>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 w:val="24"/>
              </w:rPr>
              <w:t>通过以上措施，使水库水质达到《地表水环境质量标准》（GB3838-2002）Ⅲ类</w:t>
            </w:r>
            <w:r>
              <w:rPr>
                <w:rFonts w:hint="default" w:ascii="Times New Roman" w:hAnsi="Times New Roman" w:eastAsia="宋体" w:cs="Times New Roman"/>
                <w:color w:val="auto"/>
                <w:kern w:val="0"/>
                <w:sz w:val="24"/>
                <w:lang w:val="en-US" w:eastAsia="zh-CN"/>
              </w:rPr>
              <w:t>水质</w:t>
            </w:r>
            <w:r>
              <w:rPr>
                <w:rFonts w:hint="default" w:ascii="Times New Roman" w:hAnsi="Times New Roman" w:eastAsia="宋体" w:cs="Times New Roman"/>
                <w:color w:val="auto"/>
                <w:kern w:val="0"/>
                <w:sz w:val="24"/>
              </w:rPr>
              <w:t>标准</w:t>
            </w:r>
            <w:r>
              <w:rPr>
                <w:rFonts w:hint="default" w:ascii="Times New Roman" w:hAnsi="Times New Roman" w:eastAsia="宋体" w:cs="Times New Roman"/>
                <w:color w:val="auto"/>
                <w:kern w:val="0"/>
                <w:sz w:val="24"/>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11" w:type="pct"/>
            <w:noWrap w:val="0"/>
            <w:vAlign w:val="center"/>
          </w:tcPr>
          <w:p>
            <w:pPr>
              <w:keepNext w:val="0"/>
              <w:keepLines w:val="0"/>
              <w:pageBreakBefore w:val="0"/>
              <w:kinsoku/>
              <w:wordWrap/>
              <w:overflowPunct/>
              <w:topLinePunct w:val="0"/>
              <w:bidi w:val="0"/>
              <w:adjustRightInd w:val="0"/>
              <w:snapToGrid w:val="0"/>
              <w:jc w:val="center"/>
              <w:textAlignment w:val="auto"/>
              <w:outlineLvl w:val="9"/>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生态环境保护目标</w:t>
            </w:r>
          </w:p>
        </w:tc>
        <w:tc>
          <w:tcPr>
            <w:tcW w:w="47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cs="Times New Roman"/>
                <w:color w:val="auto"/>
                <w:sz w:val="24"/>
                <w:szCs w:val="24"/>
                <w:lang w:val="en-US" w:eastAsia="zh-CN"/>
              </w:rPr>
            </w:pPr>
            <w:r>
              <w:rPr>
                <w:rFonts w:hint="default" w:ascii="Times New Roman" w:hAnsi="Times New Roman" w:eastAsia="宋体" w:cs="Times New Roman"/>
                <w:color w:val="auto"/>
                <w:kern w:val="0"/>
                <w:sz w:val="24"/>
                <w:szCs w:val="24"/>
                <w:lang w:val="en-US" w:eastAsia="zh-CN"/>
              </w:rPr>
              <w:t>项目水库主坝西侧70-500m内有三尊村居民11户，西南侧340m处有三尊村居民2户，南侧170m处有三尊村居民4户；管理处南侧30m处有1户三尊村居民；溢洪道南侧20-500m处有三尊村居民10户；副坝南侧45-210m内有三尊村居民4户，东南侧70-500m范围内有三尊村居民7户，东侧20-500m范围内有三尊村居民5户</w:t>
            </w:r>
            <w:r>
              <w:rPr>
                <w:rFonts w:hint="default" w:ascii="Times New Roman" w:hAnsi="Times New Roman" w:cs="Times New Roman"/>
                <w:color w:val="auto"/>
                <w:sz w:val="24"/>
                <w:szCs w:val="24"/>
                <w:lang w:val="en-US" w:eastAsia="zh-CN"/>
              </w:rPr>
              <w:t>。水库下游为冷水河。</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color w:val="auto"/>
                <w:kern w:val="0"/>
                <w:sz w:val="24"/>
              </w:rPr>
              <w:t>根据现场调查，</w:t>
            </w:r>
            <w:r>
              <w:rPr>
                <w:rFonts w:hint="default" w:ascii="Times New Roman" w:hAnsi="Times New Roman" w:eastAsia="宋体" w:cs="Times New Roman"/>
                <w:bCs/>
                <w:color w:val="auto"/>
                <w:sz w:val="24"/>
              </w:rPr>
              <w:t>项目所在地无重点文物保护单位，未发现名胜古迹、珍稀野生动植物等重大环境敏感点</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lang w:val="en-US" w:eastAsia="zh-CN"/>
              </w:rPr>
              <w:t>项目生态环境保护目标见下表。</w:t>
            </w:r>
          </w:p>
          <w:p>
            <w:pPr>
              <w:pStyle w:val="21"/>
              <w:keepNext w:val="0"/>
              <w:keepLines w:val="0"/>
              <w:pageBreakBefore w:val="0"/>
              <w:widowControl w:val="0"/>
              <w:kinsoku/>
              <w:wordWrap/>
              <w:overflowPunct/>
              <w:topLinePunct w:val="0"/>
              <w:autoSpaceDE/>
              <w:autoSpaceDN/>
              <w:bidi w:val="0"/>
              <w:spacing w:line="360" w:lineRule="auto"/>
              <w:ind w:left="0" w:leftChars="0" w:firstLine="0" w:firstLineChars="0"/>
              <w:jc w:val="center"/>
              <w:textAlignment w:val="auto"/>
              <w:outlineLvl w:val="9"/>
              <w:rPr>
                <w:rFonts w:hint="default" w:ascii="Times New Roman" w:hAnsi="Times New Roman" w:eastAsia="宋体" w:cs="Times New Roman"/>
                <w:b/>
                <w:bCs w:val="0"/>
                <w:color w:val="auto"/>
                <w:sz w:val="21"/>
                <w:szCs w:val="21"/>
                <w:lang w:val="en-US" w:eastAsia="zh-CN"/>
              </w:rPr>
            </w:pPr>
            <w:r>
              <w:rPr>
                <w:rFonts w:hint="default" w:ascii="Times New Roman" w:hAnsi="Times New Roman" w:eastAsia="宋体" w:cs="Times New Roman"/>
                <w:b/>
                <w:bCs w:val="0"/>
                <w:color w:val="auto"/>
                <w:sz w:val="21"/>
                <w:szCs w:val="21"/>
                <w:lang w:val="en-US" w:eastAsia="zh-CN"/>
              </w:rPr>
              <w:t>表3-4  生态环境保护目标一览表</w:t>
            </w:r>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70"/>
              <w:gridCol w:w="1427"/>
              <w:gridCol w:w="2890"/>
              <w:gridCol w:w="1541"/>
              <w:gridCol w:w="28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71" w:type="dxa"/>
                  <w:noWrap w:val="0"/>
                  <w:vAlign w:val="center"/>
                </w:tcPr>
                <w:p>
                  <w:pPr>
                    <w:adjustRightInd w:val="0"/>
                    <w:snapToGrid w:val="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类别</w:t>
                  </w:r>
                </w:p>
              </w:tc>
              <w:tc>
                <w:tcPr>
                  <w:tcW w:w="1427" w:type="dxa"/>
                  <w:noWrap w:val="0"/>
                  <w:vAlign w:val="center"/>
                </w:tcPr>
                <w:p>
                  <w:pPr>
                    <w:adjustRightInd w:val="0"/>
                    <w:snapToGrid w:val="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保护目标</w:t>
                  </w:r>
                </w:p>
              </w:tc>
              <w:tc>
                <w:tcPr>
                  <w:tcW w:w="2891" w:type="dxa"/>
                  <w:noWrap w:val="0"/>
                  <w:vAlign w:val="center"/>
                </w:tcPr>
                <w:p>
                  <w:pPr>
                    <w:adjustRightInd w:val="0"/>
                    <w:snapToGrid w:val="0"/>
                    <w:jc w:val="center"/>
                    <w:outlineLvl w:val="9"/>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方位、距离</w:t>
                  </w:r>
                  <w:r>
                    <w:rPr>
                      <w:rFonts w:hint="default" w:ascii="Times New Roman" w:hAnsi="Times New Roman" w:cs="Times New Roman"/>
                      <w:b/>
                      <w:bCs/>
                      <w:color w:val="auto"/>
                      <w:lang w:eastAsia="zh-CN"/>
                    </w:rPr>
                    <w:t>、</w:t>
                  </w:r>
                  <w:r>
                    <w:rPr>
                      <w:rFonts w:hint="default" w:ascii="Times New Roman" w:hAnsi="Times New Roman" w:cs="Times New Roman"/>
                      <w:b/>
                      <w:bCs/>
                      <w:color w:val="auto"/>
                      <w:lang w:val="en-US" w:eastAsia="zh-CN"/>
                    </w:rPr>
                    <w:t>高差</w:t>
                  </w:r>
                </w:p>
              </w:tc>
              <w:tc>
                <w:tcPr>
                  <w:tcW w:w="1541" w:type="dxa"/>
                  <w:noWrap w:val="0"/>
                  <w:vAlign w:val="center"/>
                </w:tcPr>
                <w:p>
                  <w:pPr>
                    <w:adjustRightInd w:val="0"/>
                    <w:snapToGrid w:val="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规模</w:t>
                  </w:r>
                </w:p>
              </w:tc>
              <w:tc>
                <w:tcPr>
                  <w:tcW w:w="2857" w:type="dxa"/>
                  <w:noWrap w:val="0"/>
                  <w:vAlign w:val="center"/>
                </w:tcPr>
                <w:p>
                  <w:pPr>
                    <w:adjustRightInd w:val="0"/>
                    <w:snapToGrid w:val="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环境功能及要求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3" w:hRule="atLeast"/>
                <w:jc w:val="center"/>
              </w:trPr>
              <w:tc>
                <w:tcPr>
                  <w:tcW w:w="571" w:type="dxa"/>
                  <w:vMerge w:val="restart"/>
                  <w:noWrap w:val="0"/>
                  <w:vAlign w:val="center"/>
                </w:tcPr>
                <w:p>
                  <w:pPr>
                    <w:adjustRightInd w:val="0"/>
                    <w:snapToGrid w:val="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地表水环境</w:t>
                  </w:r>
                </w:p>
              </w:tc>
              <w:tc>
                <w:tcPr>
                  <w:tcW w:w="1427" w:type="dxa"/>
                  <w:noWrap w:val="0"/>
                  <w:vAlign w:val="center"/>
                </w:tcPr>
                <w:p>
                  <w:pPr>
                    <w:adjustRightInd w:val="0"/>
                    <w:snapToGrid w:val="0"/>
                    <w:jc w:val="center"/>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highlight w:val="none"/>
                      <w:lang w:val="en-US" w:eastAsia="zh-CN"/>
                    </w:rPr>
                    <w:t>山珍水库</w:t>
                  </w:r>
                </w:p>
              </w:tc>
              <w:tc>
                <w:tcPr>
                  <w:tcW w:w="2891" w:type="dxa"/>
                  <w:noWrap w:val="0"/>
                  <w:vAlign w:val="center"/>
                </w:tcPr>
                <w:p>
                  <w:pPr>
                    <w:adjustRightInd w:val="0"/>
                    <w:snapToGrid w:val="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541" w:type="dxa"/>
                  <w:noWrap w:val="0"/>
                  <w:vAlign w:val="center"/>
                </w:tcPr>
                <w:p>
                  <w:pPr>
                    <w:adjustRightInd w:val="0"/>
                    <w:snapToGrid w:val="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灌溉</w:t>
                  </w:r>
                </w:p>
              </w:tc>
              <w:tc>
                <w:tcPr>
                  <w:tcW w:w="2857" w:type="dxa"/>
                  <w:vMerge w:val="restart"/>
                  <w:noWrap w:val="0"/>
                  <w:vAlign w:val="center"/>
                </w:tcPr>
                <w:p>
                  <w:pPr>
                    <w:adjustRightInd w:val="0"/>
                    <w:snapToGrid w:val="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《地表水环境质量标准》(GB3838-</w:t>
                  </w:r>
                  <w:r>
                    <w:rPr>
                      <w:rFonts w:hint="default" w:ascii="Times New Roman" w:hAnsi="Times New Roman" w:eastAsia="宋体" w:cs="Times New Roman"/>
                      <w:color w:val="auto"/>
                      <w:sz w:val="21"/>
                      <w:szCs w:val="21"/>
                    </w:rPr>
                    <w:t>2002</w:t>
                  </w:r>
                  <w:r>
                    <w:rPr>
                      <w:rFonts w:hint="default" w:ascii="Times New Roman" w:hAnsi="Times New Roman" w:eastAsia="宋体" w:cs="Times New Roman"/>
                      <w:bCs/>
                      <w:color w:val="auto"/>
                      <w:sz w:val="21"/>
                      <w:szCs w:val="21"/>
                    </w:rPr>
                    <w:t>)</w:t>
                  </w:r>
                  <w:r>
                    <w:rPr>
                      <w:rFonts w:hint="default" w:ascii="Times New Roman" w:hAnsi="Times New Roman" w:eastAsia="宋体" w:cs="Times New Roman"/>
                      <w:color w:val="auto"/>
                      <w:sz w:val="21"/>
                      <w:szCs w:val="21"/>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3" w:hRule="atLeast"/>
                <w:jc w:val="center"/>
              </w:trPr>
              <w:tc>
                <w:tcPr>
                  <w:tcW w:w="571" w:type="dxa"/>
                  <w:vMerge w:val="continue"/>
                  <w:noWrap w:val="0"/>
                  <w:vAlign w:val="center"/>
                </w:tcPr>
                <w:p>
                  <w:pPr>
                    <w:adjustRightInd w:val="0"/>
                    <w:snapToGrid w:val="0"/>
                    <w:jc w:val="center"/>
                    <w:outlineLvl w:val="9"/>
                    <w:rPr>
                      <w:rFonts w:hint="default" w:ascii="Times New Roman" w:hAnsi="Times New Roman" w:cs="Times New Roman"/>
                      <w:color w:val="auto"/>
                    </w:rPr>
                  </w:pPr>
                </w:p>
              </w:tc>
              <w:tc>
                <w:tcPr>
                  <w:tcW w:w="1427" w:type="dxa"/>
                  <w:noWrap w:val="0"/>
                  <w:vAlign w:val="center"/>
                </w:tcPr>
                <w:p>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冷水河</w:t>
                  </w:r>
                </w:p>
              </w:tc>
              <w:tc>
                <w:tcPr>
                  <w:tcW w:w="2891" w:type="dxa"/>
                  <w:noWrap w:val="0"/>
                  <w:vAlign w:val="center"/>
                </w:tcPr>
                <w:p>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水库下游</w:t>
                  </w:r>
                </w:p>
              </w:tc>
              <w:tc>
                <w:tcPr>
                  <w:tcW w:w="1541" w:type="dxa"/>
                  <w:noWrap w:val="0"/>
                  <w:vAlign w:val="center"/>
                </w:tcPr>
                <w:p>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灌溉</w:t>
                  </w:r>
                </w:p>
              </w:tc>
              <w:tc>
                <w:tcPr>
                  <w:tcW w:w="2857" w:type="dxa"/>
                  <w:vMerge w:val="continue"/>
                  <w:noWrap w:val="0"/>
                  <w:vAlign w:val="center"/>
                </w:tcPr>
                <w:p>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1" w:hRule="atLeast"/>
                <w:jc w:val="center"/>
              </w:trPr>
              <w:tc>
                <w:tcPr>
                  <w:tcW w:w="571" w:type="dxa"/>
                  <w:vMerge w:val="restart"/>
                  <w:noWrap w:val="0"/>
                  <w:vAlign w:val="center"/>
                </w:tcPr>
                <w:p>
                  <w:pPr>
                    <w:adjustRightInd w:val="0"/>
                    <w:snapToGrid w:val="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声环境</w:t>
                  </w:r>
                </w:p>
              </w:tc>
              <w:tc>
                <w:tcPr>
                  <w:tcW w:w="1427" w:type="dxa"/>
                  <w:noWrap w:val="0"/>
                  <w:vAlign w:val="center"/>
                </w:tcPr>
                <w:p>
                  <w:pPr>
                    <w:adjustRightInd w:val="0"/>
                    <w:snapToGrid w:val="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三尊村居民</w:t>
                  </w:r>
                </w:p>
              </w:tc>
              <w:tc>
                <w:tcPr>
                  <w:tcW w:w="2891" w:type="dxa"/>
                  <w:noWrap w:val="0"/>
                  <w:vAlign w:val="center"/>
                </w:tcPr>
                <w:p>
                  <w:pPr>
                    <w:adjustRightInd w:val="0"/>
                    <w:snapToGrid w:val="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rPr>
                    <w:t>管理处南侧30m</w:t>
                  </w:r>
                  <w:r>
                    <w:rPr>
                      <w:rFonts w:hint="default" w:ascii="Times New Roman" w:hAnsi="Times New Roman" w:eastAsia="宋体" w:cs="Times New Roman"/>
                      <w:color w:val="auto"/>
                      <w:sz w:val="21"/>
                      <w:szCs w:val="21"/>
                      <w:lang w:val="en-US" w:eastAsia="zh-CN"/>
                    </w:rPr>
                    <w:t>，-2m</w:t>
                  </w:r>
                </w:p>
              </w:tc>
              <w:tc>
                <w:tcPr>
                  <w:tcW w:w="1541" w:type="dxa"/>
                  <w:noWrap w:val="0"/>
                  <w:vAlign w:val="center"/>
                </w:tcPr>
                <w:p>
                  <w:pPr>
                    <w:adjustRightInd w:val="0"/>
                    <w:snapToGrid w:val="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户/</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人</w:t>
                  </w:r>
                </w:p>
              </w:tc>
              <w:tc>
                <w:tcPr>
                  <w:tcW w:w="2857" w:type="dxa"/>
                  <w:vMerge w:val="restart"/>
                  <w:noWrap w:val="0"/>
                  <w:vAlign w:val="center"/>
                </w:tcPr>
                <w:p>
                  <w:pPr>
                    <w:adjustRightInd w:val="0"/>
                    <w:snapToGrid w:val="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《声环境质量标准》(GB 3096-2008)2类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5" w:hRule="atLeast"/>
                <w:jc w:val="center"/>
              </w:trPr>
              <w:tc>
                <w:tcPr>
                  <w:tcW w:w="571" w:type="dxa"/>
                  <w:vMerge w:val="continue"/>
                  <w:noWrap w:val="0"/>
                  <w:vAlign w:val="center"/>
                </w:tcPr>
                <w:p>
                  <w:pPr>
                    <w:adjustRightInd w:val="0"/>
                    <w:snapToGrid w:val="0"/>
                    <w:jc w:val="center"/>
                    <w:outlineLvl w:val="9"/>
                    <w:rPr>
                      <w:rFonts w:hint="default" w:ascii="Times New Roman" w:hAnsi="Times New Roman" w:cs="Times New Roman"/>
                      <w:color w:val="auto"/>
                      <w:sz w:val="21"/>
                      <w:szCs w:val="21"/>
                    </w:rPr>
                  </w:pPr>
                </w:p>
              </w:tc>
              <w:tc>
                <w:tcPr>
                  <w:tcW w:w="1427" w:type="dxa"/>
                  <w:noWrap w:val="0"/>
                  <w:vAlign w:val="center"/>
                </w:tcPr>
                <w:p>
                  <w:pPr>
                    <w:adjustRightInd w:val="0"/>
                    <w:snapToGrid w:val="0"/>
                    <w:jc w:val="center"/>
                    <w:outlineLvl w:val="9"/>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三尊村居民</w:t>
                  </w:r>
                </w:p>
              </w:tc>
              <w:tc>
                <w:tcPr>
                  <w:tcW w:w="2891" w:type="dxa"/>
                  <w:noWrap w:val="0"/>
                  <w:vAlign w:val="center"/>
                </w:tcPr>
                <w:p>
                  <w:pPr>
                    <w:adjustRightInd w:val="0"/>
                    <w:snapToGrid w:val="0"/>
                    <w:jc w:val="center"/>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溢洪道南侧20m，</w:t>
                  </w:r>
                  <w:r>
                    <w:rPr>
                      <w:rFonts w:hint="default" w:ascii="Times New Roman" w:hAnsi="Times New Roman" w:eastAsia="宋体" w:cs="Times New Roman"/>
                      <w:color w:val="auto"/>
                      <w:sz w:val="21"/>
                      <w:szCs w:val="21"/>
                      <w:lang w:val="en-US" w:eastAsia="zh-CN"/>
                    </w:rPr>
                    <w:t>-2m</w:t>
                  </w:r>
                </w:p>
              </w:tc>
              <w:tc>
                <w:tcPr>
                  <w:tcW w:w="1541" w:type="dxa"/>
                  <w:noWrap w:val="0"/>
                  <w:vAlign w:val="center"/>
                </w:tcPr>
                <w:p>
                  <w:pPr>
                    <w:adjustRightInd w:val="0"/>
                    <w:snapToGrid w:val="0"/>
                    <w:jc w:val="center"/>
                    <w:outlineLvl w:val="9"/>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户/</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人</w:t>
                  </w:r>
                </w:p>
              </w:tc>
              <w:tc>
                <w:tcPr>
                  <w:tcW w:w="2857" w:type="dxa"/>
                  <w:vMerge w:val="continue"/>
                  <w:noWrap w:val="0"/>
                  <w:vAlign w:val="center"/>
                </w:tcPr>
                <w:p>
                  <w:pPr>
                    <w:adjustRightInd w:val="0"/>
                    <w:snapToGrid w:val="0"/>
                    <w:jc w:val="center"/>
                    <w:outlineLvl w:val="9"/>
                    <w:rPr>
                      <w:rFonts w:hint="default" w:ascii="Times New Roman" w:hAnsi="Times New Roman"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5" w:hRule="atLeast"/>
                <w:jc w:val="center"/>
              </w:trPr>
              <w:tc>
                <w:tcPr>
                  <w:tcW w:w="571" w:type="dxa"/>
                  <w:vMerge w:val="continue"/>
                  <w:noWrap w:val="0"/>
                  <w:vAlign w:val="center"/>
                </w:tcPr>
                <w:p>
                  <w:pPr>
                    <w:adjustRightInd w:val="0"/>
                    <w:snapToGrid w:val="0"/>
                    <w:jc w:val="center"/>
                    <w:outlineLvl w:val="9"/>
                    <w:rPr>
                      <w:rFonts w:hint="default" w:ascii="Times New Roman" w:hAnsi="Times New Roman" w:cs="Times New Roman"/>
                      <w:color w:val="auto"/>
                      <w:sz w:val="21"/>
                      <w:szCs w:val="21"/>
                      <w:lang w:val="en-US" w:eastAsia="zh-CN"/>
                    </w:rPr>
                  </w:pPr>
                </w:p>
              </w:tc>
              <w:tc>
                <w:tcPr>
                  <w:tcW w:w="1427" w:type="dxa"/>
                  <w:noWrap w:val="0"/>
                  <w:vAlign w:val="center"/>
                </w:tcPr>
                <w:p>
                  <w:pPr>
                    <w:adjustRightInd w:val="0"/>
                    <w:snapToGrid w:val="0"/>
                    <w:jc w:val="center"/>
                    <w:outlineLvl w:val="9"/>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三尊村居民</w:t>
                  </w:r>
                </w:p>
              </w:tc>
              <w:tc>
                <w:tcPr>
                  <w:tcW w:w="2891" w:type="dxa"/>
                  <w:noWrap w:val="0"/>
                  <w:vAlign w:val="center"/>
                </w:tcPr>
                <w:p>
                  <w:pPr>
                    <w:adjustRightInd w:val="0"/>
                    <w:snapToGrid w:val="0"/>
                    <w:jc w:val="center"/>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副坝南侧45m，-10m</w:t>
                  </w:r>
                </w:p>
              </w:tc>
              <w:tc>
                <w:tcPr>
                  <w:tcW w:w="1541" w:type="dxa"/>
                  <w:noWrap w:val="0"/>
                  <w:vAlign w:val="center"/>
                </w:tcPr>
                <w:p>
                  <w:pPr>
                    <w:adjustRightInd w:val="0"/>
                    <w:snapToGrid w:val="0"/>
                    <w:jc w:val="center"/>
                    <w:outlineLvl w:val="9"/>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户/</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人</w:t>
                  </w:r>
                </w:p>
              </w:tc>
              <w:tc>
                <w:tcPr>
                  <w:tcW w:w="2857" w:type="dxa"/>
                  <w:vMerge w:val="continue"/>
                  <w:noWrap w:val="0"/>
                  <w:vAlign w:val="center"/>
                </w:tcPr>
                <w:p>
                  <w:pPr>
                    <w:adjustRightInd w:val="0"/>
                    <w:snapToGrid w:val="0"/>
                    <w:jc w:val="center"/>
                    <w:outlineLvl w:val="9"/>
                    <w:rPr>
                      <w:rFonts w:hint="default" w:ascii="Times New Roman" w:hAnsi="Times New Roman"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5" w:hRule="atLeast"/>
                <w:jc w:val="center"/>
              </w:trPr>
              <w:tc>
                <w:tcPr>
                  <w:tcW w:w="571" w:type="dxa"/>
                  <w:vMerge w:val="continue"/>
                  <w:noWrap w:val="0"/>
                  <w:vAlign w:val="center"/>
                </w:tcPr>
                <w:p>
                  <w:pPr>
                    <w:adjustRightInd w:val="0"/>
                    <w:snapToGrid w:val="0"/>
                    <w:jc w:val="center"/>
                    <w:outlineLvl w:val="9"/>
                    <w:rPr>
                      <w:rFonts w:hint="default" w:ascii="Times New Roman" w:hAnsi="Times New Roman" w:cs="Times New Roman"/>
                      <w:color w:val="auto"/>
                      <w:sz w:val="21"/>
                      <w:szCs w:val="21"/>
                      <w:lang w:val="en-US" w:eastAsia="zh-CN"/>
                    </w:rPr>
                  </w:pPr>
                </w:p>
              </w:tc>
              <w:tc>
                <w:tcPr>
                  <w:tcW w:w="1427" w:type="dxa"/>
                  <w:noWrap w:val="0"/>
                  <w:vAlign w:val="center"/>
                </w:tcPr>
                <w:p>
                  <w:pPr>
                    <w:adjustRightInd w:val="0"/>
                    <w:snapToGrid w:val="0"/>
                    <w:jc w:val="center"/>
                    <w:outlineLvl w:val="9"/>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三尊村居民</w:t>
                  </w:r>
                </w:p>
              </w:tc>
              <w:tc>
                <w:tcPr>
                  <w:tcW w:w="2891" w:type="dxa"/>
                  <w:noWrap w:val="0"/>
                  <w:vAlign w:val="center"/>
                </w:tcPr>
                <w:p>
                  <w:pPr>
                    <w:adjustRightInd w:val="0"/>
                    <w:snapToGrid w:val="0"/>
                    <w:jc w:val="center"/>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副坝东侧20m，-3m</w:t>
                  </w:r>
                </w:p>
              </w:tc>
              <w:tc>
                <w:tcPr>
                  <w:tcW w:w="1541" w:type="dxa"/>
                  <w:noWrap w:val="0"/>
                  <w:vAlign w:val="center"/>
                </w:tcPr>
                <w:p>
                  <w:pPr>
                    <w:adjustRightInd w:val="0"/>
                    <w:snapToGrid w:val="0"/>
                    <w:jc w:val="center"/>
                    <w:outlineLvl w:val="9"/>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户/</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人</w:t>
                  </w:r>
                </w:p>
              </w:tc>
              <w:tc>
                <w:tcPr>
                  <w:tcW w:w="2857" w:type="dxa"/>
                  <w:vMerge w:val="continue"/>
                  <w:noWrap w:val="0"/>
                  <w:vAlign w:val="center"/>
                </w:tcPr>
                <w:p>
                  <w:pPr>
                    <w:adjustRightInd w:val="0"/>
                    <w:snapToGrid w:val="0"/>
                    <w:jc w:val="center"/>
                    <w:outlineLvl w:val="9"/>
                    <w:rPr>
                      <w:rFonts w:hint="default" w:ascii="Times New Roman" w:hAnsi="Times New Roman"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5" w:hRule="atLeast"/>
                <w:jc w:val="center"/>
              </w:trPr>
              <w:tc>
                <w:tcPr>
                  <w:tcW w:w="571" w:type="dxa"/>
                  <w:vMerge w:val="restart"/>
                  <w:noWrap w:val="0"/>
                  <w:vAlign w:val="center"/>
                </w:tcPr>
                <w:p>
                  <w:pPr>
                    <w:adjustRightInd w:val="0"/>
                    <w:snapToGrid w:val="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环境空气</w:t>
                  </w:r>
                </w:p>
              </w:tc>
              <w:tc>
                <w:tcPr>
                  <w:tcW w:w="1427" w:type="dxa"/>
                  <w:noWrap w:val="0"/>
                  <w:vAlign w:val="center"/>
                </w:tcPr>
                <w:p>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三尊村居民</w:t>
                  </w:r>
                </w:p>
              </w:tc>
              <w:tc>
                <w:tcPr>
                  <w:tcW w:w="2891" w:type="dxa"/>
                  <w:noWrap w:val="0"/>
                  <w:vAlign w:val="center"/>
                </w:tcPr>
                <w:p>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主坝西侧70-500m，-1m</w:t>
                  </w:r>
                </w:p>
              </w:tc>
              <w:tc>
                <w:tcPr>
                  <w:tcW w:w="1541" w:type="dxa"/>
                  <w:noWrap w:val="0"/>
                  <w:vAlign w:val="center"/>
                </w:tcPr>
                <w:p>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w:t>
                  </w:r>
                  <w:r>
                    <w:rPr>
                      <w:rFonts w:hint="default" w:ascii="Times New Roman" w:hAnsi="Times New Roman" w:eastAsia="宋体" w:cs="Times New Roman"/>
                      <w:color w:val="auto"/>
                      <w:sz w:val="21"/>
                      <w:szCs w:val="21"/>
                    </w:rPr>
                    <w:t>户/</w:t>
                  </w:r>
                  <w:r>
                    <w:rPr>
                      <w:rFonts w:hint="default" w:ascii="Times New Roman" w:hAnsi="Times New Roman" w:eastAsia="宋体" w:cs="Times New Roman"/>
                      <w:color w:val="auto"/>
                      <w:sz w:val="21"/>
                      <w:szCs w:val="21"/>
                      <w:lang w:val="en-US" w:eastAsia="zh-CN"/>
                    </w:rPr>
                    <w:t>44</w:t>
                  </w:r>
                  <w:r>
                    <w:rPr>
                      <w:rFonts w:hint="default" w:ascii="Times New Roman" w:hAnsi="Times New Roman" w:eastAsia="宋体" w:cs="Times New Roman"/>
                      <w:color w:val="auto"/>
                      <w:sz w:val="21"/>
                      <w:szCs w:val="21"/>
                    </w:rPr>
                    <w:t>人</w:t>
                  </w:r>
                </w:p>
              </w:tc>
              <w:tc>
                <w:tcPr>
                  <w:tcW w:w="2857" w:type="dxa"/>
                  <w:vMerge w:val="restart"/>
                  <w:noWrap w:val="0"/>
                  <w:vAlign w:val="center"/>
                </w:tcPr>
                <w:p>
                  <w:pPr>
                    <w:adjustRightInd w:val="0"/>
                    <w:snapToGrid w:val="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《环境空气质量标准》（GB</w:t>
                  </w:r>
                  <w:r>
                    <w:rPr>
                      <w:rFonts w:hint="default" w:ascii="Times New Roman" w:hAnsi="Times New Roman" w:eastAsia="宋体" w:cs="Times New Roman"/>
                      <w:color w:val="auto"/>
                      <w:sz w:val="21"/>
                      <w:szCs w:val="21"/>
                    </w:rPr>
                    <w:t>3095</w:t>
                  </w:r>
                  <w:r>
                    <w:rPr>
                      <w:rFonts w:hint="default" w:ascii="Times New Roman" w:hAnsi="Times New Roman" w:eastAsia="宋体" w:cs="Times New Roman"/>
                      <w:bCs/>
                      <w:color w:val="auto"/>
                      <w:sz w:val="21"/>
                      <w:szCs w:val="21"/>
                    </w:rPr>
                    <w:t>-</w:t>
                  </w:r>
                  <w:r>
                    <w:rPr>
                      <w:rFonts w:hint="default" w:ascii="Times New Roman" w:hAnsi="Times New Roman" w:eastAsia="宋体" w:cs="Times New Roman"/>
                      <w:color w:val="auto"/>
                      <w:sz w:val="21"/>
                      <w:szCs w:val="21"/>
                    </w:rPr>
                    <w:t>2012</w:t>
                  </w:r>
                  <w:r>
                    <w:rPr>
                      <w:rFonts w:hint="default" w:ascii="Times New Roman" w:hAnsi="Times New Roman" w:eastAsia="宋体" w:cs="Times New Roman"/>
                      <w:bCs/>
                      <w:color w:val="auto"/>
                      <w:sz w:val="21"/>
                      <w:szCs w:val="21"/>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1" w:hRule="atLeast"/>
                <w:jc w:val="center"/>
              </w:trPr>
              <w:tc>
                <w:tcPr>
                  <w:tcW w:w="571" w:type="dxa"/>
                  <w:vMerge w:val="continue"/>
                  <w:noWrap w:val="0"/>
                  <w:vAlign w:val="center"/>
                </w:tcPr>
                <w:p>
                  <w:pPr>
                    <w:adjustRightInd w:val="0"/>
                    <w:snapToGrid w:val="0"/>
                    <w:jc w:val="center"/>
                    <w:outlineLvl w:val="9"/>
                    <w:rPr>
                      <w:rFonts w:hint="default" w:ascii="Times New Roman" w:hAnsi="Times New Roman" w:eastAsia="宋体" w:cs="Times New Roman"/>
                      <w:color w:val="auto"/>
                      <w:sz w:val="21"/>
                      <w:szCs w:val="21"/>
                    </w:rPr>
                  </w:pPr>
                </w:p>
              </w:tc>
              <w:tc>
                <w:tcPr>
                  <w:tcW w:w="1427" w:type="dxa"/>
                  <w:noWrap w:val="0"/>
                  <w:vAlign w:val="center"/>
                </w:tcPr>
                <w:p>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三尊村居民</w:t>
                  </w:r>
                </w:p>
              </w:tc>
              <w:tc>
                <w:tcPr>
                  <w:tcW w:w="2891" w:type="dxa"/>
                  <w:noWrap w:val="0"/>
                  <w:vAlign w:val="center"/>
                </w:tcPr>
                <w:p>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主坝西南侧340m，-10m</w:t>
                  </w:r>
                </w:p>
              </w:tc>
              <w:tc>
                <w:tcPr>
                  <w:tcW w:w="1541" w:type="dxa"/>
                  <w:noWrap w:val="0"/>
                  <w:vAlign w:val="center"/>
                </w:tcPr>
                <w:p>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2户/8人</w:t>
                  </w:r>
                </w:p>
              </w:tc>
              <w:tc>
                <w:tcPr>
                  <w:tcW w:w="2857" w:type="dxa"/>
                  <w:vMerge w:val="continue"/>
                  <w:noWrap w:val="0"/>
                  <w:vAlign w:val="center"/>
                </w:tcPr>
                <w:p>
                  <w:pPr>
                    <w:adjustRightInd w:val="0"/>
                    <w:snapToGrid w:val="0"/>
                    <w:jc w:val="center"/>
                    <w:outlineLvl w:val="9"/>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1" w:hRule="atLeast"/>
                <w:jc w:val="center"/>
              </w:trPr>
              <w:tc>
                <w:tcPr>
                  <w:tcW w:w="571" w:type="dxa"/>
                  <w:vMerge w:val="continue"/>
                  <w:noWrap w:val="0"/>
                  <w:vAlign w:val="center"/>
                </w:tcPr>
                <w:p>
                  <w:pPr>
                    <w:adjustRightInd w:val="0"/>
                    <w:snapToGrid w:val="0"/>
                    <w:jc w:val="center"/>
                    <w:outlineLvl w:val="9"/>
                    <w:rPr>
                      <w:rFonts w:hint="default" w:ascii="Times New Roman" w:hAnsi="Times New Roman" w:eastAsia="宋体" w:cs="Times New Roman"/>
                      <w:color w:val="auto"/>
                      <w:sz w:val="21"/>
                      <w:szCs w:val="21"/>
                    </w:rPr>
                  </w:pPr>
                </w:p>
              </w:tc>
              <w:tc>
                <w:tcPr>
                  <w:tcW w:w="1427" w:type="dxa"/>
                  <w:noWrap w:val="0"/>
                  <w:vAlign w:val="center"/>
                </w:tcPr>
                <w:p>
                  <w:pPr>
                    <w:adjustRightInd w:val="0"/>
                    <w:snapToGrid w:val="0"/>
                    <w:jc w:val="center"/>
                    <w:outlineLvl w:val="9"/>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三尊村居民</w:t>
                  </w:r>
                </w:p>
              </w:tc>
              <w:tc>
                <w:tcPr>
                  <w:tcW w:w="2891" w:type="dxa"/>
                  <w:noWrap w:val="0"/>
                  <w:vAlign w:val="center"/>
                </w:tcPr>
                <w:p>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主坝南侧170m，-11m</w:t>
                  </w:r>
                </w:p>
              </w:tc>
              <w:tc>
                <w:tcPr>
                  <w:tcW w:w="1541" w:type="dxa"/>
                  <w:noWrap w:val="0"/>
                  <w:vAlign w:val="center"/>
                </w:tcPr>
                <w:p>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4户/16人</w:t>
                  </w:r>
                </w:p>
              </w:tc>
              <w:tc>
                <w:tcPr>
                  <w:tcW w:w="2857" w:type="dxa"/>
                  <w:vMerge w:val="continue"/>
                  <w:noWrap w:val="0"/>
                  <w:vAlign w:val="center"/>
                </w:tcPr>
                <w:p>
                  <w:pPr>
                    <w:adjustRightInd w:val="0"/>
                    <w:snapToGrid w:val="0"/>
                    <w:jc w:val="center"/>
                    <w:outlineLvl w:val="9"/>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1" w:hRule="atLeast"/>
                <w:jc w:val="center"/>
              </w:trPr>
              <w:tc>
                <w:tcPr>
                  <w:tcW w:w="571" w:type="dxa"/>
                  <w:vMerge w:val="continue"/>
                  <w:noWrap w:val="0"/>
                  <w:vAlign w:val="center"/>
                </w:tcPr>
                <w:p>
                  <w:pPr>
                    <w:adjustRightInd w:val="0"/>
                    <w:snapToGrid w:val="0"/>
                    <w:jc w:val="center"/>
                    <w:outlineLvl w:val="9"/>
                    <w:rPr>
                      <w:rFonts w:hint="default" w:ascii="Times New Roman" w:hAnsi="Times New Roman" w:cs="Times New Roman"/>
                      <w:color w:val="auto"/>
                      <w:sz w:val="21"/>
                      <w:szCs w:val="21"/>
                    </w:rPr>
                  </w:pPr>
                </w:p>
              </w:tc>
              <w:tc>
                <w:tcPr>
                  <w:tcW w:w="1427" w:type="dxa"/>
                  <w:noWrap w:val="0"/>
                  <w:vAlign w:val="center"/>
                </w:tcPr>
                <w:p>
                  <w:pPr>
                    <w:adjustRightInd w:val="0"/>
                    <w:snapToGrid w:val="0"/>
                    <w:jc w:val="center"/>
                    <w:outlineLvl w:val="9"/>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三尊村居民</w:t>
                  </w:r>
                </w:p>
              </w:tc>
              <w:tc>
                <w:tcPr>
                  <w:tcW w:w="2891" w:type="dxa"/>
                  <w:noWrap w:val="0"/>
                  <w:vAlign w:val="center"/>
                </w:tcPr>
                <w:p>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rPr>
                    <w:t>管理处南侧30m</w:t>
                  </w:r>
                  <w:r>
                    <w:rPr>
                      <w:rFonts w:hint="default" w:ascii="Times New Roman" w:hAnsi="Times New Roman" w:eastAsia="宋体" w:cs="Times New Roman"/>
                      <w:color w:val="auto"/>
                      <w:sz w:val="21"/>
                      <w:szCs w:val="21"/>
                      <w:lang w:val="en-US" w:eastAsia="zh-CN"/>
                    </w:rPr>
                    <w:t>，-2m</w:t>
                  </w:r>
                </w:p>
              </w:tc>
              <w:tc>
                <w:tcPr>
                  <w:tcW w:w="1541" w:type="dxa"/>
                  <w:noWrap w:val="0"/>
                  <w:vAlign w:val="center"/>
                </w:tcPr>
                <w:p>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户/</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人</w:t>
                  </w:r>
                </w:p>
              </w:tc>
              <w:tc>
                <w:tcPr>
                  <w:tcW w:w="2857" w:type="dxa"/>
                  <w:vMerge w:val="continue"/>
                  <w:noWrap w:val="0"/>
                  <w:vAlign w:val="center"/>
                </w:tcPr>
                <w:p>
                  <w:pPr>
                    <w:adjustRightInd w:val="0"/>
                    <w:snapToGrid w:val="0"/>
                    <w:jc w:val="center"/>
                    <w:outlineLvl w:val="9"/>
                    <w:rPr>
                      <w:rFonts w:hint="default" w:ascii="Times New Roman" w:hAnsi="Times New Roman"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1" w:hRule="atLeast"/>
                <w:jc w:val="center"/>
              </w:trPr>
              <w:tc>
                <w:tcPr>
                  <w:tcW w:w="571" w:type="dxa"/>
                  <w:vMerge w:val="continue"/>
                  <w:noWrap w:val="0"/>
                  <w:vAlign w:val="center"/>
                </w:tcPr>
                <w:p>
                  <w:pPr>
                    <w:adjustRightInd w:val="0"/>
                    <w:snapToGrid w:val="0"/>
                    <w:jc w:val="center"/>
                    <w:outlineLvl w:val="9"/>
                    <w:rPr>
                      <w:rFonts w:hint="default" w:ascii="Times New Roman" w:hAnsi="Times New Roman" w:eastAsia="宋体" w:cs="Times New Roman"/>
                      <w:color w:val="auto"/>
                      <w:sz w:val="21"/>
                      <w:szCs w:val="21"/>
                    </w:rPr>
                  </w:pPr>
                </w:p>
              </w:tc>
              <w:tc>
                <w:tcPr>
                  <w:tcW w:w="1427" w:type="dxa"/>
                  <w:noWrap w:val="0"/>
                  <w:vAlign w:val="center"/>
                </w:tcPr>
                <w:p>
                  <w:pPr>
                    <w:adjustRightInd w:val="0"/>
                    <w:snapToGrid w:val="0"/>
                    <w:jc w:val="center"/>
                    <w:outlineLvl w:val="9"/>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三尊村居民</w:t>
                  </w:r>
                </w:p>
              </w:tc>
              <w:tc>
                <w:tcPr>
                  <w:tcW w:w="2891" w:type="dxa"/>
                  <w:noWrap w:val="0"/>
                  <w:vAlign w:val="center"/>
                </w:tcPr>
                <w:p>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溢洪道南侧20-500m</w:t>
                  </w:r>
                  <w:r>
                    <w:rPr>
                      <w:rFonts w:hint="default" w:ascii="Times New Roman" w:hAnsi="Times New Roman"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-2m</w:t>
                  </w:r>
                </w:p>
              </w:tc>
              <w:tc>
                <w:tcPr>
                  <w:tcW w:w="1541" w:type="dxa"/>
                  <w:noWrap w:val="0"/>
                  <w:vAlign w:val="center"/>
                </w:tcPr>
                <w:p>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w:t>
                  </w:r>
                  <w:r>
                    <w:rPr>
                      <w:rFonts w:hint="default" w:ascii="Times New Roman" w:hAnsi="Times New Roman" w:eastAsia="宋体" w:cs="Times New Roman"/>
                      <w:color w:val="auto"/>
                      <w:sz w:val="21"/>
                      <w:szCs w:val="21"/>
                    </w:rPr>
                    <w:t>户/</w:t>
                  </w:r>
                  <w:r>
                    <w:rPr>
                      <w:rFonts w:hint="default" w:ascii="Times New Roman" w:hAnsi="Times New Roman" w:eastAsia="宋体" w:cs="Times New Roman"/>
                      <w:color w:val="auto"/>
                      <w:sz w:val="21"/>
                      <w:szCs w:val="21"/>
                      <w:lang w:val="en-US" w:eastAsia="zh-CN"/>
                    </w:rPr>
                    <w:t>40</w:t>
                  </w:r>
                  <w:r>
                    <w:rPr>
                      <w:rFonts w:hint="default" w:ascii="Times New Roman" w:hAnsi="Times New Roman" w:eastAsia="宋体" w:cs="Times New Roman"/>
                      <w:color w:val="auto"/>
                      <w:sz w:val="21"/>
                      <w:szCs w:val="21"/>
                    </w:rPr>
                    <w:t>人</w:t>
                  </w:r>
                </w:p>
              </w:tc>
              <w:tc>
                <w:tcPr>
                  <w:tcW w:w="2857" w:type="dxa"/>
                  <w:vMerge w:val="continue"/>
                  <w:noWrap w:val="0"/>
                  <w:vAlign w:val="center"/>
                </w:tcPr>
                <w:p>
                  <w:pPr>
                    <w:adjustRightInd w:val="0"/>
                    <w:snapToGrid w:val="0"/>
                    <w:jc w:val="center"/>
                    <w:outlineLvl w:val="9"/>
                    <w:rPr>
                      <w:rFonts w:hint="default" w:ascii="Times New Roman" w:hAnsi="Times New Roman" w:eastAsia="宋体" w:cs="Times New Roman"/>
                      <w:color w:val="auto"/>
                      <w:sz w:val="21"/>
                      <w:szCs w:val="21"/>
                      <w:u w:val="dotted"/>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1" w:hRule="atLeast"/>
                <w:jc w:val="center"/>
              </w:trPr>
              <w:tc>
                <w:tcPr>
                  <w:tcW w:w="571" w:type="dxa"/>
                  <w:vMerge w:val="continue"/>
                  <w:noWrap w:val="0"/>
                  <w:vAlign w:val="center"/>
                </w:tcPr>
                <w:p>
                  <w:pPr>
                    <w:adjustRightInd w:val="0"/>
                    <w:snapToGrid w:val="0"/>
                    <w:jc w:val="center"/>
                    <w:outlineLvl w:val="9"/>
                    <w:rPr>
                      <w:rFonts w:hint="default" w:ascii="Times New Roman" w:hAnsi="Times New Roman" w:cs="Times New Roman"/>
                      <w:color w:val="auto"/>
                      <w:sz w:val="21"/>
                      <w:szCs w:val="21"/>
                    </w:rPr>
                  </w:pPr>
                </w:p>
              </w:tc>
              <w:tc>
                <w:tcPr>
                  <w:tcW w:w="1427" w:type="dxa"/>
                  <w:noWrap w:val="0"/>
                  <w:vAlign w:val="center"/>
                </w:tcPr>
                <w:p>
                  <w:pPr>
                    <w:adjustRightInd w:val="0"/>
                    <w:snapToGrid w:val="0"/>
                    <w:jc w:val="center"/>
                    <w:outlineLvl w:val="9"/>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三尊村居民</w:t>
                  </w:r>
                </w:p>
              </w:tc>
              <w:tc>
                <w:tcPr>
                  <w:tcW w:w="2891" w:type="dxa"/>
                  <w:noWrap w:val="0"/>
                  <w:vAlign w:val="center"/>
                </w:tcPr>
                <w:p>
                  <w:pPr>
                    <w:adjustRightInd w:val="0"/>
                    <w:snapToGrid w:val="0"/>
                    <w:jc w:val="center"/>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副坝南侧45-210m，-10m</w:t>
                  </w:r>
                </w:p>
              </w:tc>
              <w:tc>
                <w:tcPr>
                  <w:tcW w:w="1541" w:type="dxa"/>
                  <w:noWrap w:val="0"/>
                  <w:vAlign w:val="center"/>
                </w:tcPr>
                <w:p>
                  <w:pPr>
                    <w:adjustRightInd w:val="0"/>
                    <w:snapToGrid w:val="0"/>
                    <w:jc w:val="center"/>
                    <w:outlineLvl w:val="9"/>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4户/16人</w:t>
                  </w:r>
                </w:p>
              </w:tc>
              <w:tc>
                <w:tcPr>
                  <w:tcW w:w="2857" w:type="dxa"/>
                  <w:vMerge w:val="continue"/>
                  <w:noWrap w:val="0"/>
                  <w:vAlign w:val="center"/>
                </w:tcPr>
                <w:p>
                  <w:pPr>
                    <w:adjustRightInd w:val="0"/>
                    <w:snapToGrid w:val="0"/>
                    <w:jc w:val="center"/>
                    <w:outlineLvl w:val="9"/>
                    <w:rPr>
                      <w:rFonts w:hint="default" w:ascii="Times New Roman" w:hAnsi="Times New Roman"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2" w:hRule="atLeast"/>
                <w:jc w:val="center"/>
              </w:trPr>
              <w:tc>
                <w:tcPr>
                  <w:tcW w:w="571" w:type="dxa"/>
                  <w:vMerge w:val="continue"/>
                  <w:noWrap w:val="0"/>
                  <w:vAlign w:val="center"/>
                </w:tcPr>
                <w:p>
                  <w:pPr>
                    <w:adjustRightInd w:val="0"/>
                    <w:snapToGrid w:val="0"/>
                    <w:jc w:val="center"/>
                    <w:outlineLvl w:val="9"/>
                    <w:rPr>
                      <w:rFonts w:hint="default" w:ascii="Times New Roman" w:hAnsi="Times New Roman" w:eastAsia="宋体" w:cs="Times New Roman"/>
                      <w:color w:val="auto"/>
                      <w:sz w:val="21"/>
                      <w:szCs w:val="21"/>
                    </w:rPr>
                  </w:pPr>
                </w:p>
              </w:tc>
              <w:tc>
                <w:tcPr>
                  <w:tcW w:w="1427" w:type="dxa"/>
                  <w:noWrap w:val="0"/>
                  <w:vAlign w:val="center"/>
                </w:tcPr>
                <w:p>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三尊村居民</w:t>
                  </w:r>
                </w:p>
              </w:tc>
              <w:tc>
                <w:tcPr>
                  <w:tcW w:w="2891" w:type="dxa"/>
                  <w:noWrap w:val="0"/>
                  <w:vAlign w:val="center"/>
                </w:tcPr>
                <w:p>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副坝</w:t>
                  </w:r>
                  <w:r>
                    <w:rPr>
                      <w:rFonts w:hint="default" w:ascii="Times New Roman" w:hAnsi="Times New Roman" w:eastAsia="宋体" w:cs="Times New Roman"/>
                      <w:color w:val="auto"/>
                      <w:kern w:val="2"/>
                      <w:sz w:val="21"/>
                      <w:szCs w:val="21"/>
                      <w:lang w:val="en-US" w:eastAsia="zh-CN" w:bidi="ar-SA"/>
                    </w:rPr>
                    <w:t>东南侧70-500m，-6m</w:t>
                  </w:r>
                </w:p>
              </w:tc>
              <w:tc>
                <w:tcPr>
                  <w:tcW w:w="1541" w:type="dxa"/>
                  <w:noWrap w:val="0"/>
                  <w:vAlign w:val="center"/>
                </w:tcPr>
                <w:p>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7户/28人</w:t>
                  </w:r>
                </w:p>
              </w:tc>
              <w:tc>
                <w:tcPr>
                  <w:tcW w:w="2857" w:type="dxa"/>
                  <w:vMerge w:val="continue"/>
                  <w:noWrap w:val="0"/>
                  <w:vAlign w:val="center"/>
                </w:tcPr>
                <w:p>
                  <w:pPr>
                    <w:adjustRightInd w:val="0"/>
                    <w:snapToGrid w:val="0"/>
                    <w:jc w:val="center"/>
                    <w:outlineLvl w:val="9"/>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571" w:type="dxa"/>
                  <w:vMerge w:val="continue"/>
                  <w:noWrap w:val="0"/>
                  <w:vAlign w:val="center"/>
                </w:tcPr>
                <w:p>
                  <w:pPr>
                    <w:adjustRightInd w:val="0"/>
                    <w:snapToGrid w:val="0"/>
                    <w:jc w:val="center"/>
                    <w:outlineLvl w:val="9"/>
                    <w:rPr>
                      <w:rFonts w:hint="default" w:ascii="Times New Roman" w:hAnsi="Times New Roman" w:eastAsia="宋体" w:cs="Times New Roman"/>
                      <w:color w:val="auto"/>
                      <w:sz w:val="21"/>
                      <w:szCs w:val="21"/>
                    </w:rPr>
                  </w:pPr>
                </w:p>
              </w:tc>
              <w:tc>
                <w:tcPr>
                  <w:tcW w:w="1427" w:type="dxa"/>
                  <w:noWrap w:val="0"/>
                  <w:vAlign w:val="center"/>
                </w:tcPr>
                <w:p>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三尊村居民</w:t>
                  </w:r>
                </w:p>
              </w:tc>
              <w:tc>
                <w:tcPr>
                  <w:tcW w:w="2891" w:type="dxa"/>
                  <w:noWrap w:val="0"/>
                  <w:vAlign w:val="center"/>
                </w:tcPr>
                <w:p>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副坝</w:t>
                  </w:r>
                  <w:r>
                    <w:rPr>
                      <w:rFonts w:hint="default" w:ascii="Times New Roman" w:hAnsi="Times New Roman" w:eastAsia="宋体" w:cs="Times New Roman"/>
                      <w:color w:val="auto"/>
                      <w:kern w:val="2"/>
                      <w:sz w:val="21"/>
                      <w:szCs w:val="21"/>
                      <w:lang w:val="en-US" w:eastAsia="zh-CN" w:bidi="ar-SA"/>
                    </w:rPr>
                    <w:t>东侧20-500m</w:t>
                  </w:r>
                  <w:r>
                    <w:rPr>
                      <w:rFonts w:hint="default" w:ascii="Times New Roman" w:hAnsi="Times New Roman" w:cs="Times New Roman"/>
                      <w:color w:val="auto"/>
                      <w:sz w:val="21"/>
                      <w:szCs w:val="21"/>
                      <w:lang w:val="en-US" w:eastAsia="zh-CN"/>
                    </w:rPr>
                    <w:t>，-3m</w:t>
                  </w:r>
                </w:p>
              </w:tc>
              <w:tc>
                <w:tcPr>
                  <w:tcW w:w="1541" w:type="dxa"/>
                  <w:noWrap w:val="0"/>
                  <w:vAlign w:val="center"/>
                </w:tcPr>
                <w:p>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5户/20人</w:t>
                  </w:r>
                </w:p>
              </w:tc>
              <w:tc>
                <w:tcPr>
                  <w:tcW w:w="2857" w:type="dxa"/>
                  <w:vMerge w:val="continue"/>
                  <w:noWrap w:val="0"/>
                  <w:vAlign w:val="center"/>
                </w:tcPr>
                <w:p>
                  <w:pPr>
                    <w:adjustRightInd w:val="0"/>
                    <w:snapToGrid w:val="0"/>
                    <w:jc w:val="center"/>
                    <w:outlineLvl w:val="9"/>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1" w:hRule="atLeast"/>
                <w:jc w:val="center"/>
              </w:trPr>
              <w:tc>
                <w:tcPr>
                  <w:tcW w:w="571" w:type="dxa"/>
                  <w:noWrap w:val="0"/>
                  <w:vAlign w:val="center"/>
                </w:tcPr>
                <w:p>
                  <w:pPr>
                    <w:pStyle w:val="50"/>
                    <w:snapToGrid w:val="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生态环境</w:t>
                  </w:r>
                </w:p>
              </w:tc>
              <w:tc>
                <w:tcPr>
                  <w:tcW w:w="5859" w:type="dxa"/>
                  <w:gridSpan w:val="3"/>
                  <w:noWrap w:val="0"/>
                  <w:vAlign w:val="center"/>
                </w:tcPr>
                <w:p>
                  <w:pPr>
                    <w:pStyle w:val="50"/>
                    <w:snapToGrid w:val="0"/>
                    <w:jc w:val="center"/>
                    <w:outlineLvl w:val="9"/>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项目</w:t>
                  </w:r>
                  <w:r>
                    <w:rPr>
                      <w:rFonts w:hint="default" w:ascii="Times New Roman" w:hAnsi="Times New Roman" w:eastAsia="宋体" w:cs="Times New Roman"/>
                      <w:color w:val="auto"/>
                      <w:sz w:val="21"/>
                      <w:szCs w:val="21"/>
                      <w:lang w:val="en-US" w:eastAsia="zh-CN"/>
                    </w:rPr>
                    <w:t>施工周边</w:t>
                  </w:r>
                </w:p>
              </w:tc>
              <w:tc>
                <w:tcPr>
                  <w:tcW w:w="2857" w:type="dxa"/>
                  <w:noWrap w:val="0"/>
                  <w:vAlign w:val="center"/>
                </w:tcPr>
                <w:p>
                  <w:pPr>
                    <w:adjustRightInd w:val="0"/>
                    <w:snapToGrid w:val="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生态环境以不减少区内濒危珍稀动植物和不破坏生态系统完整性为标准，水土流失以不改变土壤侵蚀类型为标准</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color w:val="auto"/>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11" w:type="pct"/>
            <w:noWrap w:val="0"/>
            <w:vAlign w:val="center"/>
          </w:tcPr>
          <w:p>
            <w:pPr>
              <w:keepNext w:val="0"/>
              <w:keepLines w:val="0"/>
              <w:pageBreakBefore w:val="0"/>
              <w:kinsoku/>
              <w:wordWrap/>
              <w:overflowPunct/>
              <w:topLinePunct w:val="0"/>
              <w:bidi w:val="0"/>
              <w:adjustRightInd w:val="0"/>
              <w:snapToGrid w:val="0"/>
              <w:jc w:val="center"/>
              <w:textAlignment w:val="auto"/>
              <w:outlineLvl w:val="9"/>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评价标准</w:t>
            </w:r>
          </w:p>
        </w:tc>
        <w:tc>
          <w:tcPr>
            <w:tcW w:w="47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outlineLvl w:val="9"/>
              <w:rPr>
                <w:rFonts w:hint="default" w:ascii="Times New Roman" w:hAnsi="Times New Roman" w:eastAsia="宋体" w:cs="Times New Roman"/>
                <w:b/>
                <w:bCs/>
                <w:color w:val="auto"/>
                <w:kern w:val="0"/>
                <w:sz w:val="24"/>
                <w:szCs w:val="24"/>
                <w:lang w:val="en-US" w:eastAsia="zh-CN"/>
              </w:rPr>
            </w:pPr>
            <w:r>
              <w:rPr>
                <w:rFonts w:hint="default" w:ascii="Times New Roman" w:hAnsi="Times New Roman" w:eastAsia="宋体" w:cs="Times New Roman"/>
                <w:b/>
                <w:bCs/>
                <w:color w:val="auto"/>
                <w:kern w:val="0"/>
                <w:sz w:val="24"/>
                <w:szCs w:val="24"/>
                <w:lang w:val="en-US" w:eastAsia="zh-CN"/>
              </w:rPr>
              <w:t>1、环境质量标准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环境空气质量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项目所在地周围大气环境执行《环境空气质量标准》(GB3095-2012)中的二级标准，详见下表</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w:t>
            </w:r>
            <w:r>
              <w:rPr>
                <w:rFonts w:hint="default" w:ascii="Times New Roman" w:hAnsi="Times New Roman" w:eastAsia="宋体" w:cs="Times New Roman"/>
                <w:b/>
                <w:bCs/>
                <w:color w:val="auto"/>
                <w:sz w:val="21"/>
                <w:szCs w:val="21"/>
                <w:lang w:val="en-US" w:eastAsia="zh-CN"/>
              </w:rPr>
              <w:t>3</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5</w:t>
            </w:r>
            <w:r>
              <w:rPr>
                <w:rFonts w:hint="default" w:ascii="Times New Roman" w:hAnsi="Times New Roman" w:eastAsia="宋体" w:cs="Times New Roman"/>
                <w:b/>
                <w:bCs/>
                <w:color w:val="auto"/>
                <w:sz w:val="21"/>
                <w:szCs w:val="21"/>
              </w:rPr>
              <w:t xml:space="preserve">  各项污染物的浓度限值  单位：μg/m</w:t>
            </w:r>
            <w:r>
              <w:rPr>
                <w:rFonts w:hint="default" w:ascii="Times New Roman" w:hAnsi="Times New Roman" w:eastAsia="宋体" w:cs="Times New Roman"/>
                <w:b/>
                <w:bCs/>
                <w:color w:val="auto"/>
                <w:sz w:val="21"/>
                <w:szCs w:val="21"/>
                <w:vertAlign w:val="superscript"/>
              </w:rPr>
              <w:t>3</w:t>
            </w:r>
          </w:p>
          <w:tbl>
            <w:tblPr>
              <w:tblStyle w:val="3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11"/>
              <w:gridCol w:w="1675"/>
              <w:gridCol w:w="1842"/>
              <w:gridCol w:w="1292"/>
              <w:gridCol w:w="23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7" w:type="pct"/>
                  <w:vMerge w:val="restart"/>
                  <w:noWrap w:val="0"/>
                  <w:vAlign w:val="center"/>
                </w:tcPr>
                <w:p>
                  <w:pPr>
                    <w:adjustRightInd w:val="0"/>
                    <w:snapToGrid w:val="0"/>
                    <w:jc w:val="center"/>
                    <w:outlineLvl w:val="9"/>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污染物</w:t>
                  </w:r>
                </w:p>
              </w:tc>
              <w:tc>
                <w:tcPr>
                  <w:tcW w:w="2590" w:type="pct"/>
                  <w:gridSpan w:val="3"/>
                  <w:noWrap w:val="0"/>
                  <w:vAlign w:val="center"/>
                </w:tcPr>
                <w:p>
                  <w:pPr>
                    <w:adjustRightInd w:val="0"/>
                    <w:snapToGrid w:val="0"/>
                    <w:jc w:val="center"/>
                    <w:outlineLvl w:val="9"/>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污染物的浓度限值（ug/m</w:t>
                  </w:r>
                  <w:r>
                    <w:rPr>
                      <w:rFonts w:hint="default" w:ascii="Times New Roman" w:hAnsi="Times New Roman" w:eastAsia="宋体" w:cs="Times New Roman"/>
                      <w:b/>
                      <w:bCs/>
                      <w:color w:val="auto"/>
                      <w:szCs w:val="21"/>
                      <w:vertAlign w:val="superscript"/>
                    </w:rPr>
                    <w:t>3</w:t>
                  </w:r>
                  <w:r>
                    <w:rPr>
                      <w:rFonts w:hint="default" w:ascii="Times New Roman" w:hAnsi="Times New Roman" w:eastAsia="宋体" w:cs="Times New Roman"/>
                      <w:b/>
                      <w:bCs/>
                      <w:color w:val="auto"/>
                      <w:szCs w:val="21"/>
                    </w:rPr>
                    <w:t>）</w:t>
                  </w:r>
                </w:p>
              </w:tc>
              <w:tc>
                <w:tcPr>
                  <w:tcW w:w="1271" w:type="pct"/>
                  <w:vMerge w:val="restart"/>
                  <w:noWrap w:val="0"/>
                  <w:vAlign w:val="center"/>
                </w:tcPr>
                <w:p>
                  <w:pPr>
                    <w:adjustRightInd w:val="0"/>
                    <w:snapToGrid w:val="0"/>
                    <w:jc w:val="center"/>
                    <w:outlineLvl w:val="9"/>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7" w:type="pct"/>
                  <w:vMerge w:val="continue"/>
                  <w:noWrap w:val="0"/>
                  <w:vAlign w:val="center"/>
                </w:tcPr>
                <w:p>
                  <w:pPr>
                    <w:adjustRightInd w:val="0"/>
                    <w:snapToGrid w:val="0"/>
                    <w:jc w:val="center"/>
                    <w:outlineLvl w:val="9"/>
                    <w:rPr>
                      <w:rFonts w:hint="default" w:ascii="Times New Roman" w:hAnsi="Times New Roman" w:eastAsia="宋体" w:cs="Times New Roman"/>
                      <w:color w:val="auto"/>
                      <w:szCs w:val="21"/>
                    </w:rPr>
                  </w:pPr>
                </w:p>
              </w:tc>
              <w:tc>
                <w:tcPr>
                  <w:tcW w:w="902"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1小时平均</w:t>
                  </w:r>
                </w:p>
              </w:tc>
              <w:tc>
                <w:tcPr>
                  <w:tcW w:w="992"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24小时平均值</w:t>
                  </w:r>
                </w:p>
              </w:tc>
              <w:tc>
                <w:tcPr>
                  <w:tcW w:w="696"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年平均</w:t>
                  </w:r>
                </w:p>
              </w:tc>
              <w:tc>
                <w:tcPr>
                  <w:tcW w:w="1271" w:type="pct"/>
                  <w:vMerge w:val="continue"/>
                  <w:noWrap w:val="0"/>
                  <w:vAlign w:val="center"/>
                </w:tcPr>
                <w:p>
                  <w:pPr>
                    <w:adjustRightInd w:val="0"/>
                    <w:snapToGrid w:val="0"/>
                    <w:jc w:val="center"/>
                    <w:outlineLvl w:val="9"/>
                    <w:rPr>
                      <w:rFonts w:hint="default" w:ascii="Times New Roman" w:hAnsi="Times New Roman" w:eastAsia="宋体"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7" w:type="pct"/>
                  <w:noWrap w:val="0"/>
                  <w:vAlign w:val="center"/>
                </w:tcPr>
                <w:p>
                  <w:pPr>
                    <w:adjustRightInd w:val="0"/>
                    <w:snapToGrid w:val="0"/>
                    <w:jc w:val="center"/>
                    <w:outlineLvl w:val="9"/>
                    <w:rPr>
                      <w:rFonts w:hint="default" w:ascii="Times New Roman" w:hAnsi="Times New Roman" w:eastAsia="宋体" w:cs="Times New Roman"/>
                      <w:color w:val="auto"/>
                      <w:szCs w:val="21"/>
                      <w:vertAlign w:val="subscript"/>
                    </w:rPr>
                  </w:pPr>
                  <w:r>
                    <w:rPr>
                      <w:rFonts w:hint="default" w:ascii="Times New Roman" w:hAnsi="Times New Roman" w:eastAsia="宋体" w:cs="Times New Roman"/>
                      <w:color w:val="auto"/>
                      <w:szCs w:val="21"/>
                    </w:rPr>
                    <w:t>SO</w:t>
                  </w:r>
                  <w:r>
                    <w:rPr>
                      <w:rFonts w:hint="default" w:ascii="Times New Roman" w:hAnsi="Times New Roman" w:eastAsia="宋体" w:cs="Times New Roman"/>
                      <w:color w:val="auto"/>
                      <w:szCs w:val="21"/>
                      <w:vertAlign w:val="subscript"/>
                    </w:rPr>
                    <w:t>2</w:t>
                  </w:r>
                </w:p>
              </w:tc>
              <w:tc>
                <w:tcPr>
                  <w:tcW w:w="902"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500</w:t>
                  </w:r>
                </w:p>
              </w:tc>
              <w:tc>
                <w:tcPr>
                  <w:tcW w:w="992"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150</w:t>
                  </w:r>
                </w:p>
              </w:tc>
              <w:tc>
                <w:tcPr>
                  <w:tcW w:w="696"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60</w:t>
                  </w:r>
                </w:p>
              </w:tc>
              <w:tc>
                <w:tcPr>
                  <w:tcW w:w="1271" w:type="pct"/>
                  <w:vMerge w:val="restar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《环境空气质量标准》（GB3095-2012）中的二级标准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7" w:type="pct"/>
                  <w:noWrap w:val="0"/>
                  <w:vAlign w:val="center"/>
                </w:tcPr>
                <w:p>
                  <w:pPr>
                    <w:adjustRightInd w:val="0"/>
                    <w:snapToGrid w:val="0"/>
                    <w:jc w:val="center"/>
                    <w:outlineLvl w:val="9"/>
                    <w:rPr>
                      <w:rFonts w:hint="default" w:ascii="Times New Roman" w:hAnsi="Times New Roman" w:eastAsia="宋体" w:cs="Times New Roman"/>
                      <w:color w:val="auto"/>
                      <w:szCs w:val="21"/>
                      <w:vertAlign w:val="subscript"/>
                    </w:rPr>
                  </w:pPr>
                  <w:r>
                    <w:rPr>
                      <w:rFonts w:hint="default" w:ascii="Times New Roman" w:hAnsi="Times New Roman" w:eastAsia="宋体" w:cs="Times New Roman"/>
                      <w:color w:val="auto"/>
                      <w:szCs w:val="21"/>
                    </w:rPr>
                    <w:t>NO</w:t>
                  </w:r>
                  <w:r>
                    <w:rPr>
                      <w:rFonts w:hint="default" w:ascii="Times New Roman" w:hAnsi="Times New Roman" w:eastAsia="宋体" w:cs="Times New Roman"/>
                      <w:color w:val="auto"/>
                      <w:szCs w:val="21"/>
                      <w:vertAlign w:val="subscript"/>
                    </w:rPr>
                    <w:t>2</w:t>
                  </w:r>
                </w:p>
              </w:tc>
              <w:tc>
                <w:tcPr>
                  <w:tcW w:w="902"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200</w:t>
                  </w:r>
                </w:p>
              </w:tc>
              <w:tc>
                <w:tcPr>
                  <w:tcW w:w="992"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80</w:t>
                  </w:r>
                </w:p>
              </w:tc>
              <w:tc>
                <w:tcPr>
                  <w:tcW w:w="696"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40</w:t>
                  </w:r>
                </w:p>
              </w:tc>
              <w:tc>
                <w:tcPr>
                  <w:tcW w:w="1271" w:type="pct"/>
                  <w:vMerge w:val="continue"/>
                  <w:noWrap w:val="0"/>
                  <w:vAlign w:val="center"/>
                </w:tcPr>
                <w:p>
                  <w:pPr>
                    <w:adjustRightInd w:val="0"/>
                    <w:snapToGrid w:val="0"/>
                    <w:jc w:val="center"/>
                    <w:outlineLvl w:val="9"/>
                    <w:rPr>
                      <w:rFonts w:hint="default" w:ascii="Times New Roman" w:hAnsi="Times New Roman" w:eastAsia="宋体"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7" w:type="pct"/>
                  <w:noWrap w:val="0"/>
                  <w:vAlign w:val="center"/>
                </w:tcPr>
                <w:p>
                  <w:pPr>
                    <w:adjustRightInd w:val="0"/>
                    <w:snapToGrid w:val="0"/>
                    <w:jc w:val="center"/>
                    <w:outlineLvl w:val="9"/>
                    <w:rPr>
                      <w:rFonts w:hint="default" w:ascii="Times New Roman" w:hAnsi="Times New Roman" w:eastAsia="宋体" w:cs="Times New Roman"/>
                      <w:color w:val="auto"/>
                      <w:szCs w:val="21"/>
                      <w:vertAlign w:val="subscript"/>
                    </w:rPr>
                  </w:pPr>
                  <w:r>
                    <w:rPr>
                      <w:rFonts w:hint="default" w:ascii="Times New Roman" w:hAnsi="Times New Roman" w:eastAsia="宋体" w:cs="Times New Roman"/>
                      <w:color w:val="auto"/>
                      <w:szCs w:val="21"/>
                    </w:rPr>
                    <w:t>PM</w:t>
                  </w:r>
                  <w:r>
                    <w:rPr>
                      <w:rFonts w:hint="default" w:ascii="Times New Roman" w:hAnsi="Times New Roman" w:eastAsia="宋体" w:cs="Times New Roman"/>
                      <w:color w:val="auto"/>
                      <w:szCs w:val="21"/>
                      <w:vertAlign w:val="subscript"/>
                    </w:rPr>
                    <w:t>10</w:t>
                  </w:r>
                </w:p>
              </w:tc>
              <w:tc>
                <w:tcPr>
                  <w:tcW w:w="902"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c>
                <w:tcPr>
                  <w:tcW w:w="992"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150</w:t>
                  </w:r>
                </w:p>
              </w:tc>
              <w:tc>
                <w:tcPr>
                  <w:tcW w:w="696"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70</w:t>
                  </w:r>
                </w:p>
              </w:tc>
              <w:tc>
                <w:tcPr>
                  <w:tcW w:w="1271" w:type="pct"/>
                  <w:vMerge w:val="continue"/>
                  <w:noWrap w:val="0"/>
                  <w:vAlign w:val="center"/>
                </w:tcPr>
                <w:p>
                  <w:pPr>
                    <w:adjustRightInd w:val="0"/>
                    <w:snapToGrid w:val="0"/>
                    <w:jc w:val="center"/>
                    <w:outlineLvl w:val="9"/>
                    <w:rPr>
                      <w:rFonts w:hint="default" w:ascii="Times New Roman" w:hAnsi="Times New Roman" w:eastAsia="宋体"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7"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PM</w:t>
                  </w:r>
                  <w:r>
                    <w:rPr>
                      <w:rFonts w:hint="default" w:ascii="Times New Roman" w:hAnsi="Times New Roman" w:eastAsia="宋体" w:cs="Times New Roman"/>
                      <w:color w:val="auto"/>
                      <w:szCs w:val="21"/>
                      <w:vertAlign w:val="subscript"/>
                    </w:rPr>
                    <w:t>2.5</w:t>
                  </w:r>
                </w:p>
              </w:tc>
              <w:tc>
                <w:tcPr>
                  <w:tcW w:w="902"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c>
                <w:tcPr>
                  <w:tcW w:w="992"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75</w:t>
                  </w:r>
                </w:p>
              </w:tc>
              <w:tc>
                <w:tcPr>
                  <w:tcW w:w="696"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35</w:t>
                  </w:r>
                </w:p>
              </w:tc>
              <w:tc>
                <w:tcPr>
                  <w:tcW w:w="1271" w:type="pct"/>
                  <w:vMerge w:val="continue"/>
                  <w:noWrap w:val="0"/>
                  <w:vAlign w:val="center"/>
                </w:tcPr>
                <w:p>
                  <w:pPr>
                    <w:adjustRightInd w:val="0"/>
                    <w:snapToGrid w:val="0"/>
                    <w:jc w:val="center"/>
                    <w:outlineLvl w:val="9"/>
                    <w:rPr>
                      <w:rFonts w:hint="default" w:ascii="Times New Roman" w:hAnsi="Times New Roman" w:eastAsia="宋体"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7"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CO</w:t>
                  </w:r>
                </w:p>
              </w:tc>
              <w:tc>
                <w:tcPr>
                  <w:tcW w:w="902"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10000</w:t>
                  </w:r>
                </w:p>
              </w:tc>
              <w:tc>
                <w:tcPr>
                  <w:tcW w:w="992"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4000</w:t>
                  </w:r>
                </w:p>
              </w:tc>
              <w:tc>
                <w:tcPr>
                  <w:tcW w:w="696"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c>
                <w:tcPr>
                  <w:tcW w:w="1271" w:type="pct"/>
                  <w:vMerge w:val="continue"/>
                  <w:noWrap w:val="0"/>
                  <w:vAlign w:val="center"/>
                </w:tcPr>
                <w:p>
                  <w:pPr>
                    <w:adjustRightInd w:val="0"/>
                    <w:snapToGrid w:val="0"/>
                    <w:jc w:val="center"/>
                    <w:outlineLvl w:val="9"/>
                    <w:rPr>
                      <w:rFonts w:hint="default" w:ascii="Times New Roman" w:hAnsi="Times New Roman" w:eastAsia="宋体"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7"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O</w:t>
                  </w:r>
                  <w:r>
                    <w:rPr>
                      <w:rFonts w:hint="default" w:ascii="Times New Roman" w:hAnsi="Times New Roman" w:eastAsia="宋体" w:cs="Times New Roman"/>
                      <w:color w:val="auto"/>
                      <w:szCs w:val="21"/>
                      <w:vertAlign w:val="subscript"/>
                    </w:rPr>
                    <w:t>3</w:t>
                  </w:r>
                </w:p>
              </w:tc>
              <w:tc>
                <w:tcPr>
                  <w:tcW w:w="902"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200</w:t>
                  </w:r>
                </w:p>
              </w:tc>
              <w:tc>
                <w:tcPr>
                  <w:tcW w:w="992"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160</w:t>
                  </w:r>
                </w:p>
              </w:tc>
              <w:tc>
                <w:tcPr>
                  <w:tcW w:w="696" w:type="pct"/>
                  <w:noWrap w:val="0"/>
                  <w:vAlign w:val="center"/>
                </w:tcPr>
                <w:p>
                  <w:pPr>
                    <w:adjustRightInd w:val="0"/>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c>
                <w:tcPr>
                  <w:tcW w:w="1271" w:type="pct"/>
                  <w:vMerge w:val="continue"/>
                  <w:noWrap w:val="0"/>
                  <w:vAlign w:val="center"/>
                </w:tcPr>
                <w:p>
                  <w:pPr>
                    <w:adjustRightInd w:val="0"/>
                    <w:snapToGrid w:val="0"/>
                    <w:jc w:val="center"/>
                    <w:outlineLvl w:val="9"/>
                    <w:rPr>
                      <w:rFonts w:hint="default" w:ascii="Times New Roman" w:hAnsi="Times New Roman" w:eastAsia="宋体" w:cs="Times New Roman"/>
                      <w:color w:val="auto"/>
                      <w:szCs w:val="21"/>
                    </w:rPr>
                  </w:pPr>
                </w:p>
              </w:tc>
            </w:tr>
          </w:tbl>
          <w:p>
            <w:pPr>
              <w:adjustRightInd w:val="0"/>
              <w:snapToGrid w:val="0"/>
              <w:spacing w:line="360" w:lineRule="auto"/>
              <w:ind w:firstLine="480" w:firstLineChars="200"/>
              <w:jc w:val="left"/>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地表水环境质量</w:t>
            </w:r>
          </w:p>
          <w:p>
            <w:pPr>
              <w:adjustRightInd w:val="0"/>
              <w:snapToGrid w:val="0"/>
              <w:spacing w:line="360" w:lineRule="auto"/>
              <w:ind w:firstLine="480" w:firstLineChars="200"/>
              <w:jc w:val="left"/>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w:t>
            </w:r>
            <w:r>
              <w:rPr>
                <w:rFonts w:hint="default" w:ascii="Times New Roman" w:hAnsi="Times New Roman" w:eastAsia="宋体" w:cs="Times New Roman"/>
                <w:color w:val="auto"/>
                <w:sz w:val="24"/>
                <w:lang w:val="en-US" w:eastAsia="zh-CN"/>
              </w:rPr>
              <w:t>周围地表水</w:t>
            </w:r>
            <w:r>
              <w:rPr>
                <w:rFonts w:hint="default" w:ascii="Times New Roman" w:hAnsi="Times New Roman" w:eastAsia="宋体" w:cs="Times New Roman"/>
                <w:color w:val="auto"/>
                <w:sz w:val="24"/>
              </w:rPr>
              <w:t>水质执行国家《地表水环境质量标准》（GB3838-2002）中Ⅲ类标准，详见下表</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val="en-US" w:eastAsia="zh-CN"/>
              </w:rPr>
              <w:t>6</w:t>
            </w:r>
            <w:r>
              <w:rPr>
                <w:rFonts w:hint="default" w:ascii="Times New Roman" w:hAnsi="Times New Roman" w:eastAsia="宋体" w:cs="Times New Roman"/>
                <w:color w:val="auto"/>
                <w:sz w:val="24"/>
              </w:rPr>
              <w:t>。</w:t>
            </w:r>
          </w:p>
          <w:p>
            <w:pPr>
              <w:adjustRightInd w:val="0"/>
              <w:snapToGrid w:val="0"/>
              <w:spacing w:line="360" w:lineRule="auto"/>
              <w:jc w:val="center"/>
              <w:textAlignment w:val="baseline"/>
              <w:outlineLvl w:val="9"/>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w:t>
            </w:r>
            <w:r>
              <w:rPr>
                <w:rFonts w:hint="default" w:ascii="Times New Roman" w:hAnsi="Times New Roman" w:eastAsia="宋体" w:cs="Times New Roman"/>
                <w:b/>
                <w:bCs/>
                <w:color w:val="auto"/>
                <w:szCs w:val="21"/>
                <w:lang w:val="en-US" w:eastAsia="zh-CN"/>
              </w:rPr>
              <w:t>3</w:t>
            </w:r>
            <w:r>
              <w:rPr>
                <w:rFonts w:hint="default" w:ascii="Times New Roman" w:hAnsi="Times New Roman" w:eastAsia="宋体" w:cs="Times New Roman"/>
                <w:b/>
                <w:bCs/>
                <w:color w:val="auto"/>
                <w:szCs w:val="21"/>
              </w:rPr>
              <w:t>-</w:t>
            </w:r>
            <w:r>
              <w:rPr>
                <w:rFonts w:hint="default" w:ascii="Times New Roman" w:hAnsi="Times New Roman" w:eastAsia="宋体" w:cs="Times New Roman"/>
                <w:b/>
                <w:bCs/>
                <w:color w:val="auto"/>
                <w:szCs w:val="21"/>
                <w:lang w:val="en-US" w:eastAsia="zh-CN"/>
              </w:rPr>
              <w:t>6</w:t>
            </w:r>
            <w:r>
              <w:rPr>
                <w:rFonts w:hint="default" w:ascii="Times New Roman" w:hAnsi="Times New Roman" w:eastAsia="宋体" w:cs="Times New Roman"/>
                <w:b/>
                <w:bCs/>
                <w:color w:val="auto"/>
                <w:szCs w:val="21"/>
              </w:rPr>
              <w:t xml:space="preserve">  各项污染物的浓度限值  单位：mg/L</w:t>
            </w:r>
          </w:p>
          <w:tbl>
            <w:tblPr>
              <w:tblStyle w:val="3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6"/>
              <w:gridCol w:w="1576"/>
              <w:gridCol w:w="1094"/>
              <w:gridCol w:w="1110"/>
              <w:gridCol w:w="1127"/>
              <w:gridCol w:w="1398"/>
              <w:gridCol w:w="13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9" w:type="pct"/>
                  <w:noWrap w:val="0"/>
                  <w:vAlign w:val="center"/>
                </w:tcPr>
                <w:p>
                  <w:pPr>
                    <w:adjustRightInd w:val="0"/>
                    <w:snapToGrid w:val="0"/>
                    <w:jc w:val="center"/>
                    <w:outlineLvl w:val="9"/>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监测项目</w:t>
                  </w:r>
                </w:p>
              </w:tc>
              <w:tc>
                <w:tcPr>
                  <w:tcW w:w="849" w:type="pct"/>
                  <w:noWrap w:val="0"/>
                  <w:vAlign w:val="center"/>
                </w:tcPr>
                <w:p>
                  <w:pPr>
                    <w:adjustRightInd w:val="0"/>
                    <w:snapToGrid w:val="0"/>
                    <w:jc w:val="center"/>
                    <w:outlineLvl w:val="9"/>
                    <w:rPr>
                      <w:rFonts w:hint="default" w:ascii="Times New Roman" w:hAnsi="Times New Roman" w:eastAsia="宋体" w:cs="Times New Roman"/>
                      <w:b/>
                      <w:bCs/>
                      <w:color w:val="auto"/>
                    </w:rPr>
                  </w:pPr>
                  <w:r>
                    <w:rPr>
                      <w:rFonts w:hint="default" w:ascii="Times New Roman" w:hAnsi="Times New Roman" w:eastAsia="宋体" w:cs="Times New Roman"/>
                      <w:b/>
                      <w:bCs/>
                      <w:color w:val="auto"/>
                    </w:rPr>
                    <w:t>pH（无量纲）</w:t>
                  </w:r>
                </w:p>
              </w:tc>
              <w:tc>
                <w:tcPr>
                  <w:tcW w:w="589" w:type="pct"/>
                  <w:noWrap w:val="0"/>
                  <w:vAlign w:val="center"/>
                </w:tcPr>
                <w:p>
                  <w:pPr>
                    <w:adjustRightInd w:val="0"/>
                    <w:snapToGrid w:val="0"/>
                    <w:jc w:val="center"/>
                    <w:outlineLvl w:val="9"/>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rPr>
                    <w:t>COD</w:t>
                  </w:r>
                  <w:r>
                    <w:rPr>
                      <w:rFonts w:hint="default" w:ascii="Times New Roman" w:hAnsi="Times New Roman" w:eastAsia="宋体" w:cs="Times New Roman"/>
                      <w:b/>
                      <w:bCs/>
                      <w:color w:val="auto"/>
                      <w:vertAlign w:val="subscript"/>
                      <w:lang w:val="en-US" w:eastAsia="zh-CN"/>
                    </w:rPr>
                    <w:t>Mn</w:t>
                  </w:r>
                </w:p>
              </w:tc>
              <w:tc>
                <w:tcPr>
                  <w:tcW w:w="598" w:type="pct"/>
                  <w:noWrap w:val="0"/>
                  <w:vAlign w:val="center"/>
                </w:tcPr>
                <w:p>
                  <w:pPr>
                    <w:adjustRightInd w:val="0"/>
                    <w:snapToGrid w:val="0"/>
                    <w:jc w:val="center"/>
                    <w:outlineLvl w:val="9"/>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氨氮</w:t>
                  </w:r>
                </w:p>
              </w:tc>
              <w:tc>
                <w:tcPr>
                  <w:tcW w:w="607" w:type="pct"/>
                  <w:noWrap w:val="0"/>
                  <w:vAlign w:val="center"/>
                </w:tcPr>
                <w:p>
                  <w:pPr>
                    <w:adjustRightInd w:val="0"/>
                    <w:snapToGrid w:val="0"/>
                    <w:jc w:val="center"/>
                    <w:outlineLvl w:val="9"/>
                    <w:rPr>
                      <w:rFonts w:hint="default" w:ascii="Times New Roman" w:hAnsi="Times New Roman" w:eastAsia="宋体" w:cs="Times New Roman"/>
                      <w:b/>
                      <w:bCs/>
                      <w:color w:val="auto"/>
                    </w:rPr>
                  </w:pPr>
                  <w:r>
                    <w:rPr>
                      <w:rFonts w:hint="default" w:ascii="Times New Roman" w:hAnsi="Times New Roman" w:eastAsia="宋体" w:cs="Times New Roman"/>
                      <w:b/>
                      <w:bCs/>
                      <w:color w:val="auto"/>
                    </w:rPr>
                    <w:t>BOD</w:t>
                  </w:r>
                  <w:r>
                    <w:rPr>
                      <w:rFonts w:hint="default" w:ascii="Times New Roman" w:hAnsi="Times New Roman" w:eastAsia="宋体" w:cs="Times New Roman"/>
                      <w:b/>
                      <w:bCs/>
                      <w:color w:val="auto"/>
                      <w:vertAlign w:val="subscript"/>
                    </w:rPr>
                    <w:t>5</w:t>
                  </w:r>
                </w:p>
              </w:tc>
              <w:tc>
                <w:tcPr>
                  <w:tcW w:w="753" w:type="pct"/>
                  <w:noWrap w:val="0"/>
                  <w:vAlign w:val="center"/>
                </w:tcPr>
                <w:p>
                  <w:pPr>
                    <w:adjustRightInd w:val="0"/>
                    <w:snapToGrid w:val="0"/>
                    <w:jc w:val="center"/>
                    <w:outlineLvl w:val="9"/>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val="en-US" w:eastAsia="zh-CN"/>
                    </w:rPr>
                    <w:t>总氮</w:t>
                  </w:r>
                </w:p>
              </w:tc>
              <w:tc>
                <w:tcPr>
                  <w:tcW w:w="753" w:type="pct"/>
                  <w:noWrap w:val="0"/>
                  <w:vAlign w:val="center"/>
                </w:tcPr>
                <w:p>
                  <w:pPr>
                    <w:adjustRightInd w:val="0"/>
                    <w:snapToGrid w:val="0"/>
                    <w:jc w:val="center"/>
                    <w:outlineLvl w:val="9"/>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总磷（湖、库）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9" w:type="pct"/>
                  <w:noWrap w:val="0"/>
                  <w:vAlign w:val="center"/>
                </w:tcPr>
                <w:p>
                  <w:pPr>
                    <w:adjustRightInd w:val="0"/>
                    <w:snapToGrid w:val="0"/>
                    <w:jc w:val="center"/>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标准值</w:t>
                  </w:r>
                </w:p>
              </w:tc>
              <w:tc>
                <w:tcPr>
                  <w:tcW w:w="849" w:type="pct"/>
                  <w:noWrap w:val="0"/>
                  <w:vAlign w:val="center"/>
                </w:tcPr>
                <w:p>
                  <w:pPr>
                    <w:adjustRightInd w:val="0"/>
                    <w:snapToGrid w:val="0"/>
                    <w:jc w:val="center"/>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6-9</w:t>
                  </w:r>
                </w:p>
              </w:tc>
              <w:tc>
                <w:tcPr>
                  <w:tcW w:w="589" w:type="pct"/>
                  <w:noWrap w:val="0"/>
                  <w:vAlign w:val="center"/>
                </w:tcPr>
                <w:p>
                  <w:pPr>
                    <w:adjustRightInd w:val="0"/>
                    <w:snapToGrid w:val="0"/>
                    <w:jc w:val="center"/>
                    <w:outlineLvl w:val="9"/>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6</w:t>
                  </w:r>
                </w:p>
              </w:tc>
              <w:tc>
                <w:tcPr>
                  <w:tcW w:w="598" w:type="pct"/>
                  <w:noWrap w:val="0"/>
                  <w:vAlign w:val="center"/>
                </w:tcPr>
                <w:p>
                  <w:pPr>
                    <w:adjustRightInd w:val="0"/>
                    <w:snapToGrid w:val="0"/>
                    <w:jc w:val="center"/>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c>
                <w:tcPr>
                  <w:tcW w:w="607" w:type="pct"/>
                  <w:noWrap w:val="0"/>
                  <w:vAlign w:val="center"/>
                </w:tcPr>
                <w:p>
                  <w:pPr>
                    <w:adjustRightInd w:val="0"/>
                    <w:snapToGrid w:val="0"/>
                    <w:jc w:val="center"/>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≤4.0</w:t>
                  </w:r>
                </w:p>
              </w:tc>
              <w:tc>
                <w:tcPr>
                  <w:tcW w:w="753" w:type="pct"/>
                  <w:noWrap w:val="0"/>
                  <w:vAlign w:val="center"/>
                </w:tcPr>
                <w:p>
                  <w:pPr>
                    <w:adjustRightInd w:val="0"/>
                    <w:snapToGrid w:val="0"/>
                    <w:jc w:val="center"/>
                    <w:outlineLvl w:val="9"/>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1.0</w:t>
                  </w:r>
                </w:p>
              </w:tc>
              <w:tc>
                <w:tcPr>
                  <w:tcW w:w="753" w:type="pct"/>
                  <w:noWrap w:val="0"/>
                  <w:vAlign w:val="center"/>
                </w:tcPr>
                <w:p>
                  <w:pPr>
                    <w:adjustRightInd w:val="0"/>
                    <w:snapToGrid w:val="0"/>
                    <w:jc w:val="center"/>
                    <w:outlineLvl w:val="9"/>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0.05</w:t>
                  </w:r>
                </w:p>
              </w:tc>
            </w:tr>
          </w:tbl>
          <w:p>
            <w:pPr>
              <w:adjustRightInd w:val="0"/>
              <w:snapToGrid w:val="0"/>
              <w:spacing w:line="360" w:lineRule="auto"/>
              <w:ind w:firstLine="480" w:firstLineChars="200"/>
              <w:jc w:val="left"/>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声环境质量</w:t>
            </w:r>
          </w:p>
          <w:p>
            <w:pPr>
              <w:adjustRightInd w:val="0"/>
              <w:snapToGrid w:val="0"/>
              <w:spacing w:line="360" w:lineRule="auto"/>
              <w:ind w:firstLine="480" w:firstLineChars="200"/>
              <w:jc w:val="left"/>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声环境执行国家《声环境质量标准》GB3096-2008中2</w:t>
            </w:r>
            <w:r>
              <w:rPr>
                <w:rFonts w:hint="default" w:ascii="Times New Roman" w:hAnsi="Times New Roman" w:eastAsia="宋体" w:cs="Times New Roman"/>
                <w:color w:val="auto"/>
                <w:sz w:val="24"/>
                <w:lang w:val="en-US" w:eastAsia="zh-CN"/>
              </w:rPr>
              <w:t>类</w:t>
            </w:r>
            <w:r>
              <w:rPr>
                <w:rFonts w:hint="default" w:ascii="Times New Roman" w:hAnsi="Times New Roman" w:eastAsia="宋体" w:cs="Times New Roman"/>
                <w:color w:val="auto"/>
                <w:sz w:val="24"/>
              </w:rPr>
              <w:t>标准，标准限值见下表</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val="en-US" w:eastAsia="zh-CN"/>
              </w:rPr>
              <w:t>7</w:t>
            </w:r>
            <w:r>
              <w:rPr>
                <w:rFonts w:hint="default" w:ascii="Times New Roman" w:hAnsi="Times New Roman" w:eastAsia="宋体" w:cs="Times New Roman"/>
                <w:color w:val="auto"/>
                <w:sz w:val="24"/>
              </w:rPr>
              <w:t>。</w:t>
            </w:r>
          </w:p>
          <w:p>
            <w:pPr>
              <w:adjustRightInd w:val="0"/>
              <w:snapToGrid w:val="0"/>
              <w:spacing w:line="360" w:lineRule="auto"/>
              <w:jc w:val="center"/>
              <w:textAlignment w:val="baseline"/>
              <w:outlineLvl w:val="9"/>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w:t>
            </w:r>
            <w:r>
              <w:rPr>
                <w:rFonts w:hint="default" w:ascii="Times New Roman" w:hAnsi="Times New Roman" w:eastAsia="宋体" w:cs="Times New Roman"/>
                <w:b/>
                <w:bCs/>
                <w:color w:val="auto"/>
                <w:szCs w:val="21"/>
                <w:lang w:val="en-US" w:eastAsia="zh-CN"/>
              </w:rPr>
              <w:t>3</w:t>
            </w:r>
            <w:r>
              <w:rPr>
                <w:rFonts w:hint="default" w:ascii="Times New Roman" w:hAnsi="Times New Roman" w:eastAsia="宋体" w:cs="Times New Roman"/>
                <w:b/>
                <w:bCs/>
                <w:color w:val="auto"/>
                <w:szCs w:val="21"/>
              </w:rPr>
              <w:t>-</w:t>
            </w:r>
            <w:r>
              <w:rPr>
                <w:rFonts w:hint="default" w:ascii="Times New Roman" w:hAnsi="Times New Roman" w:eastAsia="宋体" w:cs="Times New Roman"/>
                <w:b/>
                <w:bCs/>
                <w:color w:val="auto"/>
                <w:szCs w:val="21"/>
                <w:lang w:val="en-US" w:eastAsia="zh-CN"/>
              </w:rPr>
              <w:t>7</w:t>
            </w:r>
            <w:r>
              <w:rPr>
                <w:rFonts w:hint="default" w:ascii="Times New Roman" w:hAnsi="Times New Roman" w:eastAsia="宋体" w:cs="Times New Roman"/>
                <w:b/>
                <w:bCs/>
                <w:color w:val="auto"/>
                <w:szCs w:val="21"/>
              </w:rPr>
              <w:t xml:space="preserve">  声环境标准限值</w:t>
            </w:r>
            <w:r>
              <w:rPr>
                <w:rFonts w:hint="default" w:ascii="Times New Roman" w:hAnsi="Times New Roman" w:eastAsia="宋体" w:cs="Times New Roman"/>
                <w:b/>
                <w:bCs/>
                <w:color w:val="auto"/>
                <w:szCs w:val="21"/>
                <w:lang w:val="en-US" w:eastAsia="zh-CN"/>
              </w:rPr>
              <w:t xml:space="preserve">  </w:t>
            </w:r>
            <w:r>
              <w:rPr>
                <w:rFonts w:hint="default" w:ascii="Times New Roman" w:hAnsi="Times New Roman" w:eastAsia="宋体" w:cs="Times New Roman"/>
                <w:b/>
                <w:bCs/>
                <w:color w:val="auto"/>
                <w:szCs w:val="21"/>
              </w:rPr>
              <w:t>等效声级LAeq：dB（A）</w:t>
            </w:r>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5"/>
              <w:gridCol w:w="3095"/>
              <w:gridCol w:w="30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95" w:type="dxa"/>
                  <w:noWrap w:val="0"/>
                  <w:vAlign w:val="center"/>
                </w:tcPr>
                <w:p>
                  <w:pPr>
                    <w:tabs>
                      <w:tab w:val="left" w:pos="2592"/>
                    </w:tabs>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类别</w:t>
                  </w:r>
                </w:p>
              </w:tc>
              <w:tc>
                <w:tcPr>
                  <w:tcW w:w="3095" w:type="dxa"/>
                  <w:noWrap w:val="0"/>
                  <w:vAlign w:val="center"/>
                </w:tcPr>
                <w:p>
                  <w:pPr>
                    <w:tabs>
                      <w:tab w:val="left" w:pos="2592"/>
                    </w:tabs>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昼间</w:t>
                  </w:r>
                </w:p>
              </w:tc>
              <w:tc>
                <w:tcPr>
                  <w:tcW w:w="3095" w:type="dxa"/>
                  <w:noWrap w:val="0"/>
                  <w:vAlign w:val="center"/>
                </w:tcPr>
                <w:p>
                  <w:pPr>
                    <w:tabs>
                      <w:tab w:val="left" w:pos="2592"/>
                    </w:tabs>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3095" w:type="dxa"/>
                  <w:noWrap w:val="0"/>
                  <w:vAlign w:val="center"/>
                </w:tcPr>
                <w:p>
                  <w:pPr>
                    <w:tabs>
                      <w:tab w:val="left" w:pos="2592"/>
                    </w:tabs>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2类</w:t>
                  </w:r>
                </w:p>
              </w:tc>
              <w:tc>
                <w:tcPr>
                  <w:tcW w:w="3095" w:type="dxa"/>
                  <w:noWrap w:val="0"/>
                  <w:vAlign w:val="center"/>
                </w:tcPr>
                <w:p>
                  <w:pPr>
                    <w:tabs>
                      <w:tab w:val="left" w:pos="2592"/>
                    </w:tabs>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3095" w:type="dxa"/>
                  <w:noWrap w:val="0"/>
                  <w:vAlign w:val="center"/>
                </w:tcPr>
                <w:p>
                  <w:pPr>
                    <w:tabs>
                      <w:tab w:val="left" w:pos="2592"/>
                    </w:tabs>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r>
          </w:tbl>
          <w:p>
            <w:pPr>
              <w:spacing w:line="360" w:lineRule="auto"/>
              <w:ind w:right="41" w:rightChars="17" w:firstLine="480" w:firstLineChars="200"/>
              <w:jc w:val="left"/>
              <w:outlineLvl w:val="9"/>
              <w:rPr>
                <w:rFonts w:hint="default" w:ascii="Times New Roman" w:hAnsi="Times New Roman" w:eastAsia="宋体" w:cs="Times New Roman"/>
                <w:color w:val="auto"/>
                <w:kern w:val="0"/>
                <w:sz w:val="24"/>
                <w:szCs w:val="24"/>
                <w:lang w:bidi="ar"/>
              </w:rPr>
            </w:pPr>
            <w:r>
              <w:rPr>
                <w:rFonts w:hint="default" w:ascii="Times New Roman" w:hAnsi="Times New Roman" w:eastAsia="宋体" w:cs="Times New Roman"/>
                <w:color w:val="auto"/>
                <w:kern w:val="0"/>
                <w:sz w:val="24"/>
                <w:szCs w:val="24"/>
                <w:lang w:eastAsia="zh-CN" w:bidi="ar"/>
              </w:rPr>
              <w:t>（</w:t>
            </w:r>
            <w:r>
              <w:rPr>
                <w:rFonts w:hint="default" w:ascii="Times New Roman" w:hAnsi="Times New Roman" w:eastAsia="宋体"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eastAsia="zh-CN" w:bidi="ar"/>
              </w:rPr>
              <w:t>）</w:t>
            </w:r>
            <w:r>
              <w:rPr>
                <w:rFonts w:hint="default" w:ascii="Times New Roman" w:hAnsi="Times New Roman" w:eastAsia="宋体" w:cs="Times New Roman"/>
                <w:color w:val="auto"/>
                <w:kern w:val="0"/>
                <w:sz w:val="24"/>
                <w:szCs w:val="24"/>
                <w:lang w:bidi="ar"/>
              </w:rPr>
              <w:t>生态环境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 w:val="24"/>
                <w:lang w:bidi="ar"/>
              </w:rPr>
              <w:t>以不减少区域内濒危珍稀动植物和不破坏当地生态系统完整性为标准。</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outlineLvl w:val="9"/>
              <w:rPr>
                <w:rFonts w:hint="default" w:ascii="Times New Roman" w:hAnsi="Times New Roman" w:eastAsia="宋体" w:cs="Times New Roman"/>
                <w:b/>
                <w:bCs/>
                <w:color w:val="auto"/>
                <w:kern w:val="0"/>
                <w:sz w:val="24"/>
                <w:szCs w:val="24"/>
                <w:lang w:val="en-US" w:eastAsia="zh-CN"/>
              </w:rPr>
            </w:pPr>
            <w:r>
              <w:rPr>
                <w:rFonts w:hint="default" w:ascii="Times New Roman" w:hAnsi="Times New Roman" w:eastAsia="宋体" w:cs="Times New Roman"/>
                <w:b/>
                <w:bCs/>
                <w:color w:val="auto"/>
                <w:kern w:val="0"/>
                <w:sz w:val="24"/>
                <w:szCs w:val="24"/>
                <w:lang w:val="en-US" w:eastAsia="zh-CN"/>
              </w:rPr>
              <w:t>2、污染物排放标准</w:t>
            </w:r>
          </w:p>
          <w:p>
            <w:pPr>
              <w:adjustRightInd w:val="0"/>
              <w:snapToGrid w:val="0"/>
              <w:spacing w:line="360" w:lineRule="auto"/>
              <w:ind w:firstLine="480" w:firstLineChars="200"/>
              <w:jc w:val="left"/>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废气排放标准</w:t>
            </w:r>
          </w:p>
          <w:p>
            <w:pPr>
              <w:adjustRightInd w:val="0"/>
              <w:snapToGrid w:val="0"/>
              <w:spacing w:line="360" w:lineRule="auto"/>
              <w:ind w:firstLine="480" w:firstLineChars="200"/>
              <w:jc w:val="left"/>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w:t>
            </w:r>
            <w:r>
              <w:rPr>
                <w:rFonts w:hint="default" w:ascii="Times New Roman" w:hAnsi="Times New Roman" w:eastAsia="宋体" w:cs="Times New Roman"/>
                <w:color w:val="auto"/>
                <w:sz w:val="24"/>
                <w:lang w:val="en-US" w:eastAsia="zh-CN"/>
              </w:rPr>
              <w:t>施工期废气排放执行</w:t>
            </w:r>
            <w:r>
              <w:rPr>
                <w:rFonts w:hint="default" w:ascii="Times New Roman" w:hAnsi="Times New Roman" w:eastAsia="宋体" w:cs="Times New Roman"/>
                <w:color w:val="auto"/>
                <w:sz w:val="24"/>
              </w:rPr>
              <w:t>《四川省施工场地扬尘排放标准》（DB51</w:t>
            </w:r>
            <w:r>
              <w:rPr>
                <w:rFonts w:hint="default"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rPr>
              <w:t>2682-2020）中规定的各施工阶段的废气限值标准。</w:t>
            </w:r>
          </w:p>
          <w:p>
            <w:pPr>
              <w:pStyle w:val="38"/>
              <w:ind w:left="0" w:leftChars="0" w:firstLine="0" w:firstLineChars="0"/>
              <w:jc w:val="center"/>
              <w:outlineLvl w:val="9"/>
              <w:rPr>
                <w:rFonts w:hint="default" w:ascii="Times New Roman" w:hAnsi="Times New Roman" w:eastAsia="宋体" w:cs="Times New Roman"/>
                <w:b/>
                <w:bCs/>
                <w:color w:val="auto"/>
                <w:sz w:val="18"/>
                <w:szCs w:val="21"/>
              </w:rPr>
            </w:pPr>
            <w:r>
              <w:rPr>
                <w:rFonts w:hint="default" w:ascii="Times New Roman" w:hAnsi="Times New Roman" w:eastAsia="宋体" w:cs="Times New Roman"/>
                <w:b/>
                <w:bCs/>
                <w:color w:val="auto"/>
                <w:szCs w:val="21"/>
              </w:rPr>
              <w:t>表</w:t>
            </w:r>
            <w:r>
              <w:rPr>
                <w:rFonts w:hint="default" w:ascii="Times New Roman" w:hAnsi="Times New Roman" w:eastAsia="宋体" w:cs="Times New Roman"/>
                <w:b/>
                <w:bCs/>
                <w:color w:val="auto"/>
                <w:szCs w:val="21"/>
                <w:lang w:val="en-US" w:eastAsia="zh-CN"/>
              </w:rPr>
              <w:t>3</w:t>
            </w:r>
            <w:r>
              <w:rPr>
                <w:rFonts w:hint="default" w:ascii="Times New Roman" w:hAnsi="Times New Roman" w:eastAsia="宋体" w:cs="Times New Roman"/>
                <w:b/>
                <w:bCs/>
                <w:color w:val="auto"/>
                <w:szCs w:val="21"/>
              </w:rPr>
              <w:t>-</w:t>
            </w:r>
            <w:r>
              <w:rPr>
                <w:rFonts w:hint="default" w:ascii="Times New Roman" w:hAnsi="Times New Roman" w:eastAsia="宋体" w:cs="Times New Roman"/>
                <w:b/>
                <w:bCs/>
                <w:color w:val="auto"/>
                <w:szCs w:val="21"/>
                <w:lang w:val="en-US" w:eastAsia="zh-CN"/>
              </w:rPr>
              <w:t>8</w:t>
            </w:r>
            <w:r>
              <w:rPr>
                <w:rFonts w:hint="default" w:ascii="Times New Roman" w:hAnsi="Times New Roman" w:eastAsia="宋体" w:cs="Times New Roman"/>
                <w:b/>
                <w:bCs/>
                <w:color w:val="auto"/>
                <w:szCs w:val="21"/>
              </w:rPr>
              <w:t xml:space="preserve">  四川省施工场地扬尘排放标准  单位：μg/m</w:t>
            </w:r>
            <w:r>
              <w:rPr>
                <w:rFonts w:hint="default" w:ascii="Times New Roman" w:hAnsi="Times New Roman" w:eastAsia="宋体" w:cs="Times New Roman"/>
                <w:b/>
                <w:bCs/>
                <w:color w:val="auto"/>
                <w:szCs w:val="21"/>
                <w:vertAlign w:val="superscript"/>
              </w:rPr>
              <w:t>3</w:t>
            </w:r>
          </w:p>
          <w:tbl>
            <w:tblPr>
              <w:tblStyle w:val="4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4"/>
              <w:gridCol w:w="2441"/>
              <w:gridCol w:w="1746"/>
              <w:gridCol w:w="2016"/>
              <w:gridCol w:w="17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监测项目</w:t>
                  </w:r>
                </w:p>
              </w:tc>
              <w:tc>
                <w:tcPr>
                  <w:tcW w:w="13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区域</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施工阶段</w:t>
                  </w:r>
                </w:p>
              </w:tc>
              <w:tc>
                <w:tcPr>
                  <w:tcW w:w="10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监测点排放现状（ug/m</w:t>
                  </w:r>
                  <w:r>
                    <w:rPr>
                      <w:rFonts w:hint="default" w:ascii="Times New Roman" w:hAnsi="Times New Roman" w:eastAsia="宋体"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vertAlign w:val="baseline"/>
                      <w:lang w:val="en-US" w:eastAsia="zh-CN"/>
                    </w:rPr>
                    <w:t>）</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1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总悬浮颗粒物（TSP）</w:t>
                  </w:r>
                </w:p>
              </w:tc>
              <w:tc>
                <w:tcPr>
                  <w:tcW w:w="131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成都市、自贡市、泸州市、德阳市、绵阳市、</w:t>
                  </w:r>
                  <w:r>
                    <w:rPr>
                      <w:rFonts w:hint="default" w:ascii="Times New Roman" w:hAnsi="Times New Roman" w:eastAsia="宋体" w:cs="Times New Roman"/>
                      <w:b w:val="0"/>
                      <w:bCs w:val="0"/>
                      <w:color w:val="auto"/>
                      <w:sz w:val="21"/>
                      <w:szCs w:val="21"/>
                      <w:vertAlign w:val="baseline"/>
                      <w:lang w:val="en-US" w:eastAsia="zh-CN"/>
                    </w:rPr>
                    <w:t>广元市、</w:t>
                  </w:r>
                  <w:r>
                    <w:rPr>
                      <w:rFonts w:hint="default" w:ascii="Times New Roman" w:hAnsi="Times New Roman" w:eastAsia="宋体" w:cs="Times New Roman"/>
                      <w:color w:val="auto"/>
                      <w:sz w:val="21"/>
                      <w:szCs w:val="21"/>
                      <w:vertAlign w:val="baseline"/>
                      <w:lang w:val="en-US" w:eastAsia="zh-CN"/>
                    </w:rPr>
                    <w:t>遂宁市、内江市、</w:t>
                  </w:r>
                  <w:r>
                    <w:rPr>
                      <w:rFonts w:hint="default" w:ascii="Times New Roman" w:hAnsi="Times New Roman" w:eastAsia="宋体" w:cs="Times New Roman"/>
                      <w:b/>
                      <w:bCs/>
                      <w:color w:val="auto"/>
                      <w:sz w:val="21"/>
                      <w:szCs w:val="21"/>
                      <w:vertAlign w:val="baseline"/>
                      <w:lang w:val="en-US" w:eastAsia="zh-CN"/>
                    </w:rPr>
                    <w:t>乐山市</w:t>
                  </w:r>
                  <w:r>
                    <w:rPr>
                      <w:rFonts w:hint="default" w:ascii="Times New Roman" w:hAnsi="Times New Roman" w:eastAsia="宋体" w:cs="Times New Roman"/>
                      <w:color w:val="auto"/>
                      <w:sz w:val="21"/>
                      <w:szCs w:val="21"/>
                      <w:vertAlign w:val="baseline"/>
                      <w:lang w:val="en-US" w:eastAsia="zh-CN"/>
                    </w:rPr>
                    <w:t>、</w:t>
                  </w:r>
                  <w:r>
                    <w:rPr>
                      <w:rFonts w:hint="default" w:ascii="Times New Roman" w:hAnsi="Times New Roman" w:eastAsia="宋体" w:cs="Times New Roman"/>
                      <w:b w:val="0"/>
                      <w:bCs w:val="0"/>
                      <w:color w:val="auto"/>
                      <w:sz w:val="21"/>
                      <w:szCs w:val="21"/>
                      <w:vertAlign w:val="baseline"/>
                      <w:lang w:val="en-US" w:eastAsia="zh-CN"/>
                    </w:rPr>
                    <w:t>南充市</w:t>
                  </w:r>
                  <w:r>
                    <w:rPr>
                      <w:rFonts w:hint="default" w:ascii="Times New Roman" w:hAnsi="Times New Roman" w:eastAsia="宋体" w:cs="Times New Roman"/>
                      <w:color w:val="auto"/>
                      <w:sz w:val="21"/>
                      <w:szCs w:val="21"/>
                      <w:vertAlign w:val="baseline"/>
                      <w:lang w:val="en-US" w:eastAsia="zh-CN"/>
                    </w:rPr>
                    <w:t>、宜宾市、广安市、达州市、巴中市、雅安市、眉山市、资阳市</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拆除工程/土方开挖/土方回填阶段</w:t>
                  </w:r>
                </w:p>
              </w:tc>
              <w:tc>
                <w:tcPr>
                  <w:tcW w:w="10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600</w:t>
                  </w:r>
                </w:p>
              </w:tc>
              <w:tc>
                <w:tcPr>
                  <w:tcW w:w="94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自监测起持续15分钟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1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color w:val="auto"/>
                    </w:rPr>
                  </w:pPr>
                </w:p>
              </w:tc>
              <w:tc>
                <w:tcPr>
                  <w:tcW w:w="131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color w:val="auto"/>
                    </w:rPr>
                  </w:pP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其他工程阶段</w:t>
                  </w:r>
                </w:p>
              </w:tc>
              <w:tc>
                <w:tcPr>
                  <w:tcW w:w="10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250</w:t>
                  </w:r>
                </w:p>
              </w:tc>
              <w:tc>
                <w:tcPr>
                  <w:tcW w:w="9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1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31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攀枝花市、阿坝藏族羌族自治州、甘孜藏族自治州、</w:t>
                  </w:r>
                  <w:r>
                    <w:rPr>
                      <w:rFonts w:hint="default" w:ascii="Times New Roman" w:hAnsi="Times New Roman" w:eastAsia="宋体" w:cs="Times New Roman"/>
                      <w:b w:val="0"/>
                      <w:bCs w:val="0"/>
                      <w:color w:val="auto"/>
                      <w:sz w:val="21"/>
                      <w:szCs w:val="21"/>
                      <w:vertAlign w:val="baseline"/>
                      <w:lang w:val="en-US" w:eastAsia="zh-CN"/>
                    </w:rPr>
                    <w:t>凉山彝族自治州</w:t>
                  </w: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拆除工程/土方开挖/土方回填阶段</w:t>
                  </w:r>
                </w:p>
              </w:tc>
              <w:tc>
                <w:tcPr>
                  <w:tcW w:w="10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900</w:t>
                  </w:r>
                </w:p>
              </w:tc>
              <w:tc>
                <w:tcPr>
                  <w:tcW w:w="9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1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color w:val="auto"/>
                    </w:rPr>
                  </w:pPr>
                </w:p>
              </w:tc>
              <w:tc>
                <w:tcPr>
                  <w:tcW w:w="131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color w:val="auto"/>
                    </w:rPr>
                  </w:pPr>
                </w:p>
              </w:tc>
              <w:tc>
                <w:tcPr>
                  <w:tcW w:w="9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其他工程阶段</w:t>
                  </w:r>
                </w:p>
              </w:tc>
              <w:tc>
                <w:tcPr>
                  <w:tcW w:w="10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350</w:t>
                  </w:r>
                </w:p>
              </w:tc>
              <w:tc>
                <w:tcPr>
                  <w:tcW w:w="9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废水排放标准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施工期生活污水经</w:t>
            </w:r>
            <w:r>
              <w:rPr>
                <w:rFonts w:hint="default" w:ascii="Times New Roman" w:hAnsi="Times New Roman" w:eastAsia="宋体" w:cs="Times New Roman"/>
                <w:color w:val="auto"/>
                <w:sz w:val="24"/>
                <w:szCs w:val="24"/>
                <w:lang w:val="en-US" w:eastAsia="zh-CN"/>
              </w:rPr>
              <w:t>水库管理处</w:t>
            </w:r>
            <w:r>
              <w:rPr>
                <w:rFonts w:hint="default" w:ascii="Times New Roman" w:hAnsi="Times New Roman" w:eastAsia="宋体" w:cs="Times New Roman"/>
                <w:color w:val="auto"/>
                <w:sz w:val="24"/>
                <w:szCs w:val="24"/>
                <w:lang w:eastAsia="zh-CN"/>
              </w:rPr>
              <w:t>化粪池收集处理后作为农田肥料，施工废水经沉淀池收集处理后回用，不外排。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营运期主要为管理人员生活污水，经</w:t>
            </w:r>
            <w:r>
              <w:rPr>
                <w:rFonts w:hint="default" w:ascii="Times New Roman" w:hAnsi="Times New Roman" w:eastAsia="宋体" w:cs="Times New Roman"/>
                <w:color w:val="auto"/>
                <w:sz w:val="24"/>
                <w:szCs w:val="24"/>
                <w:lang w:val="en-US" w:eastAsia="zh-CN"/>
              </w:rPr>
              <w:t>水库管理处</w:t>
            </w:r>
            <w:r>
              <w:rPr>
                <w:rFonts w:hint="default" w:ascii="Times New Roman" w:hAnsi="Times New Roman" w:eastAsia="宋体" w:cs="Times New Roman"/>
                <w:color w:val="auto"/>
                <w:sz w:val="24"/>
                <w:szCs w:val="24"/>
                <w:lang w:eastAsia="zh-CN"/>
              </w:rPr>
              <w:t>化粪池收集处理后作为农田肥料，不外排。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噪声排放标准</w:t>
            </w:r>
          </w:p>
          <w:p>
            <w:pPr>
              <w:adjustRightInd w:val="0"/>
              <w:snapToGrid w:val="0"/>
              <w:spacing w:line="360" w:lineRule="auto"/>
              <w:ind w:firstLine="480" w:firstLineChars="200"/>
              <w:jc w:val="left"/>
              <w:rPr>
                <w:rFonts w:hint="default" w:ascii="Times New Roman" w:hAnsi="Times New Roman" w:eastAsia="宋体" w:cs="Times New Roman"/>
                <w:b w:val="0"/>
                <w:bCs/>
                <w:color w:val="auto"/>
                <w:sz w:val="24"/>
                <w:szCs w:val="24"/>
              </w:rPr>
            </w:pPr>
            <w:bookmarkStart w:id="6" w:name="_Toc1539"/>
            <w:r>
              <w:rPr>
                <w:rFonts w:hint="default" w:ascii="Times New Roman" w:hAnsi="Times New Roman" w:cs="Times New Roman"/>
                <w:b w:val="0"/>
                <w:bCs/>
                <w:color w:val="auto"/>
                <w:sz w:val="24"/>
                <w:szCs w:val="24"/>
              </w:rPr>
              <w:t>施工期执行《建筑施工场界环境噪声排放标准》（GB12523-2011）限值。</w:t>
            </w:r>
            <w:r>
              <w:rPr>
                <w:rFonts w:hint="default" w:ascii="Times New Roman" w:hAnsi="Times New Roman" w:eastAsia="宋体" w:cs="Times New Roman"/>
                <w:b w:val="0"/>
                <w:bCs/>
                <w:color w:val="auto"/>
                <w:sz w:val="24"/>
                <w:szCs w:val="24"/>
              </w:rPr>
              <w:t>标准限值见下表</w:t>
            </w:r>
            <w:r>
              <w:rPr>
                <w:rFonts w:hint="default" w:ascii="Times New Roman" w:hAnsi="Times New Roman" w:eastAsia="宋体" w:cs="Times New Roman"/>
                <w:b w:val="0"/>
                <w:bCs/>
                <w:color w:val="auto"/>
                <w:sz w:val="24"/>
                <w:szCs w:val="24"/>
                <w:lang w:val="en-US" w:eastAsia="zh-CN"/>
              </w:rPr>
              <w:t>3</w:t>
            </w:r>
            <w:r>
              <w:rPr>
                <w:rFonts w:hint="default" w:ascii="Times New Roman" w:hAnsi="Times New Roman" w:eastAsia="宋体" w:cs="Times New Roman"/>
                <w:b w:val="0"/>
                <w:bCs/>
                <w:color w:val="auto"/>
                <w:sz w:val="24"/>
                <w:szCs w:val="24"/>
              </w:rPr>
              <w:t>-</w:t>
            </w:r>
            <w:r>
              <w:rPr>
                <w:rFonts w:hint="default" w:ascii="Times New Roman" w:hAnsi="Times New Roman" w:eastAsia="宋体" w:cs="Times New Roman"/>
                <w:b w:val="0"/>
                <w:bCs/>
                <w:color w:val="auto"/>
                <w:sz w:val="24"/>
                <w:szCs w:val="24"/>
                <w:lang w:val="en-US" w:eastAsia="zh-CN"/>
              </w:rPr>
              <w:t>9</w:t>
            </w:r>
            <w:r>
              <w:rPr>
                <w:rFonts w:hint="default" w:ascii="Times New Roman" w:hAnsi="Times New Roman" w:eastAsia="宋体" w:cs="Times New Roman"/>
                <w:b w:val="0"/>
                <w:bCs/>
                <w:color w:val="auto"/>
                <w:sz w:val="24"/>
                <w:szCs w:val="24"/>
              </w:rPr>
              <w:t>。</w:t>
            </w:r>
          </w:p>
          <w:p>
            <w:pPr>
              <w:adjustRightInd w:val="0"/>
              <w:snapToGrid w:val="0"/>
              <w:spacing w:line="360" w:lineRule="auto"/>
              <w:jc w:val="center"/>
              <w:textAlignment w:val="baseline"/>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表</w:t>
            </w:r>
            <w:r>
              <w:rPr>
                <w:rFonts w:hint="default" w:ascii="Times New Roman" w:hAnsi="Times New Roman" w:eastAsia="宋体" w:cs="Times New Roman"/>
                <w:b/>
                <w:bCs w:val="0"/>
                <w:color w:val="auto"/>
                <w:sz w:val="21"/>
                <w:szCs w:val="21"/>
                <w:lang w:val="en-US" w:eastAsia="zh-CN"/>
              </w:rPr>
              <w:t>3</w:t>
            </w:r>
            <w:r>
              <w:rPr>
                <w:rFonts w:hint="default" w:ascii="Times New Roman" w:hAnsi="Times New Roman" w:eastAsia="宋体" w:cs="Times New Roman"/>
                <w:b/>
                <w:bCs w:val="0"/>
                <w:color w:val="auto"/>
                <w:sz w:val="21"/>
                <w:szCs w:val="21"/>
              </w:rPr>
              <w:t>-</w:t>
            </w:r>
            <w:r>
              <w:rPr>
                <w:rFonts w:hint="default" w:ascii="Times New Roman" w:hAnsi="Times New Roman" w:eastAsia="宋体" w:cs="Times New Roman"/>
                <w:b/>
                <w:bCs w:val="0"/>
                <w:color w:val="auto"/>
                <w:sz w:val="21"/>
                <w:szCs w:val="21"/>
                <w:lang w:val="en-US" w:eastAsia="zh-CN"/>
              </w:rPr>
              <w:t>9</w:t>
            </w:r>
            <w:r>
              <w:rPr>
                <w:rFonts w:hint="default" w:ascii="Times New Roman" w:hAnsi="Times New Roman" w:eastAsia="宋体" w:cs="Times New Roman"/>
                <w:b/>
                <w:bCs w:val="0"/>
                <w:color w:val="auto"/>
                <w:sz w:val="21"/>
                <w:szCs w:val="21"/>
              </w:rPr>
              <w:t xml:space="preserve">  《建筑施工场界环境噪声排放标准》</w:t>
            </w:r>
            <w:r>
              <w:rPr>
                <w:rFonts w:hint="default" w:ascii="Times New Roman" w:hAnsi="Times New Roman" w:eastAsia="宋体" w:cs="Times New Roman"/>
                <w:b/>
                <w:bCs w:val="0"/>
                <w:color w:val="auto"/>
                <w:sz w:val="21"/>
                <w:szCs w:val="21"/>
                <w:lang w:val="en-US" w:eastAsia="zh-CN"/>
              </w:rPr>
              <w:t xml:space="preserve">  </w:t>
            </w:r>
            <w:r>
              <w:rPr>
                <w:rFonts w:hint="default" w:ascii="Times New Roman" w:hAnsi="Times New Roman" w:eastAsia="宋体" w:cs="Times New Roman"/>
                <w:b/>
                <w:bCs w:val="0"/>
                <w:color w:val="auto"/>
                <w:sz w:val="21"/>
                <w:szCs w:val="21"/>
              </w:rPr>
              <w:t>单位：dB（A）</w:t>
            </w:r>
          </w:p>
          <w:tbl>
            <w:tblPr>
              <w:tblStyle w:val="3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3"/>
              <w:gridCol w:w="3094"/>
              <w:gridCol w:w="30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noWrap w:val="0"/>
                  <w:vAlign w:val="center"/>
                </w:tcPr>
                <w:p>
                  <w:pPr>
                    <w:tabs>
                      <w:tab w:val="left" w:pos="2592"/>
                    </w:tabs>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类别</w:t>
                  </w:r>
                </w:p>
              </w:tc>
              <w:tc>
                <w:tcPr>
                  <w:tcW w:w="1666" w:type="pct"/>
                  <w:noWrap w:val="0"/>
                  <w:vAlign w:val="center"/>
                </w:tcPr>
                <w:p>
                  <w:pPr>
                    <w:tabs>
                      <w:tab w:val="left" w:pos="2592"/>
                    </w:tabs>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昼间</w:t>
                  </w:r>
                </w:p>
              </w:tc>
              <w:tc>
                <w:tcPr>
                  <w:tcW w:w="1666" w:type="pct"/>
                  <w:noWrap w:val="0"/>
                  <w:vAlign w:val="center"/>
                </w:tcPr>
                <w:p>
                  <w:pPr>
                    <w:tabs>
                      <w:tab w:val="left" w:pos="2592"/>
                    </w:tabs>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1666" w:type="pct"/>
                  <w:noWrap w:val="0"/>
                  <w:vAlign w:val="center"/>
                </w:tcPr>
                <w:p>
                  <w:pPr>
                    <w:tabs>
                      <w:tab w:val="left" w:pos="2592"/>
                    </w:tabs>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（GB12523-2011）</w:t>
                  </w:r>
                </w:p>
              </w:tc>
              <w:tc>
                <w:tcPr>
                  <w:tcW w:w="1666" w:type="pct"/>
                  <w:noWrap w:val="0"/>
                  <w:vAlign w:val="center"/>
                </w:tcPr>
                <w:p>
                  <w:pPr>
                    <w:tabs>
                      <w:tab w:val="left" w:pos="2592"/>
                    </w:tabs>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70</w:t>
                  </w:r>
                </w:p>
              </w:tc>
              <w:tc>
                <w:tcPr>
                  <w:tcW w:w="1666" w:type="pct"/>
                  <w:noWrap w:val="0"/>
                  <w:vAlign w:val="center"/>
                </w:tcPr>
                <w:p>
                  <w:pPr>
                    <w:tabs>
                      <w:tab w:val="left" w:pos="2592"/>
                    </w:tabs>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55</w:t>
                  </w:r>
                </w:p>
              </w:tc>
            </w:tr>
          </w:tbl>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lang w:eastAsia="zh-CN"/>
              </w:rPr>
              <w:t>（</w:t>
            </w:r>
            <w:r>
              <w:rPr>
                <w:rFonts w:hint="default" w:ascii="Times New Roman" w:hAnsi="Times New Roman" w:eastAsia="宋体" w:cs="Times New Roman"/>
                <w:b w:val="0"/>
                <w:bCs/>
                <w:color w:val="auto"/>
                <w:sz w:val="24"/>
                <w:szCs w:val="24"/>
                <w:lang w:val="en-US" w:eastAsia="zh-CN"/>
              </w:rPr>
              <w:t>4</w:t>
            </w:r>
            <w:r>
              <w:rPr>
                <w:rFonts w:hint="default" w:ascii="Times New Roman" w:hAnsi="Times New Roman" w:eastAsia="宋体" w:cs="Times New Roman"/>
                <w:b w:val="0"/>
                <w:bCs/>
                <w:color w:val="auto"/>
                <w:sz w:val="24"/>
                <w:szCs w:val="24"/>
                <w:lang w:eastAsia="zh-CN"/>
              </w:rPr>
              <w:t>）</w:t>
            </w:r>
            <w:r>
              <w:rPr>
                <w:rFonts w:hint="default" w:ascii="Times New Roman" w:hAnsi="Times New Roman" w:eastAsia="宋体" w:cs="Times New Roman"/>
                <w:b w:val="0"/>
                <w:bCs/>
                <w:color w:val="auto"/>
                <w:sz w:val="24"/>
                <w:szCs w:val="24"/>
              </w:rPr>
              <w:t>固废</w:t>
            </w:r>
            <w:bookmarkEnd w:id="6"/>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执行《一般工业固体废物贮存</w:t>
            </w:r>
            <w:r>
              <w:rPr>
                <w:rFonts w:hint="default" w:ascii="Times New Roman" w:hAnsi="Times New Roman" w:eastAsia="宋体" w:cs="Times New Roman"/>
                <w:color w:val="auto"/>
                <w:sz w:val="24"/>
                <w:lang w:val="en-US" w:eastAsia="zh-CN"/>
              </w:rPr>
              <w:t>和填埋</w:t>
            </w:r>
            <w:r>
              <w:rPr>
                <w:rFonts w:hint="default" w:ascii="Times New Roman" w:hAnsi="Times New Roman" w:eastAsia="宋体" w:cs="Times New Roman"/>
                <w:color w:val="auto"/>
                <w:sz w:val="24"/>
              </w:rPr>
              <w:t>污染控制标准》（GB18599-20</w:t>
            </w:r>
            <w:r>
              <w:rPr>
                <w:rFonts w:hint="default" w:ascii="Times New Roman" w:hAnsi="Times New Roman" w:eastAsia="宋体" w:cs="Times New Roman"/>
                <w:color w:val="auto"/>
                <w:sz w:val="24"/>
                <w:lang w:val="en-US" w:eastAsia="zh-CN"/>
              </w:rPr>
              <w:t>20</w:t>
            </w:r>
            <w:r>
              <w:rPr>
                <w:rFonts w:hint="default" w:ascii="Times New Roman" w:hAnsi="Times New Roman" w:eastAsia="宋体" w:cs="Times New Roman"/>
                <w:color w:val="auto"/>
                <w:sz w:val="24"/>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24"/>
              </w:rPr>
            </w:pPr>
            <w:r>
              <w:rPr>
                <w:rFonts w:hint="default" w:ascii="Times New Roman" w:hAnsi="Times New Roman" w:eastAsia="宋体" w:cs="Times New Roman"/>
                <w:b w:val="0"/>
                <w:bCs w:val="0"/>
                <w:color w:val="auto"/>
                <w:kern w:val="0"/>
                <w:sz w:val="24"/>
                <w:szCs w:val="24"/>
                <w:lang w:val="en-US" w:eastAsia="zh-CN" w:bidi="ar"/>
              </w:rPr>
              <w:t>（5）生态环境</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 w:val="24"/>
                <w:szCs w:val="24"/>
                <w:lang w:val="en-US" w:eastAsia="zh-CN" w:bidi="ar"/>
              </w:rPr>
              <w:t xml:space="preserve">生态环境以不破坏该区内生态系统完整性为标准，水土流失以不改变土壤侵蚀类型为标准。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11" w:type="pct"/>
            <w:noWrap w:val="0"/>
            <w:vAlign w:val="center"/>
          </w:tcPr>
          <w:p>
            <w:pPr>
              <w:keepNext w:val="0"/>
              <w:keepLines w:val="0"/>
              <w:pageBreakBefore w:val="0"/>
              <w:kinsoku/>
              <w:wordWrap/>
              <w:overflowPunct/>
              <w:topLinePunct w:val="0"/>
              <w:bidi w:val="0"/>
              <w:adjustRightInd w:val="0"/>
              <w:snapToGrid w:val="0"/>
              <w:jc w:val="center"/>
              <w:textAlignment w:val="auto"/>
              <w:outlineLvl w:val="9"/>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其他</w:t>
            </w:r>
          </w:p>
        </w:tc>
        <w:tc>
          <w:tcPr>
            <w:tcW w:w="4788" w:type="pct"/>
            <w:noWrap w:val="0"/>
            <w:vAlign w:val="center"/>
          </w:tcPr>
          <w:p>
            <w:pPr>
              <w:autoSpaceDE w:val="0"/>
              <w:autoSpaceDN w:val="0"/>
              <w:adjustRightInd w:val="0"/>
              <w:spacing w:line="360" w:lineRule="auto"/>
              <w:ind w:firstLine="480" w:firstLineChars="200"/>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本项目属非污染类项目，不设置总量控制指标。</w:t>
            </w:r>
          </w:p>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outlineLvl w:val="9"/>
              <w:rPr>
                <w:rFonts w:hint="default" w:ascii="Times New Roman" w:hAnsi="Times New Roman" w:eastAsia="宋体" w:cs="Times New Roman"/>
                <w:color w:val="auto"/>
                <w:kern w:val="0"/>
                <w:szCs w:val="21"/>
              </w:rPr>
            </w:pPr>
          </w:p>
        </w:tc>
      </w:tr>
    </w:tbl>
    <w:p>
      <w:pPr>
        <w:pStyle w:val="34"/>
        <w:keepNext w:val="0"/>
        <w:keepLines w:val="0"/>
        <w:pageBreakBefore w:val="0"/>
        <w:kinsoku/>
        <w:wordWrap/>
        <w:overflowPunct/>
        <w:topLinePunct w:val="0"/>
        <w:bidi w:val="0"/>
        <w:adjustRightInd w:val="0"/>
        <w:snapToGrid w:val="0"/>
        <w:spacing w:before="0" w:beforeAutospacing="0" w:after="0" w:afterAutospacing="0" w:line="14" w:lineRule="auto"/>
        <w:jc w:val="center"/>
        <w:textAlignment w:val="auto"/>
        <w:outlineLvl w:val="9"/>
        <w:rPr>
          <w:rFonts w:hint="default" w:ascii="Times New Roman" w:hAnsi="Times New Roman" w:eastAsia="宋体" w:cs="Times New Roman"/>
          <w:snapToGrid w:val="0"/>
          <w:color w:val="auto"/>
          <w:kern w:val="2"/>
          <w:sz w:val="36"/>
          <w:szCs w:val="36"/>
        </w:rPr>
      </w:pPr>
    </w:p>
    <w:p>
      <w:pPr>
        <w:pStyle w:val="34"/>
        <w:keepNext w:val="0"/>
        <w:keepLines w:val="0"/>
        <w:pageBreakBefore w:val="0"/>
        <w:widowControl/>
        <w:kinsoku/>
        <w:wordWrap/>
        <w:overflowPunct/>
        <w:topLinePunct w:val="0"/>
        <w:autoSpaceDE/>
        <w:autoSpaceDN/>
        <w:bidi w:val="0"/>
        <w:adjustRightInd w:val="0"/>
        <w:snapToGrid w:val="0"/>
        <w:jc w:val="center"/>
        <w:textAlignment w:val="auto"/>
        <w:outlineLvl w:val="0"/>
        <w:rPr>
          <w:rFonts w:hint="default" w:ascii="Times New Roman" w:hAnsi="Times New Roman" w:eastAsia="宋体" w:cs="Times New Roman"/>
          <w:b/>
          <w:bCs/>
          <w:snapToGrid w:val="0"/>
          <w:color w:val="auto"/>
          <w:sz w:val="30"/>
          <w:szCs w:val="30"/>
        </w:rPr>
      </w:pPr>
      <w:r>
        <w:rPr>
          <w:rFonts w:hint="default" w:ascii="Times New Roman" w:hAnsi="Times New Roman" w:eastAsia="宋体" w:cs="Times New Roman"/>
          <w:snapToGrid w:val="0"/>
          <w:color w:val="auto"/>
          <w:kern w:val="2"/>
          <w:sz w:val="36"/>
          <w:szCs w:val="36"/>
        </w:rPr>
        <w:br w:type="page"/>
      </w:r>
      <w:r>
        <w:rPr>
          <w:rFonts w:hint="default" w:ascii="Times New Roman" w:hAnsi="Times New Roman" w:eastAsia="宋体" w:cs="Times New Roman"/>
          <w:b/>
          <w:bCs/>
          <w:snapToGrid w:val="0"/>
          <w:color w:val="auto"/>
          <w:sz w:val="30"/>
          <w:szCs w:val="30"/>
        </w:rPr>
        <w:t>四、生态环境影响分析</w:t>
      </w:r>
    </w:p>
    <w:tbl>
      <w:tblPr>
        <w:tblStyle w:val="39"/>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917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0" w:hRule="atLeast"/>
          <w:jc w:val="center"/>
        </w:trPr>
        <w:tc>
          <w:tcPr>
            <w:tcW w:w="359" w:type="pct"/>
            <w:noWrap w:val="0"/>
            <w:tcMar>
              <w:left w:w="28" w:type="dxa"/>
              <w:right w:w="28" w:type="dxa"/>
            </w:tcMar>
            <w:vAlign w:val="center"/>
          </w:tcPr>
          <w:p>
            <w:pPr>
              <w:pStyle w:val="34"/>
              <w:keepNext w:val="0"/>
              <w:keepLines w:val="0"/>
              <w:pageBreakBefore w:val="0"/>
              <w:kinsoku/>
              <w:wordWrap/>
              <w:overflowPunct/>
              <w:topLinePunct w:val="0"/>
              <w:bidi w:val="0"/>
              <w:adjustRightInd w:val="0"/>
              <w:snapToGrid w:val="0"/>
              <w:spacing w:before="0" w:beforeAutospacing="0" w:after="0" w:afterAutospacing="0"/>
              <w:jc w:val="center"/>
              <w:textAlignment w:val="auto"/>
              <w:rPr>
                <w:rFonts w:hint="default" w:ascii="Times New Roman" w:hAnsi="Times New Roman" w:eastAsia="宋体" w:cs="Times New Roman"/>
                <w:bCs/>
                <w:color w:val="auto"/>
                <w:kern w:val="2"/>
                <w:sz w:val="21"/>
                <w:szCs w:val="21"/>
              </w:rPr>
            </w:pPr>
            <w:bookmarkStart w:id="7" w:name="_Hlk49796138"/>
            <w:r>
              <w:rPr>
                <w:rFonts w:hint="default" w:ascii="Times New Roman" w:hAnsi="Times New Roman" w:eastAsia="宋体" w:cs="Times New Roman"/>
                <w:bCs/>
                <w:color w:val="auto"/>
                <w:spacing w:val="10"/>
                <w:kern w:val="2"/>
                <w:sz w:val="21"/>
                <w:szCs w:val="21"/>
              </w:rPr>
              <w:t>施工期生态环境影响分析</w:t>
            </w:r>
            <w:bookmarkEnd w:id="7"/>
          </w:p>
        </w:tc>
        <w:tc>
          <w:tcPr>
            <w:tcW w:w="4640" w:type="pct"/>
            <w:noWrap w:val="0"/>
            <w:vAlign w:val="center"/>
          </w:tcPr>
          <w:p>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本工程属非污染生态项目，工程施工期的影响主要是施工扬尘、噪声、施工污废水、弃渣等对周围环境的影响。</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200"/>
              <w:jc w:val="both"/>
              <w:textAlignment w:val="auto"/>
              <w:rPr>
                <w:rFonts w:hint="default"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生态环境影响</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本次加固除险</w:t>
            </w:r>
            <w:r>
              <w:rPr>
                <w:rFonts w:hint="default" w:ascii="Times New Roman" w:hAnsi="Times New Roman" w:eastAsia="宋体" w:cs="Times New Roman"/>
                <w:color w:val="auto"/>
                <w:sz w:val="24"/>
                <w:szCs w:val="24"/>
              </w:rPr>
              <w:t>涉及永久占地18.17亩，原有占地12.03亩，新增占地6.14亩，其中水利设施用地14.44亩、交通运输用地3.73亩；施工临时占地4.26亩，包括石渣料场3.00亩，施工便道占荒地1.26亩。</w:t>
            </w:r>
            <w:r>
              <w:rPr>
                <w:rFonts w:hint="eastAsia" w:ascii="Times New Roman" w:hAnsi="Times New Roman" w:eastAsia="宋体" w:cs="Times New Roman"/>
                <w:color w:val="auto"/>
                <w:sz w:val="24"/>
                <w:szCs w:val="24"/>
                <w:lang w:val="en-US" w:eastAsia="zh-CN"/>
              </w:rPr>
              <w:t>项目本次建设占地</w:t>
            </w:r>
            <w:r>
              <w:rPr>
                <w:rFonts w:hint="default" w:ascii="Times New Roman" w:hAnsi="Times New Roman" w:eastAsia="宋体" w:cs="Times New Roman"/>
                <w:color w:val="auto"/>
                <w:sz w:val="24"/>
                <w:szCs w:val="24"/>
              </w:rPr>
              <w:t>均为水库管理范围，不新增占地。</w:t>
            </w:r>
          </w:p>
          <w:p>
            <w:pPr>
              <w:keepNext w:val="0"/>
              <w:keepLines w:val="0"/>
              <w:pageBreakBefore w:val="0"/>
              <w:numPr>
                <w:ilvl w:val="0"/>
                <w:numId w:val="5"/>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对植物影响分析</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本项目的施工建设必然会对当地的生态环境带来一定的破坏，施工期各种车辆、施工设备的碾压和施工人员的践踏及建筑材料的堆放，会占压或破坏原有的地表植物，使施工区域内植物类群结构将进一步简化。施工最大的影响就是一些植物物种个体数量减少，但不会危及受损该部分物种在本地优势分布地位。本项目施工作业对当地植物的影响还表现在施工扬尘、车辆尾气排放等环境污染问题上，这些环境污染问题可能导致作业区附近一定范围内的植物生长受到抑制，但这种影响是局部和暂时的；且在施工过程中采取严格的管理措施，尽量避开植物生长旺季的情况下，可以大大减轻这种污染物排放对植物的伤害。随着工程的进展，这种状况也是不断变化的，在工程竣工完成之后，通过生态补偿、生态绿化等措施的逐步实施，加之该区域夏季气温高，降雨量多，植物生长速度快、恢复能力较强，工程施工损毁的植物及生境，通过次生演替和生态补偿都将逐步得到恢复。</w:t>
            </w:r>
          </w:p>
          <w:p>
            <w:pPr>
              <w:keepNext w:val="0"/>
              <w:keepLines w:val="0"/>
              <w:pageBreakBefore w:val="0"/>
              <w:numPr>
                <w:ilvl w:val="0"/>
                <w:numId w:val="5"/>
              </w:numPr>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对动物影响分析</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①对陆生生物的影响</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区域内陆生生物资源不多，主要为常见鼠类、鸟类等小型动物，未见大型野生动物和珍稀、濒危的野生动物。施工期施工作业产生的噪声、粉尘以及人为活动干扰引起生态环境的变化等，会对工程占地区附近的陆生生物的生存产生一定影响，施工临时占地也会侵占动物的部分栖息地，迫使它们迁往附近的农田、林地和坑沟区域活动，使其个体数量在施工占地区有所减少。野生动物只在施工期受到干扰，随着施工结束，采取恢复地表、生态补偿措施后，生态环境逐步改善，野生动物种群数量会得到恢复。</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②对水生生物的影响</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施工机械噪声对于栖息于水环境的两栖类动物、水生生物影响较大，短时间内导致水生动物种群数量在本区域内有所下降。相较于水库而言，施工区域仅</w:t>
            </w:r>
            <w:r>
              <w:rPr>
                <w:rFonts w:hint="eastAsia" w:ascii="Times New Roman" w:hAnsi="Times New Roman" w:eastAsia="宋体" w:cs="Times New Roman"/>
                <w:color w:val="auto"/>
                <w:sz w:val="24"/>
                <w:szCs w:val="24"/>
                <w:lang w:val="en-US" w:eastAsia="zh-CN"/>
              </w:rPr>
              <w:t>影响</w:t>
            </w:r>
            <w:r>
              <w:rPr>
                <w:rFonts w:hint="default" w:ascii="Times New Roman" w:hAnsi="Times New Roman" w:eastAsia="宋体" w:cs="Times New Roman"/>
                <w:color w:val="auto"/>
                <w:sz w:val="24"/>
                <w:szCs w:val="24"/>
              </w:rPr>
              <w:t>水库近岸处小部分面积，因此受影响的水生生物可以迁徙至水库其他区域。施工结束后该区域水质恢复，施工机械影响消失，新的底栖生态系统和生态平衡将会重新形成，水生动物会迁徙回该区域，因此项目施工对水生生物的影响在可接受范围内。</w:t>
            </w:r>
          </w:p>
          <w:p>
            <w:pPr>
              <w:keepNext w:val="0"/>
              <w:keepLines w:val="0"/>
              <w:pageBreakBefore w:val="0"/>
              <w:numPr>
                <w:ilvl w:val="0"/>
                <w:numId w:val="5"/>
              </w:numPr>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对水土流失影响分析 </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根据工程施工特点，工程建设过程中永久占地区的开挖破坏、弃渣堆放、施工临时占地扰动等是造成建设区新增水土流失的主要因素，工程永久占地和临时占地均较小。本项目工程实施过程中土石开挖量小，弃渣少，工程影响范围小，且弃渣较少，对工程区水土保持现状影响</w:t>
            </w:r>
            <w:r>
              <w:rPr>
                <w:rFonts w:hint="eastAsia" w:ascii="Times New Roman" w:hAnsi="Times New Roman" w:eastAsia="宋体" w:cs="Times New Roman"/>
                <w:color w:val="auto"/>
                <w:sz w:val="24"/>
                <w:szCs w:val="24"/>
                <w:lang w:val="en-US" w:eastAsia="zh-CN"/>
              </w:rPr>
              <w:t>较</w:t>
            </w:r>
            <w:r>
              <w:rPr>
                <w:rFonts w:hint="default" w:ascii="Times New Roman" w:hAnsi="Times New Roman" w:eastAsia="宋体" w:cs="Times New Roman"/>
                <w:color w:val="auto"/>
                <w:sz w:val="24"/>
                <w:szCs w:val="24"/>
              </w:rPr>
              <w:t>小</w:t>
            </w:r>
            <w:r>
              <w:rPr>
                <w:rFonts w:hint="eastAsia" w:ascii="Times New Roman" w:hAnsi="Times New Roman" w:eastAsia="宋体" w:cs="Times New Roman"/>
                <w:color w:val="auto"/>
                <w:sz w:val="24"/>
                <w:szCs w:val="24"/>
                <w:lang w:eastAsia="zh-CN"/>
              </w:rPr>
              <w:t>。</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总体而言，本工程对区域生态系统不产生阻隔、切割和不可逆的影响，不影响物种和群落的组成</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施工期间区域生物量有所下降，但随着施工结束后</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临时占地复绿，生物量将得到补偿。项目不改变自然生态体系的结构，对生态功能不造成影响</w:t>
            </w:r>
            <w:r>
              <w:rPr>
                <w:rFonts w:hint="eastAsia" w:ascii="Times New Roman" w:hAnsi="Times New Roman" w:eastAsia="宋体" w:cs="Times New Roman"/>
                <w:color w:val="auto"/>
                <w:sz w:val="24"/>
                <w:szCs w:val="24"/>
                <w:lang w:eastAsia="zh-CN"/>
              </w:rPr>
              <w:t>。</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废气</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施工阶段的大气污染源主要来自建设期间土石方和建筑材料运输、装卸所产生的扬尘，机械设备和运输车辆排放的尾气，柴油发电机燃烧废气等。</w:t>
            </w:r>
          </w:p>
          <w:p>
            <w:pPr>
              <w:keepNext w:val="0"/>
              <w:keepLines w:val="0"/>
              <w:pageBreakBefore w:val="0"/>
              <w:numPr>
                <w:ilvl w:val="0"/>
                <w:numId w:val="6"/>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施工扬尘</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施工期对大气环境最主要的影响因素是扬尘，施工过程中的扬尘主要产生于：①土方挖掘和现场堆放</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石渣料开采</w:t>
            </w:r>
            <w:r>
              <w:rPr>
                <w:rFonts w:hint="default" w:ascii="Times New Roman" w:hAnsi="Times New Roman" w:eastAsia="宋体" w:cs="Times New Roman"/>
                <w:color w:val="auto"/>
                <w:sz w:val="24"/>
                <w:szCs w:val="24"/>
              </w:rPr>
              <w:t>产生扬尘；②建筑材料的搬运、装卸和堆放产生扬尘；③物料运输车辆造成的道路扬尘。</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根据《成都市施工扬尘排放特征研究》（范武波等中国环境科学（2020）</w:t>
            </w:r>
            <w:r>
              <w:rPr>
                <w:rFonts w:hint="eastAsia" w:ascii="Times New Roman" w:hAnsi="Times New Roman" w:eastAsia="宋体" w:cs="Times New Roman"/>
                <w:color w:val="auto"/>
                <w:sz w:val="24"/>
                <w:szCs w:val="24"/>
                <w:lang w:val="en-US" w:eastAsia="zh-CN"/>
              </w:rPr>
              <w:t>0</w:t>
            </w:r>
            <w:r>
              <w:rPr>
                <w:rFonts w:hint="default" w:ascii="Times New Roman" w:hAnsi="Times New Roman" w:eastAsia="宋体" w:cs="Times New Roman"/>
                <w:color w:val="auto"/>
                <w:sz w:val="24"/>
                <w:szCs w:val="24"/>
              </w:rPr>
              <w:t>9</w:t>
            </w:r>
            <w:r>
              <w:rPr>
                <w:rFonts w:hint="eastAsia" w:ascii="Times New Roman" w:hAnsi="Times New Roman" w:eastAsia="宋体" w:cs="Times New Roman"/>
                <w:color w:val="auto"/>
                <w:sz w:val="24"/>
                <w:szCs w:val="24"/>
                <w:lang w:val="en-US" w:eastAsia="zh-CN"/>
              </w:rPr>
              <w:t>期</w:t>
            </w:r>
            <w:r>
              <w:rPr>
                <w:rFonts w:hint="default" w:ascii="Times New Roman" w:hAnsi="Times New Roman" w:eastAsia="宋体" w:cs="Times New Roman"/>
                <w:color w:val="auto"/>
                <w:sz w:val="24"/>
                <w:szCs w:val="24"/>
              </w:rPr>
              <w:t>）的研究结果，土方施工阶段扬尘相对高于其他施工阶段，平均浓度约为1.21mg/m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，施工扬尘在场界外下风向5~15m范围内会出现浓度增加的趋势，随后逐渐下降，在50m附近逐渐趋于稳定，稳定浓度介于0.1~0.2mg/m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针对施工期施工扬尘产生情况，应制定严格的污染防治措施控制扬尘，严格按照《防治城市扬尘污染技术规范》（HJ/T-2007）、《四川省建设工程扬尘污染防治技术导则（试行）》及《乐山市扬尘污染防治条例》（NO：LSC070051）等的要求防治扬尘污染。本次环评针对项目提出以下具体防治措施：</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①洒水抑尘。土方施工等易产生扬尘的作业，采取洒水或喷淋等防尘措施。</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②合理布置施工现场，建议封闭施工。 </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③加强对运输车辆运行时间、运行路线管理、并应加强对运输车辆的管理。在同样清洁程度的条件下，车速越慢，扬尘量越小。本场地施工车辆在进入施工场地后，需减速行驶，以减少施工场地扬尘，建议行驶车速不大于5km/h。</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④保持施工场地路面清洁。为了减少施工扬尘，必须保持施工场地、进出道路以及施工车辆的清洁，可通过及时清扫，对施工车辆及时清洗，禁止超载，清运车辆覆盖帆布，防止洒落等，采取有效措施来保持场地路面的清洁，减少施工扬尘。</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⑤避免大风天气作业。应避免在大风天气进行水泥、砂石等的装卸作业，使用散装水泥时不应露天堆放，即使必须露天堆放，也要注意加盖防雨布，减少大风造成的施工扬尘。</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⑥施工开始前进行公示，告之周围群众，与其进行有效沟通，取得周围群众的理解，同时建设单位和施工单位在现场张贴通告和投诉电话，建设单位在接到投诉电话后及时与当地</w:t>
            </w:r>
            <w:r>
              <w:rPr>
                <w:rFonts w:hint="eastAsia" w:ascii="Times New Roman" w:hAnsi="Times New Roman" w:eastAsia="宋体" w:cs="Times New Roman"/>
                <w:color w:val="auto"/>
                <w:sz w:val="24"/>
                <w:szCs w:val="24"/>
                <w:lang w:val="en-US" w:eastAsia="zh-CN"/>
              </w:rPr>
              <w:t>生态环境主管</w:t>
            </w:r>
            <w:r>
              <w:rPr>
                <w:rFonts w:hint="default" w:ascii="Times New Roman" w:hAnsi="Times New Roman" w:eastAsia="宋体" w:cs="Times New Roman"/>
                <w:color w:val="auto"/>
                <w:sz w:val="24"/>
                <w:szCs w:val="24"/>
              </w:rPr>
              <w:t>部门联系，以便及时处理各种环境纠纷。</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在项目施工过程中，施工单位必须严格落实本环评提出的扬尘控制措施，有效控制扬尘，使其对周边环境敏感点的影响降至最低。同时，项目应积极响应《四川省重污染天气应急预案》及《乐山市重污染天气预防和应急预案》中的应急措施要求。</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评要求，施工单位在日常施工过程中应严格采取上述施工扬尘污染防治措施，切实有效地降低施工工地扬尘产生量及其浓度，确保施工场地扬尘达到《四川省施工场地扬尘排放标准》中表1规定的浓度限值，使其对周边环境敏感点的影响降至最低。</w:t>
            </w:r>
          </w:p>
          <w:p>
            <w:pPr>
              <w:keepNext w:val="0"/>
              <w:keepLines w:val="0"/>
              <w:pageBreakBefore w:val="0"/>
              <w:numPr>
                <w:ilvl w:val="0"/>
                <w:numId w:val="6"/>
              </w:numPr>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施工机械废气</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施工期间，使用车辆运送原材料、设备和建筑机械设备的运转，会排放一定量的CO、NO</w:t>
            </w:r>
            <w:r>
              <w:rPr>
                <w:rFonts w:hint="default" w:ascii="Times New Roman" w:hAnsi="Times New Roman" w:eastAsia="宋体" w:cs="Times New Roman"/>
                <w:color w:val="auto"/>
                <w:sz w:val="24"/>
                <w:szCs w:val="24"/>
                <w:vertAlign w:val="subscript"/>
              </w:rPr>
              <w:t>x</w:t>
            </w:r>
            <w:r>
              <w:rPr>
                <w:rFonts w:hint="default" w:ascii="Times New Roman" w:hAnsi="Times New Roman" w:eastAsia="宋体" w:cs="Times New Roman"/>
                <w:color w:val="auto"/>
                <w:sz w:val="24"/>
                <w:szCs w:val="24"/>
              </w:rPr>
              <w:t>以及未完全燃烧的THC等，在施工期内应尽量使用电气化设备，少用燃油设备，多加注意施工设备的维护，使其能够正常的运行，使用合格的燃油，提高设备原料的利用率。施工机械废气特点是排放量小，且属间断性无组织排放，由于其这一特点，加之施工场地开阔，扩散条件良好，且项目施工周期较短，产生的污染物经自然扩散后浓度很小，因此对周围大气环境影响较小。</w:t>
            </w:r>
          </w:p>
          <w:p>
            <w:pPr>
              <w:keepNext w:val="0"/>
              <w:keepLines w:val="0"/>
              <w:pageBreakBefore w:val="0"/>
              <w:numPr>
                <w:ilvl w:val="0"/>
                <w:numId w:val="6"/>
              </w:numPr>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柴油发电机废气</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考虑电网停电因素，</w:t>
            </w:r>
            <w:r>
              <w:rPr>
                <w:rFonts w:hint="default" w:ascii="Times New Roman" w:hAnsi="Times New Roman" w:cs="Times New Roman"/>
                <w:color w:val="auto"/>
                <w:sz w:val="24"/>
                <w:highlight w:val="none"/>
              </w:rPr>
              <w:t>坝区配备1台20</w:t>
            </w:r>
            <w:r>
              <w:rPr>
                <w:rFonts w:hint="eastAsia" w:ascii="Times New Roman" w:hAnsi="Times New Roman" w:cs="Times New Roman"/>
                <w:color w:val="auto"/>
                <w:sz w:val="24"/>
                <w:highlight w:val="none"/>
                <w:lang w:val="en-US" w:eastAsia="zh-CN"/>
              </w:rPr>
              <w:t>kW</w:t>
            </w:r>
            <w:r>
              <w:rPr>
                <w:rFonts w:hint="default" w:ascii="Times New Roman" w:hAnsi="Times New Roman" w:cs="Times New Roman"/>
                <w:color w:val="auto"/>
                <w:sz w:val="24"/>
                <w:highlight w:val="none"/>
              </w:rPr>
              <w:t>的柴油发电机组形成备用电源</w:t>
            </w:r>
            <w:r>
              <w:rPr>
                <w:rFonts w:hint="default" w:ascii="Times New Roman" w:hAnsi="Times New Roman" w:eastAsia="宋体" w:cs="Times New Roman"/>
                <w:color w:val="auto"/>
                <w:sz w:val="24"/>
                <w:szCs w:val="24"/>
              </w:rPr>
              <w:t>，会产生一定尾气。柴油发电机使用0#柴油为燃料，0#柴油属于清洁能源，无组织排放的柴油发电机废气对周围大气环境影响不大。</w:t>
            </w:r>
          </w:p>
          <w:p>
            <w:pPr>
              <w:widowControl/>
              <w:numPr>
                <w:ilvl w:val="0"/>
                <w:numId w:val="0"/>
              </w:numPr>
              <w:adjustRightInd w:val="0"/>
              <w:snapToGrid w:val="0"/>
              <w:spacing w:line="360" w:lineRule="auto"/>
              <w:ind w:leftChars="200"/>
              <w:jc w:val="left"/>
              <w:rPr>
                <w:rFonts w:hint="eastAsia" w:ascii="Times New Roman" w:hAnsi="Times New Roman" w:eastAsia="宋体" w:cs="Times New Roman"/>
                <w:b w:val="0"/>
                <w:bCs/>
                <w:color w:val="auto"/>
                <w:kern w:val="0"/>
                <w:sz w:val="24"/>
                <w:szCs w:val="24"/>
                <w:lang w:val="en-US" w:eastAsia="zh-CN" w:bidi="ar"/>
              </w:rPr>
            </w:pPr>
            <w:r>
              <w:rPr>
                <w:rFonts w:hint="eastAsia" w:ascii="Times New Roman" w:hAnsi="Times New Roman" w:eastAsia="宋体" w:cs="Times New Roman"/>
                <w:b w:val="0"/>
                <w:bCs/>
                <w:color w:val="auto"/>
                <w:kern w:val="0"/>
                <w:sz w:val="24"/>
                <w:szCs w:val="24"/>
                <w:lang w:val="en-US" w:eastAsia="zh-CN" w:bidi="ar"/>
              </w:rPr>
              <w:t>（4）</w:t>
            </w:r>
            <w:r>
              <w:rPr>
                <w:rFonts w:hint="default" w:ascii="Times New Roman" w:hAnsi="Times New Roman" w:eastAsia="宋体" w:cs="Times New Roman"/>
                <w:b w:val="0"/>
                <w:bCs/>
                <w:color w:val="auto"/>
                <w:sz w:val="24"/>
                <w:szCs w:val="24"/>
                <w:lang w:eastAsia="zh-CN"/>
              </w:rPr>
              <w:t>沥青烟</w:t>
            </w:r>
          </w:p>
          <w:p>
            <w:pPr>
              <w:keepNext w:val="0"/>
              <w:keepLines w:val="0"/>
              <w:pageBreakBefore w:val="0"/>
              <w:widowControl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沥青烟</w:t>
            </w:r>
            <w:r>
              <w:rPr>
                <w:rFonts w:hint="default" w:ascii="Times New Roman" w:hAnsi="Times New Roman" w:eastAsia="宋体" w:cs="Times New Roman"/>
                <w:color w:val="auto"/>
                <w:sz w:val="24"/>
                <w:szCs w:val="24"/>
              </w:rPr>
              <w:t>是指石油沥青及沥青制品生产中排放的液态烃类有机颗粒物质和少量在常温下的气态烃类物质，它是含多种化学物质的混合烟气，以烃类混合物为主要成分，其中含多环芳烃类物质尤多，以苯并[a]芘为代表的多环芳烃类物质是强致癌物。由于本项目不设置沥青</w:t>
            </w:r>
            <w:r>
              <w:rPr>
                <w:rFonts w:hint="default" w:ascii="Times New Roman" w:hAnsi="Times New Roman" w:eastAsia="宋体" w:cs="Times New Roman"/>
                <w:color w:val="auto"/>
                <w:sz w:val="24"/>
                <w:szCs w:val="24"/>
                <w:lang w:eastAsia="zh-CN"/>
              </w:rPr>
              <w:t>拌和</w:t>
            </w:r>
            <w:r>
              <w:rPr>
                <w:rFonts w:hint="default" w:ascii="Times New Roman" w:hAnsi="Times New Roman" w:eastAsia="宋体" w:cs="Times New Roman"/>
                <w:color w:val="auto"/>
                <w:sz w:val="24"/>
                <w:szCs w:val="24"/>
              </w:rPr>
              <w:t>站，直接外购成品，因此本次环评不计沥青生产</w:t>
            </w:r>
            <w:r>
              <w:rPr>
                <w:rFonts w:hint="default" w:ascii="Times New Roman" w:hAnsi="Times New Roman" w:eastAsia="宋体" w:cs="Times New Roman"/>
                <w:color w:val="auto"/>
                <w:sz w:val="24"/>
                <w:szCs w:val="24"/>
                <w:lang w:eastAsia="zh-CN"/>
              </w:rPr>
              <w:t>拌和</w:t>
            </w:r>
            <w:r>
              <w:rPr>
                <w:rFonts w:hint="default" w:ascii="Times New Roman" w:hAnsi="Times New Roman" w:eastAsia="宋体" w:cs="Times New Roman"/>
                <w:color w:val="auto"/>
                <w:sz w:val="24"/>
                <w:szCs w:val="24"/>
              </w:rPr>
              <w:t>产生的混合烟气的影响。</w:t>
            </w:r>
          </w:p>
          <w:p>
            <w:pPr>
              <w:keepNext w:val="0"/>
              <w:keepLines w:val="0"/>
              <w:pageBreakBefore w:val="0"/>
              <w:widowControl w:val="0"/>
              <w:kinsoku/>
              <w:wordWrap/>
              <w:overflowPunct/>
              <w:topLinePunct w:val="0"/>
              <w:bidi w:val="0"/>
              <w:adjustRightInd w:val="0"/>
              <w:snapToGrid w:val="0"/>
              <w:spacing w:line="360" w:lineRule="auto"/>
              <w:ind w:left="0" w:leftChars="0"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另外，</w:t>
            </w:r>
            <w:r>
              <w:rPr>
                <w:rFonts w:hint="default" w:ascii="Times New Roman" w:hAnsi="Times New Roman" w:eastAsia="宋体" w:cs="Times New Roman"/>
                <w:color w:val="auto"/>
                <w:sz w:val="24"/>
                <w:szCs w:val="24"/>
                <w:lang w:eastAsia="zh-CN"/>
              </w:rPr>
              <w:t>拌和</w:t>
            </w:r>
            <w:r>
              <w:rPr>
                <w:rFonts w:hint="default" w:ascii="Times New Roman" w:hAnsi="Times New Roman" w:eastAsia="宋体" w:cs="Times New Roman"/>
                <w:color w:val="auto"/>
                <w:sz w:val="24"/>
                <w:szCs w:val="24"/>
              </w:rPr>
              <w:t>好后的沥青由汽车运输至场地进行铺设，在铺设过程中会产生沥青烟气。根据类比资料，沥青在铺设过程中沥青烟的排放浓度为12.5~17.0mg/m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沥青烟中含有THC、颗粒物、和苯并[α]芘等有毒物质，对操作人员和周围居民的身体健康将造成一定的损害。由于苯并[α]芘（石油副产物）中含量低微，本项目采用的改性沥青、中、低温工艺，挥发度很小，对照同类工程的分析预测，在作业点10m范围外，苯并[α]芘浓度可达国家“环境空气质量标准”，这种影响是暂时的，会随着施工期的结束而消失。</w:t>
            </w:r>
          </w:p>
          <w:p>
            <w:pPr>
              <w:widowControl/>
              <w:numPr>
                <w:ilvl w:val="0"/>
                <w:numId w:val="0"/>
              </w:numPr>
              <w:adjustRightInd w:val="0"/>
              <w:snapToGrid w:val="0"/>
              <w:spacing w:line="360" w:lineRule="auto"/>
              <w:ind w:leftChars="200"/>
              <w:jc w:val="left"/>
              <w:rPr>
                <w:rFonts w:hint="default" w:ascii="Times New Roman" w:hAnsi="Times New Roman" w:eastAsia="宋体" w:cs="Times New Roman"/>
                <w:b/>
                <w:bCs w:val="0"/>
                <w:color w:val="auto"/>
                <w:kern w:val="0"/>
                <w:sz w:val="24"/>
                <w:szCs w:val="24"/>
                <w:lang w:bidi="ar"/>
              </w:rPr>
            </w:pPr>
            <w:r>
              <w:rPr>
                <w:rFonts w:hint="eastAsia" w:ascii="Times New Roman" w:hAnsi="Times New Roman" w:eastAsia="宋体" w:cs="Times New Roman"/>
                <w:b/>
                <w:bCs w:val="0"/>
                <w:color w:val="auto"/>
                <w:kern w:val="0"/>
                <w:sz w:val="24"/>
                <w:szCs w:val="24"/>
                <w:lang w:val="en-US" w:eastAsia="zh-CN" w:bidi="ar"/>
              </w:rPr>
              <w:t>3、</w:t>
            </w:r>
            <w:r>
              <w:rPr>
                <w:rFonts w:hint="default" w:ascii="Times New Roman" w:hAnsi="Times New Roman" w:eastAsia="宋体" w:cs="Times New Roman"/>
                <w:b/>
                <w:bCs w:val="0"/>
                <w:color w:val="auto"/>
                <w:kern w:val="0"/>
                <w:sz w:val="24"/>
                <w:szCs w:val="24"/>
                <w:lang w:bidi="ar"/>
              </w:rPr>
              <w:t xml:space="preserve">废水 </w:t>
            </w:r>
          </w:p>
          <w:p>
            <w:pPr>
              <w:widowControl/>
              <w:numPr>
                <w:ilvl w:val="0"/>
                <w:numId w:val="0"/>
              </w:numPr>
              <w:adjustRightInd w:val="0"/>
              <w:snapToGrid w:val="0"/>
              <w:spacing w:line="360" w:lineRule="auto"/>
              <w:ind w:firstLine="480" w:firstLineChars="200"/>
              <w:jc w:val="left"/>
              <w:rPr>
                <w:rFonts w:hint="default" w:ascii="Times New Roman" w:hAnsi="Times New Roman" w:eastAsia="宋体" w:cs="Times New Roman"/>
                <w:bCs/>
                <w:color w:val="auto"/>
                <w:kern w:val="0"/>
                <w:sz w:val="24"/>
                <w:szCs w:val="24"/>
                <w:lang w:bidi="ar"/>
              </w:rPr>
            </w:pPr>
            <w:r>
              <w:rPr>
                <w:rFonts w:hint="default" w:ascii="Times New Roman" w:hAnsi="Times New Roman" w:eastAsia="宋体" w:cs="Times New Roman"/>
                <w:bCs/>
                <w:color w:val="auto"/>
                <w:kern w:val="0"/>
                <w:sz w:val="24"/>
                <w:szCs w:val="24"/>
                <w:lang w:bidi="ar"/>
              </w:rPr>
              <w:t>本工程所需砂石料从市场购买，不存在砂石料冲洗废水；施工机械、车辆修配可送至镇区或市区，不产生机械修配和车辆养护含油废水。因此，本项目施工期污废水主要为拌和系统冲洗废水及施工人员产生的生活污水。</w:t>
            </w:r>
          </w:p>
          <w:p>
            <w:pPr>
              <w:widowControl/>
              <w:numPr>
                <w:ilvl w:val="0"/>
                <w:numId w:val="7"/>
              </w:numPr>
              <w:adjustRightInd w:val="0"/>
              <w:snapToGrid w:val="0"/>
              <w:spacing w:line="360" w:lineRule="auto"/>
              <w:ind w:firstLine="480" w:firstLineChars="200"/>
              <w:jc w:val="left"/>
              <w:rPr>
                <w:rFonts w:hint="default" w:ascii="Times New Roman" w:hAnsi="Times New Roman" w:eastAsia="宋体" w:cs="Times New Roman"/>
                <w:bCs/>
                <w:color w:val="auto"/>
                <w:kern w:val="0"/>
                <w:sz w:val="24"/>
                <w:szCs w:val="24"/>
                <w:lang w:bidi="ar"/>
              </w:rPr>
            </w:pPr>
            <w:r>
              <w:rPr>
                <w:rFonts w:hint="default" w:ascii="Times New Roman" w:hAnsi="Times New Roman" w:eastAsia="宋体" w:cs="Times New Roman"/>
                <w:bCs/>
                <w:color w:val="auto"/>
                <w:kern w:val="0"/>
                <w:sz w:val="24"/>
                <w:szCs w:val="24"/>
                <w:lang w:bidi="ar"/>
              </w:rPr>
              <w:t>拌和系统冲洗废水</w:t>
            </w:r>
          </w:p>
          <w:p>
            <w:pPr>
              <w:widowControl/>
              <w:numPr>
                <w:ilvl w:val="0"/>
                <w:numId w:val="0"/>
              </w:numPr>
              <w:adjustRightInd w:val="0"/>
              <w:snapToGrid w:val="0"/>
              <w:spacing w:line="360" w:lineRule="auto"/>
              <w:ind w:firstLine="480" w:firstLineChars="200"/>
              <w:jc w:val="left"/>
              <w:rPr>
                <w:rFonts w:hint="default" w:ascii="Times New Roman" w:hAnsi="Times New Roman" w:eastAsia="宋体" w:cs="Times New Roman"/>
                <w:bCs/>
                <w:color w:val="auto"/>
                <w:kern w:val="0"/>
                <w:sz w:val="24"/>
                <w:szCs w:val="24"/>
                <w:lang w:bidi="ar"/>
              </w:rPr>
            </w:pPr>
            <w:r>
              <w:rPr>
                <w:rFonts w:hint="default" w:ascii="Times New Roman" w:hAnsi="Times New Roman" w:eastAsia="宋体" w:cs="Times New Roman"/>
                <w:bCs/>
                <w:color w:val="auto"/>
                <w:kern w:val="0"/>
                <w:sz w:val="24"/>
                <w:szCs w:val="24"/>
                <w:lang w:bidi="ar"/>
              </w:rPr>
              <w:t>本工程水库在施工区设置1座简易拌和站，站内设1台0.4m</w:t>
            </w:r>
            <w:r>
              <w:rPr>
                <w:rFonts w:hint="default" w:ascii="Times New Roman" w:hAnsi="Times New Roman" w:eastAsia="宋体" w:cs="Times New Roman"/>
                <w:bCs/>
                <w:color w:val="auto"/>
                <w:kern w:val="0"/>
                <w:sz w:val="24"/>
                <w:szCs w:val="24"/>
                <w:vertAlign w:val="superscript"/>
                <w:lang w:bidi="ar"/>
              </w:rPr>
              <w:t>3</w:t>
            </w:r>
            <w:r>
              <w:rPr>
                <w:rFonts w:hint="default" w:ascii="Times New Roman" w:hAnsi="Times New Roman" w:eastAsia="宋体" w:cs="Times New Roman"/>
                <w:bCs/>
                <w:color w:val="auto"/>
                <w:kern w:val="0"/>
                <w:sz w:val="24"/>
                <w:szCs w:val="24"/>
                <w:lang w:bidi="ar"/>
              </w:rPr>
              <w:t>拌和机，根据施工机械使用情况，本工程施工期间每天需清洗</w:t>
            </w:r>
            <w:r>
              <w:rPr>
                <w:rFonts w:hint="eastAsia" w:ascii="Times New Roman" w:hAnsi="Times New Roman" w:eastAsia="宋体" w:cs="Times New Roman"/>
                <w:bCs/>
                <w:color w:val="auto"/>
                <w:kern w:val="0"/>
                <w:sz w:val="24"/>
                <w:szCs w:val="24"/>
                <w:lang w:val="en-US" w:eastAsia="zh-CN" w:bidi="ar"/>
              </w:rPr>
              <w:t>1</w:t>
            </w:r>
            <w:r>
              <w:rPr>
                <w:rFonts w:hint="default" w:ascii="Times New Roman" w:hAnsi="Times New Roman" w:eastAsia="宋体" w:cs="Times New Roman"/>
                <w:bCs/>
                <w:color w:val="auto"/>
                <w:kern w:val="0"/>
                <w:sz w:val="24"/>
                <w:szCs w:val="24"/>
                <w:lang w:bidi="ar"/>
              </w:rPr>
              <w:t>次拌和机</w:t>
            </w:r>
            <w:r>
              <w:rPr>
                <w:rFonts w:hint="eastAsia" w:ascii="Times New Roman" w:hAnsi="Times New Roman" w:eastAsia="宋体" w:cs="Times New Roman"/>
                <w:bCs/>
                <w:color w:val="auto"/>
                <w:kern w:val="0"/>
                <w:sz w:val="24"/>
                <w:szCs w:val="24"/>
                <w:lang w:eastAsia="zh-CN" w:bidi="ar"/>
              </w:rPr>
              <w:t>，</w:t>
            </w:r>
            <w:r>
              <w:rPr>
                <w:rFonts w:hint="eastAsia" w:ascii="Times New Roman" w:hAnsi="Times New Roman" w:eastAsia="宋体" w:cs="Times New Roman"/>
                <w:bCs/>
                <w:color w:val="auto"/>
                <w:kern w:val="0"/>
                <w:sz w:val="24"/>
                <w:szCs w:val="24"/>
                <w:lang w:val="en-US" w:eastAsia="zh-CN" w:bidi="ar"/>
              </w:rPr>
              <w:t>废水产生量约为1.5m</w:t>
            </w:r>
            <w:r>
              <w:rPr>
                <w:rFonts w:hint="eastAsia" w:ascii="Times New Roman" w:hAnsi="Times New Roman" w:eastAsia="宋体" w:cs="Times New Roman"/>
                <w:bCs/>
                <w:color w:val="auto"/>
                <w:kern w:val="0"/>
                <w:sz w:val="24"/>
                <w:szCs w:val="24"/>
                <w:vertAlign w:val="superscript"/>
                <w:lang w:val="en-US" w:eastAsia="zh-CN" w:bidi="ar"/>
              </w:rPr>
              <w:t>3</w:t>
            </w:r>
            <w:r>
              <w:rPr>
                <w:rFonts w:hint="eastAsia" w:ascii="Times New Roman" w:hAnsi="Times New Roman" w:eastAsia="宋体" w:cs="Times New Roman"/>
                <w:bCs/>
                <w:color w:val="auto"/>
                <w:kern w:val="0"/>
                <w:sz w:val="24"/>
                <w:szCs w:val="24"/>
                <w:lang w:val="en-US" w:eastAsia="zh-CN" w:bidi="ar"/>
              </w:rPr>
              <w:t>/d</w:t>
            </w:r>
            <w:r>
              <w:rPr>
                <w:rFonts w:hint="default" w:ascii="Times New Roman" w:hAnsi="Times New Roman" w:eastAsia="宋体" w:cs="Times New Roman"/>
                <w:bCs/>
                <w:color w:val="auto"/>
                <w:kern w:val="0"/>
                <w:sz w:val="24"/>
                <w:szCs w:val="24"/>
                <w:lang w:bidi="ar"/>
              </w:rPr>
              <w:t>。拌和系统冲洗水特性是悬浮物浓度较高，SS含量约500mg/L～5000mg/L。拌和系统冲洗废水采用沉淀池静置处理，上清液回用于拌和系统，沉渣定期清理。</w:t>
            </w:r>
          </w:p>
          <w:p>
            <w:pPr>
              <w:widowControl/>
              <w:numPr>
                <w:ilvl w:val="0"/>
                <w:numId w:val="7"/>
              </w:numPr>
              <w:adjustRightInd w:val="0"/>
              <w:snapToGrid w:val="0"/>
              <w:spacing w:line="360" w:lineRule="auto"/>
              <w:ind w:left="0" w:leftChars="0" w:firstLine="480" w:firstLineChars="200"/>
              <w:jc w:val="left"/>
              <w:rPr>
                <w:rFonts w:hint="default" w:ascii="Times New Roman" w:hAnsi="Times New Roman" w:eastAsia="宋体" w:cs="Times New Roman"/>
                <w:bCs/>
                <w:color w:val="auto"/>
                <w:kern w:val="0"/>
                <w:sz w:val="24"/>
                <w:szCs w:val="24"/>
                <w:lang w:bidi="ar"/>
              </w:rPr>
            </w:pPr>
            <w:r>
              <w:rPr>
                <w:rFonts w:hint="default" w:ascii="Times New Roman" w:hAnsi="Times New Roman" w:eastAsia="宋体" w:cs="Times New Roman"/>
                <w:bCs/>
                <w:color w:val="auto"/>
                <w:kern w:val="0"/>
                <w:sz w:val="24"/>
                <w:szCs w:val="24"/>
                <w:lang w:bidi="ar"/>
              </w:rPr>
              <w:t>生活污水</w:t>
            </w:r>
          </w:p>
          <w:p>
            <w:pPr>
              <w:widowControl/>
              <w:numPr>
                <w:ilvl w:val="0"/>
                <w:numId w:val="0"/>
              </w:numPr>
              <w:adjustRightInd w:val="0"/>
              <w:snapToGrid w:val="0"/>
              <w:spacing w:line="360" w:lineRule="auto"/>
              <w:ind w:firstLine="480" w:firstLineChars="200"/>
              <w:jc w:val="left"/>
              <w:rPr>
                <w:rFonts w:hint="eastAsia" w:ascii="Times New Roman" w:hAnsi="Times New Roman" w:eastAsia="宋体" w:cs="Times New Roman"/>
                <w:bCs/>
                <w:color w:val="auto"/>
                <w:sz w:val="24"/>
                <w:szCs w:val="24"/>
                <w:lang w:eastAsia="zh-CN"/>
              </w:rPr>
            </w:pPr>
            <w:r>
              <w:rPr>
                <w:rFonts w:hint="default" w:ascii="Times New Roman" w:hAnsi="Times New Roman" w:eastAsia="宋体" w:cs="Times New Roman"/>
                <w:bCs/>
                <w:color w:val="auto"/>
                <w:kern w:val="0"/>
                <w:sz w:val="24"/>
                <w:szCs w:val="24"/>
                <w:lang w:bidi="ar"/>
              </w:rPr>
              <w:t>根据施工组织，本工程施工工期为</w:t>
            </w:r>
            <w:r>
              <w:rPr>
                <w:rFonts w:hint="eastAsia" w:ascii="Times New Roman" w:hAnsi="Times New Roman" w:eastAsia="宋体" w:cs="Times New Roman"/>
                <w:bCs/>
                <w:color w:val="auto"/>
                <w:kern w:val="0"/>
                <w:sz w:val="24"/>
                <w:szCs w:val="24"/>
                <w:lang w:val="en-US" w:eastAsia="zh-CN" w:bidi="ar"/>
              </w:rPr>
              <w:t>6</w:t>
            </w:r>
            <w:r>
              <w:rPr>
                <w:rFonts w:hint="default" w:ascii="Times New Roman" w:hAnsi="Times New Roman" w:eastAsia="宋体" w:cs="Times New Roman"/>
                <w:bCs/>
                <w:color w:val="auto"/>
                <w:kern w:val="0"/>
                <w:sz w:val="24"/>
                <w:szCs w:val="24"/>
                <w:lang w:bidi="ar"/>
              </w:rPr>
              <w:t>个月，施工人员为当地住户，不在施工区食宿，水库高峰期施工人数共</w:t>
            </w:r>
            <w:r>
              <w:rPr>
                <w:rFonts w:hint="eastAsia" w:ascii="Times New Roman" w:hAnsi="Times New Roman" w:eastAsia="宋体" w:cs="Times New Roman"/>
                <w:bCs/>
                <w:color w:val="auto"/>
                <w:kern w:val="0"/>
                <w:sz w:val="24"/>
                <w:szCs w:val="24"/>
                <w:lang w:val="en-US" w:eastAsia="zh-CN" w:bidi="ar"/>
              </w:rPr>
              <w:t>50</w:t>
            </w:r>
            <w:r>
              <w:rPr>
                <w:rFonts w:hint="default" w:ascii="Times New Roman" w:hAnsi="Times New Roman" w:eastAsia="宋体" w:cs="Times New Roman"/>
                <w:bCs/>
                <w:color w:val="auto"/>
                <w:kern w:val="0"/>
                <w:sz w:val="24"/>
                <w:szCs w:val="24"/>
                <w:lang w:bidi="ar"/>
              </w:rPr>
              <w:t>人，施工期间，工地生活用水按人均用水标准0.0</w:t>
            </w:r>
            <w:r>
              <w:rPr>
                <w:rFonts w:hint="eastAsia" w:ascii="Times New Roman" w:hAnsi="Times New Roman" w:eastAsia="宋体" w:cs="Times New Roman"/>
                <w:bCs/>
                <w:color w:val="auto"/>
                <w:kern w:val="0"/>
                <w:sz w:val="24"/>
                <w:szCs w:val="24"/>
                <w:lang w:val="en-US" w:eastAsia="zh-CN" w:bidi="ar"/>
              </w:rPr>
              <w:t>8</w:t>
            </w:r>
            <w:r>
              <w:rPr>
                <w:rFonts w:hint="default" w:ascii="Times New Roman" w:hAnsi="Times New Roman" w:eastAsia="宋体" w:cs="Times New Roman"/>
                <w:bCs/>
                <w:color w:val="auto"/>
                <w:kern w:val="0"/>
                <w:sz w:val="24"/>
                <w:szCs w:val="24"/>
                <w:lang w:bidi="ar"/>
              </w:rPr>
              <w:t>m</w:t>
            </w:r>
            <w:r>
              <w:rPr>
                <w:rFonts w:hint="default" w:ascii="Times New Roman" w:hAnsi="Times New Roman" w:eastAsia="宋体" w:cs="Times New Roman"/>
                <w:bCs/>
                <w:color w:val="auto"/>
                <w:kern w:val="0"/>
                <w:sz w:val="24"/>
                <w:szCs w:val="24"/>
                <w:vertAlign w:val="superscript"/>
                <w:lang w:bidi="ar"/>
              </w:rPr>
              <w:t>3</w:t>
            </w:r>
            <w:r>
              <w:rPr>
                <w:rFonts w:hint="default" w:ascii="Times New Roman" w:hAnsi="Times New Roman" w:eastAsia="宋体" w:cs="Times New Roman"/>
                <w:bCs/>
                <w:color w:val="auto"/>
                <w:kern w:val="0"/>
                <w:sz w:val="24"/>
                <w:szCs w:val="24"/>
                <w:lang w:bidi="ar"/>
              </w:rPr>
              <w:t>/人·d计，用水量为</w:t>
            </w:r>
            <w:r>
              <w:rPr>
                <w:rFonts w:hint="eastAsia" w:ascii="Times New Roman" w:hAnsi="Times New Roman" w:eastAsia="宋体" w:cs="Times New Roman"/>
                <w:bCs/>
                <w:color w:val="auto"/>
                <w:kern w:val="0"/>
                <w:sz w:val="24"/>
                <w:szCs w:val="24"/>
                <w:lang w:val="en-US" w:eastAsia="zh-CN" w:bidi="ar"/>
              </w:rPr>
              <w:t>4</w:t>
            </w:r>
            <w:r>
              <w:rPr>
                <w:rFonts w:hint="default" w:ascii="Times New Roman" w:hAnsi="Times New Roman" w:eastAsia="宋体" w:cs="Times New Roman"/>
                <w:bCs/>
                <w:color w:val="auto"/>
                <w:kern w:val="0"/>
                <w:sz w:val="24"/>
                <w:szCs w:val="24"/>
                <w:lang w:bidi="ar"/>
              </w:rPr>
              <w:t>m</w:t>
            </w:r>
            <w:r>
              <w:rPr>
                <w:rFonts w:hint="default" w:ascii="Times New Roman" w:hAnsi="Times New Roman" w:eastAsia="宋体" w:cs="Times New Roman"/>
                <w:bCs/>
                <w:color w:val="auto"/>
                <w:kern w:val="0"/>
                <w:sz w:val="24"/>
                <w:szCs w:val="24"/>
                <w:vertAlign w:val="superscript"/>
                <w:lang w:bidi="ar"/>
              </w:rPr>
              <w:t>3</w:t>
            </w:r>
            <w:r>
              <w:rPr>
                <w:rFonts w:hint="default" w:ascii="Times New Roman" w:hAnsi="Times New Roman" w:eastAsia="宋体" w:cs="Times New Roman"/>
                <w:bCs/>
                <w:color w:val="auto"/>
                <w:kern w:val="0"/>
                <w:sz w:val="24"/>
                <w:szCs w:val="24"/>
                <w:lang w:bidi="ar"/>
              </w:rPr>
              <w:t>/d，排水量按用水量的80%计，则排放量约为</w:t>
            </w:r>
            <w:r>
              <w:rPr>
                <w:rFonts w:hint="eastAsia" w:ascii="Times New Roman" w:hAnsi="Times New Roman" w:eastAsia="宋体" w:cs="Times New Roman"/>
                <w:bCs/>
                <w:color w:val="auto"/>
                <w:kern w:val="0"/>
                <w:sz w:val="24"/>
                <w:szCs w:val="24"/>
                <w:lang w:val="en-US" w:eastAsia="zh-CN" w:bidi="ar"/>
              </w:rPr>
              <w:t>3.2</w:t>
            </w:r>
            <w:r>
              <w:rPr>
                <w:rFonts w:hint="default" w:ascii="Times New Roman" w:hAnsi="Times New Roman" w:eastAsia="宋体" w:cs="Times New Roman"/>
                <w:bCs/>
                <w:color w:val="auto"/>
                <w:kern w:val="0"/>
                <w:sz w:val="24"/>
                <w:szCs w:val="24"/>
                <w:lang w:bidi="ar"/>
              </w:rPr>
              <w:t>m</w:t>
            </w:r>
            <w:r>
              <w:rPr>
                <w:rFonts w:hint="default" w:ascii="Times New Roman" w:hAnsi="Times New Roman" w:eastAsia="宋体" w:cs="Times New Roman"/>
                <w:bCs/>
                <w:color w:val="auto"/>
                <w:kern w:val="0"/>
                <w:sz w:val="24"/>
                <w:szCs w:val="24"/>
                <w:vertAlign w:val="superscript"/>
                <w:lang w:bidi="ar"/>
              </w:rPr>
              <w:t>3</w:t>
            </w:r>
            <w:r>
              <w:rPr>
                <w:rFonts w:hint="default" w:ascii="Times New Roman" w:hAnsi="Times New Roman" w:eastAsia="宋体" w:cs="Times New Roman"/>
                <w:bCs/>
                <w:color w:val="auto"/>
                <w:kern w:val="0"/>
                <w:sz w:val="24"/>
                <w:szCs w:val="24"/>
                <w:lang w:bidi="ar"/>
              </w:rPr>
              <w:t>/d，施工期共排放废水576m</w:t>
            </w:r>
            <w:r>
              <w:rPr>
                <w:rFonts w:hint="default" w:ascii="Times New Roman" w:hAnsi="Times New Roman" w:eastAsia="宋体" w:cs="Times New Roman"/>
                <w:bCs/>
                <w:color w:val="auto"/>
                <w:kern w:val="0"/>
                <w:sz w:val="24"/>
                <w:szCs w:val="24"/>
                <w:vertAlign w:val="superscript"/>
                <w:lang w:bidi="ar"/>
              </w:rPr>
              <w:t>3</w:t>
            </w:r>
            <w:r>
              <w:rPr>
                <w:rFonts w:hint="default" w:ascii="Times New Roman" w:hAnsi="Times New Roman" w:eastAsia="宋体" w:cs="Times New Roman"/>
                <w:bCs/>
                <w:color w:val="auto"/>
                <w:kern w:val="0"/>
                <w:sz w:val="24"/>
                <w:szCs w:val="24"/>
                <w:lang w:bidi="ar"/>
              </w:rPr>
              <w:t>。施工期产生的生活污水依托库区管理</w:t>
            </w:r>
            <w:r>
              <w:rPr>
                <w:rFonts w:hint="eastAsia" w:ascii="Times New Roman" w:hAnsi="Times New Roman" w:cs="Times New Roman"/>
                <w:color w:val="auto"/>
                <w:sz w:val="24"/>
                <w:szCs w:val="24"/>
                <w:lang w:val="en-US" w:eastAsia="zh-CN"/>
              </w:rPr>
              <w:t>处</w:t>
            </w:r>
            <w:r>
              <w:rPr>
                <w:rFonts w:hint="default" w:ascii="Times New Roman" w:hAnsi="Times New Roman" w:eastAsia="宋体" w:cs="Times New Roman"/>
                <w:bCs/>
                <w:color w:val="auto"/>
                <w:kern w:val="0"/>
                <w:sz w:val="24"/>
                <w:szCs w:val="24"/>
                <w:lang w:bidi="ar"/>
              </w:rPr>
              <w:t>内已有化粪池收集处理后农用，不外排</w:t>
            </w:r>
            <w:r>
              <w:rPr>
                <w:rFonts w:hint="eastAsia" w:ascii="Times New Roman" w:hAnsi="Times New Roman" w:eastAsia="宋体" w:cs="Times New Roman"/>
                <w:bCs/>
                <w:color w:val="auto"/>
                <w:kern w:val="0"/>
                <w:sz w:val="24"/>
                <w:szCs w:val="24"/>
                <w:lang w:eastAsia="zh-CN" w:bidi="ar"/>
              </w:rPr>
              <w:t>。</w:t>
            </w:r>
          </w:p>
          <w:p>
            <w:pPr>
              <w:widowControl/>
              <w:numPr>
                <w:ilvl w:val="0"/>
                <w:numId w:val="0"/>
              </w:numPr>
              <w:adjustRightInd w:val="0"/>
              <w:snapToGrid w:val="0"/>
              <w:spacing w:line="360" w:lineRule="auto"/>
              <w:ind w:leftChars="200"/>
              <w:jc w:val="left"/>
              <w:rPr>
                <w:rFonts w:hint="default" w:ascii="Times New Roman" w:hAnsi="Times New Roman" w:eastAsia="宋体" w:cs="Times New Roman"/>
                <w:b/>
                <w:bCs w:val="0"/>
                <w:color w:val="auto"/>
                <w:kern w:val="0"/>
                <w:sz w:val="24"/>
                <w:lang w:val="en-US" w:eastAsia="zh-CN" w:bidi="ar"/>
              </w:rPr>
            </w:pPr>
            <w:r>
              <w:rPr>
                <w:rFonts w:hint="eastAsia" w:ascii="Times New Roman" w:hAnsi="Times New Roman" w:eastAsia="宋体" w:cs="Times New Roman"/>
                <w:b/>
                <w:bCs w:val="0"/>
                <w:color w:val="auto"/>
                <w:kern w:val="0"/>
                <w:sz w:val="24"/>
                <w:lang w:val="en-US" w:eastAsia="zh-CN" w:bidi="ar"/>
              </w:rPr>
              <w:t>4、</w:t>
            </w:r>
            <w:r>
              <w:rPr>
                <w:rFonts w:hint="default" w:ascii="Times New Roman" w:hAnsi="Times New Roman" w:eastAsia="宋体" w:cs="Times New Roman"/>
                <w:b/>
                <w:bCs w:val="0"/>
                <w:color w:val="auto"/>
                <w:kern w:val="0"/>
                <w:sz w:val="24"/>
                <w:lang w:val="en-US" w:eastAsia="zh-CN" w:bidi="ar"/>
              </w:rPr>
              <w:t>噪声</w:t>
            </w:r>
          </w:p>
          <w:p>
            <w:pPr>
              <w:widowControl/>
              <w:numPr>
                <w:ilvl w:val="0"/>
                <w:numId w:val="0"/>
              </w:numPr>
              <w:adjustRightInd w:val="0"/>
              <w:snapToGrid w:val="0"/>
              <w:spacing w:line="360" w:lineRule="auto"/>
              <w:ind w:leftChars="200"/>
              <w:jc w:val="left"/>
              <w:rPr>
                <w:rFonts w:hint="default" w:ascii="Times New Roman" w:hAnsi="Times New Roman" w:eastAsia="宋体" w:cs="Times New Roman"/>
                <w:b w:val="0"/>
                <w:bCs/>
                <w:color w:val="auto"/>
                <w:kern w:val="0"/>
                <w:sz w:val="24"/>
                <w:lang w:val="en-US" w:eastAsia="zh-CN" w:bidi="ar"/>
              </w:rPr>
            </w:pPr>
            <w:r>
              <w:rPr>
                <w:rFonts w:hint="default" w:ascii="Times New Roman" w:hAnsi="Times New Roman" w:eastAsia="宋体" w:cs="Times New Roman"/>
                <w:b w:val="0"/>
                <w:bCs/>
                <w:color w:val="auto"/>
                <w:kern w:val="0"/>
                <w:sz w:val="24"/>
                <w:lang w:val="en-US" w:eastAsia="zh-CN" w:bidi="ar"/>
              </w:rPr>
              <w:t>（1）噪声源强</w:t>
            </w:r>
          </w:p>
          <w:p>
            <w:pPr>
              <w:widowControl/>
              <w:adjustRightInd w:val="0"/>
              <w:snapToGrid w:val="0"/>
              <w:spacing w:line="360" w:lineRule="auto"/>
              <w:ind w:firstLine="480" w:firstLineChars="200"/>
              <w:jc w:val="left"/>
              <w:rPr>
                <w:rFonts w:hint="eastAsia" w:ascii="Times New Roman" w:hAnsi="Times New Roman" w:eastAsia="宋体" w:cs="Times New Roman"/>
                <w:b w:val="0"/>
                <w:bCs/>
                <w:color w:val="auto"/>
                <w:kern w:val="0"/>
                <w:sz w:val="24"/>
                <w:lang w:val="en-US" w:eastAsia="zh-CN" w:bidi="ar"/>
              </w:rPr>
            </w:pPr>
            <w:r>
              <w:rPr>
                <w:rFonts w:hint="default" w:ascii="Times New Roman" w:hAnsi="Times New Roman" w:eastAsia="宋体" w:cs="Times New Roman"/>
                <w:b w:val="0"/>
                <w:bCs/>
                <w:color w:val="auto"/>
                <w:kern w:val="0"/>
                <w:sz w:val="24"/>
                <w:lang w:val="en-US" w:eastAsia="zh-CN" w:bidi="ar"/>
              </w:rPr>
              <w:t>本项目建设期间施工活动产生的噪声主要为施工机械设备的噪声和运输车辆的流动噪声，噪声值一般在</w:t>
            </w:r>
            <w:r>
              <w:rPr>
                <w:rFonts w:hint="eastAsia" w:ascii="Times New Roman" w:hAnsi="Times New Roman" w:eastAsia="宋体" w:cs="Times New Roman"/>
                <w:b w:val="0"/>
                <w:bCs/>
                <w:color w:val="auto"/>
                <w:kern w:val="0"/>
                <w:sz w:val="24"/>
                <w:lang w:val="en-US" w:eastAsia="zh-CN" w:bidi="ar"/>
              </w:rPr>
              <w:t>80</w:t>
            </w:r>
            <w:r>
              <w:rPr>
                <w:rFonts w:hint="default" w:ascii="Times New Roman" w:hAnsi="Times New Roman" w:eastAsia="宋体" w:cs="Times New Roman"/>
                <w:b w:val="0"/>
                <w:bCs/>
                <w:color w:val="auto"/>
                <w:kern w:val="0"/>
                <w:sz w:val="24"/>
                <w:lang w:val="en-US" w:eastAsia="zh-CN" w:bidi="ar"/>
              </w:rPr>
              <w:t>dB(A)~</w:t>
            </w:r>
            <w:r>
              <w:rPr>
                <w:rFonts w:hint="eastAsia" w:ascii="Times New Roman" w:hAnsi="Times New Roman" w:eastAsia="宋体" w:cs="Times New Roman"/>
                <w:b w:val="0"/>
                <w:bCs/>
                <w:color w:val="auto"/>
                <w:kern w:val="0"/>
                <w:sz w:val="24"/>
                <w:lang w:val="en-US" w:eastAsia="zh-CN" w:bidi="ar"/>
              </w:rPr>
              <w:t>95</w:t>
            </w:r>
            <w:r>
              <w:rPr>
                <w:rFonts w:hint="default" w:ascii="Times New Roman" w:hAnsi="Times New Roman" w:eastAsia="宋体" w:cs="Times New Roman"/>
                <w:b w:val="0"/>
                <w:bCs/>
                <w:color w:val="auto"/>
                <w:kern w:val="0"/>
                <w:sz w:val="24"/>
                <w:lang w:val="en-US" w:eastAsia="zh-CN" w:bidi="ar"/>
              </w:rPr>
              <w:t>dB(A)之间，施工固定点噪声主要来自基坑开挖、混凝土拌和等</w:t>
            </w:r>
            <w:r>
              <w:rPr>
                <w:rFonts w:hint="eastAsia" w:ascii="Times New Roman" w:hAnsi="Times New Roman" w:eastAsia="宋体" w:cs="Times New Roman"/>
                <w:b w:val="0"/>
                <w:bCs/>
                <w:color w:val="auto"/>
                <w:kern w:val="0"/>
                <w:sz w:val="24"/>
                <w:lang w:val="en-US" w:eastAsia="zh-CN" w:bidi="ar"/>
              </w:rPr>
              <w:t>。</w:t>
            </w:r>
          </w:p>
          <w:p>
            <w:pPr>
              <w:widowControl/>
              <w:adjustRightInd w:val="0"/>
              <w:snapToGrid w:val="0"/>
              <w:spacing w:line="360" w:lineRule="auto"/>
              <w:ind w:firstLine="422" w:firstLineChars="200"/>
              <w:jc w:val="center"/>
              <w:rPr>
                <w:rFonts w:hint="default" w:ascii="Times New Roman" w:hAnsi="Times New Roman" w:eastAsia="宋体" w:cs="Times New Roman"/>
                <w:b w:val="0"/>
                <w:bCs/>
                <w:color w:val="auto"/>
                <w:kern w:val="0"/>
                <w:sz w:val="24"/>
                <w:lang w:val="en-US" w:eastAsia="zh-CN" w:bidi="ar"/>
              </w:rPr>
            </w:pPr>
            <w:r>
              <w:rPr>
                <w:rFonts w:hint="eastAsia" w:ascii="Times New Roman" w:hAnsi="Times New Roman" w:eastAsia="宋体" w:cs="Times New Roman"/>
                <w:b/>
                <w:bCs w:val="0"/>
                <w:color w:val="auto"/>
                <w:kern w:val="0"/>
                <w:sz w:val="21"/>
                <w:szCs w:val="21"/>
                <w:lang w:val="en-US" w:eastAsia="zh-CN" w:bidi="ar"/>
              </w:rPr>
              <w:t>表4-1  建设期间主要噪声源的声级值</w:t>
            </w:r>
          </w:p>
          <w:tbl>
            <w:tblPr>
              <w:tblStyle w:val="39"/>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
              <w:gridCol w:w="2164"/>
              <w:gridCol w:w="1209"/>
              <w:gridCol w:w="907"/>
              <w:gridCol w:w="2841"/>
              <w:gridCol w:w="9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blHeader/>
                <w:jc w:val="center"/>
              </w:trPr>
              <w:tc>
                <w:tcPr>
                  <w:tcW w:w="479" w:type="pct"/>
                  <w:noWrap w:val="0"/>
                  <w:vAlign w:val="center"/>
                </w:tcPr>
                <w:p>
                  <w:pPr>
                    <w:pStyle w:val="90"/>
                    <w:tabs>
                      <w:tab w:val="left" w:pos="0"/>
                    </w:tabs>
                    <w:bidi w:val="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1232" w:type="pct"/>
                  <w:noWrap w:val="0"/>
                  <w:vAlign w:val="center"/>
                </w:tcPr>
                <w:p>
                  <w:pPr>
                    <w:pStyle w:val="90"/>
                    <w:tabs>
                      <w:tab w:val="left" w:pos="0"/>
                    </w:tabs>
                    <w:bidi w:val="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机械名称</w:t>
                  </w:r>
                </w:p>
              </w:tc>
              <w:tc>
                <w:tcPr>
                  <w:tcW w:w="697" w:type="pct"/>
                  <w:noWrap w:val="0"/>
                  <w:vAlign w:val="center"/>
                </w:tcPr>
                <w:p>
                  <w:pPr>
                    <w:pStyle w:val="90"/>
                    <w:tabs>
                      <w:tab w:val="left" w:pos="0"/>
                    </w:tabs>
                    <w:bidi w:val="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单位</w:t>
                  </w:r>
                </w:p>
              </w:tc>
              <w:tc>
                <w:tcPr>
                  <w:tcW w:w="491" w:type="pct"/>
                  <w:noWrap w:val="0"/>
                  <w:vAlign w:val="center"/>
                </w:tcPr>
                <w:p>
                  <w:pPr>
                    <w:pStyle w:val="90"/>
                    <w:tabs>
                      <w:tab w:val="left" w:pos="0"/>
                    </w:tabs>
                    <w:bidi w:val="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数量</w:t>
                  </w:r>
                </w:p>
              </w:tc>
              <w:tc>
                <w:tcPr>
                  <w:tcW w:w="1610" w:type="pct"/>
                  <w:noWrap w:val="0"/>
                  <w:vAlign w:val="center"/>
                </w:tcPr>
                <w:p>
                  <w:pPr>
                    <w:pStyle w:val="90"/>
                    <w:tabs>
                      <w:tab w:val="left" w:pos="0"/>
                    </w:tabs>
                    <w:bidi w:val="0"/>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测点距施工地点距离(m)</w:t>
                  </w:r>
                </w:p>
              </w:tc>
              <w:tc>
                <w:tcPr>
                  <w:tcW w:w="487" w:type="pct"/>
                  <w:noWrap w:val="0"/>
                  <w:vAlign w:val="center"/>
                </w:tcPr>
                <w:p>
                  <w:pPr>
                    <w:pStyle w:val="90"/>
                    <w:tabs>
                      <w:tab w:val="left" w:pos="0"/>
                    </w:tabs>
                    <w:bidi w:val="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9" w:type="pct"/>
                  <w:noWrap w:val="0"/>
                  <w:vAlign w:val="center"/>
                </w:tcPr>
                <w:p>
                  <w:pPr>
                    <w:pStyle w:val="90"/>
                    <w:tabs>
                      <w:tab w:val="left" w:pos="0"/>
                    </w:tabs>
                    <w:bidi w:val="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23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蛙式打夯机</w:t>
                  </w:r>
                </w:p>
              </w:tc>
              <w:tc>
                <w:tcPr>
                  <w:tcW w:w="697"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491"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610"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w:t>
                  </w:r>
                </w:p>
              </w:tc>
              <w:tc>
                <w:tcPr>
                  <w:tcW w:w="487" w:type="pct"/>
                  <w:vMerge w:val="restart"/>
                  <w:noWrap w:val="0"/>
                  <w:vAlign w:val="center"/>
                </w:tcPr>
                <w:p>
                  <w:pPr>
                    <w:pStyle w:val="90"/>
                    <w:tabs>
                      <w:tab w:val="left" w:pos="0"/>
                    </w:tabs>
                    <w:bidi w:val="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9" w:type="pct"/>
                  <w:noWrap w:val="0"/>
                  <w:vAlign w:val="center"/>
                </w:tcPr>
                <w:p>
                  <w:pPr>
                    <w:pStyle w:val="90"/>
                    <w:tabs>
                      <w:tab w:val="left" w:pos="0"/>
                    </w:tabs>
                    <w:bidi w:val="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232"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手持式风钻</w:t>
                  </w:r>
                </w:p>
              </w:tc>
              <w:tc>
                <w:tcPr>
                  <w:tcW w:w="697"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491"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610"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w:t>
                  </w:r>
                </w:p>
              </w:tc>
              <w:tc>
                <w:tcPr>
                  <w:tcW w:w="487" w:type="pct"/>
                  <w:vMerge w:val="continue"/>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9" w:type="pct"/>
                  <w:noWrap w:val="0"/>
                  <w:vAlign w:val="center"/>
                </w:tcPr>
                <w:p>
                  <w:pPr>
                    <w:pStyle w:val="90"/>
                    <w:tabs>
                      <w:tab w:val="left" w:pos="0"/>
                    </w:tabs>
                    <w:bidi w:val="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123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小型振动碾</w:t>
                  </w:r>
                </w:p>
              </w:tc>
              <w:tc>
                <w:tcPr>
                  <w:tcW w:w="697"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491"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610"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w:t>
                  </w:r>
                </w:p>
              </w:tc>
              <w:tc>
                <w:tcPr>
                  <w:tcW w:w="487" w:type="pct"/>
                  <w:vMerge w:val="continue"/>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9" w:type="pct"/>
                  <w:noWrap w:val="0"/>
                  <w:vAlign w:val="center"/>
                </w:tcPr>
                <w:p>
                  <w:pPr>
                    <w:pStyle w:val="90"/>
                    <w:tabs>
                      <w:tab w:val="left" w:pos="0"/>
                    </w:tabs>
                    <w:bidi w:val="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123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混凝土拌和机</w:t>
                  </w:r>
                </w:p>
              </w:tc>
              <w:tc>
                <w:tcPr>
                  <w:tcW w:w="697"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491"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610"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w:t>
                  </w:r>
                </w:p>
              </w:tc>
              <w:tc>
                <w:tcPr>
                  <w:tcW w:w="487" w:type="pct"/>
                  <w:vMerge w:val="continue"/>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9" w:type="pct"/>
                  <w:noWrap w:val="0"/>
                  <w:vAlign w:val="center"/>
                </w:tcPr>
                <w:p>
                  <w:pPr>
                    <w:pStyle w:val="90"/>
                    <w:tabs>
                      <w:tab w:val="left" w:pos="0"/>
                    </w:tabs>
                    <w:bidi w:val="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123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插入式振动器</w:t>
                  </w:r>
                </w:p>
              </w:tc>
              <w:tc>
                <w:tcPr>
                  <w:tcW w:w="697"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491"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610"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95</w:t>
                  </w:r>
                </w:p>
              </w:tc>
              <w:tc>
                <w:tcPr>
                  <w:tcW w:w="487" w:type="pct"/>
                  <w:vMerge w:val="continue"/>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9" w:type="pct"/>
                  <w:noWrap w:val="0"/>
                  <w:vAlign w:val="center"/>
                </w:tcPr>
                <w:p>
                  <w:pPr>
                    <w:pStyle w:val="90"/>
                    <w:tabs>
                      <w:tab w:val="left" w:pos="0"/>
                    </w:tabs>
                    <w:bidi w:val="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123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机动翻斗车</w:t>
                  </w:r>
                </w:p>
              </w:tc>
              <w:tc>
                <w:tcPr>
                  <w:tcW w:w="697"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辆</w:t>
                  </w:r>
                </w:p>
              </w:tc>
              <w:tc>
                <w:tcPr>
                  <w:tcW w:w="491"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610"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80</w:t>
                  </w:r>
                </w:p>
              </w:tc>
              <w:tc>
                <w:tcPr>
                  <w:tcW w:w="487" w:type="pct"/>
                  <w:vMerge w:val="continue"/>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9" w:type="pct"/>
                  <w:noWrap w:val="0"/>
                  <w:vAlign w:val="center"/>
                </w:tcPr>
                <w:p>
                  <w:pPr>
                    <w:pStyle w:val="90"/>
                    <w:tabs>
                      <w:tab w:val="left" w:pos="0"/>
                    </w:tabs>
                    <w:bidi w:val="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p>
              </w:tc>
              <w:tc>
                <w:tcPr>
                  <w:tcW w:w="1232"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汽车起重机</w:t>
                  </w:r>
                </w:p>
              </w:tc>
              <w:tc>
                <w:tcPr>
                  <w:tcW w:w="697"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辆</w:t>
                  </w:r>
                </w:p>
              </w:tc>
              <w:tc>
                <w:tcPr>
                  <w:tcW w:w="491"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610"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w:t>
                  </w:r>
                </w:p>
              </w:tc>
              <w:tc>
                <w:tcPr>
                  <w:tcW w:w="487" w:type="pct"/>
                  <w:vMerge w:val="continue"/>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9" w:type="pct"/>
                  <w:noWrap w:val="0"/>
                  <w:vAlign w:val="center"/>
                </w:tcPr>
                <w:p>
                  <w:pPr>
                    <w:pStyle w:val="90"/>
                    <w:tabs>
                      <w:tab w:val="left" w:pos="0"/>
                    </w:tabs>
                    <w:bidi w:val="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1232"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水泵</w:t>
                  </w:r>
                </w:p>
              </w:tc>
              <w:tc>
                <w:tcPr>
                  <w:tcW w:w="697"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台</w:t>
                  </w:r>
                </w:p>
              </w:tc>
              <w:tc>
                <w:tcPr>
                  <w:tcW w:w="491"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3</w:t>
                  </w:r>
                </w:p>
              </w:tc>
              <w:tc>
                <w:tcPr>
                  <w:tcW w:w="1610"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90</w:t>
                  </w:r>
                </w:p>
              </w:tc>
              <w:tc>
                <w:tcPr>
                  <w:tcW w:w="487" w:type="pct"/>
                  <w:vMerge w:val="continue"/>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9" w:type="pct"/>
                  <w:noWrap w:val="0"/>
                  <w:vAlign w:val="center"/>
                </w:tcPr>
                <w:p>
                  <w:pPr>
                    <w:pStyle w:val="90"/>
                    <w:tabs>
                      <w:tab w:val="left" w:pos="0"/>
                    </w:tabs>
                    <w:bidi w:val="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c>
                <w:tcPr>
                  <w:tcW w:w="1232"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柴油发电机组</w:t>
                  </w:r>
                </w:p>
              </w:tc>
              <w:tc>
                <w:tcPr>
                  <w:tcW w:w="697"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台</w:t>
                  </w:r>
                </w:p>
              </w:tc>
              <w:tc>
                <w:tcPr>
                  <w:tcW w:w="491"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w:t>
                  </w:r>
                </w:p>
              </w:tc>
              <w:tc>
                <w:tcPr>
                  <w:tcW w:w="1610"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80</w:t>
                  </w:r>
                </w:p>
              </w:tc>
              <w:tc>
                <w:tcPr>
                  <w:tcW w:w="487" w:type="pct"/>
                  <w:vMerge w:val="continue"/>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9"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232"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钢筋加工机械</w:t>
                  </w:r>
                </w:p>
              </w:tc>
              <w:tc>
                <w:tcPr>
                  <w:tcW w:w="697"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套</w:t>
                  </w:r>
                </w:p>
              </w:tc>
              <w:tc>
                <w:tcPr>
                  <w:tcW w:w="491"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1</w:t>
                  </w:r>
                </w:p>
              </w:tc>
              <w:tc>
                <w:tcPr>
                  <w:tcW w:w="1610"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85</w:t>
                  </w:r>
                </w:p>
              </w:tc>
              <w:tc>
                <w:tcPr>
                  <w:tcW w:w="487" w:type="pct"/>
                  <w:vMerge w:val="continue"/>
                  <w:noWrap w:val="0"/>
                  <w:vAlign w:val="center"/>
                </w:tcPr>
                <w:p>
                  <w:pPr>
                    <w:pStyle w:val="90"/>
                    <w:tabs>
                      <w:tab w:val="left" w:pos="0"/>
                    </w:tabs>
                    <w:bidi w:val="0"/>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9"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w:t>
                  </w:r>
                </w:p>
              </w:tc>
              <w:tc>
                <w:tcPr>
                  <w:tcW w:w="1232"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载重汽车</w:t>
                  </w:r>
                </w:p>
              </w:tc>
              <w:tc>
                <w:tcPr>
                  <w:tcW w:w="697"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辆</w:t>
                  </w:r>
                </w:p>
              </w:tc>
              <w:tc>
                <w:tcPr>
                  <w:tcW w:w="491"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2</w:t>
                  </w:r>
                </w:p>
              </w:tc>
              <w:tc>
                <w:tcPr>
                  <w:tcW w:w="1610"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80</w:t>
                  </w:r>
                </w:p>
              </w:tc>
              <w:tc>
                <w:tcPr>
                  <w:tcW w:w="487" w:type="pct"/>
                  <w:noWrap w:val="0"/>
                  <w:vAlign w:val="center"/>
                </w:tcPr>
                <w:p>
                  <w:pPr>
                    <w:pStyle w:val="90"/>
                    <w:tabs>
                      <w:tab w:val="left" w:pos="0"/>
                    </w:tabs>
                    <w:bidi w:val="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线源</w:t>
                  </w:r>
                </w:p>
              </w:tc>
            </w:tr>
          </w:tbl>
          <w:p>
            <w:pPr>
              <w:widowControl/>
              <w:numPr>
                <w:ilvl w:val="0"/>
                <w:numId w:val="0"/>
              </w:numPr>
              <w:adjustRightInd w:val="0"/>
              <w:snapToGrid w:val="0"/>
              <w:spacing w:line="360" w:lineRule="auto"/>
              <w:ind w:leftChars="200"/>
              <w:jc w:val="left"/>
              <w:rPr>
                <w:rFonts w:hint="default" w:ascii="Times New Roman" w:hAnsi="Times New Roman" w:eastAsia="宋体" w:cs="Times New Roman"/>
                <w:b/>
                <w:bCs w:val="0"/>
                <w:color w:val="auto"/>
                <w:kern w:val="0"/>
                <w:sz w:val="24"/>
                <w:lang w:val="en-US" w:eastAsia="zh-CN" w:bidi="ar"/>
              </w:rPr>
            </w:pPr>
            <w:r>
              <w:rPr>
                <w:rFonts w:hint="eastAsia" w:ascii="Times New Roman" w:hAnsi="Times New Roman" w:eastAsia="宋体" w:cs="Times New Roman"/>
                <w:b w:val="0"/>
                <w:bCs/>
                <w:color w:val="auto"/>
                <w:kern w:val="0"/>
                <w:sz w:val="24"/>
                <w:lang w:val="en-US" w:eastAsia="zh-CN" w:bidi="ar"/>
              </w:rPr>
              <w:t>（2）</w:t>
            </w:r>
            <w:r>
              <w:rPr>
                <w:rFonts w:hint="default" w:ascii="Times New Roman" w:hAnsi="Times New Roman" w:eastAsia="宋体" w:cs="Times New Roman"/>
                <w:b w:val="0"/>
                <w:bCs/>
                <w:color w:val="auto"/>
                <w:kern w:val="0"/>
                <w:sz w:val="24"/>
                <w:lang w:val="en-US" w:eastAsia="zh-CN" w:bidi="ar"/>
              </w:rPr>
              <w:t>噪声对环境的影响预测</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firstLine="480" w:firstLineChars="200"/>
              <w:jc w:val="left"/>
              <w:textAlignment w:val="auto"/>
              <w:rPr>
                <w:rFonts w:hint="default" w:ascii="Times New Roman" w:hAnsi="Times New Roman" w:eastAsia="宋体" w:cs="Times New Roman"/>
                <w:b w:val="0"/>
                <w:bCs/>
                <w:color w:val="auto"/>
                <w:kern w:val="0"/>
                <w:sz w:val="24"/>
                <w:lang w:val="en-US" w:eastAsia="zh-CN" w:bidi="ar"/>
              </w:rPr>
            </w:pPr>
            <w:r>
              <w:rPr>
                <w:rFonts w:hint="default" w:ascii="Times New Roman" w:hAnsi="Times New Roman" w:eastAsia="宋体" w:cs="Times New Roman"/>
                <w:b w:val="0"/>
                <w:bCs/>
                <w:color w:val="auto"/>
                <w:kern w:val="0"/>
                <w:sz w:val="24"/>
                <w:lang w:val="en-US" w:eastAsia="zh-CN" w:bidi="ar"/>
              </w:rPr>
              <w:t>噪声预测值（Leq）计算公式：</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jc w:val="center"/>
              <w:textAlignment w:val="auto"/>
              <w:rPr>
                <w:rFonts w:hint="default" w:ascii="Times New Roman" w:hAnsi="Times New Roman" w:eastAsia="宋体" w:cs="Times New Roman"/>
                <w:b w:val="0"/>
                <w:bCs/>
                <w:color w:val="auto"/>
                <w:kern w:val="0"/>
                <w:sz w:val="24"/>
                <w:lang w:val="en-US" w:eastAsia="zh-CN" w:bidi="ar"/>
              </w:rPr>
            </w:pPr>
            <w:r>
              <w:rPr>
                <w:rFonts w:hint="eastAsia" w:ascii="Times New Roman" w:hAnsi="Times New Roman" w:eastAsia="宋体" w:cs="Times New Roman"/>
                <w:color w:val="auto"/>
                <w:position w:val="-14"/>
                <w:sz w:val="24"/>
                <w:szCs w:val="24"/>
                <w:lang w:eastAsia="zh-CN"/>
              </w:rPr>
              <w:object>
                <v:shape id="_x0000_i1042" o:spt="75" alt="" type="#_x0000_t75" style="height:22.25pt;width:137pt;" o:ole="t" filled="f" o:preferrelative="t" stroked="f" coordsize="21600,21600">
                  <v:path/>
                  <v:fill on="f" focussize="0,0"/>
                  <v:stroke on="f"/>
                  <v:imagedata r:id="rId30" o:title=""/>
                  <o:lock v:ext="edit" aspectratio="t"/>
                  <w10:wrap type="none"/>
                  <w10:anchorlock/>
                </v:shape>
                <o:OLEObject Type="Embed" ProgID="Equation.KSEE3" ShapeID="_x0000_i1042" DrawAspect="Content" ObjectID="_1468075726" r:id="rId29">
                  <o:LockedField>false</o:LockedField>
                </o:OLEObject>
              </w:object>
            </w:r>
          </w:p>
          <w:p>
            <w:pPr>
              <w:keepNext w:val="0"/>
              <w:keepLines w:val="0"/>
              <w:pageBreakBefore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w:t>
            </w:r>
            <w:r>
              <w:rPr>
                <w:rFonts w:hint="default" w:ascii="Times New Roman" w:hAnsi="Times New Roman" w:eastAsia="宋体" w:cs="Times New Roman"/>
                <w:color w:val="auto"/>
                <w:sz w:val="24"/>
                <w:szCs w:val="24"/>
                <w:lang w:val="en-US" w:eastAsia="zh-CN"/>
              </w:rPr>
              <w:t>L</w:t>
            </w:r>
            <w:r>
              <w:rPr>
                <w:rFonts w:hint="default" w:ascii="Times New Roman" w:hAnsi="Times New Roman" w:eastAsia="宋体" w:cs="Times New Roman"/>
                <w:color w:val="auto"/>
                <w:sz w:val="24"/>
                <w:szCs w:val="24"/>
                <w:vertAlign w:val="subscript"/>
                <w:lang w:val="en-US" w:eastAsia="zh-CN"/>
              </w:rPr>
              <w:t>eq</w:t>
            </w:r>
            <w:r>
              <w:rPr>
                <w:rFonts w:hint="default" w:ascii="Times New Roman" w:hAnsi="Times New Roman" w:eastAsia="宋体" w:cs="Times New Roman"/>
                <w:color w:val="auto"/>
                <w:sz w:val="24"/>
                <w:szCs w:val="24"/>
                <w:lang w:val="en-US" w:eastAsia="zh-CN"/>
              </w:rPr>
              <w:t>——预测点的噪声预测值，dB；</w:t>
            </w:r>
          </w:p>
          <w:p>
            <w:pPr>
              <w:keepNext w:val="0"/>
              <w:keepLines w:val="0"/>
              <w:pageBreakBefore w:val="0"/>
              <w:kinsoku/>
              <w:wordWrap/>
              <w:overflowPunct/>
              <w:topLinePunct w:val="0"/>
              <w:autoSpaceDE/>
              <w:autoSpaceDN/>
              <w:bidi w:val="0"/>
              <w:adjustRightInd w:val="0"/>
              <w:snapToGrid w:val="0"/>
              <w:spacing w:line="360" w:lineRule="auto"/>
              <w:ind w:left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 xml:space="preserve"> </w:t>
            </w:r>
            <w:r>
              <w:rPr>
                <w:rFonts w:hint="default" w:ascii="Times New Roman" w:hAnsi="Times New Roman" w:eastAsia="宋体" w:cs="Times New Roman"/>
                <w:color w:val="auto"/>
                <w:sz w:val="24"/>
                <w:szCs w:val="24"/>
                <w:lang w:val="en-US" w:eastAsia="zh-CN"/>
              </w:rPr>
              <w:t>L</w:t>
            </w:r>
            <w:r>
              <w:rPr>
                <w:rFonts w:hint="default" w:ascii="Times New Roman" w:hAnsi="Times New Roman" w:eastAsia="宋体" w:cs="Times New Roman"/>
                <w:color w:val="auto"/>
                <w:sz w:val="24"/>
                <w:szCs w:val="24"/>
                <w:vertAlign w:val="subscript"/>
                <w:lang w:val="en-US" w:eastAsia="zh-CN"/>
              </w:rPr>
              <w:t>eqg</w:t>
            </w:r>
            <w:r>
              <w:rPr>
                <w:rFonts w:hint="default" w:ascii="Times New Roman" w:hAnsi="Times New Roman" w:eastAsia="宋体" w:cs="Times New Roman"/>
                <w:color w:val="auto"/>
                <w:sz w:val="24"/>
                <w:szCs w:val="24"/>
                <w:lang w:val="en-US" w:eastAsia="zh-CN"/>
              </w:rPr>
              <w:t>——建设项目声源在预测点产生的噪声贡献值，dB；</w:t>
            </w:r>
          </w:p>
          <w:p>
            <w:pPr>
              <w:keepNext w:val="0"/>
              <w:keepLines w:val="0"/>
              <w:pageBreakBefore w:val="0"/>
              <w:kinsoku/>
              <w:wordWrap/>
              <w:overflowPunct/>
              <w:topLinePunct w:val="0"/>
              <w:autoSpaceDE/>
              <w:autoSpaceDN/>
              <w:bidi w:val="0"/>
              <w:adjustRightInd w:val="0"/>
              <w:snapToGrid w:val="0"/>
              <w:spacing w:line="360" w:lineRule="auto"/>
              <w:ind w:leftChars="0" w:firstLine="1200" w:firstLineChars="500"/>
              <w:jc w:val="left"/>
              <w:textAlignment w:val="auto"/>
              <w:rPr>
                <w:bCs/>
                <w:color w:val="auto"/>
                <w:sz w:val="24"/>
              </w:rPr>
            </w:pPr>
            <w:r>
              <w:rPr>
                <w:rFonts w:hint="default" w:ascii="Times New Roman" w:hAnsi="Times New Roman" w:eastAsia="宋体" w:cs="Times New Roman"/>
                <w:color w:val="auto"/>
                <w:sz w:val="24"/>
                <w:szCs w:val="24"/>
                <w:lang w:val="en-US" w:eastAsia="zh-CN"/>
              </w:rPr>
              <w:t>L</w:t>
            </w:r>
            <w:r>
              <w:rPr>
                <w:rFonts w:hint="default" w:ascii="Times New Roman" w:hAnsi="Times New Roman" w:eastAsia="宋体" w:cs="Times New Roman"/>
                <w:color w:val="auto"/>
                <w:sz w:val="24"/>
                <w:szCs w:val="24"/>
                <w:vertAlign w:val="subscript"/>
                <w:lang w:val="en-US" w:eastAsia="zh-CN"/>
              </w:rPr>
              <w:t>eqb</w:t>
            </w:r>
            <w:r>
              <w:rPr>
                <w:rFonts w:hint="default" w:ascii="Times New Roman" w:hAnsi="Times New Roman" w:eastAsia="宋体" w:cs="Times New Roman"/>
                <w:color w:val="auto"/>
                <w:sz w:val="24"/>
                <w:szCs w:val="24"/>
                <w:lang w:val="en-US" w:eastAsia="zh-CN"/>
              </w:rPr>
              <w:t>——预测点的背景噪声值，dB</w:t>
            </w:r>
            <w:r>
              <w:rPr>
                <w:bCs/>
                <w:color w:val="auto"/>
                <w:sz w:val="24"/>
              </w:rPr>
              <w:t>。</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firstLine="480" w:firstLineChars="200"/>
              <w:jc w:val="left"/>
              <w:textAlignment w:val="auto"/>
              <w:rPr>
                <w:rFonts w:hint="default" w:ascii="Times New Roman" w:hAnsi="Times New Roman" w:eastAsia="宋体" w:cs="Times New Roman"/>
                <w:b w:val="0"/>
                <w:bCs/>
                <w:color w:val="auto"/>
                <w:kern w:val="0"/>
                <w:sz w:val="24"/>
                <w:lang w:val="en-US" w:eastAsia="zh-CN" w:bidi="ar"/>
              </w:rPr>
            </w:pPr>
            <w:r>
              <w:rPr>
                <w:rFonts w:hint="default" w:ascii="Times New Roman" w:hAnsi="Times New Roman" w:eastAsia="宋体" w:cs="Times New Roman"/>
                <w:b w:val="0"/>
                <w:bCs/>
                <w:color w:val="auto"/>
                <w:kern w:val="0"/>
                <w:sz w:val="24"/>
                <w:lang w:val="en-US" w:eastAsia="zh-CN" w:bidi="ar"/>
              </w:rPr>
              <w:t>噪声随距离衰减模式：</w:t>
            </w:r>
          </w:p>
          <w:p>
            <w:pPr>
              <w:adjustRightInd w:val="0"/>
              <w:snapToGrid w:val="0"/>
              <w:spacing w:line="360" w:lineRule="auto"/>
              <w:jc w:val="center"/>
              <w:rPr>
                <w:bCs/>
                <w:color w:val="auto"/>
                <w:sz w:val="24"/>
              </w:rPr>
            </w:pPr>
            <w:r>
              <w:rPr>
                <w:bCs/>
                <w:color w:val="auto"/>
                <w:sz w:val="24"/>
              </w:rPr>
              <w:t>L</w:t>
            </w:r>
            <w:r>
              <w:rPr>
                <w:rFonts w:hint="eastAsia"/>
                <w:bCs/>
                <w:color w:val="auto"/>
                <w:sz w:val="24"/>
                <w:vertAlign w:val="subscript"/>
                <w:lang w:val="en-US" w:eastAsia="zh-CN"/>
              </w:rPr>
              <w:t>p</w:t>
            </w:r>
            <w:r>
              <w:rPr>
                <w:bCs/>
                <w:color w:val="auto"/>
                <w:sz w:val="24"/>
                <w:vertAlign w:val="baseline"/>
              </w:rPr>
              <w:t>(r)</w:t>
            </w:r>
            <w:r>
              <w:rPr>
                <w:bCs/>
                <w:color w:val="auto"/>
                <w:sz w:val="24"/>
              </w:rPr>
              <w:t>=L</w:t>
            </w:r>
            <w:r>
              <w:rPr>
                <w:rFonts w:hint="eastAsia"/>
                <w:bCs/>
                <w:color w:val="auto"/>
                <w:sz w:val="24"/>
                <w:vertAlign w:val="subscript"/>
                <w:lang w:val="en-US" w:eastAsia="zh-CN"/>
              </w:rPr>
              <w:t>p</w:t>
            </w:r>
            <w:r>
              <w:rPr>
                <w:bCs/>
                <w:color w:val="auto"/>
                <w:sz w:val="24"/>
                <w:vertAlign w:val="baseline"/>
              </w:rPr>
              <w:t>(r</w:t>
            </w:r>
            <w:r>
              <w:rPr>
                <w:bCs/>
                <w:color w:val="auto"/>
                <w:sz w:val="24"/>
                <w:vertAlign w:val="subscript"/>
              </w:rPr>
              <w:t>o</w:t>
            </w:r>
            <w:r>
              <w:rPr>
                <w:bCs/>
                <w:color w:val="auto"/>
                <w:sz w:val="24"/>
                <w:vertAlign w:val="baseline"/>
              </w:rPr>
              <w:t>)</w:t>
            </w:r>
            <w:r>
              <w:rPr>
                <w:bCs/>
                <w:color w:val="auto"/>
                <w:sz w:val="24"/>
              </w:rPr>
              <w:t>-201g(r/r</w:t>
            </w:r>
            <w:r>
              <w:rPr>
                <w:bCs/>
                <w:color w:val="auto"/>
                <w:sz w:val="24"/>
                <w:vertAlign w:val="subscript"/>
              </w:rPr>
              <w:t>o</w:t>
            </w:r>
            <w:r>
              <w:rPr>
                <w:bCs/>
                <w:color w:val="auto"/>
                <w:sz w:val="24"/>
              </w:rPr>
              <w:t>)</w:t>
            </w:r>
          </w:p>
          <w:p>
            <w:pPr>
              <w:adjustRightInd w:val="0"/>
              <w:snapToGrid w:val="0"/>
              <w:spacing w:line="360" w:lineRule="auto"/>
              <w:ind w:firstLine="480" w:firstLineChars="200"/>
              <w:jc w:val="left"/>
              <w:rPr>
                <w:bCs/>
                <w:color w:val="auto"/>
                <w:sz w:val="24"/>
              </w:rPr>
            </w:pPr>
            <w:r>
              <w:rPr>
                <w:bCs/>
                <w:color w:val="auto"/>
                <w:sz w:val="24"/>
              </w:rPr>
              <w:t>式中：L</w:t>
            </w:r>
            <w:r>
              <w:rPr>
                <w:rFonts w:hint="eastAsia"/>
                <w:bCs/>
                <w:color w:val="auto"/>
                <w:sz w:val="24"/>
                <w:vertAlign w:val="subscript"/>
                <w:lang w:val="en-US" w:eastAsia="zh-CN"/>
              </w:rPr>
              <w:t>p</w:t>
            </w:r>
            <w:r>
              <w:rPr>
                <w:bCs/>
                <w:color w:val="auto"/>
                <w:sz w:val="24"/>
                <w:vertAlign w:val="baseline"/>
              </w:rPr>
              <w:t>(r)</w:t>
            </w:r>
            <w:r>
              <w:rPr>
                <w:bCs/>
                <w:color w:val="auto"/>
                <w:sz w:val="24"/>
              </w:rPr>
              <w:t>-</w:t>
            </w:r>
            <w:r>
              <w:rPr>
                <w:rFonts w:hint="eastAsia"/>
                <w:bCs/>
                <w:color w:val="auto"/>
                <w:sz w:val="24"/>
                <w:lang w:val="en-US" w:eastAsia="zh-CN"/>
              </w:rPr>
              <w:t>预测点处声压级</w:t>
            </w:r>
            <w:r>
              <w:rPr>
                <w:bCs/>
                <w:color w:val="auto"/>
                <w:sz w:val="24"/>
              </w:rPr>
              <w:t>，dB；</w:t>
            </w:r>
          </w:p>
          <w:p>
            <w:pPr>
              <w:adjustRightInd w:val="0"/>
              <w:snapToGrid w:val="0"/>
              <w:spacing w:line="360" w:lineRule="auto"/>
              <w:ind w:firstLine="1200" w:firstLineChars="500"/>
              <w:jc w:val="left"/>
              <w:rPr>
                <w:bCs/>
                <w:color w:val="auto"/>
                <w:sz w:val="24"/>
              </w:rPr>
            </w:pPr>
            <w:r>
              <w:rPr>
                <w:bCs/>
                <w:color w:val="auto"/>
                <w:sz w:val="24"/>
              </w:rPr>
              <w:t>L</w:t>
            </w:r>
            <w:r>
              <w:rPr>
                <w:rFonts w:hint="eastAsia"/>
                <w:bCs/>
                <w:color w:val="auto"/>
                <w:sz w:val="24"/>
                <w:vertAlign w:val="subscript"/>
                <w:lang w:val="en-US" w:eastAsia="zh-CN"/>
              </w:rPr>
              <w:t>p</w:t>
            </w:r>
            <w:r>
              <w:rPr>
                <w:bCs/>
                <w:color w:val="auto"/>
                <w:sz w:val="24"/>
                <w:vertAlign w:val="baseline"/>
              </w:rPr>
              <w:t>(r</w:t>
            </w:r>
            <w:r>
              <w:rPr>
                <w:bCs/>
                <w:color w:val="auto"/>
                <w:sz w:val="24"/>
                <w:vertAlign w:val="subscript"/>
              </w:rPr>
              <w:t>o</w:t>
            </w:r>
            <w:r>
              <w:rPr>
                <w:bCs/>
                <w:color w:val="auto"/>
                <w:sz w:val="24"/>
                <w:vertAlign w:val="baseline"/>
              </w:rPr>
              <w:t>)</w:t>
            </w:r>
            <w:r>
              <w:rPr>
                <w:bCs/>
                <w:color w:val="auto"/>
                <w:sz w:val="24"/>
              </w:rPr>
              <w:t>-</w:t>
            </w:r>
            <w:r>
              <w:rPr>
                <w:rFonts w:hint="eastAsia"/>
                <w:bCs/>
                <w:color w:val="auto"/>
                <w:sz w:val="24"/>
                <w:lang w:val="en-US" w:eastAsia="zh-CN"/>
              </w:rPr>
              <w:t>参考位置</w:t>
            </w:r>
            <w:r>
              <w:rPr>
                <w:bCs/>
                <w:color w:val="auto"/>
                <w:sz w:val="24"/>
                <w:vertAlign w:val="baseline"/>
              </w:rPr>
              <w:t>r</w:t>
            </w:r>
            <w:r>
              <w:rPr>
                <w:bCs/>
                <w:color w:val="auto"/>
                <w:sz w:val="24"/>
                <w:vertAlign w:val="subscript"/>
              </w:rPr>
              <w:t>o</w:t>
            </w:r>
            <w:r>
              <w:rPr>
                <w:rFonts w:hint="eastAsia"/>
                <w:bCs/>
                <w:color w:val="auto"/>
                <w:sz w:val="24"/>
                <w:vertAlign w:val="baseline"/>
                <w:lang w:val="en-US" w:eastAsia="zh-CN"/>
              </w:rPr>
              <w:t>处的声压级</w:t>
            </w:r>
            <w:r>
              <w:rPr>
                <w:bCs/>
                <w:color w:val="auto"/>
                <w:sz w:val="24"/>
              </w:rPr>
              <w:t>，dB；</w:t>
            </w:r>
          </w:p>
          <w:p>
            <w:pPr>
              <w:adjustRightInd w:val="0"/>
              <w:snapToGrid w:val="0"/>
              <w:spacing w:line="360" w:lineRule="auto"/>
              <w:ind w:firstLine="1200" w:firstLineChars="500"/>
              <w:jc w:val="left"/>
              <w:rPr>
                <w:rFonts w:hint="default" w:eastAsia="宋体"/>
                <w:bCs/>
                <w:color w:val="auto"/>
                <w:sz w:val="24"/>
                <w:vertAlign w:val="baseline"/>
                <w:lang w:val="en-US" w:eastAsia="zh-CN"/>
              </w:rPr>
            </w:pPr>
            <w:r>
              <w:rPr>
                <w:rFonts w:hint="eastAsia"/>
                <w:bCs/>
                <w:color w:val="auto"/>
                <w:sz w:val="24"/>
                <w:lang w:val="en-US" w:eastAsia="zh-CN"/>
              </w:rPr>
              <w:t>r</w:t>
            </w:r>
            <w:r>
              <w:rPr>
                <w:bCs/>
                <w:color w:val="auto"/>
                <w:sz w:val="24"/>
                <w:vertAlign w:val="subscript"/>
              </w:rPr>
              <w:t>o</w:t>
            </w:r>
            <w:r>
              <w:rPr>
                <w:rFonts w:hint="eastAsia"/>
                <w:bCs/>
                <w:color w:val="auto"/>
                <w:sz w:val="24"/>
                <w:vertAlign w:val="baseline"/>
                <w:lang w:val="en-US" w:eastAsia="zh-CN"/>
              </w:rPr>
              <w:t>-参考位置距声源的距离</w:t>
            </w:r>
          </w:p>
          <w:p>
            <w:pPr>
              <w:adjustRightInd w:val="0"/>
              <w:snapToGrid w:val="0"/>
              <w:spacing w:line="360" w:lineRule="auto"/>
              <w:ind w:firstLine="1200" w:firstLineChars="500"/>
              <w:jc w:val="left"/>
              <w:rPr>
                <w:bCs/>
                <w:color w:val="auto"/>
                <w:sz w:val="24"/>
              </w:rPr>
            </w:pPr>
            <w:r>
              <w:rPr>
                <w:bCs/>
                <w:color w:val="auto"/>
                <w:sz w:val="24"/>
              </w:rPr>
              <w:t>r-</w:t>
            </w:r>
            <w:r>
              <w:rPr>
                <w:rFonts w:hint="eastAsia"/>
                <w:bCs/>
                <w:color w:val="auto"/>
                <w:sz w:val="24"/>
                <w:lang w:val="en-US" w:eastAsia="zh-CN"/>
              </w:rPr>
              <w:t>预测点距声源的距离</w:t>
            </w:r>
            <w:r>
              <w:rPr>
                <w:bCs/>
                <w:color w:val="auto"/>
                <w:sz w:val="24"/>
              </w:rPr>
              <w:t>，m。</w:t>
            </w:r>
          </w:p>
          <w:p>
            <w:pPr>
              <w:adjustRightInd w:val="0"/>
              <w:snapToGrid w:val="0"/>
              <w:spacing w:line="360" w:lineRule="auto"/>
              <w:ind w:left="-58" w:leftChars="-24" w:firstLine="518" w:firstLineChars="215"/>
              <w:rPr>
                <w:b/>
                <w:color w:val="auto"/>
                <w:sz w:val="24"/>
              </w:rPr>
            </w:pPr>
            <w:r>
              <w:rPr>
                <w:rFonts w:hint="eastAsia"/>
                <w:b/>
                <w:color w:val="auto"/>
                <w:sz w:val="24"/>
              </w:rPr>
              <w:t>预测结果与评价：</w:t>
            </w:r>
          </w:p>
          <w:p>
            <w:pPr>
              <w:adjustRightInd w:val="0"/>
              <w:snapToGrid w:val="0"/>
              <w:spacing w:line="360" w:lineRule="auto"/>
              <w:ind w:firstLine="480" w:firstLineChars="200"/>
              <w:jc w:val="left"/>
              <w:rPr>
                <w:bCs/>
                <w:color w:val="auto"/>
                <w:sz w:val="24"/>
              </w:rPr>
            </w:pPr>
            <w:r>
              <w:rPr>
                <w:bCs/>
                <w:color w:val="auto"/>
                <w:sz w:val="24"/>
              </w:rPr>
              <w:t>预测结果见下表。</w:t>
            </w:r>
          </w:p>
          <w:p>
            <w:pPr>
              <w:adjustRightInd w:val="0"/>
              <w:snapToGrid w:val="0"/>
              <w:spacing w:line="360" w:lineRule="auto"/>
              <w:jc w:val="center"/>
              <w:rPr>
                <w:rFonts w:hint="eastAsia" w:eastAsia="宋体"/>
                <w:b/>
                <w:bCs w:val="0"/>
                <w:color w:val="auto"/>
                <w:sz w:val="21"/>
                <w:szCs w:val="21"/>
                <w:lang w:val="en-US" w:eastAsia="zh-CN"/>
              </w:rPr>
            </w:pPr>
            <w:r>
              <w:rPr>
                <w:rFonts w:hint="eastAsia"/>
                <w:b/>
                <w:bCs w:val="0"/>
                <w:color w:val="auto"/>
                <w:sz w:val="21"/>
                <w:szCs w:val="21"/>
                <w:lang w:val="en-US" w:eastAsia="zh-CN"/>
              </w:rPr>
              <w:t>表4-2  施工机械设备噪声影响预测结果  单位：dB（A）</w:t>
            </w:r>
          </w:p>
          <w:tbl>
            <w:tblPr>
              <w:tblStyle w:val="3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01"/>
              <w:gridCol w:w="1066"/>
              <w:gridCol w:w="924"/>
              <w:gridCol w:w="872"/>
              <w:gridCol w:w="1026"/>
              <w:gridCol w:w="1001"/>
              <w:gridCol w:w="1014"/>
              <w:gridCol w:w="10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1" w:hRule="atLeast"/>
                <w:tblHeader/>
                <w:jc w:val="center"/>
              </w:trPr>
              <w:tc>
                <w:tcPr>
                  <w:tcW w:w="1119" w:type="pct"/>
                  <w:vMerge w:val="restar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机械名称</w:t>
                  </w:r>
                </w:p>
              </w:tc>
              <w:tc>
                <w:tcPr>
                  <w:tcW w:w="3880" w:type="pct"/>
                  <w:gridSpan w:val="7"/>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噪声预测值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6" w:hRule="atLeast"/>
                <w:tblHeader/>
                <w:jc w:val="center"/>
              </w:trPr>
              <w:tc>
                <w:tcPr>
                  <w:tcW w:w="1119" w:type="pct"/>
                  <w:vMerge w:val="continue"/>
                  <w:noWrap w:val="0"/>
                  <w:vAlign w:val="center"/>
                </w:tcPr>
                <w:p>
                  <w:pPr>
                    <w:pStyle w:val="90"/>
                    <w:tabs>
                      <w:tab w:val="left" w:pos="0"/>
                    </w:tabs>
                    <w:bidi w:val="0"/>
                    <w:rPr>
                      <w:color w:val="auto"/>
                    </w:rPr>
                  </w:pPr>
                </w:p>
              </w:tc>
              <w:tc>
                <w:tcPr>
                  <w:tcW w:w="596"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1m</w:t>
                  </w:r>
                </w:p>
              </w:tc>
              <w:tc>
                <w:tcPr>
                  <w:tcW w:w="517"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10m</w:t>
                  </w:r>
                </w:p>
              </w:tc>
              <w:tc>
                <w:tcPr>
                  <w:tcW w:w="488"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35m</w:t>
                  </w:r>
                </w:p>
              </w:tc>
              <w:tc>
                <w:tcPr>
                  <w:tcW w:w="574"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50m</w:t>
                  </w:r>
                </w:p>
              </w:tc>
              <w:tc>
                <w:tcPr>
                  <w:tcW w:w="560"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100m</w:t>
                  </w:r>
                </w:p>
              </w:tc>
              <w:tc>
                <w:tcPr>
                  <w:tcW w:w="567"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150m</w:t>
                  </w:r>
                </w:p>
              </w:tc>
              <w:tc>
                <w:tcPr>
                  <w:tcW w:w="574"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9"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蛙式打夯机</w:t>
                  </w:r>
                </w:p>
              </w:tc>
              <w:tc>
                <w:tcPr>
                  <w:tcW w:w="596"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w:t>
                  </w:r>
                </w:p>
              </w:tc>
              <w:tc>
                <w:tcPr>
                  <w:tcW w:w="517"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w:t>
                  </w:r>
                </w:p>
              </w:tc>
              <w:tc>
                <w:tcPr>
                  <w:tcW w:w="488"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59</w:t>
                  </w:r>
                </w:p>
              </w:tc>
              <w:tc>
                <w:tcPr>
                  <w:tcW w:w="574"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56</w:t>
                  </w:r>
                </w:p>
              </w:tc>
              <w:tc>
                <w:tcPr>
                  <w:tcW w:w="560"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w:t>
                  </w:r>
                </w:p>
              </w:tc>
              <w:tc>
                <w:tcPr>
                  <w:tcW w:w="567"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46.5</w:t>
                  </w:r>
                </w:p>
              </w:tc>
              <w:tc>
                <w:tcPr>
                  <w:tcW w:w="574"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9"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手持式风钻</w:t>
                  </w:r>
                </w:p>
              </w:tc>
              <w:tc>
                <w:tcPr>
                  <w:tcW w:w="596"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w:t>
                  </w:r>
                </w:p>
              </w:tc>
              <w:tc>
                <w:tcPr>
                  <w:tcW w:w="517"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70</w:t>
                  </w:r>
                </w:p>
              </w:tc>
              <w:tc>
                <w:tcPr>
                  <w:tcW w:w="488"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59</w:t>
                  </w:r>
                </w:p>
              </w:tc>
              <w:tc>
                <w:tcPr>
                  <w:tcW w:w="574"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56</w:t>
                  </w:r>
                </w:p>
              </w:tc>
              <w:tc>
                <w:tcPr>
                  <w:tcW w:w="560"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50</w:t>
                  </w:r>
                </w:p>
              </w:tc>
              <w:tc>
                <w:tcPr>
                  <w:tcW w:w="567"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46.5</w:t>
                  </w:r>
                </w:p>
              </w:tc>
              <w:tc>
                <w:tcPr>
                  <w:tcW w:w="574"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9"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小型振动碾</w:t>
                  </w:r>
                </w:p>
              </w:tc>
              <w:tc>
                <w:tcPr>
                  <w:tcW w:w="596"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w:t>
                  </w:r>
                </w:p>
              </w:tc>
              <w:tc>
                <w:tcPr>
                  <w:tcW w:w="517"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70</w:t>
                  </w:r>
                </w:p>
              </w:tc>
              <w:tc>
                <w:tcPr>
                  <w:tcW w:w="488"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59</w:t>
                  </w:r>
                </w:p>
              </w:tc>
              <w:tc>
                <w:tcPr>
                  <w:tcW w:w="574"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56</w:t>
                  </w:r>
                </w:p>
              </w:tc>
              <w:tc>
                <w:tcPr>
                  <w:tcW w:w="560"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50</w:t>
                  </w:r>
                </w:p>
              </w:tc>
              <w:tc>
                <w:tcPr>
                  <w:tcW w:w="567"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46.5</w:t>
                  </w:r>
                </w:p>
              </w:tc>
              <w:tc>
                <w:tcPr>
                  <w:tcW w:w="574"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9"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混凝土拌和机</w:t>
                  </w:r>
                </w:p>
              </w:tc>
              <w:tc>
                <w:tcPr>
                  <w:tcW w:w="596"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w:t>
                  </w:r>
                </w:p>
              </w:tc>
              <w:tc>
                <w:tcPr>
                  <w:tcW w:w="517"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65</w:t>
                  </w:r>
                </w:p>
              </w:tc>
              <w:tc>
                <w:tcPr>
                  <w:tcW w:w="488"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54</w:t>
                  </w:r>
                </w:p>
              </w:tc>
              <w:tc>
                <w:tcPr>
                  <w:tcW w:w="574"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51</w:t>
                  </w:r>
                </w:p>
              </w:tc>
              <w:tc>
                <w:tcPr>
                  <w:tcW w:w="560"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45</w:t>
                  </w:r>
                </w:p>
              </w:tc>
              <w:tc>
                <w:tcPr>
                  <w:tcW w:w="567"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41.5</w:t>
                  </w:r>
                </w:p>
              </w:tc>
              <w:tc>
                <w:tcPr>
                  <w:tcW w:w="574"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9"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插入式振动器</w:t>
                  </w:r>
                </w:p>
              </w:tc>
              <w:tc>
                <w:tcPr>
                  <w:tcW w:w="596"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95</w:t>
                  </w:r>
                </w:p>
              </w:tc>
              <w:tc>
                <w:tcPr>
                  <w:tcW w:w="517"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75</w:t>
                  </w:r>
                </w:p>
              </w:tc>
              <w:tc>
                <w:tcPr>
                  <w:tcW w:w="488"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64</w:t>
                  </w:r>
                </w:p>
              </w:tc>
              <w:tc>
                <w:tcPr>
                  <w:tcW w:w="574"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61</w:t>
                  </w:r>
                </w:p>
              </w:tc>
              <w:tc>
                <w:tcPr>
                  <w:tcW w:w="560"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55</w:t>
                  </w:r>
                </w:p>
              </w:tc>
              <w:tc>
                <w:tcPr>
                  <w:tcW w:w="567"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51.5</w:t>
                  </w:r>
                </w:p>
              </w:tc>
              <w:tc>
                <w:tcPr>
                  <w:tcW w:w="574"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9"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机动翻斗车</w:t>
                  </w:r>
                </w:p>
              </w:tc>
              <w:tc>
                <w:tcPr>
                  <w:tcW w:w="596"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80</w:t>
                  </w:r>
                </w:p>
              </w:tc>
              <w:tc>
                <w:tcPr>
                  <w:tcW w:w="517"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w:t>
                  </w:r>
                </w:p>
              </w:tc>
              <w:tc>
                <w:tcPr>
                  <w:tcW w:w="488"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49</w:t>
                  </w:r>
                </w:p>
              </w:tc>
              <w:tc>
                <w:tcPr>
                  <w:tcW w:w="574"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46</w:t>
                  </w:r>
                </w:p>
              </w:tc>
              <w:tc>
                <w:tcPr>
                  <w:tcW w:w="560"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w:t>
                  </w:r>
                </w:p>
              </w:tc>
              <w:tc>
                <w:tcPr>
                  <w:tcW w:w="567"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36.5</w:t>
                  </w:r>
                </w:p>
              </w:tc>
              <w:tc>
                <w:tcPr>
                  <w:tcW w:w="574"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9" w:type="pct"/>
                  <w:noWrap w:val="0"/>
                  <w:vAlign w:val="center"/>
                </w:tcPr>
                <w:p>
                  <w:pPr>
                    <w:pStyle w:val="90"/>
                    <w:tabs>
                      <w:tab w:val="left" w:pos="0"/>
                    </w:tabs>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汽车起重机</w:t>
                  </w:r>
                </w:p>
              </w:tc>
              <w:tc>
                <w:tcPr>
                  <w:tcW w:w="596"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w:t>
                  </w:r>
                </w:p>
              </w:tc>
              <w:tc>
                <w:tcPr>
                  <w:tcW w:w="517"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65</w:t>
                  </w:r>
                </w:p>
              </w:tc>
              <w:tc>
                <w:tcPr>
                  <w:tcW w:w="488"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54</w:t>
                  </w:r>
                </w:p>
              </w:tc>
              <w:tc>
                <w:tcPr>
                  <w:tcW w:w="574"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51</w:t>
                  </w:r>
                </w:p>
              </w:tc>
              <w:tc>
                <w:tcPr>
                  <w:tcW w:w="560"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45</w:t>
                  </w:r>
                </w:p>
              </w:tc>
              <w:tc>
                <w:tcPr>
                  <w:tcW w:w="567"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41.5</w:t>
                  </w:r>
                </w:p>
              </w:tc>
              <w:tc>
                <w:tcPr>
                  <w:tcW w:w="574"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9"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水泵</w:t>
                  </w:r>
                </w:p>
              </w:tc>
              <w:tc>
                <w:tcPr>
                  <w:tcW w:w="596"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90</w:t>
                  </w:r>
                </w:p>
              </w:tc>
              <w:tc>
                <w:tcPr>
                  <w:tcW w:w="517"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70</w:t>
                  </w:r>
                </w:p>
              </w:tc>
              <w:tc>
                <w:tcPr>
                  <w:tcW w:w="488"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59</w:t>
                  </w:r>
                </w:p>
              </w:tc>
              <w:tc>
                <w:tcPr>
                  <w:tcW w:w="574"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56</w:t>
                  </w:r>
                </w:p>
              </w:tc>
              <w:tc>
                <w:tcPr>
                  <w:tcW w:w="560"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50</w:t>
                  </w:r>
                </w:p>
              </w:tc>
              <w:tc>
                <w:tcPr>
                  <w:tcW w:w="567"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46.5</w:t>
                  </w:r>
                </w:p>
              </w:tc>
              <w:tc>
                <w:tcPr>
                  <w:tcW w:w="574"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9"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柴油发电机组</w:t>
                  </w:r>
                </w:p>
              </w:tc>
              <w:tc>
                <w:tcPr>
                  <w:tcW w:w="596"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80</w:t>
                  </w:r>
                </w:p>
              </w:tc>
              <w:tc>
                <w:tcPr>
                  <w:tcW w:w="517"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60</w:t>
                  </w:r>
                </w:p>
              </w:tc>
              <w:tc>
                <w:tcPr>
                  <w:tcW w:w="488"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49</w:t>
                  </w:r>
                </w:p>
              </w:tc>
              <w:tc>
                <w:tcPr>
                  <w:tcW w:w="574"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46</w:t>
                  </w:r>
                </w:p>
              </w:tc>
              <w:tc>
                <w:tcPr>
                  <w:tcW w:w="560"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40</w:t>
                  </w:r>
                </w:p>
              </w:tc>
              <w:tc>
                <w:tcPr>
                  <w:tcW w:w="567"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36.5</w:t>
                  </w:r>
                </w:p>
              </w:tc>
              <w:tc>
                <w:tcPr>
                  <w:tcW w:w="574"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9"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钢筋加工机械</w:t>
                  </w:r>
                </w:p>
              </w:tc>
              <w:tc>
                <w:tcPr>
                  <w:tcW w:w="596"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85</w:t>
                  </w:r>
                </w:p>
              </w:tc>
              <w:tc>
                <w:tcPr>
                  <w:tcW w:w="517"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65</w:t>
                  </w:r>
                </w:p>
              </w:tc>
              <w:tc>
                <w:tcPr>
                  <w:tcW w:w="488"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54</w:t>
                  </w:r>
                </w:p>
              </w:tc>
              <w:tc>
                <w:tcPr>
                  <w:tcW w:w="574"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51</w:t>
                  </w:r>
                </w:p>
              </w:tc>
              <w:tc>
                <w:tcPr>
                  <w:tcW w:w="560"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45</w:t>
                  </w:r>
                </w:p>
              </w:tc>
              <w:tc>
                <w:tcPr>
                  <w:tcW w:w="567"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41.5</w:t>
                  </w:r>
                </w:p>
              </w:tc>
              <w:tc>
                <w:tcPr>
                  <w:tcW w:w="574"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9"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载重汽车</w:t>
                  </w:r>
                </w:p>
              </w:tc>
              <w:tc>
                <w:tcPr>
                  <w:tcW w:w="596"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80</w:t>
                  </w:r>
                </w:p>
              </w:tc>
              <w:tc>
                <w:tcPr>
                  <w:tcW w:w="517"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60</w:t>
                  </w:r>
                </w:p>
              </w:tc>
              <w:tc>
                <w:tcPr>
                  <w:tcW w:w="488"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49</w:t>
                  </w:r>
                </w:p>
              </w:tc>
              <w:tc>
                <w:tcPr>
                  <w:tcW w:w="574"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46</w:t>
                  </w:r>
                </w:p>
              </w:tc>
              <w:tc>
                <w:tcPr>
                  <w:tcW w:w="560"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40</w:t>
                  </w:r>
                </w:p>
              </w:tc>
              <w:tc>
                <w:tcPr>
                  <w:tcW w:w="567" w:type="pct"/>
                  <w:noWrap w:val="0"/>
                  <w:vAlign w:val="center"/>
                </w:tcPr>
                <w:p>
                  <w:pPr>
                    <w:pStyle w:val="90"/>
                    <w:tabs>
                      <w:tab w:val="left" w:pos="0"/>
                    </w:tabs>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36.5</w:t>
                  </w:r>
                </w:p>
              </w:tc>
              <w:tc>
                <w:tcPr>
                  <w:tcW w:w="574" w:type="pct"/>
                  <w:noWrap w:val="0"/>
                  <w:vAlign w:val="center"/>
                </w:tcPr>
                <w:p>
                  <w:pPr>
                    <w:pStyle w:val="90"/>
                    <w:tabs>
                      <w:tab w:val="left" w:pos="0"/>
                    </w:tabs>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9" w:type="pct"/>
                  <w:noWrap w:val="0"/>
                  <w:vAlign w:val="center"/>
                </w:tcPr>
                <w:p>
                  <w:pPr>
                    <w:pStyle w:val="90"/>
                    <w:tabs>
                      <w:tab w:val="left" w:pos="0"/>
                    </w:tabs>
                    <w:bidi w:val="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叠加值</w:t>
                  </w:r>
                </w:p>
              </w:tc>
              <w:tc>
                <w:tcPr>
                  <w:tcW w:w="596"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99.78</w:t>
                  </w:r>
                </w:p>
              </w:tc>
              <w:tc>
                <w:tcPr>
                  <w:tcW w:w="517"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79.78</w:t>
                  </w:r>
                </w:p>
              </w:tc>
              <w:tc>
                <w:tcPr>
                  <w:tcW w:w="488"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68.78</w:t>
                  </w:r>
                </w:p>
              </w:tc>
              <w:tc>
                <w:tcPr>
                  <w:tcW w:w="574"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65.78</w:t>
                  </w:r>
                </w:p>
              </w:tc>
              <w:tc>
                <w:tcPr>
                  <w:tcW w:w="560"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59.78</w:t>
                  </w:r>
                </w:p>
              </w:tc>
              <w:tc>
                <w:tcPr>
                  <w:tcW w:w="567"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56.28</w:t>
                  </w:r>
                </w:p>
              </w:tc>
              <w:tc>
                <w:tcPr>
                  <w:tcW w:w="574" w:type="pct"/>
                  <w:noWrap w:val="0"/>
                  <w:vAlign w:val="center"/>
                </w:tcPr>
                <w:p>
                  <w:pPr>
                    <w:pStyle w:val="90"/>
                    <w:tabs>
                      <w:tab w:val="left" w:pos="0"/>
                    </w:tabs>
                    <w:bidi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54.78</w:t>
                  </w:r>
                </w:p>
              </w:tc>
            </w:tr>
          </w:tbl>
          <w:p>
            <w:pPr>
              <w:widowControl/>
              <w:adjustRightInd w:val="0"/>
              <w:snapToGrid w:val="0"/>
              <w:spacing w:line="360" w:lineRule="auto"/>
              <w:ind w:firstLine="480" w:firstLineChars="200"/>
              <w:jc w:val="left"/>
              <w:rPr>
                <w:rFonts w:hint="default" w:ascii="Times New Roman" w:hAnsi="Times New Roman" w:eastAsia="宋体" w:cs="Times New Roman"/>
                <w:b w:val="0"/>
                <w:bCs/>
                <w:color w:val="auto"/>
                <w:kern w:val="0"/>
                <w:sz w:val="24"/>
                <w:lang w:val="en-US" w:eastAsia="zh-CN" w:bidi="ar"/>
              </w:rPr>
            </w:pPr>
            <w:r>
              <w:rPr>
                <w:rFonts w:hint="default" w:ascii="Times New Roman" w:hAnsi="Times New Roman" w:eastAsia="宋体" w:cs="Times New Roman"/>
                <w:b w:val="0"/>
                <w:bCs/>
                <w:color w:val="auto"/>
                <w:kern w:val="0"/>
                <w:sz w:val="24"/>
                <w:lang w:val="en-US" w:eastAsia="zh-CN" w:bidi="ar"/>
              </w:rPr>
              <w:t>由上表可看出，施工期间所有施工机械同时运转时，在距声源</w:t>
            </w:r>
            <w:r>
              <w:rPr>
                <w:rFonts w:hint="eastAsia" w:ascii="Times New Roman" w:hAnsi="Times New Roman" w:eastAsia="宋体" w:cs="Times New Roman"/>
                <w:b w:val="0"/>
                <w:bCs/>
                <w:color w:val="auto"/>
                <w:kern w:val="0"/>
                <w:sz w:val="24"/>
                <w:lang w:val="en-US" w:eastAsia="zh-CN" w:bidi="ar"/>
              </w:rPr>
              <w:t>35</w:t>
            </w:r>
            <w:r>
              <w:rPr>
                <w:rFonts w:hint="default" w:ascii="Times New Roman" w:hAnsi="Times New Roman" w:eastAsia="宋体" w:cs="Times New Roman"/>
                <w:b w:val="0"/>
                <w:bCs/>
                <w:color w:val="auto"/>
                <w:kern w:val="0"/>
                <w:sz w:val="24"/>
                <w:lang w:val="en-US" w:eastAsia="zh-CN" w:bidi="ar"/>
              </w:rPr>
              <w:t>m外可达到《建筑施工场界环境噪声排放标准》（GB12523-2011）昼间要求</w:t>
            </w:r>
            <w:r>
              <w:rPr>
                <w:rFonts w:hint="eastAsia" w:ascii="Times New Roman" w:hAnsi="Times New Roman" w:eastAsia="宋体" w:cs="Times New Roman"/>
                <w:b w:val="0"/>
                <w:bCs/>
                <w:color w:val="auto"/>
                <w:kern w:val="0"/>
                <w:sz w:val="24"/>
                <w:lang w:val="en-US" w:eastAsia="zh-CN" w:bidi="ar"/>
              </w:rPr>
              <w:t>，</w:t>
            </w:r>
            <w:r>
              <w:rPr>
                <w:rFonts w:hint="default" w:ascii="Times New Roman" w:hAnsi="Times New Roman" w:eastAsia="宋体" w:cs="Times New Roman"/>
                <w:b w:val="0"/>
                <w:bCs/>
                <w:color w:val="auto"/>
                <w:kern w:val="0"/>
                <w:sz w:val="24"/>
                <w:lang w:val="en-US" w:eastAsia="zh-CN" w:bidi="ar"/>
              </w:rPr>
              <w:t>在距声源</w:t>
            </w:r>
            <w:r>
              <w:rPr>
                <w:rFonts w:hint="eastAsia" w:ascii="Times New Roman" w:hAnsi="Times New Roman" w:eastAsia="宋体" w:cs="Times New Roman"/>
                <w:b w:val="0"/>
                <w:bCs/>
                <w:color w:val="auto"/>
                <w:kern w:val="0"/>
                <w:sz w:val="24"/>
                <w:lang w:val="en-US" w:eastAsia="zh-CN" w:bidi="ar"/>
              </w:rPr>
              <w:t>180</w:t>
            </w:r>
            <w:r>
              <w:rPr>
                <w:rFonts w:hint="default" w:ascii="Times New Roman" w:hAnsi="Times New Roman" w:eastAsia="宋体" w:cs="Times New Roman"/>
                <w:b w:val="0"/>
                <w:bCs/>
                <w:color w:val="auto"/>
                <w:kern w:val="0"/>
                <w:sz w:val="24"/>
                <w:lang w:val="en-US" w:eastAsia="zh-CN" w:bidi="ar"/>
              </w:rPr>
              <w:t>m外可达到《建筑施工场界环境噪声排放标准》（GB12523-2011）</w:t>
            </w:r>
            <w:r>
              <w:rPr>
                <w:rFonts w:hint="eastAsia" w:ascii="Times New Roman" w:hAnsi="Times New Roman" w:eastAsia="宋体" w:cs="Times New Roman"/>
                <w:b w:val="0"/>
                <w:bCs/>
                <w:color w:val="auto"/>
                <w:kern w:val="0"/>
                <w:sz w:val="24"/>
                <w:lang w:val="en-US" w:eastAsia="zh-CN" w:bidi="ar"/>
              </w:rPr>
              <w:t>夜</w:t>
            </w:r>
            <w:r>
              <w:rPr>
                <w:rFonts w:hint="default" w:ascii="Times New Roman" w:hAnsi="Times New Roman" w:eastAsia="宋体" w:cs="Times New Roman"/>
                <w:b w:val="0"/>
                <w:bCs/>
                <w:color w:val="auto"/>
                <w:kern w:val="0"/>
                <w:sz w:val="24"/>
                <w:lang w:val="en-US" w:eastAsia="zh-CN" w:bidi="ar"/>
              </w:rPr>
              <w:t>间要求</w:t>
            </w:r>
            <w:r>
              <w:rPr>
                <w:rFonts w:hint="eastAsia" w:ascii="Times New Roman" w:hAnsi="Times New Roman" w:eastAsia="宋体" w:cs="Times New Roman"/>
                <w:b w:val="0"/>
                <w:bCs/>
                <w:color w:val="auto"/>
                <w:kern w:val="0"/>
                <w:sz w:val="24"/>
                <w:lang w:val="en-US" w:eastAsia="zh-CN" w:bidi="ar"/>
              </w:rPr>
              <w:t>。根据项目外环境关系图及施工平面布置图，项目</w:t>
            </w:r>
            <w:r>
              <w:rPr>
                <w:rFonts w:hint="default" w:ascii="Times New Roman" w:hAnsi="Times New Roman" w:eastAsia="宋体" w:cs="Times New Roman"/>
                <w:b w:val="0"/>
                <w:bCs/>
                <w:color w:val="auto"/>
                <w:kern w:val="0"/>
                <w:sz w:val="24"/>
                <w:lang w:val="en-US" w:eastAsia="zh-CN" w:bidi="ar"/>
              </w:rPr>
              <w:t>施工区</w:t>
            </w:r>
            <w:r>
              <w:rPr>
                <w:rFonts w:hint="eastAsia" w:ascii="Times New Roman" w:hAnsi="Times New Roman" w:eastAsia="宋体" w:cs="Times New Roman"/>
                <w:b w:val="0"/>
                <w:bCs/>
                <w:color w:val="auto"/>
                <w:kern w:val="0"/>
                <w:sz w:val="24"/>
                <w:lang w:val="en-US" w:eastAsia="zh-CN" w:bidi="ar"/>
              </w:rPr>
              <w:t>35</w:t>
            </w:r>
            <w:r>
              <w:rPr>
                <w:rFonts w:hint="default" w:ascii="Times New Roman" w:hAnsi="Times New Roman" w:eastAsia="宋体" w:cs="Times New Roman"/>
                <w:b w:val="0"/>
                <w:bCs/>
                <w:color w:val="auto"/>
                <w:kern w:val="0"/>
                <w:sz w:val="24"/>
                <w:lang w:val="en-US" w:eastAsia="zh-CN" w:bidi="ar"/>
              </w:rPr>
              <w:t>m范围内有</w:t>
            </w:r>
            <w:r>
              <w:rPr>
                <w:rFonts w:hint="eastAsia" w:ascii="Times New Roman" w:hAnsi="Times New Roman" w:eastAsia="宋体" w:cs="Times New Roman"/>
                <w:b w:val="0"/>
                <w:bCs/>
                <w:color w:val="auto"/>
                <w:kern w:val="0"/>
                <w:sz w:val="24"/>
                <w:lang w:val="en-US" w:eastAsia="zh-CN" w:bidi="ar"/>
              </w:rPr>
              <w:t>1</w:t>
            </w:r>
            <w:r>
              <w:rPr>
                <w:rFonts w:hint="default" w:ascii="Times New Roman" w:hAnsi="Times New Roman" w:eastAsia="宋体" w:cs="Times New Roman"/>
                <w:b w:val="0"/>
                <w:bCs/>
                <w:color w:val="auto"/>
                <w:kern w:val="0"/>
                <w:sz w:val="24"/>
                <w:lang w:val="en-US" w:eastAsia="zh-CN" w:bidi="ar"/>
              </w:rPr>
              <w:t>户住户，施工期噪声会对周边居民产生一定影响。</w:t>
            </w:r>
          </w:p>
          <w:p>
            <w:pPr>
              <w:widowControl/>
              <w:adjustRightInd w:val="0"/>
              <w:snapToGrid w:val="0"/>
              <w:spacing w:line="360" w:lineRule="auto"/>
              <w:ind w:firstLine="480" w:firstLineChars="200"/>
              <w:jc w:val="left"/>
              <w:rPr>
                <w:rFonts w:hint="default" w:ascii="Times New Roman" w:hAnsi="Times New Roman" w:eastAsia="宋体" w:cs="Times New Roman"/>
                <w:b w:val="0"/>
                <w:bCs/>
                <w:color w:val="auto"/>
                <w:kern w:val="0"/>
                <w:sz w:val="24"/>
                <w:lang w:val="en-US" w:eastAsia="zh-CN" w:bidi="ar"/>
              </w:rPr>
            </w:pPr>
            <w:r>
              <w:rPr>
                <w:rFonts w:hint="default" w:ascii="Times New Roman" w:hAnsi="Times New Roman" w:eastAsia="宋体" w:cs="Times New Roman"/>
                <w:b w:val="0"/>
                <w:bCs/>
                <w:color w:val="auto"/>
                <w:kern w:val="0"/>
                <w:sz w:val="24"/>
                <w:lang w:val="en-US" w:eastAsia="zh-CN" w:bidi="ar"/>
              </w:rPr>
              <w:t>为降低施工噪声对环境的影响，环评要求：</w:t>
            </w:r>
          </w:p>
          <w:p>
            <w:pPr>
              <w:widowControl/>
              <w:adjustRightInd w:val="0"/>
              <w:snapToGrid w:val="0"/>
              <w:spacing w:line="360" w:lineRule="auto"/>
              <w:ind w:firstLine="480" w:firstLineChars="200"/>
              <w:jc w:val="left"/>
              <w:rPr>
                <w:rFonts w:hint="default" w:ascii="Times New Roman" w:hAnsi="Times New Roman" w:eastAsia="宋体" w:cs="Times New Roman"/>
                <w:b w:val="0"/>
                <w:bCs/>
                <w:color w:val="auto"/>
                <w:kern w:val="0"/>
                <w:sz w:val="24"/>
                <w:lang w:val="en-US" w:eastAsia="zh-CN" w:bidi="ar"/>
              </w:rPr>
            </w:pPr>
            <w:r>
              <w:rPr>
                <w:rFonts w:hint="eastAsia" w:ascii="Times New Roman" w:hAnsi="Times New Roman" w:eastAsia="宋体" w:cs="Times New Roman"/>
                <w:b w:val="0"/>
                <w:bCs/>
                <w:color w:val="auto"/>
                <w:kern w:val="0"/>
                <w:sz w:val="24"/>
                <w:lang w:val="en-US" w:eastAsia="zh-CN" w:bidi="ar"/>
              </w:rPr>
              <w:t>①</w:t>
            </w:r>
            <w:r>
              <w:rPr>
                <w:rFonts w:hint="default" w:ascii="Times New Roman" w:hAnsi="Times New Roman" w:eastAsia="宋体" w:cs="Times New Roman"/>
                <w:b w:val="0"/>
                <w:bCs/>
                <w:color w:val="auto"/>
                <w:kern w:val="0"/>
                <w:sz w:val="24"/>
                <w:lang w:val="en-US" w:eastAsia="zh-CN" w:bidi="ar"/>
              </w:rPr>
              <w:t>施工开始前，建设单位应进行公示，告之施工周边的居民等，与其进行有效沟通，取得理解，在施工现场张贴通告和投诉电话。</w:t>
            </w:r>
          </w:p>
          <w:p>
            <w:pPr>
              <w:widowControl/>
              <w:adjustRightInd w:val="0"/>
              <w:snapToGrid w:val="0"/>
              <w:spacing w:line="360" w:lineRule="auto"/>
              <w:ind w:firstLine="480" w:firstLineChars="200"/>
              <w:jc w:val="left"/>
              <w:rPr>
                <w:rFonts w:hint="default" w:ascii="Times New Roman" w:hAnsi="Times New Roman" w:eastAsia="宋体" w:cs="Times New Roman"/>
                <w:b w:val="0"/>
                <w:bCs/>
                <w:color w:val="auto"/>
                <w:kern w:val="0"/>
                <w:sz w:val="24"/>
                <w:lang w:val="en-US" w:eastAsia="zh-CN" w:bidi="ar"/>
              </w:rPr>
            </w:pPr>
            <w:r>
              <w:rPr>
                <w:rFonts w:hint="eastAsia" w:ascii="Times New Roman" w:hAnsi="Times New Roman" w:eastAsia="宋体" w:cs="Times New Roman"/>
                <w:b w:val="0"/>
                <w:bCs/>
                <w:color w:val="auto"/>
                <w:kern w:val="0"/>
                <w:sz w:val="24"/>
                <w:lang w:val="en-US" w:eastAsia="zh-CN" w:bidi="ar"/>
              </w:rPr>
              <w:t>②</w:t>
            </w:r>
            <w:r>
              <w:rPr>
                <w:rFonts w:hint="default" w:ascii="Times New Roman" w:hAnsi="Times New Roman" w:eastAsia="宋体" w:cs="Times New Roman"/>
                <w:b w:val="0"/>
                <w:bCs/>
                <w:color w:val="auto"/>
                <w:kern w:val="0"/>
                <w:sz w:val="24"/>
                <w:lang w:val="en-US" w:eastAsia="zh-CN" w:bidi="ar"/>
              </w:rPr>
              <w:t>合理安排施工时间，禁止夜间施工，严格杜绝出现夜间施工</w:t>
            </w:r>
            <w:r>
              <w:rPr>
                <w:rFonts w:hint="eastAsia" w:ascii="Times New Roman" w:hAnsi="Times New Roman" w:eastAsia="宋体" w:cs="Times New Roman"/>
                <w:b w:val="0"/>
                <w:bCs/>
                <w:color w:val="auto"/>
                <w:kern w:val="0"/>
                <w:sz w:val="24"/>
                <w:lang w:val="en-US" w:eastAsia="zh-CN" w:bidi="ar"/>
              </w:rPr>
              <w:t>，产生</w:t>
            </w:r>
            <w:r>
              <w:rPr>
                <w:rFonts w:hint="default" w:ascii="Times New Roman" w:hAnsi="Times New Roman" w:eastAsia="宋体" w:cs="Times New Roman"/>
                <w:b w:val="0"/>
                <w:bCs/>
                <w:color w:val="auto"/>
                <w:kern w:val="0"/>
                <w:sz w:val="24"/>
                <w:lang w:val="en-US" w:eastAsia="zh-CN" w:bidi="ar"/>
              </w:rPr>
              <w:t>噪声污染。</w:t>
            </w:r>
          </w:p>
          <w:p>
            <w:pPr>
              <w:widowControl/>
              <w:adjustRightInd w:val="0"/>
              <w:snapToGrid w:val="0"/>
              <w:spacing w:line="360" w:lineRule="auto"/>
              <w:ind w:firstLine="480" w:firstLineChars="200"/>
              <w:jc w:val="left"/>
              <w:rPr>
                <w:rFonts w:hint="default" w:ascii="Times New Roman" w:hAnsi="Times New Roman" w:eastAsia="宋体" w:cs="Times New Roman"/>
                <w:b w:val="0"/>
                <w:bCs/>
                <w:color w:val="auto"/>
                <w:kern w:val="0"/>
                <w:sz w:val="24"/>
                <w:lang w:val="en-US" w:eastAsia="zh-CN" w:bidi="ar"/>
              </w:rPr>
            </w:pPr>
            <w:r>
              <w:rPr>
                <w:rFonts w:hint="eastAsia" w:ascii="Times New Roman" w:hAnsi="Times New Roman" w:eastAsia="宋体" w:cs="Times New Roman"/>
                <w:b w:val="0"/>
                <w:bCs/>
                <w:color w:val="auto"/>
                <w:kern w:val="0"/>
                <w:sz w:val="24"/>
                <w:lang w:val="en-US" w:eastAsia="zh-CN" w:bidi="ar"/>
              </w:rPr>
              <w:t>③</w:t>
            </w:r>
            <w:r>
              <w:rPr>
                <w:rFonts w:hint="default" w:ascii="Times New Roman" w:hAnsi="Times New Roman" w:eastAsia="宋体" w:cs="Times New Roman"/>
                <w:b w:val="0"/>
                <w:bCs/>
                <w:color w:val="auto"/>
                <w:kern w:val="0"/>
                <w:sz w:val="24"/>
                <w:lang w:val="en-US" w:eastAsia="zh-CN" w:bidi="ar"/>
              </w:rPr>
              <w:t>合理安排施工时序，避免同时使用高噪声设备。</w:t>
            </w:r>
          </w:p>
          <w:p>
            <w:pPr>
              <w:widowControl/>
              <w:adjustRightInd w:val="0"/>
              <w:snapToGrid w:val="0"/>
              <w:spacing w:line="360" w:lineRule="auto"/>
              <w:ind w:firstLine="480" w:firstLineChars="200"/>
              <w:jc w:val="left"/>
              <w:rPr>
                <w:rFonts w:hint="default" w:ascii="Times New Roman" w:hAnsi="Times New Roman" w:eastAsia="宋体" w:cs="Times New Roman"/>
                <w:b w:val="0"/>
                <w:bCs/>
                <w:color w:val="auto"/>
                <w:kern w:val="0"/>
                <w:sz w:val="24"/>
                <w:lang w:val="en-US" w:eastAsia="zh-CN" w:bidi="ar"/>
              </w:rPr>
            </w:pPr>
            <w:r>
              <w:rPr>
                <w:rFonts w:hint="eastAsia" w:ascii="Times New Roman" w:hAnsi="Times New Roman" w:eastAsia="宋体" w:cs="Times New Roman"/>
                <w:b w:val="0"/>
                <w:bCs/>
                <w:color w:val="auto"/>
                <w:kern w:val="0"/>
                <w:sz w:val="24"/>
                <w:lang w:val="en-US" w:eastAsia="zh-CN" w:bidi="ar"/>
              </w:rPr>
              <w:t>④</w:t>
            </w:r>
            <w:r>
              <w:rPr>
                <w:rFonts w:hint="default" w:ascii="Times New Roman" w:hAnsi="Times New Roman" w:eastAsia="宋体" w:cs="Times New Roman"/>
                <w:b w:val="0"/>
                <w:bCs/>
                <w:color w:val="auto"/>
                <w:kern w:val="0"/>
                <w:sz w:val="24"/>
                <w:lang w:val="en-US" w:eastAsia="zh-CN" w:bidi="ar"/>
              </w:rPr>
              <w:t>施工区需将高噪设备布置在远离住户的一侧，同时在住户侧设置临时隔声围挡</w:t>
            </w:r>
            <w:r>
              <w:rPr>
                <w:rFonts w:hint="eastAsia" w:ascii="Times New Roman" w:hAnsi="Times New Roman" w:eastAsia="宋体" w:cs="Times New Roman"/>
                <w:b w:val="0"/>
                <w:bCs/>
                <w:color w:val="auto"/>
                <w:kern w:val="0"/>
                <w:sz w:val="24"/>
                <w:lang w:val="en-US" w:eastAsia="zh-CN" w:bidi="ar"/>
              </w:rPr>
              <w:t>。</w:t>
            </w:r>
          </w:p>
          <w:p>
            <w:pPr>
              <w:widowControl/>
              <w:adjustRightInd w:val="0"/>
              <w:snapToGrid w:val="0"/>
              <w:spacing w:line="360" w:lineRule="auto"/>
              <w:ind w:firstLine="480" w:firstLineChars="200"/>
              <w:jc w:val="left"/>
              <w:rPr>
                <w:rFonts w:hint="default" w:ascii="Times New Roman" w:hAnsi="Times New Roman" w:eastAsia="宋体" w:cs="Times New Roman"/>
                <w:b w:val="0"/>
                <w:bCs/>
                <w:color w:val="auto"/>
                <w:kern w:val="0"/>
                <w:sz w:val="24"/>
                <w:lang w:val="en-US" w:eastAsia="zh-CN" w:bidi="ar"/>
              </w:rPr>
            </w:pPr>
            <w:r>
              <w:rPr>
                <w:rFonts w:hint="eastAsia" w:ascii="Times New Roman" w:hAnsi="Times New Roman" w:eastAsia="宋体" w:cs="Times New Roman"/>
                <w:b w:val="0"/>
                <w:bCs/>
                <w:color w:val="auto"/>
                <w:kern w:val="0"/>
                <w:sz w:val="24"/>
                <w:lang w:val="en-US" w:eastAsia="zh-CN" w:bidi="ar"/>
              </w:rPr>
              <w:t>⑤</w:t>
            </w:r>
            <w:r>
              <w:rPr>
                <w:rFonts w:hint="default" w:ascii="Times New Roman" w:hAnsi="Times New Roman" w:eastAsia="宋体" w:cs="Times New Roman"/>
                <w:b w:val="0"/>
                <w:bCs/>
                <w:color w:val="auto"/>
                <w:kern w:val="0"/>
                <w:sz w:val="24"/>
                <w:lang w:val="en-US" w:eastAsia="zh-CN" w:bidi="ar"/>
              </w:rPr>
              <w:t>选用低噪施工设备，针对固定噪声源并采取有效的减振、隔声等措施。</w:t>
            </w:r>
          </w:p>
          <w:p>
            <w:pPr>
              <w:widowControl/>
              <w:adjustRightInd w:val="0"/>
              <w:snapToGrid w:val="0"/>
              <w:spacing w:line="360" w:lineRule="auto"/>
              <w:ind w:firstLine="480" w:firstLineChars="200"/>
              <w:jc w:val="left"/>
              <w:rPr>
                <w:rFonts w:hint="default" w:ascii="Times New Roman" w:hAnsi="Times New Roman" w:eastAsia="宋体" w:cs="Times New Roman"/>
                <w:b w:val="0"/>
                <w:bCs/>
                <w:color w:val="auto"/>
                <w:kern w:val="0"/>
                <w:sz w:val="24"/>
                <w:lang w:val="en-US" w:eastAsia="zh-CN" w:bidi="ar"/>
              </w:rPr>
            </w:pPr>
            <w:r>
              <w:rPr>
                <w:rFonts w:hint="eastAsia" w:ascii="Times New Roman" w:hAnsi="Times New Roman" w:eastAsia="宋体" w:cs="Times New Roman"/>
                <w:b w:val="0"/>
                <w:bCs/>
                <w:color w:val="auto"/>
                <w:kern w:val="0"/>
                <w:sz w:val="24"/>
                <w:lang w:val="en-US" w:eastAsia="zh-CN" w:bidi="ar"/>
              </w:rPr>
              <w:t>⑥</w:t>
            </w:r>
            <w:r>
              <w:rPr>
                <w:rFonts w:hint="default" w:ascii="Times New Roman" w:hAnsi="Times New Roman" w:eastAsia="宋体" w:cs="Times New Roman"/>
                <w:b w:val="0"/>
                <w:bCs/>
                <w:color w:val="auto"/>
                <w:kern w:val="0"/>
                <w:sz w:val="24"/>
                <w:lang w:val="en-US" w:eastAsia="zh-CN" w:bidi="ar"/>
              </w:rPr>
              <w:t>运输车辆经过敏感点时应限速禁鸣，减小车辆噪声对敏感点的影响。</w:t>
            </w:r>
          </w:p>
          <w:p>
            <w:pPr>
              <w:widowControl/>
              <w:adjustRightInd w:val="0"/>
              <w:snapToGrid w:val="0"/>
              <w:spacing w:line="360" w:lineRule="auto"/>
              <w:ind w:firstLine="480" w:firstLineChars="200"/>
              <w:jc w:val="left"/>
              <w:rPr>
                <w:rFonts w:hint="default" w:ascii="Times New Roman" w:hAnsi="Times New Roman" w:eastAsia="宋体" w:cs="Times New Roman"/>
                <w:b w:val="0"/>
                <w:bCs/>
                <w:color w:val="auto"/>
                <w:kern w:val="0"/>
                <w:sz w:val="24"/>
                <w:lang w:val="en-US" w:eastAsia="zh-CN" w:bidi="ar"/>
              </w:rPr>
            </w:pPr>
            <w:r>
              <w:rPr>
                <w:rFonts w:hint="default" w:ascii="Times New Roman" w:hAnsi="Times New Roman" w:eastAsia="宋体" w:cs="Times New Roman"/>
                <w:b w:val="0"/>
                <w:bCs/>
                <w:color w:val="auto"/>
                <w:kern w:val="0"/>
                <w:sz w:val="24"/>
                <w:lang w:val="en-US" w:eastAsia="zh-CN" w:bidi="ar"/>
              </w:rPr>
              <w:t>施工期噪声影响是暂时性的，在采取相应的管理措施后可减至最低，并随着施工期的结束而消失。</w:t>
            </w:r>
          </w:p>
          <w:p>
            <w:pPr>
              <w:widowControl/>
              <w:numPr>
                <w:ilvl w:val="0"/>
                <w:numId w:val="0"/>
              </w:numPr>
              <w:adjustRightInd w:val="0"/>
              <w:snapToGrid w:val="0"/>
              <w:spacing w:line="360" w:lineRule="auto"/>
              <w:ind w:leftChars="200"/>
              <w:jc w:val="left"/>
              <w:rPr>
                <w:rFonts w:hint="default" w:ascii="Times New Roman" w:hAnsi="Times New Roman" w:eastAsia="宋体" w:cs="Times New Roman"/>
                <w:b/>
                <w:bCs w:val="0"/>
                <w:color w:val="auto"/>
                <w:kern w:val="0"/>
                <w:sz w:val="24"/>
                <w:lang w:val="en-US" w:eastAsia="zh-CN" w:bidi="ar"/>
              </w:rPr>
            </w:pPr>
            <w:r>
              <w:rPr>
                <w:rFonts w:hint="eastAsia" w:ascii="Times New Roman" w:hAnsi="Times New Roman" w:eastAsia="宋体" w:cs="Times New Roman"/>
                <w:b/>
                <w:bCs w:val="0"/>
                <w:color w:val="auto"/>
                <w:kern w:val="0"/>
                <w:sz w:val="24"/>
                <w:lang w:val="en-US" w:eastAsia="zh-CN" w:bidi="ar"/>
              </w:rPr>
              <w:t>5、</w:t>
            </w:r>
            <w:r>
              <w:rPr>
                <w:rFonts w:hint="default" w:ascii="Times New Roman" w:hAnsi="Times New Roman" w:eastAsia="宋体" w:cs="Times New Roman"/>
                <w:b/>
                <w:bCs w:val="0"/>
                <w:color w:val="auto"/>
                <w:kern w:val="0"/>
                <w:sz w:val="24"/>
                <w:lang w:val="en-US" w:eastAsia="zh-CN" w:bidi="ar"/>
              </w:rPr>
              <w:t xml:space="preserve">固体废物 </w:t>
            </w:r>
          </w:p>
          <w:p>
            <w:pPr>
              <w:widowControl/>
              <w:numPr>
                <w:ilvl w:val="0"/>
                <w:numId w:val="0"/>
              </w:numPr>
              <w:adjustRightInd w:val="0"/>
              <w:snapToGrid w:val="0"/>
              <w:spacing w:line="360" w:lineRule="auto"/>
              <w:ind w:firstLine="480" w:firstLineChars="200"/>
              <w:jc w:val="left"/>
              <w:rPr>
                <w:rFonts w:hint="default" w:ascii="Times New Roman" w:hAnsi="Times New Roman" w:eastAsia="宋体" w:cs="Times New Roman"/>
                <w:b w:val="0"/>
                <w:bCs/>
                <w:color w:val="auto"/>
                <w:kern w:val="0"/>
                <w:sz w:val="24"/>
                <w:lang w:val="en-US" w:eastAsia="zh-CN" w:bidi="ar"/>
              </w:rPr>
            </w:pPr>
            <w:r>
              <w:rPr>
                <w:rFonts w:hint="default" w:ascii="Times New Roman" w:hAnsi="Times New Roman" w:eastAsia="宋体" w:cs="Times New Roman"/>
                <w:b w:val="0"/>
                <w:bCs/>
                <w:color w:val="auto"/>
                <w:kern w:val="0"/>
                <w:sz w:val="24"/>
                <w:lang w:val="en-US" w:eastAsia="zh-CN" w:bidi="ar"/>
              </w:rPr>
              <w:t>施工期固体废物主要包括施工过程产生弃渣、拆除的建筑垃圾、旧设备、白蚁防治废药品包装袋</w:t>
            </w:r>
            <w:r>
              <w:rPr>
                <w:rFonts w:hint="eastAsia" w:ascii="Times New Roman" w:hAnsi="Times New Roman" w:eastAsia="宋体" w:cs="Times New Roman"/>
                <w:b w:val="0"/>
                <w:bCs/>
                <w:color w:val="auto"/>
                <w:kern w:val="0"/>
                <w:sz w:val="24"/>
                <w:lang w:val="en-US" w:eastAsia="zh-CN" w:bidi="ar"/>
              </w:rPr>
              <w:t>、沉淀池沉渣</w:t>
            </w:r>
            <w:r>
              <w:rPr>
                <w:rFonts w:hint="default" w:ascii="Times New Roman" w:hAnsi="Times New Roman" w:eastAsia="宋体" w:cs="Times New Roman"/>
                <w:b w:val="0"/>
                <w:bCs/>
                <w:color w:val="auto"/>
                <w:kern w:val="0"/>
                <w:sz w:val="24"/>
                <w:lang w:val="en-US" w:eastAsia="zh-CN" w:bidi="ar"/>
              </w:rPr>
              <w:t>和施工人员生活垃圾。</w:t>
            </w:r>
            <w:r>
              <w:rPr>
                <w:rFonts w:hint="eastAsia" w:ascii="Times New Roman" w:hAnsi="Times New Roman" w:eastAsia="宋体" w:cs="Times New Roman"/>
                <w:b w:val="0"/>
                <w:bCs/>
                <w:color w:val="auto"/>
                <w:kern w:val="0"/>
                <w:sz w:val="24"/>
                <w:lang w:val="en-US" w:eastAsia="zh-CN" w:bidi="ar"/>
              </w:rPr>
              <w:t>施工</w:t>
            </w:r>
            <w:r>
              <w:rPr>
                <w:color w:val="auto"/>
                <w:sz w:val="24"/>
              </w:rPr>
              <w:t>机械维修由维修厂家到</w:t>
            </w:r>
            <w:r>
              <w:rPr>
                <w:rFonts w:hint="eastAsia"/>
                <w:color w:val="auto"/>
                <w:sz w:val="24"/>
                <w:lang w:val="en-US" w:eastAsia="zh-CN"/>
              </w:rPr>
              <w:t>施工区</w:t>
            </w:r>
            <w:r>
              <w:rPr>
                <w:color w:val="auto"/>
                <w:sz w:val="24"/>
              </w:rPr>
              <w:t>进行维修，产生的废机油等由维修厂家带走处理。</w:t>
            </w:r>
          </w:p>
          <w:p>
            <w:pPr>
              <w:widowControl/>
              <w:numPr>
                <w:ilvl w:val="0"/>
                <w:numId w:val="0"/>
              </w:numPr>
              <w:adjustRightInd w:val="0"/>
              <w:snapToGrid w:val="0"/>
              <w:spacing w:line="360" w:lineRule="auto"/>
              <w:ind w:firstLine="480" w:firstLineChars="200"/>
              <w:jc w:val="left"/>
              <w:rPr>
                <w:rFonts w:hint="default" w:ascii="Times New Roman" w:hAnsi="Times New Roman" w:eastAsia="宋体" w:cs="Times New Roman"/>
                <w:b w:val="0"/>
                <w:bCs/>
                <w:color w:val="auto"/>
                <w:kern w:val="0"/>
                <w:sz w:val="24"/>
                <w:lang w:val="en-US" w:eastAsia="zh-CN" w:bidi="ar"/>
              </w:rPr>
            </w:pPr>
            <w:r>
              <w:rPr>
                <w:rFonts w:hint="eastAsia" w:ascii="Times New Roman" w:hAnsi="Times New Roman" w:eastAsia="宋体" w:cs="Times New Roman"/>
                <w:b w:val="0"/>
                <w:bCs/>
                <w:color w:val="auto"/>
                <w:kern w:val="0"/>
                <w:sz w:val="24"/>
                <w:lang w:val="en-US" w:eastAsia="zh-CN" w:bidi="ar"/>
              </w:rPr>
              <w:t>（1）</w:t>
            </w:r>
            <w:r>
              <w:rPr>
                <w:rFonts w:hint="default" w:ascii="Times New Roman" w:hAnsi="Times New Roman" w:eastAsia="宋体" w:cs="Times New Roman"/>
                <w:b w:val="0"/>
                <w:bCs/>
                <w:color w:val="auto"/>
                <w:kern w:val="0"/>
                <w:sz w:val="24"/>
                <w:lang w:val="en-US" w:eastAsia="zh-CN" w:bidi="ar"/>
              </w:rPr>
              <w:t>工程弃渣</w:t>
            </w:r>
          </w:p>
          <w:p>
            <w:pPr>
              <w:widowControl/>
              <w:numPr>
                <w:ilvl w:val="0"/>
                <w:numId w:val="0"/>
              </w:numPr>
              <w:adjustRightInd w:val="0"/>
              <w:snapToGrid w:val="0"/>
              <w:spacing w:line="360" w:lineRule="auto"/>
              <w:ind w:firstLine="480" w:firstLineChars="200"/>
              <w:jc w:val="left"/>
              <w:rPr>
                <w:rFonts w:hint="default" w:ascii="Times New Roman" w:hAnsi="Times New Roman" w:eastAsia="宋体" w:cs="Times New Roman"/>
                <w:b w:val="0"/>
                <w:bCs/>
                <w:color w:val="auto"/>
                <w:kern w:val="0"/>
                <w:sz w:val="24"/>
                <w:lang w:val="en-US" w:eastAsia="zh-CN" w:bidi="ar"/>
              </w:rPr>
            </w:pPr>
            <w:r>
              <w:rPr>
                <w:rFonts w:hint="default" w:ascii="Times New Roman" w:hAnsi="Times New Roman" w:eastAsia="宋体" w:cs="Times New Roman"/>
                <w:b w:val="0"/>
                <w:bCs/>
                <w:color w:val="auto"/>
                <w:kern w:val="0"/>
                <w:sz w:val="24"/>
                <w:lang w:val="en-US" w:eastAsia="zh-CN" w:bidi="ar"/>
              </w:rPr>
              <w:t>根据本工程初设报告，</w:t>
            </w:r>
            <w:r>
              <w:rPr>
                <w:rFonts w:hint="default" w:ascii="Times New Roman" w:hAnsi="Times New Roman" w:eastAsia="宋体" w:cs="Times New Roman"/>
                <w:color w:val="auto"/>
                <w:sz w:val="24"/>
                <w:szCs w:val="24"/>
              </w:rPr>
              <w:t>本工程土石方开挖1879m</w:t>
            </w:r>
            <w:r>
              <w:rPr>
                <w:rFonts w:hint="default" w:ascii="Times New Roman" w:hAnsi="Times New Roman" w:eastAsia="宋体" w:cs="Times New Roman"/>
                <w:color w:val="auto"/>
                <w:sz w:val="24"/>
                <w:szCs w:val="24"/>
                <w:vertAlign w:val="superscript"/>
              </w:rPr>
              <w:t>3</w:t>
            </w:r>
            <w:r>
              <w:rPr>
                <w:rFonts w:hint="eastAsia" w:ascii="Times New Roman" w:hAnsi="Times New Roman" w:eastAsia="宋体" w:cs="Times New Roman"/>
                <w:color w:val="auto"/>
                <w:sz w:val="24"/>
                <w:szCs w:val="24"/>
                <w:vertAlign w:val="baseline"/>
                <w:lang w:eastAsia="zh-CN"/>
              </w:rPr>
              <w:t>（</w:t>
            </w:r>
            <w:r>
              <w:rPr>
                <w:rFonts w:hint="eastAsia" w:ascii="Times New Roman" w:hAnsi="Times New Roman" w:eastAsia="宋体" w:cs="Times New Roman"/>
                <w:color w:val="auto"/>
                <w:sz w:val="24"/>
                <w:szCs w:val="24"/>
                <w:vertAlign w:val="baseline"/>
                <w:lang w:val="en-US" w:eastAsia="zh-CN"/>
              </w:rPr>
              <w:t>表土200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eastAsia" w:ascii="Times New Roman" w:hAnsi="Times New Roman" w:eastAsia="宋体" w:cs="Times New Roman"/>
                <w:color w:val="auto"/>
                <w:sz w:val="24"/>
                <w:szCs w:val="24"/>
                <w:vertAlign w:val="baseline"/>
                <w:lang w:eastAsia="zh-CN"/>
              </w:rPr>
              <w:t>）</w:t>
            </w:r>
            <w:r>
              <w:rPr>
                <w:rFonts w:hint="default" w:ascii="Times New Roman" w:hAnsi="Times New Roman" w:eastAsia="宋体" w:cs="Times New Roman"/>
                <w:color w:val="auto"/>
                <w:sz w:val="24"/>
                <w:szCs w:val="24"/>
              </w:rPr>
              <w:t>，土石回填1406m</w:t>
            </w:r>
            <w:r>
              <w:rPr>
                <w:rFonts w:hint="default" w:ascii="Times New Roman" w:hAnsi="Times New Roman" w:eastAsia="宋体" w:cs="Times New Roman"/>
                <w:color w:val="auto"/>
                <w:sz w:val="24"/>
                <w:szCs w:val="24"/>
                <w:vertAlign w:val="superscript"/>
              </w:rPr>
              <w:t>3</w:t>
            </w:r>
            <w:r>
              <w:rPr>
                <w:rFonts w:hint="eastAsia" w:ascii="Times New Roman" w:hAnsi="Times New Roman" w:eastAsia="宋体" w:cs="Times New Roman"/>
                <w:color w:val="auto"/>
                <w:sz w:val="24"/>
                <w:szCs w:val="24"/>
                <w:vertAlign w:val="baseline"/>
                <w:lang w:eastAsia="zh-CN"/>
              </w:rPr>
              <w:t>（</w:t>
            </w:r>
            <w:r>
              <w:rPr>
                <w:rFonts w:hint="eastAsia" w:ascii="Times New Roman" w:hAnsi="Times New Roman" w:eastAsia="宋体" w:cs="Times New Roman"/>
                <w:color w:val="auto"/>
                <w:sz w:val="24"/>
                <w:szCs w:val="24"/>
                <w:vertAlign w:val="baseline"/>
                <w:lang w:val="en-US" w:eastAsia="zh-CN"/>
              </w:rPr>
              <w:t>表土200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eastAsia" w:ascii="Times New Roman" w:hAnsi="Times New Roman" w:eastAsia="宋体" w:cs="Times New Roman"/>
                <w:color w:val="auto"/>
                <w:sz w:val="24"/>
                <w:szCs w:val="24"/>
                <w:vertAlign w:val="baseline"/>
                <w:lang w:eastAsia="zh-CN"/>
              </w:rPr>
              <w:t>）</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弃渣</w:t>
            </w:r>
            <w:r>
              <w:rPr>
                <w:rFonts w:hint="eastAsia" w:ascii="Times New Roman" w:hAnsi="Times New Roman" w:eastAsia="宋体" w:cs="Times New Roman"/>
                <w:color w:val="auto"/>
                <w:sz w:val="24"/>
                <w:szCs w:val="24"/>
                <w:lang w:val="en-US" w:eastAsia="zh-CN"/>
              </w:rPr>
              <w:t>473</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eastAsia" w:ascii="Times New Roman" w:hAnsi="Times New Roman" w:eastAsia="宋体" w:cs="Times New Roman"/>
                <w:color w:val="auto"/>
                <w:sz w:val="24"/>
                <w:szCs w:val="24"/>
                <w:vertAlign w:val="baseline"/>
                <w:lang w:eastAsia="zh-CN"/>
              </w:rPr>
              <w:t>，</w:t>
            </w:r>
            <w:r>
              <w:rPr>
                <w:rFonts w:hint="eastAsia" w:ascii="Times New Roman" w:hAnsi="Times New Roman" w:eastAsia="宋体" w:cs="Times New Roman"/>
                <w:color w:val="auto"/>
                <w:sz w:val="24"/>
                <w:szCs w:val="24"/>
                <w:vertAlign w:val="baseline"/>
                <w:lang w:val="en-US" w:eastAsia="zh-CN"/>
              </w:rPr>
              <w:t>弃渣</w:t>
            </w:r>
            <w:r>
              <w:rPr>
                <w:rFonts w:hint="default" w:ascii="Times New Roman" w:hAnsi="Times New Roman" w:eastAsia="宋体" w:cs="Times New Roman"/>
                <w:color w:val="auto"/>
                <w:sz w:val="24"/>
                <w:szCs w:val="24"/>
                <w:lang w:val="en-US" w:eastAsia="zh-CN"/>
              </w:rPr>
              <w:t>运至本项目临时</w:t>
            </w:r>
            <w:r>
              <w:rPr>
                <w:rFonts w:hint="default" w:ascii="Times New Roman" w:hAnsi="Times New Roman" w:cs="Times New Roman"/>
                <w:color w:val="auto"/>
                <w:sz w:val="24"/>
                <w:highlight w:val="none"/>
              </w:rPr>
              <w:t>石渣料场</w:t>
            </w:r>
            <w:r>
              <w:rPr>
                <w:rFonts w:hint="eastAsia" w:ascii="Times New Roman" w:hAnsi="Times New Roman" w:eastAsia="宋体" w:cs="Times New Roman"/>
                <w:color w:val="auto"/>
                <w:sz w:val="24"/>
                <w:szCs w:val="24"/>
                <w:lang w:val="en-US" w:eastAsia="zh-CN"/>
              </w:rPr>
              <w:t>堆放，最后运至乐山市指定弃渣场进行堆放</w:t>
            </w:r>
            <w:r>
              <w:rPr>
                <w:rFonts w:hint="default" w:ascii="Times New Roman" w:hAnsi="Times New Roman" w:eastAsia="宋体" w:cs="Times New Roman"/>
                <w:b w:val="0"/>
                <w:bCs/>
                <w:color w:val="auto"/>
                <w:kern w:val="0"/>
                <w:sz w:val="24"/>
                <w:lang w:val="en-US" w:eastAsia="zh-CN" w:bidi="ar"/>
              </w:rPr>
              <w:t>。</w:t>
            </w:r>
          </w:p>
          <w:p>
            <w:pPr>
              <w:widowControl/>
              <w:numPr>
                <w:ilvl w:val="0"/>
                <w:numId w:val="0"/>
              </w:numPr>
              <w:adjustRightInd w:val="0"/>
              <w:snapToGrid w:val="0"/>
              <w:spacing w:line="360" w:lineRule="auto"/>
              <w:ind w:firstLine="480" w:firstLineChars="200"/>
              <w:jc w:val="left"/>
              <w:rPr>
                <w:rFonts w:hint="default" w:ascii="Times New Roman" w:hAnsi="Times New Roman" w:eastAsia="宋体" w:cs="Times New Roman"/>
                <w:b w:val="0"/>
                <w:bCs/>
                <w:color w:val="auto"/>
                <w:kern w:val="0"/>
                <w:sz w:val="24"/>
                <w:lang w:val="en-US" w:eastAsia="zh-CN" w:bidi="ar"/>
              </w:rPr>
            </w:pPr>
            <w:r>
              <w:rPr>
                <w:rFonts w:hint="eastAsia" w:ascii="Times New Roman" w:hAnsi="Times New Roman" w:eastAsia="宋体" w:cs="Times New Roman"/>
                <w:b w:val="0"/>
                <w:bCs/>
                <w:color w:val="auto"/>
                <w:kern w:val="0"/>
                <w:sz w:val="24"/>
                <w:lang w:val="en-US" w:eastAsia="zh-CN" w:bidi="ar"/>
              </w:rPr>
              <w:t>（2）</w:t>
            </w:r>
            <w:r>
              <w:rPr>
                <w:rFonts w:hint="default" w:ascii="Times New Roman" w:hAnsi="Times New Roman" w:eastAsia="宋体" w:cs="Times New Roman"/>
                <w:b w:val="0"/>
                <w:bCs/>
                <w:color w:val="auto"/>
                <w:kern w:val="0"/>
                <w:sz w:val="24"/>
                <w:lang w:val="en-US" w:eastAsia="zh-CN" w:bidi="ar"/>
              </w:rPr>
              <w:t>拆除的建筑垃圾与旧设备</w:t>
            </w:r>
          </w:p>
          <w:p>
            <w:pPr>
              <w:widowControl/>
              <w:numPr>
                <w:ilvl w:val="0"/>
                <w:numId w:val="0"/>
              </w:numPr>
              <w:adjustRightInd w:val="0"/>
              <w:snapToGrid w:val="0"/>
              <w:spacing w:line="360" w:lineRule="auto"/>
              <w:ind w:firstLine="480" w:firstLineChars="200"/>
              <w:jc w:val="left"/>
              <w:rPr>
                <w:rFonts w:hint="default" w:ascii="Times New Roman" w:hAnsi="Times New Roman" w:eastAsia="宋体" w:cs="Times New Roman"/>
                <w:b w:val="0"/>
                <w:bCs/>
                <w:color w:val="auto"/>
                <w:kern w:val="0"/>
                <w:sz w:val="24"/>
                <w:lang w:val="en-US" w:eastAsia="zh-CN" w:bidi="ar"/>
              </w:rPr>
            </w:pPr>
            <w:r>
              <w:rPr>
                <w:rFonts w:hint="default" w:ascii="Times New Roman" w:hAnsi="Times New Roman" w:eastAsia="宋体" w:cs="Times New Roman"/>
                <w:b w:val="0"/>
                <w:bCs/>
                <w:color w:val="auto"/>
                <w:kern w:val="0"/>
                <w:sz w:val="24"/>
                <w:lang w:val="en-US" w:eastAsia="zh-CN" w:bidi="ar"/>
              </w:rPr>
              <w:t>本工程对破损的防浪面板进行更换，放水塔栏杆、拆除放水塔观察孔上的钢筋盖板、更换原有观测设施、对</w:t>
            </w:r>
            <w:r>
              <w:rPr>
                <w:rFonts w:hint="eastAsia" w:ascii="Times New Roman" w:hAnsi="Times New Roman" w:eastAsia="宋体" w:cs="Times New Roman"/>
                <w:b w:val="0"/>
                <w:bCs/>
                <w:color w:val="auto"/>
                <w:kern w:val="0"/>
                <w:sz w:val="24"/>
                <w:lang w:val="en-US" w:eastAsia="zh-CN" w:bidi="ar"/>
              </w:rPr>
              <w:t>旧桥</w:t>
            </w:r>
            <w:r>
              <w:rPr>
                <w:rFonts w:hint="default" w:ascii="Times New Roman" w:hAnsi="Times New Roman" w:eastAsia="宋体" w:cs="Times New Roman"/>
                <w:b w:val="0"/>
                <w:bCs/>
                <w:color w:val="auto"/>
                <w:kern w:val="0"/>
                <w:sz w:val="24"/>
                <w:lang w:val="en-US" w:eastAsia="zh-CN" w:bidi="ar"/>
              </w:rPr>
              <w:t>进行拆除重建</w:t>
            </w:r>
            <w:r>
              <w:rPr>
                <w:rFonts w:hint="eastAsia" w:ascii="Times New Roman" w:hAnsi="Times New Roman" w:eastAsia="宋体" w:cs="Times New Roman"/>
                <w:b w:val="0"/>
                <w:bCs/>
                <w:color w:val="auto"/>
                <w:kern w:val="0"/>
                <w:sz w:val="24"/>
                <w:lang w:val="en-US" w:eastAsia="zh-CN" w:bidi="ar"/>
              </w:rPr>
              <w:t>、施工完工后沉淀池拆除固废</w:t>
            </w:r>
            <w:r>
              <w:rPr>
                <w:rFonts w:hint="default" w:ascii="Times New Roman" w:hAnsi="Times New Roman" w:eastAsia="宋体" w:cs="Times New Roman"/>
                <w:b w:val="0"/>
                <w:bCs/>
                <w:color w:val="auto"/>
                <w:kern w:val="0"/>
                <w:sz w:val="24"/>
                <w:lang w:val="en-US" w:eastAsia="zh-CN" w:bidi="ar"/>
              </w:rPr>
              <w:t>等，工程对金属结构等设备拆除后外售资源回收站，不可回收部分作为工程弃渣运至乐山指定弃渣场进行堆放。</w:t>
            </w:r>
          </w:p>
          <w:p>
            <w:pPr>
              <w:widowControl/>
              <w:numPr>
                <w:ilvl w:val="0"/>
                <w:numId w:val="0"/>
              </w:numPr>
              <w:adjustRightInd w:val="0"/>
              <w:snapToGrid w:val="0"/>
              <w:spacing w:line="360" w:lineRule="auto"/>
              <w:ind w:leftChars="200"/>
              <w:jc w:val="left"/>
              <w:rPr>
                <w:rFonts w:hint="eastAsia" w:ascii="Times New Roman" w:hAnsi="Times New Roman" w:eastAsia="宋体" w:cs="Times New Roman"/>
                <w:b w:val="0"/>
                <w:bCs/>
                <w:color w:val="auto"/>
                <w:kern w:val="0"/>
                <w:sz w:val="24"/>
                <w:lang w:val="en-US" w:eastAsia="zh-CN" w:bidi="ar"/>
              </w:rPr>
            </w:pPr>
            <w:r>
              <w:rPr>
                <w:rFonts w:hint="eastAsia" w:ascii="Times New Roman" w:hAnsi="Times New Roman" w:eastAsia="宋体" w:cs="Times New Roman"/>
                <w:b w:val="0"/>
                <w:bCs/>
                <w:color w:val="auto"/>
                <w:kern w:val="0"/>
                <w:sz w:val="24"/>
                <w:lang w:val="en-US" w:eastAsia="zh-CN" w:bidi="ar"/>
              </w:rPr>
              <w:t>（3）沉淀池沉渣</w:t>
            </w:r>
          </w:p>
          <w:p>
            <w:pPr>
              <w:widowControl/>
              <w:numPr>
                <w:ilvl w:val="0"/>
                <w:numId w:val="0"/>
              </w:numPr>
              <w:adjustRightInd w:val="0"/>
              <w:snapToGrid w:val="0"/>
              <w:spacing w:line="360" w:lineRule="auto"/>
              <w:ind w:firstLine="480" w:firstLineChars="200"/>
              <w:jc w:val="left"/>
              <w:rPr>
                <w:rFonts w:hint="eastAsia" w:ascii="Times New Roman" w:hAnsi="Times New Roman" w:eastAsia="宋体" w:cs="Times New Roman"/>
                <w:b w:val="0"/>
                <w:bCs/>
                <w:color w:val="auto"/>
                <w:kern w:val="0"/>
                <w:sz w:val="24"/>
                <w:lang w:val="en-US" w:eastAsia="zh-CN" w:bidi="ar"/>
              </w:rPr>
            </w:pPr>
            <w:r>
              <w:rPr>
                <w:bCs/>
                <w:color w:val="auto"/>
                <w:sz w:val="24"/>
              </w:rPr>
              <w:t>项目沉淀池</w:t>
            </w:r>
            <w:r>
              <w:rPr>
                <w:rFonts w:hint="eastAsia" w:ascii="Times New Roman" w:hAnsi="Times New Roman" w:eastAsia="宋体" w:cs="Times New Roman"/>
                <w:b w:val="0"/>
                <w:bCs/>
                <w:color w:val="auto"/>
                <w:kern w:val="0"/>
                <w:sz w:val="24"/>
                <w:lang w:val="en-US" w:eastAsia="zh-CN" w:bidi="ar"/>
              </w:rPr>
              <w:t>沉渣</w:t>
            </w:r>
            <w:r>
              <w:rPr>
                <w:bCs/>
                <w:color w:val="auto"/>
                <w:sz w:val="24"/>
              </w:rPr>
              <w:t>产生量约为</w:t>
            </w:r>
            <w:r>
              <w:rPr>
                <w:rFonts w:hint="eastAsia"/>
                <w:bCs/>
                <w:color w:val="auto"/>
                <w:sz w:val="24"/>
                <w:lang w:val="en-US" w:eastAsia="zh-CN"/>
              </w:rPr>
              <w:t>0.05</w:t>
            </w:r>
            <w:r>
              <w:rPr>
                <w:bCs/>
                <w:color w:val="auto"/>
                <w:sz w:val="24"/>
              </w:rPr>
              <w:t>t，</w:t>
            </w:r>
            <w:r>
              <w:rPr>
                <w:rFonts w:hint="eastAsia"/>
                <w:bCs/>
                <w:color w:val="auto"/>
                <w:sz w:val="24"/>
                <w:lang w:val="en-US" w:eastAsia="zh-CN"/>
              </w:rPr>
              <w:t>定期清理，</w:t>
            </w:r>
            <w:r>
              <w:rPr>
                <w:rFonts w:hint="eastAsia" w:ascii="Times New Roman" w:hAnsi="Times New Roman" w:cs="Times New Roman"/>
                <w:color w:val="auto"/>
                <w:sz w:val="24"/>
                <w:highlight w:val="none"/>
                <w:lang w:val="en-US" w:eastAsia="zh-CN"/>
              </w:rPr>
              <w:t>晒开后与弃渣一并运至</w:t>
            </w:r>
            <w:r>
              <w:rPr>
                <w:rFonts w:hint="eastAsia" w:ascii="Times New Roman" w:hAnsi="Times New Roman" w:eastAsia="宋体" w:cs="Times New Roman"/>
                <w:color w:val="auto"/>
                <w:sz w:val="24"/>
                <w:szCs w:val="24"/>
                <w:lang w:val="en-US" w:eastAsia="zh-CN"/>
              </w:rPr>
              <w:t>乐山市指定弃渣场进行堆放</w:t>
            </w:r>
            <w:r>
              <w:rPr>
                <w:bCs/>
                <w:color w:val="auto"/>
                <w:sz w:val="24"/>
              </w:rPr>
              <w:t>。</w:t>
            </w:r>
          </w:p>
          <w:p>
            <w:pPr>
              <w:widowControl/>
              <w:numPr>
                <w:ilvl w:val="0"/>
                <w:numId w:val="0"/>
              </w:numPr>
              <w:adjustRightInd w:val="0"/>
              <w:snapToGrid w:val="0"/>
              <w:spacing w:line="360" w:lineRule="auto"/>
              <w:ind w:leftChars="200"/>
              <w:jc w:val="left"/>
              <w:rPr>
                <w:rFonts w:hint="default" w:ascii="Times New Roman" w:hAnsi="Times New Roman" w:eastAsia="宋体" w:cs="Times New Roman"/>
                <w:b w:val="0"/>
                <w:bCs/>
                <w:color w:val="auto"/>
                <w:kern w:val="0"/>
                <w:sz w:val="24"/>
                <w:lang w:val="en-US" w:eastAsia="zh-CN" w:bidi="ar"/>
              </w:rPr>
            </w:pPr>
            <w:r>
              <w:rPr>
                <w:rFonts w:hint="eastAsia" w:ascii="Times New Roman" w:hAnsi="Times New Roman" w:eastAsia="宋体" w:cs="Times New Roman"/>
                <w:b w:val="0"/>
                <w:bCs/>
                <w:color w:val="auto"/>
                <w:kern w:val="0"/>
                <w:sz w:val="24"/>
                <w:lang w:val="en-US" w:eastAsia="zh-CN" w:bidi="ar"/>
              </w:rPr>
              <w:t>（4）</w:t>
            </w:r>
            <w:r>
              <w:rPr>
                <w:rFonts w:hint="default" w:ascii="Times New Roman" w:hAnsi="Times New Roman" w:eastAsia="宋体" w:cs="Times New Roman"/>
                <w:b w:val="0"/>
                <w:bCs/>
                <w:color w:val="auto"/>
                <w:kern w:val="0"/>
                <w:sz w:val="24"/>
                <w:lang w:val="en-US" w:eastAsia="zh-CN" w:bidi="ar"/>
              </w:rPr>
              <w:t xml:space="preserve">生活垃圾 </w:t>
            </w:r>
          </w:p>
          <w:p>
            <w:pPr>
              <w:widowControl/>
              <w:numPr>
                <w:ilvl w:val="0"/>
                <w:numId w:val="0"/>
              </w:numPr>
              <w:adjustRightInd w:val="0"/>
              <w:snapToGrid w:val="0"/>
              <w:spacing w:line="360" w:lineRule="auto"/>
              <w:ind w:firstLine="480" w:firstLineChars="200"/>
              <w:jc w:val="left"/>
              <w:rPr>
                <w:rFonts w:hint="default" w:ascii="Times New Roman" w:hAnsi="Times New Roman" w:eastAsia="宋体" w:cs="Times New Roman"/>
                <w:b w:val="0"/>
                <w:bCs/>
                <w:color w:val="auto"/>
                <w:kern w:val="0"/>
                <w:sz w:val="24"/>
                <w:lang w:val="en-US" w:eastAsia="zh-CN" w:bidi="ar"/>
              </w:rPr>
            </w:pPr>
            <w:r>
              <w:rPr>
                <w:rFonts w:hint="default" w:ascii="Times New Roman" w:hAnsi="Times New Roman" w:eastAsia="宋体" w:cs="Times New Roman"/>
                <w:b w:val="0"/>
                <w:bCs/>
                <w:color w:val="auto"/>
                <w:kern w:val="0"/>
                <w:sz w:val="24"/>
                <w:lang w:val="en-US" w:eastAsia="zh-CN" w:bidi="ar"/>
              </w:rPr>
              <w:t>生活垃圾主要来源于施工人员日常生活所丢弃的纸屑、废弃物等。工程施工期间，高峰期上工人数为</w:t>
            </w:r>
            <w:r>
              <w:rPr>
                <w:rFonts w:hint="eastAsia" w:ascii="Times New Roman" w:hAnsi="Times New Roman" w:eastAsia="宋体" w:cs="Times New Roman"/>
                <w:b w:val="0"/>
                <w:bCs/>
                <w:color w:val="auto"/>
                <w:kern w:val="0"/>
                <w:sz w:val="24"/>
                <w:lang w:val="en-US" w:eastAsia="zh-CN" w:bidi="ar"/>
              </w:rPr>
              <w:t>50</w:t>
            </w:r>
            <w:r>
              <w:rPr>
                <w:rFonts w:hint="default" w:ascii="Times New Roman" w:hAnsi="Times New Roman" w:eastAsia="宋体" w:cs="Times New Roman"/>
                <w:b w:val="0"/>
                <w:bCs/>
                <w:color w:val="auto"/>
                <w:kern w:val="0"/>
                <w:sz w:val="24"/>
                <w:lang w:val="en-US" w:eastAsia="zh-CN" w:bidi="ar"/>
              </w:rPr>
              <w:t>人，按按每人每天产生0.5kg垃圾计算，则生活垃圾产生量为</w:t>
            </w:r>
            <w:r>
              <w:rPr>
                <w:rFonts w:hint="eastAsia" w:ascii="Times New Roman" w:hAnsi="Times New Roman" w:eastAsia="宋体" w:cs="Times New Roman"/>
                <w:b w:val="0"/>
                <w:bCs/>
                <w:color w:val="auto"/>
                <w:kern w:val="0"/>
                <w:sz w:val="24"/>
                <w:lang w:val="en-US" w:eastAsia="zh-CN" w:bidi="ar"/>
              </w:rPr>
              <w:t>25</w:t>
            </w:r>
            <w:r>
              <w:rPr>
                <w:rFonts w:hint="default" w:ascii="Times New Roman" w:hAnsi="Times New Roman" w:eastAsia="宋体" w:cs="Times New Roman"/>
                <w:b w:val="0"/>
                <w:bCs/>
                <w:color w:val="auto"/>
                <w:kern w:val="0"/>
                <w:sz w:val="24"/>
                <w:lang w:val="en-US" w:eastAsia="zh-CN" w:bidi="ar"/>
              </w:rPr>
              <w:t>kg/d。生活垃圾应分类收集，定点堆放，交由当地环卫部门清运处理。</w:t>
            </w:r>
          </w:p>
          <w:p>
            <w:pPr>
              <w:widowControl/>
              <w:numPr>
                <w:ilvl w:val="0"/>
                <w:numId w:val="0"/>
              </w:numPr>
              <w:adjustRightInd w:val="0"/>
              <w:snapToGrid w:val="0"/>
              <w:spacing w:line="360" w:lineRule="auto"/>
              <w:ind w:leftChars="200"/>
              <w:jc w:val="left"/>
              <w:rPr>
                <w:rFonts w:hint="default" w:ascii="Times New Roman" w:hAnsi="Times New Roman" w:eastAsia="宋体" w:cs="Times New Roman"/>
                <w:b w:val="0"/>
                <w:bCs/>
                <w:color w:val="auto"/>
                <w:kern w:val="0"/>
                <w:sz w:val="24"/>
                <w:lang w:val="en-US" w:eastAsia="zh-CN" w:bidi="ar"/>
              </w:rPr>
            </w:pPr>
            <w:r>
              <w:rPr>
                <w:rFonts w:hint="eastAsia" w:ascii="Times New Roman" w:hAnsi="Times New Roman" w:eastAsia="宋体" w:cs="Times New Roman"/>
                <w:b w:val="0"/>
                <w:bCs/>
                <w:color w:val="auto"/>
                <w:kern w:val="0"/>
                <w:sz w:val="24"/>
                <w:lang w:val="en-US" w:eastAsia="zh-CN" w:bidi="ar"/>
              </w:rPr>
              <w:t>（5）</w:t>
            </w:r>
            <w:r>
              <w:rPr>
                <w:rFonts w:hint="default" w:ascii="Times New Roman" w:hAnsi="Times New Roman" w:eastAsia="宋体" w:cs="Times New Roman"/>
                <w:b w:val="0"/>
                <w:bCs/>
                <w:color w:val="auto"/>
                <w:kern w:val="0"/>
                <w:sz w:val="24"/>
                <w:lang w:val="en-US" w:eastAsia="zh-CN" w:bidi="ar"/>
              </w:rPr>
              <w:t>白蚁防治废药品包装袋</w:t>
            </w:r>
          </w:p>
          <w:p>
            <w:pPr>
              <w:widowControl/>
              <w:numPr>
                <w:ilvl w:val="0"/>
                <w:numId w:val="0"/>
              </w:numPr>
              <w:adjustRightInd w:val="0"/>
              <w:snapToGrid w:val="0"/>
              <w:spacing w:line="360" w:lineRule="auto"/>
              <w:ind w:firstLine="480" w:firstLineChars="200"/>
              <w:jc w:val="left"/>
              <w:rPr>
                <w:rFonts w:hint="default" w:ascii="Times New Roman" w:hAnsi="Times New Roman" w:eastAsia="宋体" w:cs="Times New Roman"/>
                <w:bCs/>
                <w:color w:val="auto"/>
                <w:szCs w:val="21"/>
                <w:lang w:eastAsia="zh-CN"/>
              </w:rPr>
            </w:pPr>
            <w:r>
              <w:rPr>
                <w:rFonts w:hint="default" w:ascii="Times New Roman" w:hAnsi="Times New Roman" w:eastAsia="宋体" w:cs="Times New Roman"/>
                <w:b w:val="0"/>
                <w:bCs/>
                <w:color w:val="auto"/>
                <w:kern w:val="0"/>
                <w:sz w:val="24"/>
                <w:lang w:val="en-US" w:eastAsia="zh-CN" w:bidi="ar"/>
              </w:rPr>
              <w:t>本项目采取药物对水库大坝外坡白蚁进行整治，期间会产生少量的白蚁防治废药品包装袋</w:t>
            </w:r>
            <w:r>
              <w:rPr>
                <w:rFonts w:hint="eastAsia" w:ascii="Times New Roman" w:hAnsi="Times New Roman" w:eastAsia="宋体" w:cs="Times New Roman"/>
                <w:b w:val="0"/>
                <w:bCs/>
                <w:color w:val="auto"/>
                <w:kern w:val="0"/>
                <w:sz w:val="24"/>
                <w:lang w:val="en-US" w:eastAsia="zh-CN" w:bidi="ar"/>
              </w:rPr>
              <w:t>，产生量约为0.01t，</w:t>
            </w:r>
            <w:r>
              <w:rPr>
                <w:rFonts w:hint="default" w:ascii="Times New Roman" w:hAnsi="Times New Roman" w:eastAsia="宋体" w:cs="Times New Roman"/>
                <w:b w:val="0"/>
                <w:bCs/>
                <w:color w:val="auto"/>
                <w:kern w:val="0"/>
                <w:sz w:val="24"/>
                <w:lang w:val="en-US" w:eastAsia="zh-CN" w:bidi="ar"/>
              </w:rPr>
              <w:t>收集后交由</w:t>
            </w:r>
            <w:r>
              <w:rPr>
                <w:rFonts w:hint="eastAsia" w:ascii="Times New Roman" w:hAnsi="Times New Roman" w:eastAsia="宋体" w:cs="Times New Roman"/>
                <w:b w:val="0"/>
                <w:bCs/>
                <w:color w:val="auto"/>
                <w:kern w:val="0"/>
                <w:sz w:val="24"/>
                <w:lang w:val="en-US" w:eastAsia="zh-CN" w:bidi="ar"/>
              </w:rPr>
              <w:t>厂家回收。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359" w:type="pct"/>
            <w:noWrap w:val="0"/>
            <w:tcMar>
              <w:left w:w="28" w:type="dxa"/>
              <w:right w:w="28" w:type="dxa"/>
            </w:tcMar>
            <w:vAlign w:val="center"/>
          </w:tcPr>
          <w:p>
            <w:pPr>
              <w:pStyle w:val="34"/>
              <w:keepNext w:val="0"/>
              <w:keepLines w:val="0"/>
              <w:pageBreakBefore w:val="0"/>
              <w:kinsoku/>
              <w:wordWrap/>
              <w:overflowPunct/>
              <w:topLinePunct w:val="0"/>
              <w:bidi w:val="0"/>
              <w:adjustRightInd w:val="0"/>
              <w:snapToGrid w:val="0"/>
              <w:spacing w:before="0" w:beforeAutospacing="0" w:after="0" w:afterAutospacing="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spacing w:val="10"/>
                <w:kern w:val="2"/>
                <w:sz w:val="21"/>
                <w:szCs w:val="21"/>
              </w:rPr>
              <w:t>运营期生态环境影响分析</w:t>
            </w:r>
          </w:p>
        </w:tc>
        <w:tc>
          <w:tcPr>
            <w:tcW w:w="4640" w:type="pct"/>
            <w:noWrap w:val="0"/>
            <w:vAlign w:val="center"/>
          </w:tcPr>
          <w:p>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lang w:bidi="ar"/>
              </w:rPr>
            </w:pPr>
            <w:r>
              <w:rPr>
                <w:rFonts w:hint="default" w:ascii="Times New Roman" w:hAnsi="Times New Roman" w:eastAsia="宋体" w:cs="Times New Roman"/>
                <w:color w:val="auto"/>
                <w:kern w:val="0"/>
                <w:sz w:val="24"/>
                <w:szCs w:val="24"/>
                <w:lang w:bidi="ar"/>
              </w:rPr>
              <w:t>由于本</w:t>
            </w:r>
            <w:r>
              <w:rPr>
                <w:rFonts w:hint="eastAsia" w:ascii="Times New Roman" w:hAnsi="Times New Roman" w:eastAsia="宋体" w:cs="Times New Roman"/>
                <w:color w:val="auto"/>
                <w:kern w:val="0"/>
                <w:sz w:val="24"/>
                <w:szCs w:val="24"/>
                <w:lang w:val="en-US" w:eastAsia="zh-CN" w:bidi="ar"/>
              </w:rPr>
              <w:t>次</w:t>
            </w:r>
            <w:r>
              <w:rPr>
                <w:rFonts w:hint="default" w:ascii="Times New Roman" w:hAnsi="Times New Roman" w:eastAsia="宋体" w:cs="Times New Roman"/>
                <w:color w:val="auto"/>
                <w:kern w:val="0"/>
                <w:sz w:val="24"/>
                <w:szCs w:val="24"/>
                <w:lang w:bidi="ar"/>
              </w:rPr>
              <w:t>除险加固工程是在已经建成的水库大坝、溢洪道等原有基础上进行修缮、加固和维护，该项目完成后水库集水面积、库容和管理范围不发生变化，运行期生态环境维持现状。由于堤顶防汛道路不允许无关车辆进入，且考虑一般农用车辆行驶速度较低，运营期噪声源强一般小于60dB</w:t>
            </w:r>
            <w:r>
              <w:rPr>
                <w:rFonts w:hint="eastAsia" w:ascii="Times New Roman" w:hAnsi="Times New Roman" w:eastAsia="宋体" w:cs="Times New Roman"/>
                <w:color w:val="auto"/>
                <w:kern w:val="0"/>
                <w:sz w:val="24"/>
                <w:szCs w:val="24"/>
                <w:lang w:eastAsia="zh-CN" w:bidi="ar"/>
              </w:rPr>
              <w:t>（</w:t>
            </w:r>
            <w:r>
              <w:rPr>
                <w:rFonts w:hint="eastAsia" w:ascii="Times New Roman" w:hAnsi="Times New Roman" w:eastAsia="宋体" w:cs="Times New Roman"/>
                <w:color w:val="auto"/>
                <w:kern w:val="0"/>
                <w:sz w:val="24"/>
                <w:szCs w:val="24"/>
                <w:lang w:val="en-US" w:eastAsia="zh-CN" w:bidi="ar"/>
              </w:rPr>
              <w:t>A</w:t>
            </w:r>
            <w:r>
              <w:rPr>
                <w:rFonts w:hint="eastAsia" w:ascii="Times New Roman" w:hAnsi="Times New Roman" w:eastAsia="宋体" w:cs="Times New Roman"/>
                <w:color w:val="auto"/>
                <w:kern w:val="0"/>
                <w:sz w:val="24"/>
                <w:szCs w:val="24"/>
                <w:lang w:eastAsia="zh-CN" w:bidi="ar"/>
              </w:rPr>
              <w:t>）</w:t>
            </w:r>
            <w:r>
              <w:rPr>
                <w:rFonts w:hint="default" w:ascii="Times New Roman" w:hAnsi="Times New Roman" w:eastAsia="宋体" w:cs="Times New Roman"/>
                <w:color w:val="auto"/>
                <w:kern w:val="0"/>
                <w:sz w:val="24"/>
                <w:szCs w:val="24"/>
                <w:lang w:bidi="ar"/>
              </w:rPr>
              <w:t>，不会对周边环境敏感点的声环境质量产生不利影响。运营期不新增工程管理人员，运行期生活污水、生活垃圾均不新增。工程运行过程中对区域内生态结构和功能无影响。</w:t>
            </w:r>
          </w:p>
          <w:p>
            <w:pPr>
              <w:autoSpaceDE w:val="0"/>
              <w:autoSpaceDN w:val="0"/>
              <w:adjustRightInd w:val="0"/>
              <w:spacing w:line="360" w:lineRule="auto"/>
              <w:ind w:firstLine="480" w:firstLineChars="200"/>
              <w:rPr>
                <w:color w:val="auto"/>
                <w:kern w:val="0"/>
                <w:sz w:val="24"/>
              </w:rPr>
            </w:pPr>
            <w:r>
              <w:rPr>
                <w:rFonts w:hint="default" w:ascii="Times New Roman" w:hAnsi="Times New Roman" w:eastAsia="宋体" w:cs="Times New Roman"/>
                <w:color w:val="auto"/>
                <w:kern w:val="0"/>
                <w:sz w:val="24"/>
                <w:szCs w:val="24"/>
                <w:lang w:bidi="ar"/>
              </w:rPr>
              <w:t>环境效益：水库枢纽工程病害已对水库安全运行构成严重威胁，一旦失事，不仅将给灌区农业生产及下游人民群众生产生活造成极大打击，更为重要的是水库失事后影响下游亩耕地和人民群众的安全。水库除险加固工程实施后，可确保水库安全稳定运行，避免可能产生的上述不利后果，其防洪效益是十分显著的。</w:t>
            </w:r>
            <w:r>
              <w:rPr>
                <w:rFonts w:hint="eastAsia"/>
                <w:color w:val="auto"/>
                <w:kern w:val="0"/>
                <w:sz w:val="24"/>
              </w:rPr>
              <w:t>工程实施生态流量下泄，并制定了下泄措施，通</w:t>
            </w:r>
            <w:r>
              <w:rPr>
                <w:color w:val="auto"/>
                <w:kern w:val="0"/>
                <w:sz w:val="24"/>
              </w:rPr>
              <w:t>过水库生态流量管</w:t>
            </w:r>
            <w:r>
              <w:rPr>
                <w:rFonts w:hint="eastAsia"/>
                <w:color w:val="auto"/>
                <w:kern w:val="0"/>
                <w:sz w:val="24"/>
              </w:rPr>
              <w:t>下泄不小于</w:t>
            </w:r>
            <w:r>
              <w:rPr>
                <w:rFonts w:hint="eastAsia"/>
                <w:color w:val="auto"/>
                <w:kern w:val="0"/>
                <w:sz w:val="24"/>
                <w:lang w:val="en-US" w:eastAsia="zh-CN"/>
              </w:rPr>
              <w:t>0.2</w:t>
            </w:r>
            <w:r>
              <w:rPr>
                <w:rFonts w:hint="eastAsia"/>
                <w:color w:val="auto"/>
                <w:kern w:val="0"/>
                <w:sz w:val="24"/>
              </w:rPr>
              <w:t>m</w:t>
            </w:r>
            <w:r>
              <w:rPr>
                <w:rFonts w:hint="eastAsia"/>
                <w:color w:val="auto"/>
                <w:kern w:val="0"/>
                <w:sz w:val="24"/>
                <w:vertAlign w:val="superscript"/>
              </w:rPr>
              <w:t>3</w:t>
            </w:r>
            <w:r>
              <w:rPr>
                <w:rFonts w:hint="eastAsia"/>
                <w:color w:val="auto"/>
                <w:kern w:val="0"/>
                <w:sz w:val="24"/>
              </w:rPr>
              <w:t>/s的生态流量</w:t>
            </w:r>
            <w:r>
              <w:rPr>
                <w:rFonts w:hint="eastAsia"/>
                <w:color w:val="auto"/>
                <w:kern w:val="0"/>
                <w:sz w:val="24"/>
                <w:lang w:val="en-US" w:eastAsia="zh-CN"/>
              </w:rPr>
              <w:t>流入冷水河，冷水河汇入凌云河</w:t>
            </w:r>
            <w:r>
              <w:rPr>
                <w:rFonts w:hint="eastAsia"/>
                <w:color w:val="auto"/>
                <w:kern w:val="0"/>
                <w:sz w:val="24"/>
              </w:rPr>
              <w:t>，可满足下</w:t>
            </w:r>
            <w:r>
              <w:rPr>
                <w:rFonts w:hint="default" w:ascii="Times New Roman" w:hAnsi="Times New Roman" w:eastAsia="宋体" w:cs="Times New Roman"/>
                <w:b w:val="0"/>
                <w:bCs w:val="0"/>
                <w:color w:val="auto"/>
                <w:sz w:val="24"/>
                <w:lang w:val="en-US" w:eastAsia="zh-CN"/>
              </w:rPr>
              <w:t>凌云河大佛景区段生态环保用水问题</w:t>
            </w:r>
            <w:r>
              <w:rPr>
                <w:rFonts w:hint="eastAsia"/>
                <w:color w:val="auto"/>
                <w:kern w:val="0"/>
                <w:sz w:val="24"/>
              </w:rPr>
              <w:t>。</w:t>
            </w:r>
          </w:p>
          <w:p>
            <w:pPr>
              <w:widowControl/>
              <w:adjustRightInd w:val="0"/>
              <w:snapToGrid w:val="0"/>
              <w:spacing w:line="360" w:lineRule="auto"/>
              <w:ind w:firstLine="480" w:firstLineChars="200"/>
              <w:rPr>
                <w:rFonts w:hint="eastAsia" w:ascii="Times New Roman" w:hAnsi="Times New Roman" w:eastAsia="宋体" w:cs="Times New Roman"/>
                <w:bCs/>
                <w:color w:val="auto"/>
                <w:szCs w:val="21"/>
                <w:lang w:val="en-US" w:eastAsia="zh-CN"/>
              </w:rPr>
            </w:pPr>
            <w:r>
              <w:rPr>
                <w:rFonts w:hint="default" w:ascii="Times New Roman" w:hAnsi="Times New Roman" w:eastAsia="宋体" w:cs="Times New Roman"/>
                <w:color w:val="auto"/>
                <w:kern w:val="0"/>
                <w:sz w:val="24"/>
                <w:szCs w:val="24"/>
                <w:lang w:bidi="ar"/>
              </w:rPr>
              <w:t>经济效益：水库病害整治工程建成投产后，可有效排除水库险情，防止水库漏水，恢复水库利用，实现灌溉效益。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59" w:type="pct"/>
            <w:noWrap w:val="0"/>
            <w:vAlign w:val="center"/>
          </w:tcPr>
          <w:p>
            <w:pPr>
              <w:pStyle w:val="34"/>
              <w:keepNext w:val="0"/>
              <w:keepLines w:val="0"/>
              <w:pageBreakBefore w:val="0"/>
              <w:kinsoku/>
              <w:wordWrap/>
              <w:overflowPunct/>
              <w:topLinePunct w:val="0"/>
              <w:bidi w:val="0"/>
              <w:adjustRightInd w:val="0"/>
              <w:snapToGrid w:val="0"/>
              <w:spacing w:before="0" w:beforeAutospacing="0" w:after="0" w:afterAutospacing="0"/>
              <w:jc w:val="center"/>
              <w:textAlignment w:val="auto"/>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bCs/>
                <w:color w:val="auto"/>
                <w:kern w:val="2"/>
                <w:sz w:val="21"/>
                <w:szCs w:val="21"/>
              </w:rPr>
              <w:t>选址选线环境合理性分析</w:t>
            </w:r>
          </w:p>
        </w:tc>
        <w:tc>
          <w:tcPr>
            <w:tcW w:w="4640" w:type="pct"/>
            <w:noWrap w:val="0"/>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本工程为水库除险加固工程，工程不改变水库原坝址，不改变水库的设计正常蓄水位和水库库容；水库除险加固后有利于降低洪涝威胁，减少环境风险隐患，工程选址环境合理。</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2" w:firstLineChars="200"/>
              <w:textAlignment w:val="auto"/>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施工区环境合理性分析：</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施工总平面布置上充分考虑因时、因地制宜，结合实际地形地貌等条件，以期用最少的人力、物力和财力在设计工期内顺利完成工程任务。本工程施工场地根据各工程阶段相对距离布置，对外交通较便利。施工工区所在的场地较空旷，通过采取防治措施后，可有效避免施工噪声及粉尘等对周围居民的干扰；施工生产设施集中布置，有利于对各施工污染环节进行统一集中处理，保证处理效果，避免对水体的污染，施工区选址环境合理。</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项目选址不涉及自然保护区、森林保护区、饮用水源保护区、风景名胜区等生态敏感区。同时，本项目不涉及居民搬迁安置工程，不占用基本农田和天然工程林地，符合土地</w:t>
            </w:r>
            <w:r>
              <w:rPr>
                <w:rFonts w:hint="eastAsia" w:ascii="Times New Roman" w:hAnsi="Times New Roman" w:cs="Times New Roman"/>
                <w:color w:val="auto"/>
                <w:sz w:val="24"/>
                <w:szCs w:val="24"/>
                <w:lang w:val="en-US" w:eastAsia="zh-CN"/>
              </w:rPr>
              <w:t>利用</w:t>
            </w:r>
            <w:r>
              <w:rPr>
                <w:rFonts w:hint="default" w:ascii="Times New Roman" w:hAnsi="Times New Roman" w:cs="Times New Roman"/>
                <w:color w:val="auto"/>
                <w:sz w:val="24"/>
                <w:szCs w:val="24"/>
                <w:lang w:val="en-US" w:eastAsia="zh-CN"/>
              </w:rPr>
              <w:t>原则。</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textAlignment w:val="auto"/>
              <w:rPr>
                <w:rFonts w:hint="default" w:ascii="Times New Roman" w:hAnsi="Times New Roman" w:cs="Times New Roman"/>
                <w:b w:val="0"/>
                <w:bCs w:val="0"/>
                <w:color w:val="auto"/>
                <w:kern w:val="0"/>
                <w:sz w:val="24"/>
                <w:szCs w:val="24"/>
                <w:lang w:val="en-US" w:eastAsia="zh-CN"/>
              </w:rPr>
            </w:pPr>
            <w:r>
              <w:rPr>
                <w:rFonts w:hint="default" w:ascii="Times New Roman" w:hAnsi="Times New Roman" w:cs="Times New Roman"/>
                <w:color w:val="auto"/>
                <w:sz w:val="24"/>
                <w:szCs w:val="24"/>
                <w:lang w:val="en-US" w:eastAsia="zh-CN"/>
              </w:rPr>
              <w:t>综上所述，项目的建设规划符合当地规划，选址合理。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Cs w:val="21"/>
              </w:rPr>
            </w:pPr>
          </w:p>
        </w:tc>
      </w:tr>
    </w:tbl>
    <w:p>
      <w:pPr>
        <w:pStyle w:val="34"/>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snapToGrid w:val="0"/>
          <w:color w:val="auto"/>
          <w:sz w:val="36"/>
          <w:szCs w:val="36"/>
        </w:rPr>
        <w:sectPr>
          <w:pgSz w:w="11906" w:h="16838"/>
          <w:pgMar w:top="1440" w:right="1080" w:bottom="1440" w:left="1080"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34"/>
        <w:keepNext w:val="0"/>
        <w:keepLines w:val="0"/>
        <w:pageBreakBefore w:val="0"/>
        <w:kinsoku/>
        <w:wordWrap/>
        <w:overflowPunct/>
        <w:topLinePunct w:val="0"/>
        <w:bidi w:val="0"/>
        <w:adjustRightInd w:val="0"/>
        <w:snapToGrid w:val="0"/>
        <w:spacing w:before="0" w:beforeAutospacing="0" w:after="0" w:afterAutospacing="0" w:line="14" w:lineRule="auto"/>
        <w:jc w:val="center"/>
        <w:textAlignment w:val="auto"/>
        <w:outlineLvl w:val="9"/>
        <w:rPr>
          <w:rFonts w:hint="default" w:ascii="Times New Roman" w:hAnsi="Times New Roman" w:eastAsia="宋体" w:cs="Times New Roman"/>
          <w:snapToGrid w:val="0"/>
          <w:color w:val="auto"/>
          <w:sz w:val="30"/>
          <w:szCs w:val="30"/>
        </w:rPr>
      </w:pPr>
    </w:p>
    <w:p>
      <w:pPr>
        <w:pStyle w:val="34"/>
        <w:keepNext w:val="0"/>
        <w:keepLines w:val="0"/>
        <w:pageBreakBefore w:val="0"/>
        <w:kinsoku/>
        <w:wordWrap/>
        <w:overflowPunct/>
        <w:topLinePunct w:val="0"/>
        <w:bidi w:val="0"/>
        <w:adjustRightInd w:val="0"/>
        <w:snapToGrid w:val="0"/>
        <w:jc w:val="center"/>
        <w:textAlignment w:val="auto"/>
        <w:outlineLvl w:val="0"/>
        <w:rPr>
          <w:rFonts w:hint="default" w:ascii="Times New Roman" w:hAnsi="Times New Roman" w:eastAsia="宋体" w:cs="Times New Roman"/>
          <w:b/>
          <w:bCs/>
          <w:snapToGrid w:val="0"/>
          <w:color w:val="auto"/>
          <w:sz w:val="30"/>
          <w:szCs w:val="30"/>
        </w:rPr>
      </w:pPr>
      <w:r>
        <w:rPr>
          <w:rFonts w:hint="default" w:ascii="Times New Roman" w:hAnsi="Times New Roman" w:eastAsia="宋体" w:cs="Times New Roman"/>
          <w:b/>
          <w:bCs/>
          <w:snapToGrid w:val="0"/>
          <w:color w:val="auto"/>
          <w:sz w:val="30"/>
          <w:szCs w:val="30"/>
        </w:rPr>
        <w:t>五、主要生态环境保护措施</w:t>
      </w:r>
    </w:p>
    <w:tbl>
      <w:tblPr>
        <w:tblStyle w:val="3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41"/>
        <w:gridCol w:w="934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84" w:hRule="atLeast"/>
          <w:jc w:val="center"/>
        </w:trPr>
        <w:tc>
          <w:tcPr>
            <w:tcW w:w="542" w:type="dxa"/>
            <w:noWrap w:val="0"/>
            <w:tcMar>
              <w:left w:w="28" w:type="dxa"/>
              <w:right w:w="28" w:type="dxa"/>
            </w:tcMar>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pacing w:val="10"/>
                <w:szCs w:val="21"/>
              </w:rPr>
              <w:t>施工期生态环境保护措施</w:t>
            </w:r>
          </w:p>
        </w:tc>
        <w:tc>
          <w:tcPr>
            <w:tcW w:w="9420" w:type="dxa"/>
            <w:noWrap w:val="0"/>
            <w:vAlign w:val="center"/>
          </w:tcPr>
          <w:p>
            <w:pPr>
              <w:numPr>
                <w:ilvl w:val="0"/>
                <w:numId w:val="8"/>
              </w:numPr>
              <w:adjustRightInd w:val="0"/>
              <w:snapToGrid w:val="0"/>
              <w:spacing w:line="360" w:lineRule="auto"/>
              <w:ind w:firstLine="472" w:firstLineChars="196"/>
              <w:outlineLvl w:val="2"/>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 xml:space="preserve">生态环境 </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cente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（1）</w:t>
            </w:r>
            <w:r>
              <w:rPr>
                <w:rFonts w:hint="default" w:ascii="Times New Roman" w:hAnsi="Times New Roman" w:eastAsia="宋体" w:cs="Times New Roman"/>
                <w:b w:val="0"/>
                <w:bCs w:val="0"/>
                <w:color w:val="auto"/>
                <w:sz w:val="24"/>
                <w:szCs w:val="24"/>
              </w:rPr>
              <w:t>工程占地</w:t>
            </w:r>
            <w:r>
              <w:rPr>
                <w:rFonts w:hint="default" w:ascii="Times New Roman" w:hAnsi="Times New Roman" w:eastAsia="宋体" w:cs="Times New Roman"/>
                <w:b w:val="0"/>
                <w:bCs w:val="0"/>
                <w:color w:val="auto"/>
                <w:sz w:val="24"/>
                <w:szCs w:val="24"/>
                <w:lang w:val="en-US" w:eastAsia="zh-CN"/>
              </w:rPr>
              <w:t>保护措施</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本次加固除险</w:t>
            </w:r>
            <w:r>
              <w:rPr>
                <w:rFonts w:hint="default" w:ascii="Times New Roman" w:hAnsi="Times New Roman" w:eastAsia="宋体" w:cs="Times New Roman"/>
                <w:color w:val="auto"/>
                <w:sz w:val="24"/>
                <w:szCs w:val="24"/>
              </w:rPr>
              <w:t>涉及永久占地18.17亩，原有占地12.03亩，新增占地6.14亩，其中水利设施用地14.44亩、交通运输用地3.73亩；施工临时占地4.26亩，包括石渣料场3.00亩，施工便道占荒地1.26亩。</w:t>
            </w:r>
            <w:r>
              <w:rPr>
                <w:rFonts w:hint="eastAsia" w:ascii="Times New Roman" w:hAnsi="Times New Roman" w:eastAsia="宋体" w:cs="Times New Roman"/>
                <w:color w:val="auto"/>
                <w:sz w:val="24"/>
                <w:szCs w:val="24"/>
                <w:lang w:val="en-US" w:eastAsia="zh-CN"/>
              </w:rPr>
              <w:t>项目本次建设占地</w:t>
            </w:r>
            <w:r>
              <w:rPr>
                <w:rFonts w:hint="default" w:ascii="Times New Roman" w:hAnsi="Times New Roman" w:eastAsia="宋体" w:cs="Times New Roman"/>
                <w:color w:val="auto"/>
                <w:sz w:val="24"/>
                <w:szCs w:val="24"/>
              </w:rPr>
              <w:t>均为水库管理范围，不新增占地。</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施工结束后对临时占地实施迹地恢复措施。施工过程中采取以下水土保持措施：</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主体工程占地区</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本工程整治永久占地面积18.17亩，在施工过程中，已采取衬砌、硬化等各种工程措施对工程建筑物予以保护，有效的防治了水土流失。</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主体工程设计中对大坝采用C25砼进行防渗；对后坝坡采取框格植草边坡加固。这些措施均具有良好的水土保持功能，能有效保证水土不流失。</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施工道路区</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施工道路区占地区面积1.26亩，连接进场道路及主坝，对地面临时占压的荒地提出水土流失防治措施。</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①</w:t>
            </w:r>
            <w:r>
              <w:rPr>
                <w:rFonts w:hint="default" w:ascii="Times New Roman" w:hAnsi="Times New Roman" w:eastAsia="宋体" w:cs="Times New Roman"/>
                <w:color w:val="auto"/>
                <w:sz w:val="24"/>
                <w:szCs w:val="24"/>
              </w:rPr>
              <w:t>工程措施：在工程开工前先将表土进行剥离，沿线堆放至施工道路区一角。主体工程施工结束后，平整各临时工程占用的土地，恢复土地原使用功能。</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②</w:t>
            </w:r>
            <w:r>
              <w:rPr>
                <w:rFonts w:hint="default" w:ascii="Times New Roman" w:hAnsi="Times New Roman" w:eastAsia="宋体" w:cs="Times New Roman"/>
                <w:color w:val="auto"/>
                <w:sz w:val="24"/>
                <w:szCs w:val="24"/>
              </w:rPr>
              <w:t>植物措施：施工临时占地结束后采取覆土绿化</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撒播草籽</w:t>
            </w:r>
            <w:r>
              <w:rPr>
                <w:rFonts w:hint="eastAsia" w:ascii="Times New Roman" w:hAnsi="Times New Roman" w:eastAsia="宋体" w:cs="Times New Roman"/>
                <w:color w:val="auto"/>
                <w:sz w:val="24"/>
                <w:szCs w:val="24"/>
                <w:lang w:val="en-US" w:eastAsia="zh-CN"/>
              </w:rPr>
              <w:t>等</w:t>
            </w:r>
            <w:r>
              <w:rPr>
                <w:rFonts w:hint="default" w:ascii="Times New Roman" w:hAnsi="Times New Roman" w:eastAsia="宋体" w:cs="Times New Roman"/>
                <w:color w:val="auto"/>
                <w:sz w:val="24"/>
                <w:szCs w:val="24"/>
              </w:rPr>
              <w:t>措施进行恢复。</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③</w:t>
            </w:r>
            <w:r>
              <w:rPr>
                <w:rFonts w:hint="default" w:ascii="Times New Roman" w:hAnsi="Times New Roman" w:eastAsia="宋体" w:cs="Times New Roman"/>
                <w:color w:val="auto"/>
                <w:sz w:val="24"/>
                <w:szCs w:val="24"/>
              </w:rPr>
              <w:t>临时措施：对剥离的表土进行临时防护措施设计，防止施工期间表土土层流失。对表土采用塑料彩条布覆盖，砖石压护。</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石渣料场区</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石渣料场区面积</w:t>
            </w:r>
            <w:r>
              <w:rPr>
                <w:rFonts w:hint="eastAsia" w:ascii="Times New Roman" w:hAnsi="Times New Roman" w:eastAsia="宋体" w:cs="Times New Roman"/>
                <w:color w:val="auto"/>
                <w:sz w:val="24"/>
                <w:szCs w:val="24"/>
                <w:lang w:val="en-US" w:eastAsia="zh-CN"/>
              </w:rPr>
              <w:t>约</w:t>
            </w:r>
            <w:r>
              <w:rPr>
                <w:rFonts w:hint="default" w:ascii="Times New Roman" w:hAnsi="Times New Roman" w:eastAsia="宋体" w:cs="Times New Roman"/>
                <w:color w:val="auto"/>
                <w:sz w:val="24"/>
                <w:szCs w:val="24"/>
              </w:rPr>
              <w:t>3</w:t>
            </w:r>
            <w:r>
              <w:rPr>
                <w:rFonts w:hint="eastAsia" w:ascii="Times New Roman" w:hAnsi="Times New Roman" w:eastAsia="宋体" w:cs="Times New Roman"/>
                <w:color w:val="auto"/>
                <w:sz w:val="24"/>
                <w:szCs w:val="24"/>
                <w:lang w:val="en-US" w:eastAsia="zh-CN"/>
              </w:rPr>
              <w:t>亩</w:t>
            </w:r>
            <w:r>
              <w:rPr>
                <w:rFonts w:hint="default" w:ascii="Times New Roman" w:hAnsi="Times New Roman" w:eastAsia="宋体" w:cs="Times New Roman"/>
                <w:color w:val="auto"/>
                <w:sz w:val="24"/>
                <w:szCs w:val="24"/>
              </w:rPr>
              <w:t>，位于管理</w:t>
            </w:r>
            <w:r>
              <w:rPr>
                <w:rFonts w:hint="eastAsia" w:ascii="Times New Roman" w:hAnsi="Times New Roman" w:eastAsia="宋体" w:cs="Times New Roman"/>
                <w:color w:val="auto"/>
                <w:sz w:val="24"/>
                <w:szCs w:val="24"/>
                <w:lang w:val="en-US" w:eastAsia="zh-CN"/>
              </w:rPr>
              <w:t>处东</w:t>
            </w:r>
            <w:r>
              <w:rPr>
                <w:rFonts w:hint="default" w:ascii="Times New Roman" w:hAnsi="Times New Roman" w:eastAsia="宋体" w:cs="Times New Roman"/>
                <w:color w:val="auto"/>
                <w:sz w:val="24"/>
                <w:szCs w:val="24"/>
              </w:rPr>
              <w:t>侧，对地面临时占压的荒地提出水土流失防治措施。</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①</w:t>
            </w:r>
            <w:r>
              <w:rPr>
                <w:rFonts w:hint="default" w:ascii="Times New Roman" w:hAnsi="Times New Roman" w:eastAsia="宋体" w:cs="Times New Roman"/>
                <w:color w:val="auto"/>
                <w:sz w:val="24"/>
                <w:szCs w:val="24"/>
              </w:rPr>
              <w:t>工程措施</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开采</w:t>
            </w:r>
            <w:r>
              <w:rPr>
                <w:rFonts w:hint="default" w:ascii="Times New Roman" w:hAnsi="Times New Roman" w:eastAsia="宋体" w:cs="Times New Roman"/>
                <w:color w:val="auto"/>
                <w:sz w:val="24"/>
                <w:szCs w:val="24"/>
              </w:rPr>
              <w:t>前，剥离本区域表土，临时堆放于一角，用于后期绿化覆土。</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②</w:t>
            </w:r>
            <w:r>
              <w:rPr>
                <w:rFonts w:hint="default" w:ascii="Times New Roman" w:hAnsi="Times New Roman" w:eastAsia="宋体" w:cs="Times New Roman"/>
                <w:color w:val="auto"/>
                <w:sz w:val="24"/>
                <w:szCs w:val="24"/>
              </w:rPr>
              <w:t>植物措施</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对料场顶面进行撒播草籽绿化。</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③</w:t>
            </w:r>
            <w:r>
              <w:rPr>
                <w:rFonts w:hint="default" w:ascii="Times New Roman" w:hAnsi="Times New Roman" w:eastAsia="宋体" w:cs="Times New Roman"/>
                <w:color w:val="auto"/>
                <w:sz w:val="24"/>
                <w:szCs w:val="24"/>
              </w:rPr>
              <w:t>临时措施</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对剥离的表土进行临时防护措施设计，防止施工期间表土土层流失。对表土采用塑料彩条布覆盖砖石压护。</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center"/>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rPr>
              <w:t>水生生态</w:t>
            </w:r>
            <w:r>
              <w:rPr>
                <w:rFonts w:hint="default" w:ascii="Times New Roman" w:hAnsi="Times New Roman" w:eastAsia="宋体" w:cs="Times New Roman"/>
                <w:b w:val="0"/>
                <w:bCs w:val="0"/>
                <w:color w:val="auto"/>
                <w:sz w:val="24"/>
                <w:szCs w:val="24"/>
                <w:lang w:val="en-US" w:eastAsia="zh-CN"/>
              </w:rPr>
              <w:t>保护措施</w:t>
            </w:r>
          </w:p>
          <w:p>
            <w:pPr>
              <w:pStyle w:val="50"/>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4"/>
                <w:lang w:eastAsia="zh-CN"/>
              </w:rPr>
              <w:t>本工程</w:t>
            </w:r>
            <w:r>
              <w:rPr>
                <w:rFonts w:hint="default" w:ascii="Times New Roman" w:hAnsi="Times New Roman" w:eastAsia="宋体" w:cs="Times New Roman"/>
                <w:color w:val="auto"/>
                <w:kern w:val="2"/>
                <w:sz w:val="24"/>
                <w:szCs w:val="24"/>
                <w:lang w:val="en-US" w:eastAsia="zh-CN"/>
              </w:rPr>
              <w:t>主要是</w:t>
            </w:r>
            <w:r>
              <w:rPr>
                <w:rFonts w:hint="eastAsia" w:ascii="Times New Roman" w:eastAsia="宋体" w:cs="Times New Roman"/>
                <w:color w:val="auto"/>
                <w:kern w:val="2"/>
                <w:sz w:val="24"/>
                <w:szCs w:val="24"/>
                <w:lang w:val="en-US" w:eastAsia="zh-CN"/>
              </w:rPr>
              <w:t>项目</w:t>
            </w:r>
            <w:r>
              <w:rPr>
                <w:rFonts w:hint="default" w:ascii="Times New Roman" w:hAnsi="Times New Roman" w:eastAsia="宋体" w:cs="Times New Roman"/>
                <w:color w:val="auto"/>
                <w:kern w:val="2"/>
                <w:sz w:val="24"/>
                <w:szCs w:val="24"/>
                <w:lang w:val="en-US" w:eastAsia="zh-CN"/>
              </w:rPr>
              <w:t>施工对</w:t>
            </w:r>
            <w:r>
              <w:rPr>
                <w:rFonts w:hint="eastAsia" w:ascii="Times New Roman" w:eastAsia="宋体" w:cs="Times New Roman"/>
                <w:color w:val="auto"/>
                <w:kern w:val="2"/>
                <w:sz w:val="24"/>
                <w:szCs w:val="24"/>
                <w:lang w:val="en-US" w:eastAsia="zh-CN"/>
              </w:rPr>
              <w:t>水库及下游水质</w:t>
            </w:r>
            <w:r>
              <w:rPr>
                <w:rFonts w:hint="default" w:ascii="Times New Roman" w:hAnsi="Times New Roman" w:eastAsia="宋体" w:cs="Times New Roman"/>
                <w:color w:val="auto"/>
                <w:kern w:val="2"/>
                <w:sz w:val="24"/>
                <w:szCs w:val="24"/>
                <w:lang w:val="en-US" w:eastAsia="zh-CN"/>
              </w:rPr>
              <w:t>进行扰动，</w:t>
            </w:r>
            <w:r>
              <w:rPr>
                <w:rFonts w:hint="default" w:ascii="Times New Roman" w:hAnsi="Times New Roman" w:eastAsia="宋体" w:cs="Times New Roman"/>
                <w:color w:val="auto"/>
                <w:kern w:val="2"/>
                <w:sz w:val="24"/>
                <w:szCs w:val="24"/>
              </w:rPr>
              <w:t>带来的影响主要表现为水中悬浮物浓度升高，从水生生态学角度来看，水中悬浮物浓度增大，导致水体透明度降低，影响藻类的光合作用，从而使浮游植物生物量下降，影响生态系统食物链的传递，进而影响整个生态系统。</w:t>
            </w:r>
            <w:r>
              <w:rPr>
                <w:rFonts w:hint="default" w:ascii="Times New Roman" w:hAnsi="Times New Roman" w:eastAsia="宋体" w:cs="Times New Roman"/>
                <w:color w:val="auto"/>
                <w:kern w:val="2"/>
                <w:sz w:val="24"/>
                <w:szCs w:val="24"/>
                <w:lang w:val="en-US" w:eastAsia="zh-CN"/>
              </w:rPr>
              <w:t>项目</w:t>
            </w:r>
            <w:r>
              <w:rPr>
                <w:rFonts w:hint="eastAsia" w:ascii="Times New Roman" w:eastAsia="宋体" w:cs="Times New Roman"/>
                <w:color w:val="auto"/>
                <w:kern w:val="2"/>
                <w:sz w:val="24"/>
                <w:szCs w:val="24"/>
                <w:lang w:val="en-US" w:eastAsia="zh-CN"/>
              </w:rPr>
              <w:t>在枯水期进行施工，</w:t>
            </w:r>
            <w:r>
              <w:rPr>
                <w:rFonts w:hint="default" w:ascii="Times New Roman" w:hAnsi="Times New Roman" w:eastAsia="宋体" w:cs="Times New Roman"/>
                <w:color w:val="auto"/>
                <w:kern w:val="2"/>
                <w:sz w:val="24"/>
                <w:szCs w:val="24"/>
              </w:rPr>
              <w:t>避开</w:t>
            </w:r>
            <w:r>
              <w:rPr>
                <w:rFonts w:hint="default" w:ascii="Times New Roman" w:hAnsi="Times New Roman" w:eastAsia="宋体" w:cs="Times New Roman"/>
                <w:color w:val="auto"/>
                <w:kern w:val="2"/>
                <w:sz w:val="24"/>
                <w:szCs w:val="24"/>
                <w:lang w:val="en-US" w:eastAsia="zh-CN"/>
              </w:rPr>
              <w:t>了</w:t>
            </w:r>
            <w:r>
              <w:rPr>
                <w:rFonts w:hint="default" w:ascii="Times New Roman" w:hAnsi="Times New Roman" w:eastAsia="宋体" w:cs="Times New Roman"/>
                <w:color w:val="auto"/>
                <w:kern w:val="2"/>
                <w:sz w:val="24"/>
                <w:szCs w:val="24"/>
              </w:rPr>
              <w:t>水生生物繁殖季节，加强</w:t>
            </w:r>
            <w:r>
              <w:rPr>
                <w:rFonts w:hint="default" w:ascii="Times New Roman" w:hAnsi="Times New Roman" w:eastAsia="宋体" w:cs="Times New Roman"/>
                <w:color w:val="auto"/>
                <w:kern w:val="2"/>
                <w:sz w:val="24"/>
                <w:szCs w:val="24"/>
                <w:lang w:val="en-US" w:eastAsia="zh-CN"/>
              </w:rPr>
              <w:t>环保</w:t>
            </w:r>
            <w:r>
              <w:rPr>
                <w:rFonts w:hint="default" w:ascii="Times New Roman" w:hAnsi="Times New Roman" w:eastAsia="宋体" w:cs="Times New Roman"/>
                <w:color w:val="auto"/>
                <w:kern w:val="2"/>
                <w:sz w:val="24"/>
                <w:szCs w:val="24"/>
              </w:rPr>
              <w:t>宣传，设置</w:t>
            </w:r>
            <w:r>
              <w:rPr>
                <w:rFonts w:hint="default" w:ascii="Times New Roman" w:hAnsi="Times New Roman" w:eastAsia="宋体" w:cs="Times New Roman"/>
                <w:color w:val="auto"/>
                <w:kern w:val="2"/>
                <w:sz w:val="24"/>
                <w:szCs w:val="24"/>
                <w:lang w:val="en-US" w:eastAsia="zh-CN"/>
              </w:rPr>
              <w:t>了</w:t>
            </w:r>
            <w:r>
              <w:rPr>
                <w:rFonts w:hint="default" w:ascii="Times New Roman" w:hAnsi="Times New Roman" w:eastAsia="宋体" w:cs="Times New Roman"/>
                <w:color w:val="auto"/>
                <w:kern w:val="2"/>
                <w:sz w:val="24"/>
                <w:szCs w:val="24"/>
              </w:rPr>
              <w:t>水生生物保护警示牌</w:t>
            </w:r>
            <w:r>
              <w:rPr>
                <w:rFonts w:hint="default" w:ascii="Times New Roman" w:hAnsi="Times New Roman" w:eastAsia="宋体" w:cs="Times New Roman"/>
                <w:color w:val="auto"/>
                <w:kern w:val="2"/>
                <w:sz w:val="24"/>
                <w:szCs w:val="24"/>
                <w:lang w:val="en-US" w:eastAsia="zh-CN"/>
              </w:rPr>
              <w:t>等措施</w:t>
            </w:r>
            <w:r>
              <w:rPr>
                <w:rFonts w:hint="default" w:ascii="Times New Roman" w:hAnsi="Times New Roman" w:eastAsia="宋体" w:cs="Times New Roman"/>
                <w:color w:val="auto"/>
                <w:sz w:val="24"/>
                <w:szCs w:val="24"/>
                <w:lang w:eastAsia="zh-CN"/>
              </w:rPr>
              <w:t>。</w:t>
            </w:r>
          </w:p>
          <w:p>
            <w:pPr>
              <w:widowControl/>
              <w:adjustRightInd w:val="0"/>
              <w:snapToGrid w:val="0"/>
              <w:spacing w:line="360" w:lineRule="auto"/>
              <w:ind w:firstLine="480" w:firstLineChars="200"/>
              <w:jc w:val="left"/>
              <w:rPr>
                <w:rFonts w:hint="default" w:ascii="Times New Roman" w:hAnsi="Times New Roman" w:eastAsia="黑体" w:cs="Times New Roman"/>
                <w:bCs/>
                <w:color w:val="auto"/>
                <w:kern w:val="0"/>
                <w:sz w:val="24"/>
                <w:lang w:bidi="ar"/>
              </w:rPr>
            </w:pPr>
            <w:r>
              <w:rPr>
                <w:rFonts w:hint="default" w:ascii="Times New Roman" w:hAnsi="Times New Roman" w:eastAsia="宋体" w:cs="Times New Roman"/>
                <w:bCs/>
                <w:color w:val="auto"/>
                <w:kern w:val="0"/>
                <w:sz w:val="24"/>
                <w:lang w:bidi="ar"/>
              </w:rPr>
              <w:t>综上分析，本项目施工期主要污染是暂时性的，施工</w:t>
            </w:r>
            <w:r>
              <w:rPr>
                <w:rFonts w:hint="eastAsia" w:ascii="Times New Roman" w:hAnsi="Times New Roman" w:eastAsia="宋体" w:cs="Times New Roman"/>
                <w:bCs/>
                <w:color w:val="auto"/>
                <w:kern w:val="0"/>
                <w:sz w:val="24"/>
                <w:lang w:val="en-US" w:eastAsia="zh-CN" w:bidi="ar"/>
              </w:rPr>
              <w:t>结束后施工影响也随之</w:t>
            </w:r>
            <w:r>
              <w:rPr>
                <w:rFonts w:hint="default" w:ascii="Times New Roman" w:hAnsi="Times New Roman" w:eastAsia="宋体" w:cs="Times New Roman"/>
                <w:bCs/>
                <w:color w:val="auto"/>
                <w:kern w:val="0"/>
                <w:sz w:val="24"/>
                <w:lang w:bidi="ar"/>
              </w:rPr>
              <w:t>消除。而且通过采取</w:t>
            </w:r>
            <w:r>
              <w:rPr>
                <w:rFonts w:hint="eastAsia" w:ascii="Times New Roman" w:hAnsi="Times New Roman" w:eastAsia="宋体" w:cs="Times New Roman"/>
                <w:bCs/>
                <w:color w:val="auto"/>
                <w:kern w:val="0"/>
                <w:sz w:val="24"/>
                <w:lang w:val="en-US" w:eastAsia="zh-CN" w:bidi="ar"/>
              </w:rPr>
              <w:t>了</w:t>
            </w:r>
            <w:r>
              <w:rPr>
                <w:rFonts w:hint="default" w:ascii="Times New Roman" w:hAnsi="Times New Roman" w:eastAsia="宋体" w:cs="Times New Roman"/>
                <w:bCs/>
                <w:color w:val="auto"/>
                <w:kern w:val="0"/>
                <w:sz w:val="24"/>
                <w:lang w:bidi="ar"/>
              </w:rPr>
              <w:t>相应的生态保护和恢复措施</w:t>
            </w:r>
            <w:r>
              <w:rPr>
                <w:rFonts w:hint="eastAsia" w:ascii="Times New Roman" w:hAnsi="Times New Roman" w:eastAsia="宋体" w:cs="Times New Roman"/>
                <w:bCs/>
                <w:color w:val="auto"/>
                <w:kern w:val="0"/>
                <w:sz w:val="24"/>
                <w:lang w:val="en-US" w:eastAsia="zh-CN" w:bidi="ar"/>
              </w:rPr>
              <w:t>后</w:t>
            </w:r>
            <w:r>
              <w:rPr>
                <w:rFonts w:hint="default" w:ascii="Times New Roman" w:hAnsi="Times New Roman" w:eastAsia="宋体" w:cs="Times New Roman"/>
                <w:bCs/>
                <w:color w:val="auto"/>
                <w:kern w:val="0"/>
                <w:sz w:val="24"/>
                <w:lang w:bidi="ar"/>
              </w:rPr>
              <w:t>，尤其是通过施工管理和强化施工期的保护和恢复，本项目建设对生态环境影响</w:t>
            </w:r>
            <w:r>
              <w:rPr>
                <w:rFonts w:hint="eastAsia" w:ascii="Times New Roman" w:hAnsi="Times New Roman" w:eastAsia="宋体" w:cs="Times New Roman"/>
                <w:bCs/>
                <w:color w:val="auto"/>
                <w:kern w:val="0"/>
                <w:sz w:val="24"/>
                <w:lang w:val="en-US" w:eastAsia="zh-CN" w:bidi="ar"/>
              </w:rPr>
              <w:t>不大</w:t>
            </w:r>
            <w:r>
              <w:rPr>
                <w:rFonts w:hint="default" w:ascii="Times New Roman" w:hAnsi="Times New Roman" w:cs="Times New Roman"/>
                <w:color w:val="auto"/>
                <w:sz w:val="24"/>
              </w:rPr>
              <w:t>。</w:t>
            </w:r>
          </w:p>
          <w:p>
            <w:pPr>
              <w:numPr>
                <w:ilvl w:val="0"/>
                <w:numId w:val="8"/>
              </w:numPr>
              <w:adjustRightInd w:val="0"/>
              <w:snapToGrid w:val="0"/>
              <w:spacing w:line="360" w:lineRule="auto"/>
              <w:ind w:firstLine="472" w:firstLineChars="196"/>
              <w:outlineLvl w:val="2"/>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废气污染防治措施</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针对施工期施工扬尘产生情况，应制定严格的污染防治措施控制扬尘，严格按照《防治城市扬尘污染技术规范》（HJT</w:t>
            </w:r>
            <w:r>
              <w:rPr>
                <w:rFonts w:hint="eastAsia" w:ascii="Times New Roman" w:hAnsi="Times New Roman" w:eastAsia="宋体" w:cs="Times New Roman"/>
                <w:color w:val="auto"/>
                <w:sz w:val="24"/>
                <w:szCs w:val="24"/>
                <w:lang w:val="en-US" w:eastAsia="zh-CN"/>
              </w:rPr>
              <w:t>393</w:t>
            </w:r>
            <w:r>
              <w:rPr>
                <w:rFonts w:hint="default" w:ascii="Times New Roman" w:hAnsi="Times New Roman" w:eastAsia="宋体" w:cs="Times New Roman"/>
                <w:color w:val="auto"/>
                <w:sz w:val="24"/>
                <w:szCs w:val="24"/>
              </w:rPr>
              <w:t>-2007）、《四川省建设工程扬尘污染防治技术导则（试行）》及《乐山市扬尘污染防治条例》（NO：LSC070051）等的要求防治扬尘污染。</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 xml:space="preserve">施工扬尘 </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w:t>
            </w:r>
            <w:r>
              <w:rPr>
                <w:rFonts w:hint="eastAsia" w:ascii="Times New Roman" w:hAnsi="Times New Roman" w:eastAsia="宋体" w:cs="Times New Roman"/>
                <w:color w:val="auto"/>
                <w:sz w:val="24"/>
                <w:szCs w:val="24"/>
                <w:lang w:val="en-US" w:eastAsia="zh-CN"/>
              </w:rPr>
              <w:t>土石方开挖以及项目石渣料开采等</w:t>
            </w:r>
            <w:r>
              <w:rPr>
                <w:rFonts w:hint="default" w:ascii="Times New Roman" w:hAnsi="Times New Roman" w:eastAsia="宋体" w:cs="Times New Roman"/>
                <w:color w:val="auto"/>
                <w:sz w:val="24"/>
                <w:szCs w:val="24"/>
              </w:rPr>
              <w:t>施</w:t>
            </w:r>
            <w:r>
              <w:rPr>
                <w:rFonts w:hint="eastAsia" w:ascii="Times New Roman" w:hAnsi="Times New Roman" w:eastAsia="宋体" w:cs="Times New Roman"/>
                <w:color w:val="auto"/>
                <w:sz w:val="24"/>
                <w:szCs w:val="24"/>
                <w:lang w:val="en-US" w:eastAsia="zh-CN"/>
              </w:rPr>
              <w:t>工过程中</w:t>
            </w:r>
            <w:r>
              <w:rPr>
                <w:rFonts w:hint="default" w:ascii="Times New Roman" w:hAnsi="Times New Roman" w:eastAsia="宋体" w:cs="Times New Roman"/>
                <w:color w:val="auto"/>
                <w:sz w:val="24"/>
                <w:szCs w:val="24"/>
              </w:rPr>
              <w:t>易产生扬尘的作业，采取洒水或喷淋等防尘措施。</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②合理布置施工现场，建议封闭施工。</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③加强对运输车辆运行时间、运行路线管理、并应加强对运输车辆的管理。</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④保持施工场地路面清洁。</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⑤避免大风天气作业。</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⑥施工开始前进行公示。</w:t>
            </w:r>
          </w:p>
          <w:p>
            <w:pPr>
              <w:numPr>
                <w:ilvl w:val="0"/>
                <w:numId w:val="0"/>
              </w:numPr>
              <w:adjustRightInd w:val="0"/>
              <w:snapToGrid w:val="0"/>
              <w:spacing w:line="360" w:lineRule="auto"/>
              <w:ind w:leftChars="200"/>
              <w:outlineLvl w:val="2"/>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 xml:space="preserve">机械废气 </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①选用先进的施工机械，减少油耗和燃油废气污染。</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②尽量使用电气化设备，少使用燃油设备。</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③施工阶段做好设备的维修和养护工作，使机械设备处于良好的工作状态，减少油耗，同时降低污染。</w:t>
            </w:r>
          </w:p>
          <w:p>
            <w:pPr>
              <w:numPr>
                <w:ilvl w:val="0"/>
                <w:numId w:val="0"/>
              </w:numPr>
              <w:adjustRightInd w:val="0"/>
              <w:snapToGrid w:val="0"/>
              <w:spacing w:line="360" w:lineRule="auto"/>
              <w:ind w:firstLine="482" w:firstLineChars="200"/>
              <w:outlineLvl w:val="2"/>
              <w:rPr>
                <w:rFonts w:hint="default"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 xml:space="preserve">废水污染防治措施 </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本项目施工期废水主要为拌和系统冲洗废水及施工人员产生的生活污水，其中拌和系统冲洗废水采用沉淀池静置处理，上清液回用于拌和系统，沉渣定期清理；生活污水依托库区管理</w:t>
            </w:r>
            <w:r>
              <w:rPr>
                <w:rFonts w:hint="eastAsia" w:ascii="Times New Roman" w:hAnsi="Times New Roman" w:cs="Times New Roman"/>
                <w:color w:val="auto"/>
                <w:sz w:val="24"/>
                <w:szCs w:val="24"/>
                <w:lang w:val="en-US" w:eastAsia="zh-CN"/>
              </w:rPr>
              <w:t>处</w:t>
            </w:r>
            <w:r>
              <w:rPr>
                <w:rFonts w:hint="default" w:ascii="Times New Roman" w:hAnsi="Times New Roman" w:eastAsia="宋体" w:cs="Times New Roman"/>
                <w:color w:val="auto"/>
                <w:sz w:val="24"/>
                <w:szCs w:val="24"/>
              </w:rPr>
              <w:t>内已有化粪池收集处理后</w:t>
            </w:r>
            <w:r>
              <w:rPr>
                <w:rFonts w:hint="eastAsia" w:ascii="Times New Roman" w:hAnsi="Times New Roman" w:eastAsia="宋体" w:cs="Times New Roman"/>
                <w:color w:val="auto"/>
                <w:sz w:val="24"/>
                <w:szCs w:val="24"/>
                <w:lang w:val="en-US" w:eastAsia="zh-CN"/>
              </w:rPr>
              <w:t>用于周围</w:t>
            </w:r>
            <w:r>
              <w:rPr>
                <w:rFonts w:hint="default" w:ascii="Times New Roman" w:hAnsi="Times New Roman" w:eastAsia="宋体" w:cs="Times New Roman"/>
                <w:color w:val="auto"/>
                <w:sz w:val="24"/>
                <w:szCs w:val="24"/>
                <w:lang w:eastAsia="zh-CN"/>
              </w:rPr>
              <w:t>农田肥料</w:t>
            </w:r>
            <w:r>
              <w:rPr>
                <w:rFonts w:hint="default" w:ascii="Times New Roman" w:hAnsi="Times New Roman" w:eastAsia="宋体" w:cs="Times New Roman"/>
                <w:color w:val="auto"/>
                <w:sz w:val="24"/>
                <w:szCs w:val="24"/>
              </w:rPr>
              <w:t xml:space="preserve">，不外排。 </w:t>
            </w:r>
          </w:p>
          <w:p>
            <w:pPr>
              <w:numPr>
                <w:ilvl w:val="0"/>
                <w:numId w:val="0"/>
              </w:numPr>
              <w:adjustRightInd w:val="0"/>
              <w:snapToGrid w:val="0"/>
              <w:spacing w:line="360" w:lineRule="auto"/>
              <w:ind w:leftChars="196"/>
              <w:outlineLvl w:val="2"/>
              <w:rPr>
                <w:rFonts w:hint="default"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 xml:space="preserve">噪声污染防治措施 </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为防止噪声对周围居民的生活造成影响，建设单位应在施工期采取如下措施：</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①施工开始前，建设单位应进行公示，告之施工周边的居民等，与其进行有效沟通，取得理解，在施工现场张贴通告和投诉电话。 </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②合理安排施工时间，禁止夜间施工，严格杜绝出现夜间施工噪声污染影响。 </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③合理安排施工时序，避免同时使用高噪声设备。 </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④水库施工区需将高噪设备布置在远离住户的一侧，同时在住户侧设置临时隔声围挡。</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⑤选用低噪施工设备，针对固定噪声源并采取有效的减振、隔声等措施。</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⑥运输车辆经过敏感点时应限速禁鸣，减小车辆噪声对敏感点的影响。</w:t>
            </w:r>
          </w:p>
          <w:p>
            <w:pPr>
              <w:numPr>
                <w:ilvl w:val="0"/>
                <w:numId w:val="0"/>
              </w:numPr>
              <w:adjustRightInd w:val="0"/>
              <w:snapToGrid w:val="0"/>
              <w:spacing w:line="360" w:lineRule="auto"/>
              <w:ind w:firstLine="482" w:firstLineChars="200"/>
              <w:outlineLvl w:val="2"/>
              <w:rPr>
                <w:rFonts w:hint="default"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val="en-US" w:eastAsia="zh-CN"/>
              </w:rPr>
              <w:t>5、</w:t>
            </w:r>
            <w:r>
              <w:rPr>
                <w:rFonts w:hint="default" w:ascii="Times New Roman" w:hAnsi="Times New Roman" w:eastAsia="宋体" w:cs="Times New Roman"/>
                <w:b/>
                <w:bCs/>
                <w:color w:val="auto"/>
                <w:sz w:val="24"/>
                <w:szCs w:val="24"/>
              </w:rPr>
              <w:t xml:space="preserve">固体废物污染防治措施 </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施工期固体废物主要包括施工过程产生弃渣</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沉淀池沉渣</w:t>
            </w:r>
            <w:r>
              <w:rPr>
                <w:rFonts w:hint="default" w:ascii="Times New Roman" w:hAnsi="Times New Roman" w:eastAsia="宋体" w:cs="Times New Roman"/>
                <w:color w:val="auto"/>
                <w:sz w:val="24"/>
                <w:szCs w:val="24"/>
              </w:rPr>
              <w:t>、拆除</w:t>
            </w:r>
            <w:r>
              <w:rPr>
                <w:rFonts w:hint="eastAsia" w:ascii="Times New Roman" w:hAnsi="Times New Roman" w:eastAsia="宋体" w:cs="Times New Roman"/>
                <w:color w:val="auto"/>
                <w:sz w:val="24"/>
                <w:szCs w:val="24"/>
                <w:lang w:val="en-US" w:eastAsia="zh-CN"/>
              </w:rPr>
              <w:t>的</w:t>
            </w:r>
            <w:r>
              <w:rPr>
                <w:rFonts w:hint="default" w:ascii="Times New Roman" w:hAnsi="Times New Roman" w:eastAsia="宋体" w:cs="Times New Roman"/>
                <w:color w:val="auto"/>
                <w:sz w:val="24"/>
                <w:szCs w:val="24"/>
              </w:rPr>
              <w:t>建筑垃圾</w:t>
            </w:r>
            <w:r>
              <w:rPr>
                <w:rFonts w:hint="eastAsia" w:ascii="Times New Roman" w:hAnsi="Times New Roman" w:eastAsia="宋体" w:cs="Times New Roman"/>
                <w:color w:val="auto"/>
                <w:sz w:val="24"/>
                <w:szCs w:val="24"/>
                <w:lang w:val="en-US" w:eastAsia="zh-CN"/>
              </w:rPr>
              <w:t>与</w:t>
            </w:r>
            <w:r>
              <w:rPr>
                <w:rFonts w:hint="default" w:ascii="Times New Roman" w:hAnsi="Times New Roman" w:eastAsia="宋体" w:cs="Times New Roman"/>
                <w:color w:val="auto"/>
                <w:sz w:val="24"/>
                <w:szCs w:val="24"/>
              </w:rPr>
              <w:t>旧设备</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施工人员生活垃圾</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白蚁防治废药品包装袋</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其中，工程弃渣</w:t>
            </w:r>
            <w:r>
              <w:rPr>
                <w:rFonts w:hint="eastAsia" w:ascii="Times New Roman" w:hAnsi="Times New Roman" w:eastAsia="宋体" w:cs="Times New Roman"/>
                <w:color w:val="auto"/>
                <w:sz w:val="24"/>
                <w:szCs w:val="24"/>
                <w:lang w:val="en-US" w:eastAsia="zh-CN"/>
              </w:rPr>
              <w:t>与沉淀池沉渣</w:t>
            </w:r>
            <w:r>
              <w:rPr>
                <w:rFonts w:hint="default" w:ascii="Times New Roman" w:hAnsi="Times New Roman" w:eastAsia="宋体" w:cs="Times New Roman"/>
                <w:color w:val="auto"/>
                <w:sz w:val="24"/>
                <w:szCs w:val="24"/>
              </w:rPr>
              <w:t>运至乐山指定弃渣场进行堆放</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对金属结构等设备拆除后外售资源回收站</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生活垃圾应分类收集，定点堆放，交由当地环卫部门清运处理</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白蚁防治废药品包装袋收集后交由</w:t>
            </w:r>
            <w:r>
              <w:rPr>
                <w:rFonts w:hint="eastAsia" w:ascii="Times New Roman" w:hAnsi="Times New Roman" w:eastAsia="宋体" w:cs="Times New Roman"/>
                <w:color w:val="auto"/>
                <w:sz w:val="24"/>
                <w:szCs w:val="24"/>
                <w:lang w:val="en-US" w:eastAsia="zh-CN"/>
              </w:rPr>
              <w:t>厂家回收</w:t>
            </w:r>
            <w:r>
              <w:rPr>
                <w:rFonts w:hint="default" w:ascii="Times New Roman" w:hAnsi="Times New Roman" w:eastAsia="宋体" w:cs="Times New Roman"/>
                <w:color w:val="auto"/>
                <w:sz w:val="24"/>
                <w:szCs w:val="24"/>
              </w:rPr>
              <w:t>。</w:t>
            </w:r>
          </w:p>
          <w:p>
            <w:pPr>
              <w:numPr>
                <w:ilvl w:val="0"/>
                <w:numId w:val="0"/>
              </w:numPr>
              <w:adjustRightInd w:val="0"/>
              <w:snapToGrid w:val="0"/>
              <w:spacing w:line="360" w:lineRule="auto"/>
              <w:ind w:firstLine="482" w:firstLineChars="200"/>
              <w:outlineLvl w:val="2"/>
              <w:rPr>
                <w:rFonts w:hint="default"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val="en-US" w:eastAsia="zh-CN"/>
              </w:rPr>
              <w:t>6</w:t>
            </w:r>
            <w:r>
              <w:rPr>
                <w:rFonts w:hint="default" w:ascii="Times New Roman" w:hAnsi="Times New Roman" w:eastAsia="宋体" w:cs="Times New Roman"/>
                <w:b/>
                <w:bCs/>
                <w:color w:val="auto"/>
                <w:sz w:val="24"/>
                <w:szCs w:val="24"/>
              </w:rPr>
              <w:t>、环境风险措施</w:t>
            </w:r>
          </w:p>
          <w:p>
            <w:pPr>
              <w:numPr>
                <w:ilvl w:val="0"/>
                <w:numId w:val="0"/>
              </w:numPr>
              <w:adjustRightInd w:val="0"/>
              <w:snapToGrid w:val="0"/>
              <w:spacing w:line="360" w:lineRule="auto"/>
              <w:ind w:firstLine="480" w:firstLineChars="200"/>
              <w:outlineLvl w:val="2"/>
              <w:rPr>
                <w:rFonts w:hint="default" w:ascii="Times New Roman" w:hAnsi="Times New Roman" w:eastAsia="宋体" w:cs="Times New Roman"/>
                <w:bCs/>
                <w:color w:val="auto"/>
                <w:spacing w:val="10"/>
                <w:szCs w:val="21"/>
                <w:lang w:val="en-US" w:eastAsia="zh-CN"/>
              </w:rPr>
            </w:pPr>
            <w:r>
              <w:rPr>
                <w:rFonts w:hint="default" w:ascii="Times New Roman" w:hAnsi="Times New Roman" w:eastAsia="宋体" w:cs="Times New Roman"/>
                <w:color w:val="auto"/>
                <w:sz w:val="24"/>
                <w:szCs w:val="24"/>
              </w:rPr>
              <w:t>施工单位应制定事故风险溢油应急计划，并按计划中的步骤执行；对施工机械进行定期维修保养，避免发生溢油事故；在水库坝顶施工时，必须配备足够的油污净化、清理器材和防护设备，如围油栏、吸油毯、吸油机等。若施工期施工机械发生泄露事故，在有关部门的指导和配合下，及时采取浮油拦截和吸附措施，直至油污消除。</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3" w:hRule="atLeast"/>
          <w:jc w:val="center"/>
        </w:trPr>
        <w:tc>
          <w:tcPr>
            <w:tcW w:w="542" w:type="dxa"/>
            <w:noWrap w:val="0"/>
            <w:tcMar>
              <w:left w:w="28" w:type="dxa"/>
              <w:right w:w="28" w:type="dxa"/>
            </w:tcMar>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bCs/>
                <w:color w:val="auto"/>
                <w:spacing w:val="10"/>
                <w:szCs w:val="21"/>
              </w:rPr>
            </w:pPr>
            <w:r>
              <w:rPr>
                <w:rFonts w:hint="default" w:ascii="Times New Roman" w:hAnsi="Times New Roman" w:eastAsia="宋体" w:cs="Times New Roman"/>
                <w:bCs/>
                <w:color w:val="auto"/>
                <w:spacing w:val="10"/>
                <w:szCs w:val="21"/>
              </w:rPr>
              <w:t>运营期生态环境保护措施</w:t>
            </w:r>
          </w:p>
        </w:tc>
        <w:tc>
          <w:tcPr>
            <w:tcW w:w="9420" w:type="dxa"/>
            <w:noWrap w:val="0"/>
            <w:vAlign w:val="center"/>
          </w:tcPr>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本工程为是在已经建成的水库大坝、溢洪道等原有基础上进行修缮、加固和维护，为非污染型生态项目，同时，运营期不新增工程管理人员，因此，本项目不涉及运营期。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kern w:val="0"/>
                <w:sz w:val="24"/>
                <w:lang w:val="en-US" w:eastAsia="zh-CN" w:bidi="ar"/>
              </w:rPr>
            </w:pPr>
            <w:r>
              <w:rPr>
                <w:rFonts w:hint="default" w:ascii="Times New Roman" w:hAnsi="Times New Roman" w:eastAsia="宋体" w:cs="Times New Roman"/>
                <w:b w:val="0"/>
                <w:bCs w:val="0"/>
                <w:color w:val="auto"/>
                <w:kern w:val="0"/>
                <w:sz w:val="24"/>
                <w:lang w:val="en-US" w:eastAsia="zh-CN" w:bidi="ar"/>
              </w:rPr>
              <w:t>水库坝址集雨面积3.39km</w:t>
            </w:r>
            <w:r>
              <w:rPr>
                <w:rFonts w:hint="default" w:ascii="Times New Roman" w:hAnsi="Times New Roman" w:eastAsia="宋体" w:cs="Times New Roman"/>
                <w:b w:val="0"/>
                <w:bCs w:val="0"/>
                <w:color w:val="auto"/>
                <w:kern w:val="0"/>
                <w:sz w:val="24"/>
                <w:vertAlign w:val="superscript"/>
                <w:lang w:val="en-US" w:eastAsia="zh-CN" w:bidi="ar"/>
              </w:rPr>
              <w:t>2</w:t>
            </w:r>
            <w:r>
              <w:rPr>
                <w:rFonts w:hint="default" w:ascii="Times New Roman" w:hAnsi="Times New Roman" w:eastAsia="宋体" w:cs="Times New Roman"/>
                <w:b w:val="0"/>
                <w:bCs w:val="0"/>
                <w:color w:val="auto"/>
                <w:kern w:val="0"/>
                <w:sz w:val="24"/>
                <w:lang w:val="en-US" w:eastAsia="zh-CN" w:bidi="ar"/>
              </w:rPr>
              <w:t>，水库来水区有村民居住，植被一般，部分生活污水进入水库。库内污染主要来于水产养殖业、部分生活污水，对水库水质影响较小。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kern w:val="0"/>
                <w:sz w:val="24"/>
                <w:lang w:val="en-US" w:eastAsia="zh-CN" w:bidi="ar"/>
              </w:rPr>
            </w:pPr>
            <w:r>
              <w:rPr>
                <w:rFonts w:hint="default" w:ascii="Times New Roman" w:hAnsi="Times New Roman" w:eastAsia="宋体" w:cs="Times New Roman"/>
                <w:b w:val="0"/>
                <w:bCs w:val="0"/>
                <w:color w:val="auto"/>
                <w:kern w:val="0"/>
                <w:sz w:val="24"/>
                <w:lang w:val="en-US" w:eastAsia="zh-CN" w:bidi="ar"/>
              </w:rPr>
              <w:t>根据水库污染源，“清水工程”主要采取以下措施：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kern w:val="0"/>
                <w:sz w:val="24"/>
                <w:lang w:val="en-US" w:eastAsia="zh-CN" w:bidi="ar"/>
              </w:rPr>
            </w:pPr>
            <w:r>
              <w:rPr>
                <w:rFonts w:hint="default" w:ascii="Times New Roman" w:hAnsi="Times New Roman" w:eastAsia="宋体" w:cs="Times New Roman"/>
                <w:b w:val="0"/>
                <w:bCs w:val="0"/>
                <w:color w:val="auto"/>
                <w:kern w:val="0"/>
                <w:sz w:val="24"/>
                <w:lang w:val="en-US" w:eastAsia="zh-CN" w:bidi="ar"/>
              </w:rPr>
              <w:t>1、严禁水库肥水养鱼，提倡有利于水质保护的渔业生态养殖方式。并由水库管理所对水库和水库周围环境进行保护。</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kern w:val="0"/>
                <w:sz w:val="24"/>
                <w:lang w:val="en-US" w:eastAsia="zh-CN" w:bidi="ar"/>
              </w:rPr>
            </w:pPr>
            <w:r>
              <w:rPr>
                <w:rFonts w:hint="default" w:ascii="Times New Roman" w:hAnsi="Times New Roman" w:eastAsia="宋体" w:cs="Times New Roman"/>
                <w:b w:val="0"/>
                <w:bCs w:val="0"/>
                <w:color w:val="auto"/>
                <w:kern w:val="0"/>
                <w:sz w:val="24"/>
                <w:lang w:val="en-US" w:eastAsia="zh-CN" w:bidi="ar"/>
              </w:rPr>
              <w:t>2、加强库区水生植物管理，定期打捞水葫芦、紫茎泽兰、浮萍等，严格控制其繁殖和蔓延。配合环保、农业、林业等部门做好面源污染治理工作，鼓励水库周边区域退耕还林还草，推广使用养殖有机肥料，禁止使用高毒高残留农药，推广农作物病虫害绿色防控技术，提高综合防治水平。禁止向水库水域倾倒垃圾，定期对水库水面垃圾进行打捞清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kern w:val="0"/>
                <w:sz w:val="24"/>
                <w:lang w:val="en-US" w:eastAsia="zh-CN" w:bidi="ar"/>
              </w:rPr>
            </w:pPr>
            <w:r>
              <w:rPr>
                <w:rFonts w:hint="default" w:ascii="Times New Roman" w:hAnsi="Times New Roman" w:eastAsia="宋体" w:cs="Times New Roman"/>
                <w:b w:val="0"/>
                <w:bCs w:val="0"/>
                <w:color w:val="auto"/>
                <w:kern w:val="0"/>
                <w:sz w:val="24"/>
                <w:lang w:val="en-US" w:eastAsia="zh-CN" w:bidi="ar"/>
              </w:rPr>
              <w:t>3、加</w:t>
            </w:r>
            <w:r>
              <w:rPr>
                <w:rFonts w:hint="eastAsia" w:ascii="Times New Roman" w:hAnsi="Times New Roman" w:eastAsia="宋体" w:cs="Times New Roman"/>
                <w:b w:val="0"/>
                <w:bCs w:val="0"/>
                <w:color w:val="auto"/>
                <w:kern w:val="0"/>
                <w:sz w:val="24"/>
                <w:lang w:val="en-US" w:eastAsia="zh-CN" w:bidi="ar"/>
              </w:rPr>
              <w:t>强</w:t>
            </w:r>
            <w:r>
              <w:rPr>
                <w:rFonts w:hint="default" w:ascii="Times New Roman" w:hAnsi="Times New Roman" w:eastAsia="宋体" w:cs="Times New Roman"/>
                <w:b w:val="0"/>
                <w:bCs w:val="0"/>
                <w:color w:val="auto"/>
                <w:kern w:val="0"/>
                <w:sz w:val="24"/>
                <w:lang w:val="en-US" w:eastAsia="zh-CN" w:bidi="ar"/>
              </w:rPr>
              <w:t>宣传，提高村民治污意识，禁止生活污水直接排放。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pacing w:val="10"/>
                <w:szCs w:val="21"/>
                <w:lang w:val="en-US"/>
              </w:rPr>
            </w:pPr>
            <w:r>
              <w:rPr>
                <w:rFonts w:hint="eastAsia" w:ascii="Times New Roman" w:hAnsi="Times New Roman" w:eastAsia="宋体" w:cs="Times New Roman"/>
                <w:b w:val="0"/>
                <w:bCs w:val="0"/>
                <w:color w:val="auto"/>
                <w:kern w:val="0"/>
                <w:sz w:val="24"/>
                <w:lang w:val="en-US" w:eastAsia="zh-CN" w:bidi="ar"/>
              </w:rPr>
              <w:t>此外，水库管理应加强水库下游生态流量下泄管管控，确保水库下游冷水河及</w:t>
            </w:r>
            <w:r>
              <w:rPr>
                <w:rFonts w:hint="default" w:ascii="Times New Roman" w:hAnsi="Times New Roman" w:eastAsia="宋体" w:cs="Times New Roman"/>
                <w:b w:val="0"/>
                <w:bCs w:val="0"/>
                <w:color w:val="auto"/>
                <w:sz w:val="24"/>
                <w:lang w:val="en-US" w:eastAsia="zh-CN"/>
              </w:rPr>
              <w:t>凌云河大佛景区段生态</w:t>
            </w:r>
            <w:r>
              <w:rPr>
                <w:rFonts w:hint="eastAsia" w:ascii="Times New Roman" w:hAnsi="Times New Roman" w:eastAsia="宋体" w:cs="Times New Roman"/>
                <w:b w:val="0"/>
                <w:bCs w:val="0"/>
                <w:color w:val="auto"/>
                <w:sz w:val="24"/>
                <w:lang w:val="en-US" w:eastAsia="zh-CN"/>
              </w:rPr>
              <w:t>区域水生生态不受影响。</w:t>
            </w:r>
            <w:r>
              <w:rPr>
                <w:rFonts w:hint="eastAsia" w:ascii="Times New Roman" w:hAnsi="Times New Roman" w:eastAsia="宋体" w:cs="Times New Roman"/>
                <w:b w:val="0"/>
                <w:bCs w:val="0"/>
                <w:color w:val="auto"/>
                <w:kern w:val="0"/>
                <w:sz w:val="24"/>
                <w:lang w:val="en-US" w:eastAsia="zh-CN" w:bidi="ar"/>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42"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bCs/>
                <w:color w:val="auto"/>
                <w:spacing w:val="10"/>
                <w:szCs w:val="21"/>
              </w:rPr>
            </w:pPr>
            <w:r>
              <w:rPr>
                <w:rFonts w:hint="default" w:ascii="Times New Roman" w:hAnsi="Times New Roman" w:eastAsia="宋体" w:cs="Times New Roman"/>
                <w:bCs/>
                <w:color w:val="auto"/>
                <w:szCs w:val="21"/>
              </w:rPr>
              <w:t>其他</w:t>
            </w:r>
          </w:p>
        </w:tc>
        <w:tc>
          <w:tcPr>
            <w:tcW w:w="9420" w:type="dxa"/>
            <w:noWrap w:val="0"/>
            <w:vAlign w:val="center"/>
          </w:tcPr>
          <w:p>
            <w:pPr>
              <w:adjustRightInd w:val="0"/>
              <w:snapToGrid w:val="0"/>
              <w:spacing w:line="360" w:lineRule="auto"/>
              <w:ind w:firstLine="482" w:firstLineChars="200"/>
              <w:rPr>
                <w:rFonts w:hint="default"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环境管理</w:t>
            </w:r>
          </w:p>
          <w:p>
            <w:pPr>
              <w:adjustRightInd w:val="0"/>
              <w:snapToGrid w:val="0"/>
              <w:spacing w:line="360" w:lineRule="auto"/>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工程管理机构应设立专门的环境保护机构，配备专职的环保管理人员，负责工程施工的环境管理、环境监测和污染事故应急处理，并协调工程管理与环境管理的关系。</w:t>
            </w:r>
          </w:p>
          <w:p>
            <w:pPr>
              <w:adjustRightInd w:val="0"/>
              <w:snapToGrid w:val="0"/>
              <w:spacing w:line="360" w:lineRule="auto"/>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①根据各施工段的施工内容和当地环境保护要求，制定本工程环境管理制度及详细的施工期污染防治措施计划和应急计划。</w:t>
            </w:r>
          </w:p>
          <w:p>
            <w:pPr>
              <w:adjustRightInd w:val="0"/>
              <w:snapToGrid w:val="0"/>
              <w:spacing w:line="360" w:lineRule="auto"/>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②负责对施工人员进行环境保护培训，明确施工应采取的环境保护措施及注意事项。</w:t>
            </w:r>
          </w:p>
          <w:p>
            <w:pPr>
              <w:adjustRightInd w:val="0"/>
              <w:snapToGrid w:val="0"/>
              <w:spacing w:line="360" w:lineRule="auto"/>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③施工全过程跟踪检查、监督环境管理制度和环保措施执行情况，是否符合当地环境保护的要求，及时反馈当地</w:t>
            </w:r>
            <w:r>
              <w:rPr>
                <w:rFonts w:hint="eastAsia" w:ascii="Times New Roman" w:hAnsi="Times New Roman" w:eastAsia="宋体" w:cs="Times New Roman"/>
                <w:b w:val="0"/>
                <w:bCs w:val="0"/>
                <w:color w:val="auto"/>
                <w:sz w:val="24"/>
                <w:szCs w:val="24"/>
                <w:lang w:val="en-US" w:eastAsia="zh-CN"/>
              </w:rPr>
              <w:t>生态环境</w:t>
            </w:r>
            <w:r>
              <w:rPr>
                <w:rFonts w:hint="default" w:ascii="Times New Roman" w:hAnsi="Times New Roman" w:eastAsia="宋体" w:cs="Times New Roman"/>
                <w:b w:val="0"/>
                <w:bCs w:val="0"/>
                <w:color w:val="auto"/>
                <w:sz w:val="24"/>
                <w:szCs w:val="24"/>
              </w:rPr>
              <w:t>部门意见。</w:t>
            </w:r>
          </w:p>
          <w:p>
            <w:pPr>
              <w:adjustRightInd w:val="0"/>
              <w:snapToGrid w:val="0"/>
              <w:spacing w:line="360" w:lineRule="auto"/>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④负责开展施工期环境监测工作，统计整理有关环境监测资料并上报</w:t>
            </w:r>
            <w:r>
              <w:rPr>
                <w:rFonts w:hint="eastAsia" w:ascii="Times New Roman" w:hAnsi="Times New Roman" w:eastAsia="宋体" w:cs="Times New Roman"/>
                <w:b w:val="0"/>
                <w:bCs w:val="0"/>
                <w:color w:val="auto"/>
                <w:sz w:val="24"/>
                <w:szCs w:val="24"/>
                <w:lang w:val="en-US" w:eastAsia="zh-CN"/>
              </w:rPr>
              <w:t>生态环境主管</w:t>
            </w:r>
            <w:r>
              <w:rPr>
                <w:rFonts w:hint="default" w:ascii="Times New Roman" w:hAnsi="Times New Roman" w:eastAsia="宋体" w:cs="Times New Roman"/>
                <w:b w:val="0"/>
                <w:bCs w:val="0"/>
                <w:color w:val="auto"/>
                <w:sz w:val="24"/>
                <w:szCs w:val="24"/>
              </w:rPr>
              <w:t>部门。</w:t>
            </w:r>
          </w:p>
          <w:p>
            <w:pPr>
              <w:adjustRightInd w:val="0"/>
              <w:snapToGrid w:val="0"/>
              <w:spacing w:line="360" w:lineRule="auto"/>
              <w:ind w:firstLine="480" w:firstLineChars="200"/>
              <w:rPr>
                <w:rFonts w:hint="default" w:ascii="Times New Roman" w:hAnsi="Times New Roman" w:eastAsia="宋体" w:cs="Times New Roman"/>
                <w:bCs/>
                <w:color w:val="auto"/>
                <w:spacing w:val="10"/>
                <w:szCs w:val="21"/>
              </w:rPr>
            </w:pPr>
            <w:r>
              <w:rPr>
                <w:rFonts w:hint="default" w:ascii="Times New Roman" w:hAnsi="Times New Roman" w:eastAsia="宋体" w:cs="Times New Roman"/>
                <w:b w:val="0"/>
                <w:bCs w:val="0"/>
                <w:color w:val="auto"/>
                <w:sz w:val="24"/>
                <w:szCs w:val="24"/>
              </w:rPr>
              <w:t>⑤及时发现施工中可能出现的各类生态破坏和环境污染问题，负责处理各类污染事故和善后处理等。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42"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bCs/>
                <w:color w:val="auto"/>
                <w:spacing w:val="10"/>
                <w:szCs w:val="21"/>
              </w:rPr>
            </w:pPr>
            <w:r>
              <w:rPr>
                <w:rFonts w:hint="default" w:ascii="Times New Roman" w:hAnsi="Times New Roman" w:eastAsia="宋体" w:cs="Times New Roman"/>
                <w:bCs/>
                <w:color w:val="auto"/>
                <w:szCs w:val="21"/>
              </w:rPr>
              <w:t>环保投资</w:t>
            </w:r>
          </w:p>
        </w:tc>
        <w:tc>
          <w:tcPr>
            <w:tcW w:w="9420" w:type="dxa"/>
            <w:noWrap w:val="0"/>
            <w:vAlign w:val="center"/>
          </w:tcPr>
          <w:p>
            <w:pPr>
              <w:widowControl/>
              <w:adjustRightInd w:val="0"/>
              <w:snapToGrid w:val="0"/>
              <w:spacing w:line="360" w:lineRule="auto"/>
              <w:ind w:firstLine="480" w:firstLineChars="200"/>
              <w:jc w:val="left"/>
              <w:rPr>
                <w:rFonts w:hint="default" w:ascii="Times New Roman" w:hAnsi="Times New Roman" w:eastAsia="宋体" w:cs="Times New Roman"/>
                <w:bCs/>
                <w:color w:val="auto"/>
                <w:sz w:val="24"/>
              </w:rPr>
            </w:pPr>
            <w:r>
              <w:rPr>
                <w:rFonts w:hint="default" w:ascii="Times New Roman" w:hAnsi="Times New Roman" w:eastAsia="宋体" w:cs="Times New Roman"/>
                <w:bCs/>
                <w:color w:val="auto"/>
                <w:kern w:val="0"/>
                <w:sz w:val="24"/>
                <w:lang w:bidi="ar"/>
              </w:rPr>
              <w:t>本项目总投资651.07万元，环保投资约</w:t>
            </w:r>
            <w:r>
              <w:rPr>
                <w:rFonts w:hint="eastAsia" w:ascii="Times New Roman" w:hAnsi="Times New Roman" w:eastAsia="宋体" w:cs="Times New Roman"/>
                <w:bCs/>
                <w:color w:val="auto"/>
                <w:kern w:val="0"/>
                <w:sz w:val="24"/>
                <w:lang w:val="en-US" w:eastAsia="zh-CN" w:bidi="ar"/>
              </w:rPr>
              <w:t>40.2</w:t>
            </w:r>
            <w:r>
              <w:rPr>
                <w:rFonts w:hint="default" w:ascii="Times New Roman" w:hAnsi="Times New Roman" w:eastAsia="宋体" w:cs="Times New Roman"/>
                <w:bCs/>
                <w:color w:val="auto"/>
                <w:kern w:val="0"/>
                <w:sz w:val="24"/>
                <w:lang w:bidi="ar"/>
              </w:rPr>
              <w:t>万元，占工程总投资的</w:t>
            </w:r>
            <w:r>
              <w:rPr>
                <w:rFonts w:hint="eastAsia" w:ascii="Times New Roman" w:hAnsi="Times New Roman" w:eastAsia="宋体" w:cs="Times New Roman"/>
                <w:bCs/>
                <w:color w:val="auto"/>
                <w:kern w:val="0"/>
                <w:sz w:val="24"/>
                <w:lang w:val="en-US" w:eastAsia="zh-CN" w:bidi="ar"/>
              </w:rPr>
              <w:t>6.2</w:t>
            </w:r>
            <w:r>
              <w:rPr>
                <w:rFonts w:hint="default" w:ascii="Times New Roman" w:hAnsi="Times New Roman" w:eastAsia="宋体" w:cs="Times New Roman"/>
                <w:bCs/>
                <w:color w:val="auto"/>
                <w:kern w:val="0"/>
                <w:sz w:val="24"/>
                <w:lang w:bidi="ar"/>
              </w:rPr>
              <w:t>%。项目环保投资见表</w:t>
            </w:r>
            <w:r>
              <w:rPr>
                <w:rFonts w:hint="default" w:ascii="Times New Roman" w:hAnsi="Times New Roman" w:eastAsia="宋体" w:cs="Times New Roman"/>
                <w:bCs/>
                <w:color w:val="auto"/>
                <w:kern w:val="0"/>
                <w:sz w:val="24"/>
                <w:lang w:val="en-US" w:eastAsia="zh-CN" w:bidi="ar"/>
              </w:rPr>
              <w:t>5</w:t>
            </w:r>
            <w:r>
              <w:rPr>
                <w:rFonts w:hint="default" w:ascii="Times New Roman" w:hAnsi="Times New Roman" w:eastAsia="宋体" w:cs="Times New Roman"/>
                <w:bCs/>
                <w:color w:val="auto"/>
                <w:kern w:val="0"/>
                <w:sz w:val="24"/>
                <w:lang w:bidi="ar"/>
              </w:rPr>
              <w:t>-</w:t>
            </w:r>
            <w:r>
              <w:rPr>
                <w:rFonts w:hint="default" w:ascii="Times New Roman" w:hAnsi="Times New Roman" w:eastAsia="宋体" w:cs="Times New Roman"/>
                <w:bCs/>
                <w:color w:val="auto"/>
                <w:kern w:val="0"/>
                <w:sz w:val="24"/>
                <w:lang w:val="en-US" w:eastAsia="zh-CN" w:bidi="ar"/>
              </w:rPr>
              <w:t>2</w:t>
            </w:r>
            <w:r>
              <w:rPr>
                <w:rFonts w:hint="default" w:ascii="Times New Roman" w:hAnsi="Times New Roman" w:eastAsia="宋体" w:cs="Times New Roman"/>
                <w:bCs/>
                <w:color w:val="auto"/>
                <w:kern w:val="0"/>
                <w:sz w:val="24"/>
                <w:lang w:bidi="ar"/>
              </w:rPr>
              <w:t>。</w:t>
            </w:r>
          </w:p>
          <w:p>
            <w:pPr>
              <w:widowControl/>
              <w:adjustRightInd w:val="0"/>
              <w:snapToGrid w:val="0"/>
              <w:spacing w:line="360" w:lineRule="auto"/>
              <w:jc w:val="center"/>
              <w:rPr>
                <w:rFonts w:hint="default" w:ascii="Times New Roman" w:hAnsi="Times New Roman" w:eastAsia="宋体" w:cs="Times New Roman"/>
                <w:b/>
                <w:bCs w:val="0"/>
                <w:color w:val="auto"/>
                <w:kern w:val="0"/>
                <w:szCs w:val="21"/>
                <w:lang w:bidi="ar"/>
              </w:rPr>
            </w:pPr>
            <w:r>
              <w:rPr>
                <w:rFonts w:hint="default" w:ascii="Times New Roman" w:hAnsi="Times New Roman" w:eastAsia="宋体" w:cs="Times New Roman"/>
                <w:b/>
                <w:bCs w:val="0"/>
                <w:color w:val="auto"/>
                <w:kern w:val="0"/>
                <w:szCs w:val="21"/>
                <w:lang w:bidi="ar"/>
              </w:rPr>
              <w:t>表</w:t>
            </w:r>
            <w:r>
              <w:rPr>
                <w:rFonts w:hint="default" w:ascii="Times New Roman" w:hAnsi="Times New Roman" w:eastAsia="宋体" w:cs="Times New Roman"/>
                <w:b/>
                <w:bCs w:val="0"/>
                <w:color w:val="auto"/>
                <w:kern w:val="0"/>
                <w:szCs w:val="21"/>
                <w:lang w:val="en-US" w:eastAsia="zh-CN" w:bidi="ar"/>
              </w:rPr>
              <w:t>5</w:t>
            </w:r>
            <w:r>
              <w:rPr>
                <w:rFonts w:hint="default" w:ascii="Times New Roman" w:hAnsi="Times New Roman" w:eastAsia="宋体" w:cs="Times New Roman"/>
                <w:b/>
                <w:bCs w:val="0"/>
                <w:color w:val="auto"/>
                <w:kern w:val="0"/>
                <w:szCs w:val="21"/>
                <w:lang w:bidi="ar"/>
              </w:rPr>
              <w:t>-</w:t>
            </w:r>
            <w:r>
              <w:rPr>
                <w:rFonts w:hint="default" w:ascii="Times New Roman" w:hAnsi="Times New Roman" w:eastAsia="宋体" w:cs="Times New Roman"/>
                <w:b/>
                <w:bCs w:val="0"/>
                <w:color w:val="auto"/>
                <w:kern w:val="0"/>
                <w:szCs w:val="21"/>
                <w:lang w:val="en-US" w:eastAsia="zh-CN" w:bidi="ar"/>
              </w:rPr>
              <w:t>2</w:t>
            </w:r>
            <w:r>
              <w:rPr>
                <w:rFonts w:hint="default" w:ascii="Times New Roman" w:hAnsi="Times New Roman" w:eastAsia="宋体" w:cs="Times New Roman"/>
                <w:b/>
                <w:bCs w:val="0"/>
                <w:color w:val="auto"/>
                <w:kern w:val="0"/>
                <w:szCs w:val="21"/>
                <w:lang w:bidi="ar"/>
              </w:rPr>
              <w:t xml:space="preserve">  环保措施（设施）及投资一览表</w:t>
            </w:r>
          </w:p>
          <w:tbl>
            <w:tblPr>
              <w:tblStyle w:val="4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6"/>
              <w:gridCol w:w="1104"/>
              <w:gridCol w:w="1577"/>
              <w:gridCol w:w="3669"/>
              <w:gridCol w:w="1365"/>
              <w:gridCol w:w="7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0" w:type="pc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阶段</w:t>
                  </w:r>
                </w:p>
              </w:tc>
              <w:tc>
                <w:tcPr>
                  <w:tcW w:w="606" w:type="pc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环保项目</w:t>
                  </w:r>
                </w:p>
              </w:tc>
              <w:tc>
                <w:tcPr>
                  <w:tcW w:w="2878"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环保措施</w:t>
                  </w:r>
                </w:p>
              </w:tc>
              <w:tc>
                <w:tcPr>
                  <w:tcW w:w="749" w:type="pc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金额（万元）</w:t>
                  </w:r>
                </w:p>
              </w:tc>
              <w:tc>
                <w:tcPr>
                  <w:tcW w:w="406" w:type="pc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0" w:type="pct"/>
                  <w:vMerge w:val="restar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施工期</w:t>
                  </w:r>
                </w:p>
              </w:tc>
              <w:tc>
                <w:tcPr>
                  <w:tcW w:w="606" w:type="pct"/>
                  <w:vMerge w:val="restar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水污染防治</w:t>
                  </w:r>
                </w:p>
              </w:tc>
              <w:tc>
                <w:tcPr>
                  <w:tcW w:w="2878"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施工废水：</w:t>
                  </w:r>
                  <w:r>
                    <w:rPr>
                      <w:rFonts w:hint="default" w:ascii="Times New Roman" w:hAnsi="Times New Roman" w:eastAsia="宋体" w:cs="Times New Roman"/>
                      <w:color w:val="auto"/>
                      <w:sz w:val="21"/>
                      <w:szCs w:val="21"/>
                      <w:lang w:val="en-US" w:eastAsia="zh-CN"/>
                    </w:rPr>
                    <w:t>设置沉淀池，拌和系统冲洗废水沉淀后回用</w:t>
                  </w:r>
                </w:p>
              </w:tc>
              <w:tc>
                <w:tcPr>
                  <w:tcW w:w="74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w:t>
                  </w:r>
                </w:p>
              </w:tc>
              <w:tc>
                <w:tcPr>
                  <w:tcW w:w="406"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0"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p>
              </w:tc>
              <w:tc>
                <w:tcPr>
                  <w:tcW w:w="606"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p>
              </w:tc>
              <w:tc>
                <w:tcPr>
                  <w:tcW w:w="2878"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生活污水</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依托库区</w:t>
                  </w:r>
                  <w:r>
                    <w:rPr>
                      <w:rFonts w:hint="eastAsia" w:ascii="Times New Roman" w:hAnsi="Times New Roman" w:eastAsia="宋体" w:cs="Times New Roman"/>
                      <w:color w:val="auto"/>
                      <w:sz w:val="21"/>
                      <w:szCs w:val="21"/>
                      <w:lang w:eastAsia="zh-CN"/>
                    </w:rPr>
                    <w:t>管理处</w:t>
                  </w:r>
                  <w:r>
                    <w:rPr>
                      <w:rFonts w:hint="default" w:ascii="Times New Roman" w:hAnsi="Times New Roman" w:eastAsia="宋体" w:cs="Times New Roman"/>
                      <w:color w:val="auto"/>
                      <w:sz w:val="21"/>
                      <w:szCs w:val="21"/>
                    </w:rPr>
                    <w:t>内已有化粪池收集处理后农用，不外排</w:t>
                  </w:r>
                </w:p>
              </w:tc>
              <w:tc>
                <w:tcPr>
                  <w:tcW w:w="74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06"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0"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p>
              </w:tc>
              <w:tc>
                <w:tcPr>
                  <w:tcW w:w="606"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噪声防治</w:t>
                  </w:r>
                </w:p>
              </w:tc>
              <w:tc>
                <w:tcPr>
                  <w:tcW w:w="2878"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选用低噪设备，固定声源设备采取基础 减震，设置临时隔声围挡</w:t>
                  </w:r>
                </w:p>
              </w:tc>
              <w:tc>
                <w:tcPr>
                  <w:tcW w:w="74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5.0</w:t>
                  </w:r>
                </w:p>
              </w:tc>
              <w:tc>
                <w:tcPr>
                  <w:tcW w:w="406"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360"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p>
              </w:tc>
              <w:tc>
                <w:tcPr>
                  <w:tcW w:w="606" w:type="pct"/>
                  <w:vMerge w:val="restar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固废处置</w:t>
                  </w:r>
                </w:p>
              </w:tc>
              <w:tc>
                <w:tcPr>
                  <w:tcW w:w="865" w:type="pct"/>
                  <w:tcBorders>
                    <w:tl2br w:val="nil"/>
                    <w:tr2bl w:val="nil"/>
                  </w:tcBorders>
                  <w:noWrap w:val="0"/>
                  <w:vAlign w:val="center"/>
                </w:tcPr>
                <w:p>
                  <w:pPr>
                    <w:adjustRightInd w:val="0"/>
                    <w:snapToGrid w:val="0"/>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Cs w:val="21"/>
                    </w:rPr>
                    <w:t>弃渣</w:t>
                  </w:r>
                  <w:r>
                    <w:rPr>
                      <w:rFonts w:hint="eastAsia" w:ascii="Times New Roman" w:hAnsi="Times New Roman" w:eastAsia="宋体" w:cs="Times New Roman"/>
                      <w:color w:val="auto"/>
                      <w:szCs w:val="21"/>
                      <w:lang w:eastAsia="zh-CN"/>
                    </w:rPr>
                    <w:t>、沉淀池沉渣</w:t>
                  </w:r>
                </w:p>
              </w:tc>
              <w:tc>
                <w:tcPr>
                  <w:tcW w:w="2012"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运至乐山指定弃渣场进行堆放。</w:t>
                  </w:r>
                </w:p>
              </w:tc>
              <w:tc>
                <w:tcPr>
                  <w:tcW w:w="74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12.0</w:t>
                  </w:r>
                </w:p>
              </w:tc>
              <w:tc>
                <w:tcPr>
                  <w:tcW w:w="406"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360"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auto"/>
                    </w:rPr>
                  </w:pPr>
                </w:p>
              </w:tc>
              <w:tc>
                <w:tcPr>
                  <w:tcW w:w="606"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auto"/>
                    </w:rPr>
                  </w:pPr>
                </w:p>
              </w:tc>
              <w:tc>
                <w:tcPr>
                  <w:tcW w:w="865"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Cs w:val="21"/>
                      <w:lang w:val="en-US" w:eastAsia="zh-CN"/>
                    </w:rPr>
                    <w:t>拆除设备与建筑垃圾</w:t>
                  </w:r>
                </w:p>
              </w:tc>
              <w:tc>
                <w:tcPr>
                  <w:tcW w:w="2012"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外售</w:t>
                  </w:r>
                  <w:r>
                    <w:rPr>
                      <w:rFonts w:hint="eastAsia" w:ascii="Times New Roman" w:hAnsi="Times New Roman" w:eastAsia="宋体" w:cs="Times New Roman"/>
                      <w:color w:val="auto"/>
                      <w:sz w:val="21"/>
                      <w:szCs w:val="21"/>
                      <w:lang w:val="en-US" w:eastAsia="zh-CN"/>
                    </w:rPr>
                    <w:t>综合利用</w:t>
                  </w:r>
                  <w:r>
                    <w:rPr>
                      <w:rFonts w:hint="default" w:ascii="Times New Roman" w:hAnsi="Times New Roman" w:eastAsia="宋体" w:cs="Times New Roman"/>
                      <w:color w:val="auto"/>
                      <w:sz w:val="21"/>
                      <w:szCs w:val="21"/>
                    </w:rPr>
                    <w:t>，不可回收部分作为工程弃渣运至乐山指定弃渣场进行堆放</w:t>
                  </w:r>
                </w:p>
              </w:tc>
              <w:tc>
                <w:tcPr>
                  <w:tcW w:w="74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w:t>
                  </w:r>
                </w:p>
              </w:tc>
              <w:tc>
                <w:tcPr>
                  <w:tcW w:w="406"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360"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p>
              </w:tc>
              <w:tc>
                <w:tcPr>
                  <w:tcW w:w="606"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p>
              </w:tc>
              <w:tc>
                <w:tcPr>
                  <w:tcW w:w="865"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rPr>
                    <w:t>生活垃圾</w:t>
                  </w:r>
                </w:p>
              </w:tc>
              <w:tc>
                <w:tcPr>
                  <w:tcW w:w="2012"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分类收集，定点堆放，交由当地环卫部门清运处理。</w:t>
                  </w:r>
                </w:p>
              </w:tc>
              <w:tc>
                <w:tcPr>
                  <w:tcW w:w="74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0.2</w:t>
                  </w:r>
                </w:p>
              </w:tc>
              <w:tc>
                <w:tcPr>
                  <w:tcW w:w="406"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360" w:type="pct"/>
                  <w:vMerge w:val="continue"/>
                  <w:tcBorders>
                    <w:tl2br w:val="nil"/>
                    <w:tr2bl w:val="nil"/>
                  </w:tcBorders>
                  <w:noWrap w:val="0"/>
                  <w:vAlign w:val="center"/>
                </w:tcPr>
                <w:p>
                  <w:pPr>
                    <w:adjustRightInd w:val="0"/>
                    <w:snapToGrid w:val="0"/>
                    <w:jc w:val="center"/>
                    <w:rPr>
                      <w:color w:val="auto"/>
                    </w:rPr>
                  </w:pPr>
                </w:p>
              </w:tc>
              <w:tc>
                <w:tcPr>
                  <w:tcW w:w="606" w:type="pct"/>
                  <w:vMerge w:val="continue"/>
                  <w:tcBorders>
                    <w:tl2br w:val="nil"/>
                    <w:tr2bl w:val="nil"/>
                  </w:tcBorders>
                  <w:noWrap w:val="0"/>
                  <w:vAlign w:val="center"/>
                </w:tcPr>
                <w:p>
                  <w:pPr>
                    <w:adjustRightInd w:val="0"/>
                    <w:snapToGrid w:val="0"/>
                    <w:jc w:val="center"/>
                    <w:rPr>
                      <w:color w:val="auto"/>
                    </w:rPr>
                  </w:pPr>
                </w:p>
              </w:tc>
              <w:tc>
                <w:tcPr>
                  <w:tcW w:w="865"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白蚁防治废药品包装袋</w:t>
                  </w:r>
                </w:p>
              </w:tc>
              <w:tc>
                <w:tcPr>
                  <w:tcW w:w="2012"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收集后交由</w:t>
                  </w:r>
                  <w:r>
                    <w:rPr>
                      <w:rFonts w:hint="eastAsia" w:ascii="Times New Roman" w:hAnsi="Times New Roman" w:eastAsia="宋体" w:cs="Times New Roman"/>
                      <w:color w:val="auto"/>
                      <w:szCs w:val="21"/>
                      <w:lang w:val="en-US" w:eastAsia="zh-CN"/>
                    </w:rPr>
                    <w:t>厂家回收</w:t>
                  </w:r>
                </w:p>
              </w:tc>
              <w:tc>
                <w:tcPr>
                  <w:tcW w:w="74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2.0</w:t>
                  </w:r>
                </w:p>
              </w:tc>
              <w:tc>
                <w:tcPr>
                  <w:tcW w:w="406"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0"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p>
              </w:tc>
              <w:tc>
                <w:tcPr>
                  <w:tcW w:w="606"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大气污染防治措施</w:t>
                  </w:r>
                </w:p>
              </w:tc>
              <w:tc>
                <w:tcPr>
                  <w:tcW w:w="2878"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施工扬尘采取洒水抑尘、封闭施工、保持施工场地路面清洁、避免大风天气作业等措施进行治理</w:t>
                  </w:r>
                </w:p>
              </w:tc>
              <w:tc>
                <w:tcPr>
                  <w:tcW w:w="74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4.5</w:t>
                  </w:r>
                </w:p>
              </w:tc>
              <w:tc>
                <w:tcPr>
                  <w:tcW w:w="406"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jc w:val="center"/>
              </w:trPr>
              <w:tc>
                <w:tcPr>
                  <w:tcW w:w="360"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p>
              </w:tc>
              <w:tc>
                <w:tcPr>
                  <w:tcW w:w="606"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生态环境保护及恢复措施</w:t>
                  </w:r>
                </w:p>
              </w:tc>
              <w:tc>
                <w:tcPr>
                  <w:tcW w:w="2878"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水土保持措施，临时占地复绿</w:t>
                  </w:r>
                </w:p>
              </w:tc>
              <w:tc>
                <w:tcPr>
                  <w:tcW w:w="74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10.0</w:t>
                  </w:r>
                </w:p>
              </w:tc>
              <w:tc>
                <w:tcPr>
                  <w:tcW w:w="406"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360" w:type="pct"/>
                  <w:vMerge w:val="continue"/>
                  <w:tcBorders>
                    <w:tl2br w:val="nil"/>
                    <w:tr2bl w:val="nil"/>
                  </w:tcBorders>
                  <w:noWrap w:val="0"/>
                  <w:vAlign w:val="center"/>
                </w:tcPr>
                <w:p>
                  <w:pPr>
                    <w:adjustRightInd w:val="0"/>
                    <w:snapToGrid w:val="0"/>
                    <w:jc w:val="center"/>
                    <w:rPr>
                      <w:color w:val="auto"/>
                    </w:rPr>
                  </w:pPr>
                </w:p>
              </w:tc>
              <w:tc>
                <w:tcPr>
                  <w:tcW w:w="606"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风险防范措施</w:t>
                  </w:r>
                </w:p>
              </w:tc>
              <w:tc>
                <w:tcPr>
                  <w:tcW w:w="2878"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设置标牌，加强施工人员教育，建立应急方案</w:t>
                  </w:r>
                </w:p>
              </w:tc>
              <w:tc>
                <w:tcPr>
                  <w:tcW w:w="74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406"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0"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合计</w:t>
                  </w:r>
                </w:p>
              </w:tc>
              <w:tc>
                <w:tcPr>
                  <w:tcW w:w="606"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878"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74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40.2</w:t>
                  </w:r>
                </w:p>
              </w:tc>
              <w:tc>
                <w:tcPr>
                  <w:tcW w:w="406"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bl>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default" w:ascii="Times New Roman" w:hAnsi="Times New Roman" w:eastAsia="宋体" w:cs="Times New Roman"/>
                <w:bCs/>
                <w:color w:val="auto"/>
                <w:spacing w:val="10"/>
                <w:szCs w:val="21"/>
              </w:rPr>
            </w:pPr>
          </w:p>
        </w:tc>
      </w:tr>
    </w:tbl>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lang w:val="en-US" w:eastAsia="zh-CN"/>
        </w:rPr>
        <w:sectPr>
          <w:pgSz w:w="11907" w:h="16840"/>
          <w:pgMar w:top="1440" w:right="1080" w:bottom="1440" w:left="1080"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34"/>
        <w:keepNext w:val="0"/>
        <w:keepLines w:val="0"/>
        <w:pageBreakBefore w:val="0"/>
        <w:kinsoku/>
        <w:wordWrap/>
        <w:overflowPunct/>
        <w:topLinePunct w:val="0"/>
        <w:bidi w:val="0"/>
        <w:adjustRightInd w:val="0"/>
        <w:snapToGrid w:val="0"/>
        <w:jc w:val="center"/>
        <w:textAlignment w:val="auto"/>
        <w:outlineLvl w:val="0"/>
        <w:rPr>
          <w:rFonts w:hint="default" w:ascii="Times New Roman" w:hAnsi="Times New Roman" w:eastAsia="宋体" w:cs="Times New Roman"/>
          <w:b/>
          <w:bCs/>
          <w:snapToGrid w:val="0"/>
          <w:color w:val="auto"/>
          <w:sz w:val="30"/>
          <w:szCs w:val="30"/>
        </w:rPr>
      </w:pPr>
      <w:r>
        <w:rPr>
          <w:rFonts w:hint="default" w:ascii="Times New Roman" w:hAnsi="Times New Roman" w:eastAsia="宋体" w:cs="Times New Roman"/>
          <w:b/>
          <w:bCs/>
          <w:snapToGrid w:val="0"/>
          <w:color w:val="auto"/>
          <w:sz w:val="30"/>
          <w:szCs w:val="30"/>
        </w:rPr>
        <w:t>六、生态环境保护措施监督检查清单</w:t>
      </w:r>
    </w:p>
    <w:tbl>
      <w:tblPr>
        <w:tblStyle w:val="3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787"/>
        <w:gridCol w:w="2419"/>
        <w:gridCol w:w="2790"/>
        <w:gridCol w:w="1663"/>
        <w:gridCol w:w="1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134" w:type="dxa"/>
            <w:vMerge w:val="restart"/>
            <w:tcBorders>
              <w:tl2br w:val="single" w:color="auto" w:sz="4" w:space="0"/>
            </w:tcBorders>
            <w:noWrap w:val="0"/>
            <w:vAlign w:val="top"/>
          </w:tcPr>
          <w:p>
            <w:pPr>
              <w:pStyle w:val="34"/>
              <w:keepNext w:val="0"/>
              <w:keepLines w:val="0"/>
              <w:pageBreakBefore w:val="0"/>
              <w:kinsoku/>
              <w:wordWrap/>
              <w:overflowPunct/>
              <w:topLinePunct w:val="0"/>
              <w:bidi w:val="0"/>
              <w:adjustRightInd w:val="0"/>
              <w:snapToGrid w:val="0"/>
              <w:spacing w:before="72" w:beforeLines="30" w:beforeAutospacing="0" w:after="0" w:afterAutospacing="0"/>
              <w:jc w:val="right"/>
              <w:textAlignment w:val="auto"/>
              <w:outlineLvl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内容</w:t>
            </w:r>
          </w:p>
          <w:p>
            <w:pPr>
              <w:pStyle w:val="34"/>
              <w:keepNext w:val="0"/>
              <w:keepLines w:val="0"/>
              <w:pageBreakBefore w:val="0"/>
              <w:kinsoku/>
              <w:wordWrap/>
              <w:overflowPunct/>
              <w:topLinePunct w:val="0"/>
              <w:bidi w:val="0"/>
              <w:adjustRightInd w:val="0"/>
              <w:snapToGrid w:val="0"/>
              <w:spacing w:before="0" w:beforeAutospacing="0" w:after="0" w:afterAutospacing="0" w:line="14" w:lineRule="auto"/>
              <w:textAlignment w:val="auto"/>
              <w:outlineLvl w:val="0"/>
              <w:rPr>
                <w:rFonts w:hint="default" w:ascii="Times New Roman" w:hAnsi="Times New Roman" w:eastAsia="宋体" w:cs="Times New Roman"/>
                <w:color w:val="auto"/>
                <w:kern w:val="2"/>
                <w:sz w:val="135"/>
                <w:szCs w:val="21"/>
              </w:rPr>
            </w:pPr>
            <w:r>
              <w:rPr>
                <w:rFonts w:hint="default" w:ascii="Times New Roman" w:hAnsi="Times New Roman" w:eastAsia="宋体" w:cs="Times New Roman"/>
                <w:color w:val="auto"/>
                <w:kern w:val="2"/>
                <w:sz w:val="21"/>
                <w:szCs w:val="21"/>
              </w:rPr>
              <w:t xml:space="preserve"> </w:t>
            </w:r>
            <w:r>
              <w:rPr>
                <w:rFonts w:hint="default" w:ascii="Times New Roman" w:hAnsi="Times New Roman" w:eastAsia="宋体" w:cs="Times New Roman"/>
                <w:color w:val="auto"/>
                <w:kern w:val="2"/>
                <w:sz w:val="135"/>
                <w:szCs w:val="21"/>
              </w:rPr>
              <w:t xml:space="preserve"> </w:t>
            </w:r>
          </w:p>
          <w:p>
            <w:pPr>
              <w:pStyle w:val="34"/>
              <w:keepNext w:val="0"/>
              <w:keepLines w:val="0"/>
              <w:pageBreakBefore w:val="0"/>
              <w:kinsoku/>
              <w:wordWrap/>
              <w:overflowPunct/>
              <w:topLinePunct w:val="0"/>
              <w:bidi w:val="0"/>
              <w:adjustRightInd w:val="0"/>
              <w:snapToGrid w:val="0"/>
              <w:spacing w:before="0" w:beforeAutospacing="0" w:after="0" w:afterAutospacing="0"/>
              <w:jc w:val="both"/>
              <w:textAlignment w:val="auto"/>
              <w:outlineLvl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要素</w:t>
            </w:r>
          </w:p>
        </w:tc>
        <w:tc>
          <w:tcPr>
            <w:tcW w:w="5996" w:type="dxa"/>
            <w:gridSpan w:val="3"/>
            <w:noWrap w:val="0"/>
            <w:vAlign w:val="center"/>
          </w:tcPr>
          <w:p>
            <w:pPr>
              <w:pStyle w:val="34"/>
              <w:keepNext w:val="0"/>
              <w:keepLines w:val="0"/>
              <w:pageBreakBefore w:val="0"/>
              <w:kinsoku/>
              <w:wordWrap/>
              <w:overflowPunct/>
              <w:topLinePunct w:val="0"/>
              <w:bidi w:val="0"/>
              <w:adjustRightInd w:val="0"/>
              <w:snapToGrid w:val="0"/>
              <w:spacing w:before="0" w:beforeAutospacing="0" w:after="0" w:afterAutospacing="0"/>
              <w:jc w:val="center"/>
              <w:textAlignment w:val="auto"/>
              <w:outlineLvl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施工期</w:t>
            </w:r>
          </w:p>
        </w:tc>
        <w:tc>
          <w:tcPr>
            <w:tcW w:w="2824" w:type="dxa"/>
            <w:gridSpan w:val="2"/>
            <w:noWrap w:val="0"/>
            <w:vAlign w:val="center"/>
          </w:tcPr>
          <w:p>
            <w:pPr>
              <w:pStyle w:val="34"/>
              <w:keepNext w:val="0"/>
              <w:keepLines w:val="0"/>
              <w:pageBreakBefore w:val="0"/>
              <w:kinsoku/>
              <w:wordWrap/>
              <w:overflowPunct/>
              <w:topLinePunct w:val="0"/>
              <w:bidi w:val="0"/>
              <w:adjustRightInd w:val="0"/>
              <w:snapToGrid w:val="0"/>
              <w:spacing w:before="0" w:beforeAutospacing="0" w:after="0" w:afterAutospacing="0"/>
              <w:jc w:val="center"/>
              <w:textAlignment w:val="auto"/>
              <w:outlineLvl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运营期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1134" w:type="dxa"/>
            <w:vMerge w:val="continue"/>
            <w:noWrap w:val="0"/>
            <w:vAlign w:val="top"/>
          </w:tcPr>
          <w:p>
            <w:pPr>
              <w:pStyle w:val="34"/>
              <w:keepNext w:val="0"/>
              <w:keepLines w:val="0"/>
              <w:pageBreakBefore w:val="0"/>
              <w:kinsoku/>
              <w:wordWrap/>
              <w:overflowPunct/>
              <w:topLinePunct w:val="0"/>
              <w:bidi w:val="0"/>
              <w:adjustRightInd w:val="0"/>
              <w:snapToGrid w:val="0"/>
              <w:spacing w:before="0" w:beforeAutospacing="0" w:after="0" w:afterAutospacing="0"/>
              <w:ind w:firstLine="840"/>
              <w:jc w:val="center"/>
              <w:textAlignment w:val="auto"/>
              <w:outlineLvl w:val="0"/>
              <w:rPr>
                <w:rFonts w:hint="default" w:ascii="Times New Roman" w:hAnsi="Times New Roman" w:eastAsia="宋体" w:cs="Times New Roman"/>
                <w:color w:val="auto"/>
                <w:kern w:val="2"/>
                <w:sz w:val="21"/>
                <w:szCs w:val="21"/>
              </w:rPr>
            </w:pPr>
          </w:p>
        </w:tc>
        <w:tc>
          <w:tcPr>
            <w:tcW w:w="3206" w:type="dxa"/>
            <w:gridSpan w:val="2"/>
            <w:noWrap w:val="0"/>
            <w:vAlign w:val="center"/>
          </w:tcPr>
          <w:p>
            <w:pPr>
              <w:pStyle w:val="34"/>
              <w:keepNext w:val="0"/>
              <w:keepLines w:val="0"/>
              <w:pageBreakBefore w:val="0"/>
              <w:kinsoku/>
              <w:wordWrap/>
              <w:overflowPunct/>
              <w:topLinePunct w:val="0"/>
              <w:bidi w:val="0"/>
              <w:adjustRightInd w:val="0"/>
              <w:snapToGrid w:val="0"/>
              <w:spacing w:before="0" w:beforeAutospacing="0" w:after="0" w:afterAutospacing="0"/>
              <w:jc w:val="center"/>
              <w:textAlignment w:val="auto"/>
              <w:outlineLvl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环境保护措施</w:t>
            </w:r>
          </w:p>
        </w:tc>
        <w:tc>
          <w:tcPr>
            <w:tcW w:w="2790" w:type="dxa"/>
            <w:noWrap w:val="0"/>
            <w:vAlign w:val="center"/>
          </w:tcPr>
          <w:p>
            <w:pPr>
              <w:pStyle w:val="34"/>
              <w:keepNext w:val="0"/>
              <w:keepLines w:val="0"/>
              <w:pageBreakBefore w:val="0"/>
              <w:kinsoku/>
              <w:wordWrap/>
              <w:overflowPunct/>
              <w:topLinePunct w:val="0"/>
              <w:bidi w:val="0"/>
              <w:adjustRightInd w:val="0"/>
              <w:snapToGrid w:val="0"/>
              <w:spacing w:before="0" w:beforeAutospacing="0" w:after="0" w:afterAutospacing="0"/>
              <w:jc w:val="center"/>
              <w:textAlignment w:val="auto"/>
              <w:outlineLvl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验收要求</w:t>
            </w:r>
          </w:p>
        </w:tc>
        <w:tc>
          <w:tcPr>
            <w:tcW w:w="1663" w:type="dxa"/>
            <w:noWrap w:val="0"/>
            <w:vAlign w:val="center"/>
          </w:tcPr>
          <w:p>
            <w:pPr>
              <w:pStyle w:val="34"/>
              <w:keepNext w:val="0"/>
              <w:keepLines w:val="0"/>
              <w:pageBreakBefore w:val="0"/>
              <w:kinsoku/>
              <w:wordWrap/>
              <w:overflowPunct/>
              <w:topLinePunct w:val="0"/>
              <w:bidi w:val="0"/>
              <w:adjustRightInd w:val="0"/>
              <w:snapToGrid w:val="0"/>
              <w:spacing w:before="0" w:beforeAutospacing="0" w:after="0" w:afterAutospacing="0"/>
              <w:jc w:val="center"/>
              <w:textAlignment w:val="auto"/>
              <w:outlineLvl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环境保护措施</w:t>
            </w:r>
          </w:p>
        </w:tc>
        <w:tc>
          <w:tcPr>
            <w:tcW w:w="1161" w:type="dxa"/>
            <w:noWrap w:val="0"/>
            <w:vAlign w:val="center"/>
          </w:tcPr>
          <w:p>
            <w:pPr>
              <w:pStyle w:val="34"/>
              <w:keepNext w:val="0"/>
              <w:keepLines w:val="0"/>
              <w:pageBreakBefore w:val="0"/>
              <w:kinsoku/>
              <w:wordWrap/>
              <w:overflowPunct/>
              <w:topLinePunct w:val="0"/>
              <w:bidi w:val="0"/>
              <w:adjustRightInd w:val="0"/>
              <w:snapToGrid w:val="0"/>
              <w:spacing w:before="0" w:beforeAutospacing="0" w:after="0" w:afterAutospacing="0"/>
              <w:jc w:val="center"/>
              <w:textAlignment w:val="auto"/>
              <w:outlineLvl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验收要求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34"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陆生生态</w:t>
            </w:r>
          </w:p>
        </w:tc>
        <w:tc>
          <w:tcPr>
            <w:tcW w:w="3206" w:type="dxa"/>
            <w:gridSpan w:val="2"/>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减少水土流失</w:t>
            </w:r>
            <w:r>
              <w:rPr>
                <w:rFonts w:hint="eastAsia" w:ascii="Times New Roman" w:hAnsi="Times New Roman" w:eastAsia="宋体" w:cs="Times New Roman"/>
                <w:color w:val="auto"/>
                <w:szCs w:val="21"/>
                <w:lang w:val="en-US" w:eastAsia="zh-CN"/>
              </w:rPr>
              <w:t>，临时占地覆土复绿</w:t>
            </w:r>
          </w:p>
        </w:tc>
        <w:tc>
          <w:tcPr>
            <w:tcW w:w="2790"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生态环境以不减少区内濒危珍稀动植物和不破坏生态系统完整性为标准，水土流失以不改变土壤侵蚀类型为标准</w:t>
            </w:r>
          </w:p>
        </w:tc>
        <w:tc>
          <w:tcPr>
            <w:tcW w:w="1663"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161"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134"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水生生态</w:t>
            </w:r>
          </w:p>
        </w:tc>
        <w:tc>
          <w:tcPr>
            <w:tcW w:w="3206" w:type="dxa"/>
            <w:gridSpan w:val="2"/>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禁止向河流排放施工废水、垃圾</w:t>
            </w:r>
          </w:p>
        </w:tc>
        <w:tc>
          <w:tcPr>
            <w:tcW w:w="2790"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废水不外排</w:t>
            </w:r>
          </w:p>
        </w:tc>
        <w:tc>
          <w:tcPr>
            <w:tcW w:w="1663"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161"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134" w:type="dxa"/>
            <w:vMerge w:val="restar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地表水环境</w:t>
            </w:r>
          </w:p>
        </w:tc>
        <w:tc>
          <w:tcPr>
            <w:tcW w:w="787" w:type="dxa"/>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施工废水</w:t>
            </w:r>
          </w:p>
        </w:tc>
        <w:tc>
          <w:tcPr>
            <w:tcW w:w="2419" w:type="dxa"/>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隔油</w:t>
            </w:r>
            <w:r>
              <w:rPr>
                <w:rFonts w:hint="default" w:ascii="Times New Roman" w:hAnsi="Times New Roman" w:eastAsia="宋体" w:cs="Times New Roman"/>
                <w:color w:val="auto"/>
                <w:szCs w:val="21"/>
              </w:rPr>
              <w:t>沉淀池收集</w:t>
            </w:r>
            <w:r>
              <w:rPr>
                <w:rFonts w:hint="eastAsia" w:ascii="Times New Roman" w:hAnsi="Times New Roman" w:eastAsia="宋体" w:cs="Times New Roman"/>
                <w:color w:val="auto"/>
                <w:szCs w:val="21"/>
                <w:lang w:val="en-US" w:eastAsia="zh-CN"/>
              </w:rPr>
              <w:t>处理</w:t>
            </w:r>
            <w:r>
              <w:rPr>
                <w:rFonts w:hint="default" w:ascii="Times New Roman" w:hAnsi="Times New Roman" w:eastAsia="宋体" w:cs="Times New Roman"/>
                <w:color w:val="auto"/>
                <w:szCs w:val="21"/>
              </w:rPr>
              <w:t>后回用</w:t>
            </w:r>
          </w:p>
        </w:tc>
        <w:tc>
          <w:tcPr>
            <w:tcW w:w="2790" w:type="dxa"/>
            <w:vMerge w:val="restart"/>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rPr>
            </w:pPr>
            <w:r>
              <w:rPr>
                <w:rFonts w:hint="eastAsia" w:ascii="Times New Roman" w:hAnsi="Times New Roman" w:eastAsia="宋体" w:cs="Times New Roman"/>
                <w:color w:val="auto"/>
                <w:sz w:val="21"/>
                <w:szCs w:val="21"/>
                <w:lang w:val="en-US" w:eastAsia="zh-CN"/>
              </w:rPr>
              <w:t>废水不外排，</w:t>
            </w:r>
            <w:r>
              <w:rPr>
                <w:rFonts w:hint="default" w:ascii="Times New Roman" w:hAnsi="Times New Roman" w:eastAsia="宋体" w:cs="Times New Roman"/>
                <w:color w:val="auto"/>
                <w:sz w:val="21"/>
                <w:szCs w:val="21"/>
                <w:lang w:eastAsia="zh-CN"/>
              </w:rPr>
              <w:t>不会对地表水体造成污染</w:t>
            </w:r>
          </w:p>
        </w:tc>
        <w:tc>
          <w:tcPr>
            <w:tcW w:w="1663" w:type="dxa"/>
            <w:vMerge w:val="restart"/>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1161" w:type="dxa"/>
            <w:vMerge w:val="restart"/>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134" w:type="dxa"/>
            <w:vMerge w:val="continue"/>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rPr>
            </w:pPr>
          </w:p>
        </w:tc>
        <w:tc>
          <w:tcPr>
            <w:tcW w:w="787" w:type="dxa"/>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生活污水</w:t>
            </w:r>
          </w:p>
        </w:tc>
        <w:tc>
          <w:tcPr>
            <w:tcW w:w="2419" w:type="dxa"/>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依托库区</w:t>
            </w:r>
            <w:r>
              <w:rPr>
                <w:rFonts w:hint="eastAsia" w:ascii="Times New Roman" w:hAnsi="Times New Roman" w:eastAsia="宋体" w:cs="Times New Roman"/>
                <w:color w:val="auto"/>
                <w:kern w:val="2"/>
                <w:sz w:val="21"/>
                <w:szCs w:val="21"/>
                <w:lang w:val="en-US" w:eastAsia="zh-CN" w:bidi="ar-SA"/>
              </w:rPr>
              <w:t>管理处</w:t>
            </w:r>
            <w:r>
              <w:rPr>
                <w:rFonts w:hint="default" w:ascii="Times New Roman" w:hAnsi="Times New Roman" w:eastAsia="宋体" w:cs="Times New Roman"/>
                <w:color w:val="auto"/>
                <w:kern w:val="2"/>
                <w:sz w:val="21"/>
                <w:szCs w:val="21"/>
                <w:lang w:val="en-US" w:eastAsia="zh-CN" w:bidi="ar-SA"/>
              </w:rPr>
              <w:t>内已有 化粪池收集处理后农用，不外排</w:t>
            </w:r>
          </w:p>
        </w:tc>
        <w:tc>
          <w:tcPr>
            <w:tcW w:w="2790" w:type="dxa"/>
            <w:vMerge w:val="continue"/>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rPr>
            </w:pPr>
          </w:p>
        </w:tc>
        <w:tc>
          <w:tcPr>
            <w:tcW w:w="1663" w:type="dxa"/>
            <w:vMerge w:val="continue"/>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rPr>
            </w:pPr>
          </w:p>
        </w:tc>
        <w:tc>
          <w:tcPr>
            <w:tcW w:w="1161" w:type="dxa"/>
            <w:vMerge w:val="continue"/>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134"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地下水及土壤环境</w:t>
            </w:r>
          </w:p>
        </w:tc>
        <w:tc>
          <w:tcPr>
            <w:tcW w:w="3206" w:type="dxa"/>
            <w:gridSpan w:val="2"/>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2790"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663"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161"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34"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声环境</w:t>
            </w:r>
          </w:p>
        </w:tc>
        <w:tc>
          <w:tcPr>
            <w:tcW w:w="3206" w:type="dxa"/>
            <w:gridSpan w:val="2"/>
            <w:noWrap w:val="0"/>
            <w:vAlign w:val="center"/>
          </w:tcPr>
          <w:p>
            <w:pPr>
              <w:keepNext w:val="0"/>
              <w:keepLines w:val="0"/>
              <w:pageBreakBefore w:val="0"/>
              <w:kinsoku/>
              <w:wordWrap/>
              <w:overflowPunct/>
              <w:topLinePunct w:val="0"/>
              <w:bidi w:val="0"/>
              <w:adjustRightInd w:val="0"/>
              <w:snapToGrid w:val="0"/>
              <w:textAlignment w:val="auto"/>
              <w:rPr>
                <w:rFonts w:hint="eastAsia"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选用低噪设备，合理布局，合理安排施工时序，住户侧 安装临时隔音围挡</w:t>
            </w:r>
          </w:p>
        </w:tc>
        <w:tc>
          <w:tcPr>
            <w:tcW w:w="2790"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《建筑施工</w:t>
            </w:r>
            <w:r>
              <w:rPr>
                <w:rFonts w:hint="default" w:ascii="Times New Roman" w:hAnsi="Times New Roman" w:eastAsia="宋体" w:cs="Times New Roman"/>
                <w:color w:val="auto"/>
                <w:szCs w:val="21"/>
                <w:lang w:val="en-US" w:eastAsia="zh-CN"/>
              </w:rPr>
              <w:t>场</w:t>
            </w:r>
            <w:r>
              <w:rPr>
                <w:rFonts w:hint="default" w:ascii="Times New Roman" w:hAnsi="Times New Roman" w:eastAsia="宋体" w:cs="Times New Roman"/>
                <w:color w:val="auto"/>
                <w:szCs w:val="21"/>
              </w:rPr>
              <w:t>界环境噪声排放标准》（GB12523-2011）</w:t>
            </w:r>
          </w:p>
        </w:tc>
        <w:tc>
          <w:tcPr>
            <w:tcW w:w="1663"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161"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134"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振动</w:t>
            </w:r>
          </w:p>
        </w:tc>
        <w:tc>
          <w:tcPr>
            <w:tcW w:w="3206" w:type="dxa"/>
            <w:gridSpan w:val="2"/>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2790"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663"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161"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134"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大气环境</w:t>
            </w:r>
          </w:p>
        </w:tc>
        <w:tc>
          <w:tcPr>
            <w:tcW w:w="3206" w:type="dxa"/>
            <w:gridSpan w:val="2"/>
            <w:noWrap w:val="0"/>
            <w:vAlign w:val="center"/>
          </w:tcPr>
          <w:p>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施工扬尘</w:t>
            </w:r>
            <w:r>
              <w:rPr>
                <w:rFonts w:hint="default" w:ascii="Times New Roman" w:hAnsi="Times New Roman" w:eastAsia="宋体" w:cs="Times New Roman"/>
                <w:color w:val="auto"/>
                <w:sz w:val="21"/>
                <w:szCs w:val="21"/>
              </w:rPr>
              <w:t>采取洒水抑尘、封闭施工、保持施工场地路面清洁、避免大风天气作业等措施进行治理</w:t>
            </w:r>
          </w:p>
        </w:tc>
        <w:tc>
          <w:tcPr>
            <w:tcW w:w="2790"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《四川省施工场地扬尘排放标准》中表1规定的浓度限值</w:t>
            </w:r>
          </w:p>
        </w:tc>
        <w:tc>
          <w:tcPr>
            <w:tcW w:w="1663"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161"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38" w:hRule="atLeast"/>
          <w:jc w:val="center"/>
        </w:trPr>
        <w:tc>
          <w:tcPr>
            <w:tcW w:w="1134"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固体废物</w:t>
            </w:r>
          </w:p>
        </w:tc>
        <w:tc>
          <w:tcPr>
            <w:tcW w:w="3206" w:type="dxa"/>
            <w:gridSpan w:val="2"/>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工程弃渣</w:t>
            </w:r>
            <w:r>
              <w:rPr>
                <w:rFonts w:hint="eastAsia" w:ascii="Times New Roman" w:hAnsi="Times New Roman" w:eastAsia="宋体" w:cs="Times New Roman"/>
                <w:color w:val="auto"/>
                <w:kern w:val="2"/>
                <w:sz w:val="21"/>
                <w:szCs w:val="21"/>
                <w:lang w:val="en-US" w:eastAsia="zh-CN" w:bidi="ar-SA"/>
              </w:rPr>
              <w:t>、沉淀池沉渣</w:t>
            </w:r>
            <w:r>
              <w:rPr>
                <w:rFonts w:hint="default" w:ascii="Times New Roman" w:hAnsi="Times New Roman" w:eastAsia="宋体" w:cs="Times New Roman"/>
                <w:color w:val="auto"/>
                <w:kern w:val="2"/>
                <w:sz w:val="21"/>
                <w:szCs w:val="21"/>
                <w:lang w:val="en-US" w:eastAsia="zh-CN" w:bidi="ar-SA"/>
              </w:rPr>
              <w:t>运至乐山指定弃渣场进行堆放；拆除的设备</w:t>
            </w:r>
            <w:r>
              <w:rPr>
                <w:rFonts w:hint="eastAsia" w:ascii="Times New Roman" w:hAnsi="Times New Roman" w:eastAsia="宋体" w:cs="Times New Roman"/>
                <w:color w:val="auto"/>
                <w:kern w:val="2"/>
                <w:sz w:val="21"/>
                <w:szCs w:val="21"/>
                <w:lang w:val="en-US" w:eastAsia="zh-CN" w:bidi="ar-SA"/>
              </w:rPr>
              <w:t>与建筑垃圾</w:t>
            </w:r>
            <w:r>
              <w:rPr>
                <w:rFonts w:hint="default" w:ascii="Times New Roman" w:hAnsi="Times New Roman" w:eastAsia="宋体" w:cs="Times New Roman"/>
                <w:color w:val="auto"/>
                <w:kern w:val="2"/>
                <w:sz w:val="21"/>
                <w:szCs w:val="21"/>
                <w:lang w:val="en-US" w:eastAsia="zh-CN" w:bidi="ar-SA"/>
              </w:rPr>
              <w:t>可回收部分外售</w:t>
            </w:r>
            <w:r>
              <w:rPr>
                <w:rFonts w:hint="eastAsia" w:ascii="Times New Roman" w:hAnsi="Times New Roman" w:eastAsia="宋体" w:cs="Times New Roman"/>
                <w:color w:val="auto"/>
                <w:kern w:val="2"/>
                <w:sz w:val="21"/>
                <w:szCs w:val="21"/>
                <w:lang w:val="en-US" w:eastAsia="zh-CN" w:bidi="ar-SA"/>
              </w:rPr>
              <w:t>综合利用</w:t>
            </w:r>
            <w:r>
              <w:rPr>
                <w:rFonts w:hint="default" w:ascii="Times New Roman" w:hAnsi="Times New Roman" w:eastAsia="宋体" w:cs="Times New Roman"/>
                <w:color w:val="auto"/>
                <w:kern w:val="2"/>
                <w:sz w:val="21"/>
                <w:szCs w:val="21"/>
                <w:lang w:val="en-US" w:eastAsia="zh-CN" w:bidi="ar-SA"/>
              </w:rPr>
              <w:t>，不可回收部分作为运至乐山指定弃渣场进行堆放；施工人员生活垃圾分类收集，定点堆放，交由当地环卫部门清运处理</w:t>
            </w:r>
            <w:r>
              <w:rPr>
                <w:rFonts w:hint="eastAsia" w:ascii="Times New Roman" w:hAnsi="Times New Roman" w:eastAsia="宋体" w:cs="Times New Roman"/>
                <w:color w:val="auto"/>
                <w:kern w:val="2"/>
                <w:sz w:val="21"/>
                <w:szCs w:val="21"/>
                <w:lang w:val="en-US" w:eastAsia="zh-CN" w:bidi="ar-SA"/>
              </w:rPr>
              <w:t>；白蚁防治废药品包装袋交由厂家回收</w:t>
            </w:r>
          </w:p>
        </w:tc>
        <w:tc>
          <w:tcPr>
            <w:tcW w:w="2790"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妥善处置，不会带来二次污染</w:t>
            </w:r>
          </w:p>
        </w:tc>
        <w:tc>
          <w:tcPr>
            <w:tcW w:w="1663"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161"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34"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电磁环境</w:t>
            </w:r>
          </w:p>
        </w:tc>
        <w:tc>
          <w:tcPr>
            <w:tcW w:w="3206" w:type="dxa"/>
            <w:gridSpan w:val="2"/>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2790"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663"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161"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34"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环境风险</w:t>
            </w:r>
          </w:p>
        </w:tc>
        <w:tc>
          <w:tcPr>
            <w:tcW w:w="3206" w:type="dxa"/>
            <w:gridSpan w:val="2"/>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建立完善</w:t>
            </w:r>
            <w:r>
              <w:rPr>
                <w:rFonts w:hint="default" w:ascii="Times New Roman" w:hAnsi="Times New Roman" w:eastAsia="宋体" w:cs="Times New Roman"/>
                <w:color w:val="auto"/>
                <w:szCs w:val="21"/>
                <w:lang w:val="en-US" w:eastAsia="zh-CN"/>
              </w:rPr>
              <w:t>施工期</w:t>
            </w:r>
            <w:r>
              <w:rPr>
                <w:rFonts w:hint="default" w:ascii="Times New Roman" w:hAnsi="Times New Roman" w:eastAsia="宋体" w:cs="Times New Roman"/>
                <w:color w:val="auto"/>
                <w:szCs w:val="21"/>
              </w:rPr>
              <w:t>管理的制度等</w:t>
            </w:r>
          </w:p>
        </w:tc>
        <w:tc>
          <w:tcPr>
            <w:tcW w:w="2790"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不会造成风险影响</w:t>
            </w:r>
          </w:p>
        </w:tc>
        <w:tc>
          <w:tcPr>
            <w:tcW w:w="1663"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161"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34"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环境监测</w:t>
            </w:r>
          </w:p>
        </w:tc>
        <w:tc>
          <w:tcPr>
            <w:tcW w:w="3206" w:type="dxa"/>
            <w:gridSpan w:val="2"/>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2790"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663"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161"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34"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其他</w:t>
            </w:r>
          </w:p>
        </w:tc>
        <w:tc>
          <w:tcPr>
            <w:tcW w:w="3206" w:type="dxa"/>
            <w:gridSpan w:val="2"/>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2790"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663"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161" w:type="dxa"/>
            <w:noWrap w:val="0"/>
            <w:vAlign w:val="center"/>
          </w:tcPr>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r>
    </w:tbl>
    <w:p>
      <w:pPr>
        <w:pStyle w:val="34"/>
        <w:keepNext w:val="0"/>
        <w:keepLines w:val="0"/>
        <w:pageBreakBefore w:val="0"/>
        <w:kinsoku/>
        <w:wordWrap/>
        <w:overflowPunct/>
        <w:topLinePunct w:val="0"/>
        <w:bidi w:val="0"/>
        <w:adjustRightInd w:val="0"/>
        <w:snapToGrid w:val="0"/>
        <w:spacing w:before="192" w:beforeLines="80" w:beforeAutospacing="0"/>
        <w:jc w:val="center"/>
        <w:textAlignment w:val="auto"/>
        <w:outlineLvl w:val="0"/>
        <w:rPr>
          <w:rFonts w:hint="default" w:ascii="Times New Roman" w:hAnsi="Times New Roman" w:eastAsia="宋体" w:cs="Times New Roman"/>
          <w:b/>
          <w:bCs/>
          <w:snapToGrid w:val="0"/>
          <w:color w:val="auto"/>
          <w:sz w:val="30"/>
          <w:szCs w:val="30"/>
        </w:rPr>
      </w:pPr>
      <w:r>
        <w:rPr>
          <w:rFonts w:hint="default" w:ascii="Times New Roman" w:hAnsi="Times New Roman" w:eastAsia="宋体" w:cs="Times New Roman"/>
          <w:snapToGrid w:val="0"/>
          <w:color w:val="auto"/>
          <w:sz w:val="30"/>
          <w:szCs w:val="30"/>
        </w:rPr>
        <w:br w:type="page"/>
      </w:r>
      <w:r>
        <w:rPr>
          <w:rFonts w:hint="default" w:ascii="Times New Roman" w:hAnsi="Times New Roman" w:eastAsia="宋体" w:cs="Times New Roman"/>
          <w:b/>
          <w:bCs/>
          <w:snapToGrid w:val="0"/>
          <w:color w:val="auto"/>
          <w:sz w:val="30"/>
          <w:szCs w:val="30"/>
        </w:rPr>
        <w:t>七、结论</w:t>
      </w:r>
    </w:p>
    <w:tbl>
      <w:tblPr>
        <w:tblStyle w:val="3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9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962" w:type="dxa"/>
            <w:noWrap w:val="0"/>
            <w:vAlign w:val="center"/>
          </w:tcPr>
          <w:p>
            <w:pPr>
              <w:keepNext w:val="0"/>
              <w:keepLines w:val="0"/>
              <w:pageBreakBefore w:val="0"/>
              <w:kinsoku/>
              <w:wordWrap/>
              <w:overflowPunct/>
              <w:topLinePunct w:val="0"/>
              <w:autoSpaceDE/>
              <w:autoSpaceDN/>
              <w:bidi w:val="0"/>
              <w:adjustRightInd w:val="0"/>
              <w:snapToGrid w:val="0"/>
              <w:spacing w:line="360" w:lineRule="auto"/>
              <w:ind w:right="0" w:firstLine="480" w:firstLineChars="200"/>
              <w:jc w:val="both"/>
              <w:textAlignment w:val="auto"/>
              <w:rPr>
                <w:rFonts w:hint="default" w:ascii="Times New Roman" w:hAnsi="Times New Roman" w:cs="Times New Roman"/>
                <w:color w:val="auto"/>
              </w:rPr>
            </w:pPr>
          </w:p>
          <w:p>
            <w:pPr>
              <w:keepNext w:val="0"/>
              <w:keepLines w:val="0"/>
              <w:pageBreakBefore w:val="0"/>
              <w:kinsoku/>
              <w:wordWrap/>
              <w:overflowPunct/>
              <w:topLinePunct w:val="0"/>
              <w:autoSpaceDE/>
              <w:autoSpaceDN/>
              <w:bidi w:val="0"/>
              <w:adjustRightInd w:val="0"/>
              <w:snapToGrid w:val="0"/>
              <w:spacing w:line="360" w:lineRule="auto"/>
              <w:ind w:right="0" w:firstLine="480" w:firstLineChars="200"/>
              <w:jc w:val="both"/>
              <w:textAlignment w:val="auto"/>
              <w:rPr>
                <w:rFonts w:hint="default" w:ascii="Times New Roman" w:hAnsi="Times New Roman" w:cs="Times New Roman"/>
                <w:color w:val="auto"/>
              </w:rPr>
            </w:pPr>
          </w:p>
          <w:p>
            <w:pPr>
              <w:keepNext w:val="0"/>
              <w:keepLines w:val="0"/>
              <w:pageBreakBefore w:val="0"/>
              <w:kinsoku/>
              <w:wordWrap/>
              <w:overflowPunct/>
              <w:topLinePunct w:val="0"/>
              <w:autoSpaceDE/>
              <w:autoSpaceDN/>
              <w:bidi w:val="0"/>
              <w:adjustRightInd w:val="0"/>
              <w:snapToGrid w:val="0"/>
              <w:spacing w:line="360" w:lineRule="auto"/>
              <w:ind w:right="0" w:firstLine="480" w:firstLineChars="200"/>
              <w:jc w:val="both"/>
              <w:textAlignment w:val="auto"/>
              <w:rPr>
                <w:rFonts w:hint="default" w:ascii="Times New Roman" w:hAnsi="Times New Roman" w:cs="Times New Roman"/>
                <w:color w:val="auto"/>
              </w:rPr>
            </w:pPr>
          </w:p>
          <w:p>
            <w:pPr>
              <w:keepNext w:val="0"/>
              <w:keepLines w:val="0"/>
              <w:pageBreakBefore w:val="0"/>
              <w:kinsoku/>
              <w:wordWrap/>
              <w:overflowPunct/>
              <w:topLinePunct w:val="0"/>
              <w:autoSpaceDE/>
              <w:autoSpaceDN/>
              <w:bidi w:val="0"/>
              <w:adjustRightInd w:val="0"/>
              <w:snapToGrid w:val="0"/>
              <w:spacing w:line="360" w:lineRule="auto"/>
              <w:ind w:right="0" w:firstLine="480" w:firstLineChars="200"/>
              <w:jc w:val="both"/>
              <w:textAlignment w:val="auto"/>
              <w:rPr>
                <w:rFonts w:hint="default" w:ascii="Times New Roman" w:hAnsi="Times New Roman" w:cs="Times New Roman"/>
                <w:color w:val="auto"/>
              </w:rPr>
            </w:pPr>
          </w:p>
          <w:p>
            <w:pPr>
              <w:keepNext w:val="0"/>
              <w:keepLines w:val="0"/>
              <w:pageBreakBefore w:val="0"/>
              <w:kinsoku/>
              <w:wordWrap/>
              <w:overflowPunct/>
              <w:topLinePunct w:val="0"/>
              <w:autoSpaceDE/>
              <w:autoSpaceDN/>
              <w:bidi w:val="0"/>
              <w:adjustRightInd w:val="0"/>
              <w:snapToGrid w:val="0"/>
              <w:spacing w:line="360" w:lineRule="auto"/>
              <w:ind w:right="0" w:firstLine="480" w:firstLineChars="200"/>
              <w:jc w:val="both"/>
              <w:textAlignment w:val="auto"/>
              <w:rPr>
                <w:rFonts w:hint="default" w:ascii="Times New Roman" w:hAnsi="Times New Roman" w:cs="Times New Roman"/>
                <w:color w:val="auto"/>
                <w:sz w:val="24"/>
                <w:szCs w:val="32"/>
                <w:u w:val="single"/>
              </w:rPr>
            </w:pPr>
            <w:r>
              <w:rPr>
                <w:rFonts w:hint="default" w:ascii="Times New Roman" w:hAnsi="Times New Roman" w:cs="Times New Roman"/>
                <w:color w:val="auto"/>
                <w:sz w:val="24"/>
                <w:szCs w:val="32"/>
              </w:rPr>
              <w:t>综上所述，项目建设符合国家产业政策，贯彻了“达标排放、文明施工”控制污染方针，采取的“三废”及噪声污染治理措施经济技术可行。工程实施后不会改变地表水、环境空气、声学等环境质量级别和现有功能。在严格落实环境影响报告表提出的环保对策及措施，确保项目所产生的污染物达标排放的前提下，本项目施工期和营运期对周围环境的影响可以控制在允许的范围以内。</w:t>
            </w:r>
            <w:r>
              <w:rPr>
                <w:rFonts w:hint="default" w:ascii="Times New Roman" w:hAnsi="Times New Roman" w:cs="Times New Roman"/>
                <w:b/>
                <w:bCs/>
                <w:color w:val="auto"/>
                <w:sz w:val="24"/>
                <w:szCs w:val="32"/>
                <w:u w:val="single"/>
              </w:rPr>
              <w:t>从环境保护角度而言，本项目的建设是可行的。</w:t>
            </w:r>
          </w:p>
          <w:p>
            <w:pPr>
              <w:pStyle w:val="38"/>
              <w:rPr>
                <w:rFonts w:hint="default" w:ascii="Times New Roman" w:hAnsi="Times New Roman" w:cs="Times New Roman"/>
                <w:color w:val="auto"/>
              </w:rPr>
            </w:pPr>
          </w:p>
          <w:p>
            <w:pPr>
              <w:rPr>
                <w:rFonts w:hint="default" w:ascii="Times New Roman" w:hAnsi="Times New Roman" w:cs="Times New Roman"/>
                <w:color w:val="auto"/>
              </w:rPr>
            </w:pPr>
          </w:p>
          <w:p>
            <w:pPr>
              <w:pStyle w:val="38"/>
              <w:rPr>
                <w:rFonts w:hint="default" w:ascii="Times New Roman" w:hAnsi="Times New Roman" w:cs="Times New Roman"/>
                <w:color w:val="auto"/>
              </w:rPr>
            </w:pPr>
          </w:p>
          <w:p>
            <w:pPr>
              <w:rPr>
                <w:rFonts w:hint="default" w:ascii="Times New Roman" w:hAnsi="Times New Roman" w:cs="Times New Roman"/>
                <w:color w:val="auto"/>
              </w:rPr>
            </w:pPr>
          </w:p>
        </w:tc>
      </w:tr>
    </w:tbl>
    <w:p>
      <w:pPr>
        <w:keepNext w:val="0"/>
        <w:keepLines w:val="0"/>
        <w:pageBreakBefore w:val="0"/>
        <w:kinsoku/>
        <w:wordWrap/>
        <w:overflowPunct/>
        <w:topLinePunct w:val="0"/>
        <w:bidi w:val="0"/>
        <w:adjustRightInd w:val="0"/>
        <w:snapToGrid w:val="0"/>
        <w:textAlignment w:val="auto"/>
        <w:rPr>
          <w:rFonts w:hint="default" w:ascii="Times New Roman" w:hAnsi="Times New Roman" w:eastAsia="宋体" w:cs="Times New Roman"/>
          <w:color w:val="auto"/>
        </w:rPr>
      </w:pPr>
    </w:p>
    <w:p>
      <w:pPr>
        <w:keepNext w:val="0"/>
        <w:keepLines w:val="0"/>
        <w:pageBreakBefore w:val="0"/>
        <w:kinsoku/>
        <w:wordWrap/>
        <w:overflowPunct/>
        <w:topLinePunct w:val="0"/>
        <w:bidi w:val="0"/>
        <w:adjustRightInd w:val="0"/>
        <w:snapToGrid w:val="0"/>
        <w:spacing w:before="192" w:beforeLines="80"/>
        <w:textAlignment w:val="auto"/>
        <w:rPr>
          <w:rFonts w:hint="default" w:ascii="Times New Roman" w:hAnsi="Times New Roman" w:eastAsia="宋体" w:cs="Times New Roman"/>
          <w:color w:val="auto"/>
        </w:rPr>
      </w:pPr>
    </w:p>
    <w:p>
      <w:pPr>
        <w:rPr>
          <w:rFonts w:eastAsia="仿宋_GB2312"/>
          <w:sz w:val="36"/>
          <w:szCs w:val="36"/>
        </w:rPr>
      </w:pPr>
    </w:p>
    <w:p>
      <w:pPr>
        <w:pStyle w:val="21"/>
        <w:rPr>
          <w:rFonts w:eastAsia="仿宋_GB2312"/>
          <w:sz w:val="36"/>
          <w:szCs w:val="36"/>
        </w:rPr>
      </w:pPr>
    </w:p>
    <w:p>
      <w:pPr>
        <w:rPr>
          <w:rFonts w:eastAsia="仿宋_GB2312"/>
          <w:sz w:val="36"/>
          <w:szCs w:val="36"/>
        </w:rPr>
      </w:pPr>
    </w:p>
    <w:p>
      <w:pPr>
        <w:pStyle w:val="21"/>
        <w:rPr>
          <w:rFonts w:eastAsia="仿宋_GB2312"/>
          <w:sz w:val="36"/>
          <w:szCs w:val="36"/>
        </w:rPr>
      </w:pPr>
    </w:p>
    <w:p>
      <w:pPr>
        <w:rPr>
          <w:rFonts w:eastAsia="仿宋_GB2312"/>
          <w:sz w:val="36"/>
          <w:szCs w:val="36"/>
        </w:rPr>
      </w:pPr>
    </w:p>
    <w:p>
      <w:pPr>
        <w:pStyle w:val="2"/>
        <w:rPr>
          <w:rFonts w:eastAsia="仿宋_GB2312"/>
          <w:sz w:val="36"/>
          <w:szCs w:val="36"/>
        </w:rPr>
      </w:pPr>
    </w:p>
    <w:p>
      <w:pPr>
        <w:rPr>
          <w:rFonts w:eastAsia="仿宋_GB2312"/>
          <w:sz w:val="36"/>
          <w:szCs w:val="36"/>
        </w:rPr>
      </w:pPr>
    </w:p>
    <w:p>
      <w:pPr>
        <w:pStyle w:val="2"/>
        <w:rPr>
          <w:rFonts w:eastAsia="仿宋_GB2312"/>
          <w:sz w:val="36"/>
          <w:szCs w:val="36"/>
        </w:rPr>
      </w:pPr>
    </w:p>
    <w:p>
      <w:bookmarkStart w:id="11" w:name="_GoBack"/>
      <w:bookmarkEnd w:id="11"/>
    </w:p>
    <w:p>
      <w:pPr>
        <w:keepNext w:val="0"/>
        <w:keepLines w:val="0"/>
        <w:pageBreakBefore w:val="0"/>
        <w:kinsoku/>
        <w:wordWrap/>
        <w:overflowPunct/>
        <w:topLinePunct w:val="0"/>
        <w:bidi w:val="0"/>
        <w:adjustRightInd w:val="0"/>
        <w:snapToGrid w:val="0"/>
        <w:textAlignment w:val="auto"/>
        <w:rPr>
          <w:rFonts w:hint="default" w:ascii="Times New Roman" w:hAnsi="Times New Roman" w:eastAsia="仿宋_GB2312" w:cs="Times New Roman"/>
          <w:sz w:val="36"/>
          <w:szCs w:val="36"/>
        </w:rPr>
      </w:pPr>
    </w:p>
    <w:p>
      <w:pPr>
        <w:keepNext w:val="0"/>
        <w:keepLines w:val="0"/>
        <w:pageBreakBefore w:val="0"/>
        <w:kinsoku/>
        <w:wordWrap/>
        <w:overflowPunct/>
        <w:topLinePunct w:val="0"/>
        <w:bidi w:val="0"/>
        <w:adjustRightInd w:val="0"/>
        <w:snapToGrid w:val="0"/>
        <w:textAlignment w:val="auto"/>
        <w:rPr>
          <w:rFonts w:hint="default" w:ascii="Times New Roman" w:hAnsi="Times New Roman" w:eastAsia="仿宋_GB2312" w:cs="Times New Roman"/>
          <w:sz w:val="36"/>
          <w:szCs w:val="36"/>
        </w:rPr>
      </w:pPr>
    </w:p>
    <w:p>
      <w:pPr>
        <w:keepNext w:val="0"/>
        <w:keepLines w:val="0"/>
        <w:pageBreakBefore w:val="0"/>
        <w:kinsoku/>
        <w:wordWrap/>
        <w:overflowPunct/>
        <w:topLinePunct w:val="0"/>
        <w:bidi w:val="0"/>
        <w:adjustRightInd w:val="0"/>
        <w:snapToGrid w:val="0"/>
        <w:textAlignment w:val="auto"/>
        <w:rPr>
          <w:rFonts w:hint="default" w:ascii="Times New Roman" w:hAnsi="Times New Roman" w:eastAsia="仿宋_GB2312" w:cs="Times New Roman"/>
          <w:sz w:val="36"/>
          <w:szCs w:val="36"/>
        </w:rPr>
      </w:pPr>
    </w:p>
    <w:p>
      <w:pPr>
        <w:keepNext w:val="0"/>
        <w:keepLines w:val="0"/>
        <w:pageBreakBefore w:val="0"/>
        <w:kinsoku/>
        <w:wordWrap/>
        <w:overflowPunct/>
        <w:topLinePunct w:val="0"/>
        <w:bidi w:val="0"/>
        <w:adjustRightInd w:val="0"/>
        <w:snapToGrid w:val="0"/>
        <w:textAlignment w:val="auto"/>
        <w:rPr>
          <w:rFonts w:hint="default" w:ascii="Times New Roman" w:hAnsi="Times New Roman" w:eastAsia="仿宋_GB2312" w:cs="Times New Roman"/>
          <w:sz w:val="36"/>
          <w:szCs w:val="36"/>
        </w:rPr>
      </w:pPr>
    </w:p>
    <w:p>
      <w:pPr>
        <w:keepNext w:val="0"/>
        <w:keepLines w:val="0"/>
        <w:pageBreakBefore w:val="0"/>
        <w:kinsoku/>
        <w:wordWrap/>
        <w:overflowPunct/>
        <w:topLinePunct w:val="0"/>
        <w:bidi w:val="0"/>
        <w:adjustRightInd w:val="0"/>
        <w:snapToGrid w:val="0"/>
        <w:jc w:val="center"/>
        <w:textAlignment w:val="auto"/>
        <w:outlineLvl w:val="0"/>
        <w:rPr>
          <w:rFonts w:hint="default" w:ascii="Times New Roman" w:hAnsi="Times New Roman" w:eastAsia="方正小标宋_GBK" w:cs="Times New Roman"/>
          <w:bCs/>
          <w:sz w:val="72"/>
          <w:szCs w:val="72"/>
        </w:rPr>
      </w:pPr>
      <w:r>
        <w:rPr>
          <w:rFonts w:hint="default" w:ascii="Times New Roman" w:hAnsi="Times New Roman" w:eastAsia="方正小标宋_GBK" w:cs="Times New Roman"/>
          <w:bCs/>
          <w:sz w:val="72"/>
          <w:szCs w:val="72"/>
        </w:rPr>
        <w:t>建设项目环境影响报告表</w:t>
      </w:r>
    </w:p>
    <w:p>
      <w:pPr>
        <w:keepNext w:val="0"/>
        <w:keepLines w:val="0"/>
        <w:pageBreakBefore w:val="0"/>
        <w:kinsoku/>
        <w:wordWrap/>
        <w:overflowPunct/>
        <w:topLinePunct w:val="0"/>
        <w:bidi w:val="0"/>
        <w:adjustRightInd w:val="0"/>
        <w:snapToGrid w:val="0"/>
        <w:spacing w:before="192" w:beforeLines="80"/>
        <w:jc w:val="center"/>
        <w:textAlignment w:val="auto"/>
        <w:rPr>
          <w:rFonts w:hint="default" w:ascii="Times New Roman" w:hAnsi="Times New Roman" w:eastAsia="楷体_GB2312" w:cs="Times New Roman"/>
          <w:bCs/>
          <w:sz w:val="48"/>
          <w:szCs w:val="48"/>
        </w:rPr>
      </w:pPr>
      <w:r>
        <w:rPr>
          <w:rFonts w:hint="default" w:ascii="Times New Roman" w:hAnsi="Times New Roman" w:eastAsia="楷体_GB2312" w:cs="Times New Roman"/>
          <w:bCs/>
          <w:sz w:val="48"/>
          <w:szCs w:val="48"/>
        </w:rPr>
        <w:t>（生态影响类）</w:t>
      </w:r>
    </w:p>
    <w:p>
      <w:pPr>
        <w:keepNext w:val="0"/>
        <w:keepLines w:val="0"/>
        <w:pageBreakBefore w:val="0"/>
        <w:kinsoku/>
        <w:wordWrap/>
        <w:overflowPunct/>
        <w:topLinePunct w:val="0"/>
        <w:bidi w:val="0"/>
        <w:adjustRightInd w:val="0"/>
        <w:snapToGrid w:val="0"/>
        <w:spacing w:before="192" w:beforeLines="80"/>
        <w:jc w:val="center"/>
        <w:textAlignment w:val="auto"/>
        <w:rPr>
          <w:rFonts w:hint="default" w:ascii="Times New Roman" w:hAnsi="Times New Roman" w:eastAsia="楷体_GB2312" w:cs="Times New Roman"/>
          <w:bCs/>
          <w:sz w:val="48"/>
          <w:szCs w:val="48"/>
          <w:lang w:eastAsia="zh-CN"/>
        </w:rPr>
      </w:pPr>
      <w:r>
        <w:rPr>
          <w:rFonts w:hint="default" w:ascii="Times New Roman" w:hAnsi="Times New Roman" w:eastAsia="楷体_GB2312" w:cs="Times New Roman"/>
          <w:bCs/>
          <w:sz w:val="48"/>
          <w:szCs w:val="48"/>
          <w:lang w:eastAsia="zh-CN"/>
        </w:rPr>
        <w:t>（</w:t>
      </w:r>
      <w:r>
        <w:rPr>
          <w:rFonts w:hint="eastAsia" w:ascii="Times New Roman" w:hAnsi="Times New Roman" w:eastAsia="楷体_GB2312" w:cs="Times New Roman"/>
          <w:bCs/>
          <w:sz w:val="48"/>
          <w:szCs w:val="48"/>
          <w:lang w:val="en-US" w:eastAsia="zh-CN"/>
        </w:rPr>
        <w:t>送审稿</w:t>
      </w:r>
      <w:r>
        <w:rPr>
          <w:rFonts w:hint="default" w:ascii="Times New Roman" w:hAnsi="Times New Roman" w:eastAsia="楷体_GB2312" w:cs="Times New Roman"/>
          <w:bCs/>
          <w:sz w:val="48"/>
          <w:szCs w:val="48"/>
          <w:lang w:eastAsia="zh-CN"/>
        </w:rPr>
        <w:t>）</w:t>
      </w:r>
    </w:p>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仿宋" w:cs="Times New Roman"/>
          <w:sz w:val="52"/>
          <w:szCs w:val="52"/>
        </w:rPr>
      </w:pPr>
    </w:p>
    <w:p>
      <w:pPr>
        <w:keepNext w:val="0"/>
        <w:keepLines w:val="0"/>
        <w:pageBreakBefore w:val="0"/>
        <w:widowControl w:val="0"/>
        <w:kinsoku/>
        <w:wordWrap/>
        <w:overflowPunct/>
        <w:topLinePunct w:val="0"/>
        <w:autoSpaceDE/>
        <w:autoSpaceDN/>
        <w:bidi w:val="0"/>
        <w:adjustRightInd w:val="0"/>
        <w:snapToGrid w:val="0"/>
        <w:ind w:firstLine="0"/>
        <w:jc w:val="center"/>
        <w:textAlignment w:val="auto"/>
        <w:rPr>
          <w:rFonts w:hint="default" w:ascii="Times New Roman" w:hAnsi="Times New Roman" w:eastAsia="仿宋" w:cs="Times New Roman"/>
          <w:sz w:val="44"/>
          <w:szCs w:val="44"/>
        </w:rPr>
      </w:pPr>
    </w:p>
    <w:p>
      <w:pPr>
        <w:keepNext w:val="0"/>
        <w:keepLines w:val="0"/>
        <w:pageBreakBefore w:val="0"/>
        <w:kinsoku/>
        <w:wordWrap/>
        <w:overflowPunct/>
        <w:topLinePunct w:val="0"/>
        <w:bidi w:val="0"/>
        <w:adjustRightInd w:val="0"/>
        <w:snapToGrid w:val="0"/>
        <w:ind w:firstLine="1040"/>
        <w:textAlignment w:val="auto"/>
        <w:rPr>
          <w:rFonts w:hint="default" w:ascii="Times New Roman" w:hAnsi="Times New Roman" w:eastAsia="仿宋" w:cs="Times New Roman"/>
          <w:sz w:val="44"/>
          <w:szCs w:val="44"/>
        </w:rPr>
      </w:pPr>
    </w:p>
    <w:p>
      <w:pPr>
        <w:keepNext w:val="0"/>
        <w:keepLines w:val="0"/>
        <w:pageBreakBefore w:val="0"/>
        <w:kinsoku/>
        <w:wordWrap/>
        <w:overflowPunct/>
        <w:topLinePunct w:val="0"/>
        <w:bidi w:val="0"/>
        <w:adjustRightInd w:val="0"/>
        <w:snapToGrid w:val="0"/>
        <w:ind w:firstLine="1040"/>
        <w:textAlignment w:val="auto"/>
        <w:rPr>
          <w:rFonts w:hint="default" w:ascii="Times New Roman" w:hAnsi="Times New Roman" w:eastAsia="仿宋" w:cs="Times New Roman"/>
          <w:sz w:val="44"/>
          <w:szCs w:val="44"/>
        </w:rPr>
      </w:pPr>
    </w:p>
    <w:p>
      <w:pPr>
        <w:keepNext w:val="0"/>
        <w:keepLines w:val="0"/>
        <w:pageBreakBefore w:val="0"/>
        <w:kinsoku/>
        <w:wordWrap/>
        <w:overflowPunct/>
        <w:topLinePunct w:val="0"/>
        <w:bidi w:val="0"/>
        <w:adjustRightInd w:val="0"/>
        <w:snapToGrid w:val="0"/>
        <w:ind w:firstLine="1040"/>
        <w:textAlignment w:val="auto"/>
        <w:rPr>
          <w:rFonts w:hint="default" w:ascii="Times New Roman" w:hAnsi="Times New Roman" w:eastAsia="仿宋" w:cs="Times New Roman"/>
          <w:sz w:val="44"/>
          <w:szCs w:val="44"/>
        </w:rPr>
      </w:pPr>
    </w:p>
    <w:p>
      <w:pPr>
        <w:adjustRightInd w:val="0"/>
        <w:snapToGrid w:val="0"/>
        <w:spacing w:line="288" w:lineRule="auto"/>
        <w:ind w:firstLine="1040"/>
        <w:jc w:val="center"/>
        <w:rPr>
          <w:rFonts w:hint="default" w:ascii="Times New Roman" w:hAnsi="Times New Roman" w:cs="Times New Roman"/>
          <w:color w:val="auto"/>
          <w:spacing w:val="0"/>
          <w:kern w:val="21"/>
          <w:szCs w:val="21"/>
          <w:lang w:val="en-US" w:eastAsia="zh-CN"/>
        </w:rPr>
      </w:pPr>
      <w:r>
        <w:rPr>
          <w:rFonts w:hint="default" w:ascii="Times New Roman" w:hAnsi="Times New Roman" w:eastAsia="仿宋_GB2312" w:cs="Times New Roman"/>
          <w:b/>
          <w:bCs/>
          <w:spacing w:val="0"/>
          <w:kern w:val="21"/>
          <w:sz w:val="36"/>
          <w:szCs w:val="36"/>
        </w:rPr>
        <w:t>项目名称：</w:t>
      </w:r>
      <w:r>
        <w:rPr>
          <w:rFonts w:hint="default" w:ascii="Times New Roman" w:hAnsi="Times New Roman" w:eastAsia="仿宋_GB2312" w:cs="Times New Roman"/>
          <w:color w:val="auto"/>
          <w:spacing w:val="0"/>
          <w:kern w:val="21"/>
          <w:sz w:val="36"/>
          <w:szCs w:val="36"/>
          <w:u w:val="single"/>
          <w:lang w:val="en-US" w:eastAsia="zh-CN"/>
        </w:rPr>
        <w:t>乐山市</w:t>
      </w:r>
      <w:r>
        <w:rPr>
          <w:rFonts w:hint="eastAsia" w:ascii="Times New Roman" w:hAnsi="Times New Roman" w:eastAsia="仿宋_GB2312" w:cs="Times New Roman"/>
          <w:color w:val="auto"/>
          <w:spacing w:val="0"/>
          <w:kern w:val="21"/>
          <w:sz w:val="36"/>
          <w:szCs w:val="36"/>
          <w:u w:val="single"/>
          <w:lang w:val="en-US" w:eastAsia="zh-CN"/>
        </w:rPr>
        <w:t>市中区苏稽峨眉河安福堰综合整治工程</w:t>
      </w:r>
    </w:p>
    <w:p>
      <w:pPr>
        <w:keepNext w:val="0"/>
        <w:keepLines w:val="0"/>
        <w:pageBreakBefore w:val="0"/>
        <w:widowControl w:val="0"/>
        <w:kinsoku/>
        <w:wordWrap/>
        <w:overflowPunct/>
        <w:topLinePunct w:val="0"/>
        <w:autoSpaceDE/>
        <w:autoSpaceDN/>
        <w:bidi w:val="0"/>
        <w:adjustRightInd w:val="0"/>
        <w:snapToGrid w:val="0"/>
        <w:spacing w:line="360" w:lineRule="auto"/>
        <w:ind w:firstLine="1037"/>
        <w:textAlignment w:val="auto"/>
        <w:rPr>
          <w:rFonts w:hint="default" w:ascii="Times New Roman" w:hAnsi="Times New Roman" w:eastAsia="仿宋_GB2312" w:cs="Times New Roman"/>
          <w:color w:val="0000FF"/>
          <w:spacing w:val="0"/>
          <w:kern w:val="21"/>
          <w:sz w:val="36"/>
          <w:szCs w:val="36"/>
          <w:u w:val="single"/>
        </w:rPr>
      </w:pPr>
      <w:r>
        <w:rPr>
          <w:rFonts w:hint="default" w:ascii="Times New Roman" w:hAnsi="Times New Roman" w:eastAsia="仿宋_GB2312" w:cs="Times New Roman"/>
          <w:b/>
          <w:bCs/>
          <w:spacing w:val="0"/>
          <w:kern w:val="21"/>
          <w:sz w:val="36"/>
          <w:szCs w:val="36"/>
        </w:rPr>
        <w:t>建设单位（盖章）：</w:t>
      </w:r>
      <w:r>
        <w:rPr>
          <w:rFonts w:hint="eastAsia" w:ascii="Times New Roman" w:hAnsi="Times New Roman" w:eastAsia="仿宋_GB2312" w:cs="Times New Roman"/>
          <w:color w:val="auto"/>
          <w:spacing w:val="0"/>
          <w:kern w:val="21"/>
          <w:sz w:val="36"/>
          <w:szCs w:val="36"/>
          <w:u w:val="single"/>
          <w:lang w:val="en-US" w:eastAsia="zh-CN"/>
        </w:rPr>
        <w:t>乐山嘉和投资有限责任公司</w:t>
      </w:r>
    </w:p>
    <w:p>
      <w:pPr>
        <w:keepNext w:val="0"/>
        <w:keepLines w:val="0"/>
        <w:pageBreakBefore w:val="0"/>
        <w:kinsoku/>
        <w:wordWrap/>
        <w:overflowPunct/>
        <w:topLinePunct w:val="0"/>
        <w:bidi w:val="0"/>
        <w:adjustRightInd w:val="0"/>
        <w:snapToGrid w:val="0"/>
        <w:spacing w:line="288" w:lineRule="auto"/>
        <w:ind w:firstLine="1040"/>
        <w:textAlignment w:val="auto"/>
        <w:rPr>
          <w:rFonts w:hint="default" w:ascii="Times New Roman" w:hAnsi="Times New Roman" w:eastAsia="仿宋_GB2312" w:cs="Times New Roman"/>
          <w:sz w:val="36"/>
          <w:szCs w:val="36"/>
          <w:u w:val="single"/>
          <w:lang w:val="en-US" w:eastAsia="zh-CN"/>
        </w:rPr>
      </w:pPr>
      <w:r>
        <w:rPr>
          <w:rFonts w:hint="default" w:ascii="Times New Roman" w:hAnsi="Times New Roman" w:eastAsia="仿宋_GB2312" w:cs="Times New Roman"/>
          <w:b/>
          <w:bCs/>
          <w:spacing w:val="0"/>
          <w:kern w:val="21"/>
          <w:sz w:val="36"/>
          <w:szCs w:val="36"/>
        </w:rPr>
        <w:t>编制日期：</w:t>
      </w:r>
      <w:r>
        <w:rPr>
          <w:rFonts w:hint="default" w:ascii="Times New Roman" w:hAnsi="Times New Roman" w:eastAsia="仿宋_GB2312" w:cs="Times New Roman"/>
          <w:spacing w:val="0"/>
          <w:kern w:val="21"/>
          <w:sz w:val="36"/>
          <w:szCs w:val="36"/>
          <w:u w:val="single"/>
          <w:lang w:val="en-US" w:eastAsia="zh-CN"/>
        </w:rPr>
        <w:t>2</w:t>
      </w:r>
      <w:r>
        <w:rPr>
          <w:rFonts w:hint="default" w:ascii="Times New Roman" w:hAnsi="Times New Roman" w:eastAsia="仿宋_GB2312" w:cs="Times New Roman"/>
          <w:color w:val="auto"/>
          <w:spacing w:val="0"/>
          <w:kern w:val="21"/>
          <w:sz w:val="36"/>
          <w:szCs w:val="36"/>
          <w:u w:val="single"/>
          <w:lang w:val="en-US" w:eastAsia="zh-CN"/>
        </w:rPr>
        <w:t>022年</w:t>
      </w:r>
      <w:r>
        <w:rPr>
          <w:rFonts w:hint="eastAsia" w:ascii="Times New Roman" w:hAnsi="Times New Roman" w:eastAsia="仿宋_GB2312" w:cs="Times New Roman"/>
          <w:color w:val="auto"/>
          <w:spacing w:val="0"/>
          <w:kern w:val="21"/>
          <w:sz w:val="36"/>
          <w:szCs w:val="36"/>
          <w:u w:val="single"/>
          <w:lang w:val="en-US" w:eastAsia="zh-CN"/>
        </w:rPr>
        <w:t>10</w:t>
      </w:r>
      <w:r>
        <w:rPr>
          <w:rFonts w:hint="default" w:ascii="Times New Roman" w:hAnsi="Times New Roman" w:eastAsia="仿宋_GB2312" w:cs="Times New Roman"/>
          <w:color w:val="auto"/>
          <w:spacing w:val="0"/>
          <w:kern w:val="21"/>
          <w:sz w:val="36"/>
          <w:szCs w:val="36"/>
          <w:u w:val="single"/>
          <w:lang w:val="en-US" w:eastAsia="zh-CN"/>
        </w:rPr>
        <w:t>月</w:t>
      </w:r>
    </w:p>
    <w:p>
      <w:pPr>
        <w:keepNext w:val="0"/>
        <w:keepLines w:val="0"/>
        <w:pageBreakBefore w:val="0"/>
        <w:kinsoku/>
        <w:wordWrap/>
        <w:overflowPunct/>
        <w:topLinePunct w:val="0"/>
        <w:bidi w:val="0"/>
        <w:adjustRightInd w:val="0"/>
        <w:snapToGrid w:val="0"/>
        <w:spacing w:line="288" w:lineRule="auto"/>
        <w:ind w:firstLine="1040"/>
        <w:textAlignment w:val="auto"/>
        <w:rPr>
          <w:rFonts w:hint="default" w:ascii="Times New Roman" w:hAnsi="Times New Roman" w:eastAsia="仿宋_GB2312" w:cs="Times New Roman"/>
          <w:sz w:val="36"/>
          <w:szCs w:val="36"/>
        </w:rPr>
      </w:pPr>
    </w:p>
    <w:p>
      <w:pPr>
        <w:keepNext w:val="0"/>
        <w:keepLines w:val="0"/>
        <w:pageBreakBefore w:val="0"/>
        <w:kinsoku/>
        <w:wordWrap/>
        <w:overflowPunct/>
        <w:topLinePunct w:val="0"/>
        <w:bidi w:val="0"/>
        <w:adjustRightInd w:val="0"/>
        <w:snapToGrid w:val="0"/>
        <w:spacing w:line="288" w:lineRule="auto"/>
        <w:ind w:firstLine="1040"/>
        <w:textAlignment w:val="auto"/>
        <w:rPr>
          <w:rFonts w:hint="default" w:ascii="Times New Roman" w:hAnsi="Times New Roman" w:eastAsia="仿宋_GB2312" w:cs="Times New Roman"/>
          <w:sz w:val="36"/>
          <w:szCs w:val="36"/>
        </w:rPr>
      </w:pPr>
    </w:p>
    <w:p>
      <w:pPr>
        <w:pStyle w:val="2"/>
        <w:rPr>
          <w:rFonts w:hint="default" w:ascii="Times New Roman" w:hAnsi="Times New Roman" w:eastAsia="仿宋_GB2312" w:cs="Times New Roman"/>
          <w:sz w:val="36"/>
          <w:szCs w:val="36"/>
        </w:rPr>
      </w:pPr>
    </w:p>
    <w:p>
      <w:pPr>
        <w:keepNext w:val="0"/>
        <w:keepLines w:val="0"/>
        <w:pageBreakBefore w:val="0"/>
        <w:kinsoku/>
        <w:wordWrap/>
        <w:overflowPunct/>
        <w:topLinePunct w:val="0"/>
        <w:bidi w:val="0"/>
        <w:adjustRightInd w:val="0"/>
        <w:snapToGrid w:val="0"/>
        <w:spacing w:line="288" w:lineRule="auto"/>
        <w:textAlignment w:val="auto"/>
        <w:rPr>
          <w:rFonts w:hint="default" w:ascii="Times New Roman" w:hAnsi="Times New Roman" w:eastAsia="仿宋_GB2312" w:cs="Times New Roman"/>
          <w:sz w:val="36"/>
          <w:szCs w:val="36"/>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0000FF"/>
          <w:sz w:val="24"/>
          <w:szCs w:val="24"/>
        </w:rPr>
      </w:pPr>
      <w:r>
        <w:rPr>
          <w:rFonts w:hint="default" w:ascii="Times New Roman" w:hAnsi="Times New Roman" w:eastAsia="楷体_GB2312" w:cs="Times New Roman"/>
          <w:sz w:val="36"/>
          <w:szCs w:val="36"/>
        </w:rPr>
        <w:t>中华人民共和国生态环境部制</w:t>
      </w:r>
    </w:p>
    <w:p>
      <w:pPr>
        <w:rPr>
          <w:rFonts w:hint="default" w:ascii="Times New Roman" w:hAnsi="Times New Roman" w:cs="Times New Roman"/>
          <w:color w:val="0000FF"/>
        </w:rPr>
      </w:pPr>
    </w:p>
    <w:p>
      <w:pPr>
        <w:rPr>
          <w:rFonts w:hint="default" w:ascii="Times New Roman" w:hAnsi="Times New Roman" w:cs="Times New Roman"/>
          <w:color w:val="0000FF"/>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34"/>
        <w:keepNext w:val="0"/>
        <w:keepLines w:val="0"/>
        <w:pageBreakBefore w:val="0"/>
        <w:kinsoku/>
        <w:wordWrap/>
        <w:overflowPunct/>
        <w:topLinePunct w:val="0"/>
        <w:bidi w:val="0"/>
        <w:adjustRightInd w:val="0"/>
        <w:snapToGrid w:val="0"/>
        <w:jc w:val="center"/>
        <w:textAlignment w:val="auto"/>
        <w:outlineLvl w:val="0"/>
        <w:rPr>
          <w:rFonts w:hint="default" w:ascii="Times New Roman" w:hAnsi="Times New Roman" w:eastAsia="黑体" w:cs="Times New Roman"/>
          <w:snapToGrid w:val="0"/>
          <w:sz w:val="30"/>
          <w:szCs w:val="30"/>
        </w:rPr>
      </w:pPr>
      <w:r>
        <w:rPr>
          <w:rFonts w:hint="default" w:ascii="Times New Roman" w:hAnsi="Times New Roman" w:eastAsia="黑体" w:cs="Times New Roman"/>
          <w:snapToGrid w:val="0"/>
          <w:sz w:val="30"/>
          <w:szCs w:val="30"/>
        </w:rPr>
        <w:t>一、建设项目基本情况</w:t>
      </w:r>
    </w:p>
    <w:tbl>
      <w:tblPr>
        <w:tblStyle w:val="39"/>
        <w:tblW w:w="991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712"/>
        <w:gridCol w:w="2511"/>
        <w:gridCol w:w="2107"/>
        <w:gridCol w:w="45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1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b/>
                <w:bCs/>
                <w:kern w:val="21"/>
                <w:sz w:val="24"/>
                <w:szCs w:val="24"/>
              </w:rPr>
            </w:pPr>
            <w:r>
              <w:rPr>
                <w:rFonts w:hint="default" w:ascii="Times New Roman" w:hAnsi="Times New Roman" w:cs="Times New Roman"/>
                <w:b/>
                <w:bCs/>
                <w:kern w:val="21"/>
                <w:sz w:val="24"/>
                <w:szCs w:val="24"/>
              </w:rPr>
              <w:t>建设项目名称</w:t>
            </w:r>
          </w:p>
        </w:tc>
        <w:tc>
          <w:tcPr>
            <w:tcW w:w="9203" w:type="dxa"/>
            <w:gridSpan w:val="3"/>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kern w:val="21"/>
                <w:sz w:val="24"/>
                <w:szCs w:val="24"/>
                <w:lang w:eastAsia="zh-CN"/>
              </w:rPr>
            </w:pPr>
            <w:r>
              <w:rPr>
                <w:rFonts w:hint="default" w:ascii="Times New Roman" w:hAnsi="Times New Roman" w:eastAsia="宋体" w:cs="Times New Roman"/>
                <w:kern w:val="21"/>
                <w:sz w:val="24"/>
                <w:szCs w:val="24"/>
                <w:lang w:eastAsia="zh-CN"/>
              </w:rPr>
              <w:t>乐山市市中区苏稽峨眉河安福堰综合整治工程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1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b/>
                <w:bCs/>
                <w:kern w:val="21"/>
                <w:sz w:val="24"/>
                <w:szCs w:val="24"/>
              </w:rPr>
            </w:pPr>
            <w:r>
              <w:rPr>
                <w:rFonts w:hint="default" w:ascii="Times New Roman" w:hAnsi="Times New Roman" w:cs="Times New Roman"/>
                <w:b/>
                <w:bCs/>
                <w:kern w:val="21"/>
                <w:sz w:val="24"/>
                <w:szCs w:val="24"/>
              </w:rPr>
              <w:t>项目代码</w:t>
            </w:r>
          </w:p>
        </w:tc>
        <w:tc>
          <w:tcPr>
            <w:tcW w:w="9203" w:type="dxa"/>
            <w:gridSpan w:val="3"/>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kern w:val="21"/>
                <w:sz w:val="24"/>
                <w:szCs w:val="24"/>
                <w:lang w:val="en-US" w:eastAsia="zh-CN"/>
              </w:rPr>
            </w:pPr>
            <w:r>
              <w:rPr>
                <w:rFonts w:hint="eastAsia" w:ascii="Times New Roman" w:hAnsi="Times New Roman" w:eastAsia="宋体" w:cs="Times New Roman"/>
                <w:kern w:val="21"/>
                <w:sz w:val="24"/>
                <w:szCs w:val="24"/>
                <w:lang w:val="en-US" w:eastAsia="zh-CN"/>
              </w:rPr>
              <w:t>2202</w:t>
            </w:r>
            <w:r>
              <w:rPr>
                <w:rFonts w:hint="default" w:ascii="Times New Roman" w:hAnsi="Times New Roman" w:eastAsia="Calibri" w:cs="Times New Roman"/>
                <w:kern w:val="21"/>
                <w:sz w:val="24"/>
                <w:szCs w:val="24"/>
              </w:rPr>
              <w:t>-5111</w:t>
            </w:r>
            <w:r>
              <w:rPr>
                <w:rFonts w:hint="eastAsia" w:ascii="Times New Roman" w:hAnsi="Times New Roman" w:eastAsia="宋体" w:cs="Times New Roman"/>
                <w:kern w:val="21"/>
                <w:sz w:val="24"/>
                <w:szCs w:val="24"/>
                <w:lang w:val="en-US" w:eastAsia="zh-CN"/>
              </w:rPr>
              <w:t>02</w:t>
            </w:r>
            <w:r>
              <w:rPr>
                <w:rFonts w:hint="default" w:ascii="Times New Roman" w:hAnsi="Times New Roman" w:eastAsia="Calibri" w:cs="Times New Roman"/>
                <w:kern w:val="21"/>
                <w:sz w:val="24"/>
                <w:szCs w:val="24"/>
              </w:rPr>
              <w:t>-</w:t>
            </w:r>
            <w:r>
              <w:rPr>
                <w:rFonts w:hint="eastAsia" w:ascii="Times New Roman" w:hAnsi="Times New Roman" w:eastAsia="宋体" w:cs="Times New Roman"/>
                <w:kern w:val="21"/>
                <w:sz w:val="24"/>
                <w:szCs w:val="24"/>
                <w:lang w:val="en-US" w:eastAsia="zh-CN"/>
              </w:rPr>
              <w:t>04</w:t>
            </w:r>
            <w:r>
              <w:rPr>
                <w:rFonts w:hint="default" w:ascii="Times New Roman" w:hAnsi="Times New Roman" w:eastAsia="Calibri" w:cs="Times New Roman"/>
                <w:kern w:val="21"/>
                <w:sz w:val="24"/>
                <w:szCs w:val="24"/>
              </w:rPr>
              <w:t>-01-</w:t>
            </w:r>
            <w:r>
              <w:rPr>
                <w:rFonts w:hint="eastAsia" w:ascii="Times New Roman" w:hAnsi="Times New Roman" w:eastAsia="宋体" w:cs="Times New Roman"/>
                <w:kern w:val="21"/>
                <w:sz w:val="24"/>
                <w:szCs w:val="24"/>
                <w:lang w:val="en-US" w:eastAsia="zh-CN"/>
              </w:rPr>
              <w:t>468223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1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b/>
                <w:bCs/>
                <w:kern w:val="21"/>
                <w:sz w:val="24"/>
                <w:szCs w:val="24"/>
              </w:rPr>
            </w:pPr>
            <w:r>
              <w:rPr>
                <w:rFonts w:hint="default" w:ascii="Times New Roman" w:hAnsi="Times New Roman" w:cs="Times New Roman"/>
                <w:b/>
                <w:bCs/>
                <w:kern w:val="21"/>
                <w:sz w:val="24"/>
                <w:szCs w:val="24"/>
              </w:rPr>
              <w:t>建设单位联系人</w:t>
            </w:r>
          </w:p>
        </w:tc>
        <w:tc>
          <w:tcPr>
            <w:tcW w:w="2510"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Calibri" w:cs="Times New Roman"/>
                <w:kern w:val="21"/>
                <w:sz w:val="24"/>
                <w:szCs w:val="24"/>
              </w:rPr>
            </w:pPr>
            <w:r>
              <w:rPr>
                <w:rFonts w:hint="eastAsia" w:ascii="Times New Roman" w:hAnsi="Times New Roman" w:eastAsia="Calibri" w:cs="Times New Roman"/>
                <w:kern w:val="21"/>
                <w:sz w:val="24"/>
                <w:szCs w:val="24"/>
                <w:lang w:val="en-US" w:eastAsia="zh-CN"/>
              </w:rPr>
              <w:t>郑勋</w:t>
            </w:r>
          </w:p>
        </w:tc>
        <w:tc>
          <w:tcPr>
            <w:tcW w:w="2106"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Calibri" w:cs="Times New Roman"/>
                <w:kern w:val="21"/>
                <w:sz w:val="24"/>
                <w:szCs w:val="24"/>
              </w:rPr>
            </w:pPr>
            <w:r>
              <w:rPr>
                <w:rFonts w:hint="default" w:ascii="Times New Roman" w:hAnsi="Times New Roman" w:eastAsia="Calibri" w:cs="Times New Roman"/>
                <w:b/>
                <w:bCs/>
                <w:kern w:val="21"/>
                <w:sz w:val="24"/>
                <w:szCs w:val="24"/>
              </w:rPr>
              <w:t>联系方式</w:t>
            </w:r>
          </w:p>
        </w:tc>
        <w:tc>
          <w:tcPr>
            <w:tcW w:w="4587"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Calibri" w:cs="Times New Roman"/>
                <w:kern w:val="21"/>
                <w:sz w:val="24"/>
                <w:szCs w:val="24"/>
                <w:lang w:val="en-US" w:eastAsia="zh-CN"/>
              </w:rPr>
            </w:pPr>
            <w:r>
              <w:rPr>
                <w:rFonts w:hint="eastAsia" w:ascii="Times New Roman" w:hAnsi="Times New Roman" w:eastAsia="Calibri" w:cs="Times New Roman"/>
                <w:kern w:val="21"/>
                <w:sz w:val="24"/>
                <w:szCs w:val="24"/>
                <w:lang w:val="en-US" w:eastAsia="zh-CN"/>
              </w:rPr>
              <w:t>18381543833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1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b/>
                <w:bCs/>
                <w:kern w:val="21"/>
                <w:sz w:val="24"/>
                <w:szCs w:val="24"/>
              </w:rPr>
            </w:pPr>
            <w:r>
              <w:rPr>
                <w:rFonts w:hint="default" w:ascii="Times New Roman" w:hAnsi="Times New Roman" w:cs="Times New Roman"/>
                <w:b/>
                <w:bCs/>
                <w:kern w:val="21"/>
                <w:sz w:val="24"/>
                <w:szCs w:val="24"/>
              </w:rPr>
              <w:t>建设地点</w:t>
            </w:r>
          </w:p>
        </w:tc>
        <w:tc>
          <w:tcPr>
            <w:tcW w:w="9203" w:type="dxa"/>
            <w:gridSpan w:val="3"/>
            <w:noWrap w:val="0"/>
            <w:vAlign w:val="center"/>
          </w:tcPr>
          <w:p>
            <w:pPr>
              <w:pStyle w:val="34"/>
              <w:keepNext w:val="0"/>
              <w:keepLines w:val="0"/>
              <w:widowControl/>
              <w:suppressLineNumbers w:val="0"/>
              <w:spacing w:before="0" w:beforeAutospacing="0" w:after="0" w:afterAutospacing="0"/>
              <w:ind w:left="0" w:right="0" w:firstLine="0"/>
              <w:jc w:val="center"/>
              <w:rPr>
                <w:rFonts w:hint="default" w:ascii="Times New Roman" w:hAnsi="Times New Roman" w:cs="Times New Roman"/>
                <w:kern w:val="21"/>
                <w:sz w:val="24"/>
                <w:szCs w:val="24"/>
                <w:lang w:val="en-US"/>
              </w:rPr>
            </w:pPr>
            <w:r>
              <w:rPr>
                <w:rFonts w:hint="default" w:ascii="Times New Roman" w:hAnsi="Times New Roman" w:eastAsia="宋体" w:cs="Times New Roman"/>
                <w:kern w:val="21"/>
                <w:sz w:val="24"/>
                <w:szCs w:val="24"/>
                <w:lang w:eastAsia="zh-CN"/>
              </w:rPr>
              <w:t>四川省乐山市</w:t>
            </w:r>
            <w:r>
              <w:rPr>
                <w:rFonts w:hint="eastAsia" w:ascii="Times New Roman" w:hAnsi="Times New Roman" w:eastAsia="宋体" w:cs="Times New Roman"/>
                <w:kern w:val="21"/>
                <w:sz w:val="24"/>
                <w:szCs w:val="24"/>
                <w:lang w:val="en-US" w:eastAsia="zh-CN"/>
              </w:rPr>
              <w:t>苏稽镇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1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b/>
                <w:bCs/>
                <w:kern w:val="21"/>
                <w:sz w:val="24"/>
                <w:szCs w:val="24"/>
              </w:rPr>
            </w:pPr>
            <w:r>
              <w:rPr>
                <w:rFonts w:hint="default" w:ascii="Times New Roman" w:hAnsi="Times New Roman" w:cs="Times New Roman"/>
                <w:b/>
                <w:bCs/>
                <w:kern w:val="21"/>
                <w:sz w:val="24"/>
                <w:szCs w:val="24"/>
              </w:rPr>
              <w:t>地理坐标</w:t>
            </w:r>
          </w:p>
        </w:tc>
        <w:tc>
          <w:tcPr>
            <w:tcW w:w="9203" w:type="dxa"/>
            <w:gridSpan w:val="3"/>
            <w:noWrap w:val="0"/>
            <w:vAlign w:val="center"/>
          </w:tcPr>
          <w:p>
            <w:pPr>
              <w:keepNext w:val="0"/>
              <w:keepLines w:val="0"/>
              <w:pageBreakBefore w:val="0"/>
              <w:kinsoku/>
              <w:wordWrap/>
              <w:overflowPunct/>
              <w:topLinePunct w:val="0"/>
              <w:bidi w:val="0"/>
              <w:adjustRightInd w:val="0"/>
              <w:snapToGrid w:val="0"/>
              <w:ind w:firstLine="420"/>
              <w:jc w:val="center"/>
              <w:textAlignment w:val="auto"/>
              <w:rPr>
                <w:rFonts w:hint="default" w:ascii="Times New Roman" w:hAnsi="Times New Roman" w:eastAsia="宋体" w:cs="Times New Roman"/>
                <w:kern w:val="21"/>
                <w:sz w:val="24"/>
                <w:szCs w:val="24"/>
                <w:lang w:eastAsia="zh-CN"/>
              </w:rPr>
            </w:pPr>
            <w:r>
              <w:rPr>
                <w:rFonts w:hint="default" w:ascii="Times New Roman" w:hAnsi="Times New Roman" w:eastAsia="宋体" w:cs="Times New Roman"/>
                <w:kern w:val="21"/>
                <w:sz w:val="24"/>
                <w:szCs w:val="24"/>
                <w:lang w:val="en-US" w:eastAsia="zh-CN"/>
              </w:rPr>
              <w:t>东经103</w:t>
            </w:r>
            <w:r>
              <w:rPr>
                <w:rFonts w:hint="default" w:ascii="Times New Roman" w:hAnsi="Times New Roman" w:eastAsia="宋体" w:cs="Times New Roman"/>
                <w:kern w:val="21"/>
                <w:sz w:val="24"/>
                <w:szCs w:val="24"/>
                <w:lang w:eastAsia="zh-CN"/>
              </w:rPr>
              <w:t>度</w:t>
            </w:r>
            <w:r>
              <w:rPr>
                <w:rFonts w:hint="default" w:ascii="Times New Roman" w:hAnsi="Times New Roman" w:eastAsia="宋体" w:cs="Times New Roman"/>
                <w:kern w:val="21"/>
                <w:sz w:val="24"/>
                <w:szCs w:val="24"/>
                <w:lang w:val="en-US" w:eastAsia="zh-CN"/>
              </w:rPr>
              <w:t>4</w:t>
            </w:r>
            <w:r>
              <w:rPr>
                <w:rFonts w:hint="eastAsia" w:ascii="Times New Roman" w:hAnsi="Times New Roman" w:eastAsia="宋体" w:cs="Times New Roman"/>
                <w:kern w:val="21"/>
                <w:sz w:val="24"/>
                <w:szCs w:val="24"/>
                <w:lang w:val="en-US" w:eastAsia="zh-CN"/>
              </w:rPr>
              <w:t>0</w:t>
            </w:r>
            <w:r>
              <w:rPr>
                <w:rFonts w:hint="default" w:ascii="Times New Roman" w:hAnsi="Times New Roman" w:eastAsia="宋体" w:cs="Times New Roman"/>
                <w:kern w:val="21"/>
                <w:sz w:val="24"/>
                <w:szCs w:val="24"/>
                <w:lang w:val="en-US" w:eastAsia="zh-CN"/>
              </w:rPr>
              <w:t>分</w:t>
            </w:r>
            <w:r>
              <w:rPr>
                <w:rFonts w:hint="eastAsia" w:ascii="Times New Roman" w:hAnsi="Times New Roman" w:eastAsia="宋体" w:cs="Times New Roman"/>
                <w:kern w:val="21"/>
                <w:sz w:val="24"/>
                <w:szCs w:val="24"/>
                <w:lang w:val="en-US" w:eastAsia="zh-CN"/>
              </w:rPr>
              <w:t>21.05</w:t>
            </w:r>
            <w:r>
              <w:rPr>
                <w:rFonts w:hint="default" w:ascii="Times New Roman" w:hAnsi="Times New Roman" w:eastAsia="宋体" w:cs="Times New Roman"/>
                <w:kern w:val="21"/>
                <w:sz w:val="24"/>
                <w:szCs w:val="24"/>
                <w:lang w:val="en-US" w:eastAsia="zh-CN"/>
              </w:rPr>
              <w:t>秒</w:t>
            </w:r>
            <w:r>
              <w:rPr>
                <w:rFonts w:hint="default" w:ascii="Times New Roman" w:hAnsi="Times New Roman" w:eastAsia="宋体" w:cs="Times New Roman"/>
                <w:kern w:val="21"/>
                <w:sz w:val="24"/>
                <w:szCs w:val="24"/>
                <w:lang w:eastAsia="zh-CN"/>
              </w:rPr>
              <w:t>，</w:t>
            </w:r>
            <w:r>
              <w:rPr>
                <w:rFonts w:hint="default" w:ascii="Times New Roman" w:hAnsi="Times New Roman" w:eastAsia="宋体" w:cs="Times New Roman"/>
                <w:kern w:val="21"/>
                <w:sz w:val="24"/>
                <w:szCs w:val="24"/>
                <w:lang w:val="en-US" w:eastAsia="zh-CN"/>
              </w:rPr>
              <w:t>北纬29度3</w:t>
            </w:r>
            <w:r>
              <w:rPr>
                <w:rFonts w:hint="eastAsia" w:ascii="Times New Roman" w:hAnsi="Times New Roman" w:eastAsia="宋体" w:cs="Times New Roman"/>
                <w:kern w:val="21"/>
                <w:sz w:val="24"/>
                <w:szCs w:val="24"/>
                <w:lang w:val="en-US" w:eastAsia="zh-CN"/>
              </w:rPr>
              <w:t>5</w:t>
            </w:r>
            <w:r>
              <w:rPr>
                <w:rFonts w:hint="default" w:ascii="Times New Roman" w:hAnsi="Times New Roman" w:eastAsia="宋体" w:cs="Times New Roman"/>
                <w:kern w:val="21"/>
                <w:sz w:val="24"/>
                <w:szCs w:val="24"/>
                <w:lang w:val="en-US" w:eastAsia="zh-CN"/>
              </w:rPr>
              <w:t>分</w:t>
            </w:r>
            <w:r>
              <w:rPr>
                <w:rFonts w:hint="eastAsia" w:ascii="Times New Roman" w:hAnsi="Times New Roman" w:eastAsia="宋体" w:cs="Times New Roman"/>
                <w:kern w:val="21"/>
                <w:sz w:val="24"/>
                <w:szCs w:val="24"/>
                <w:lang w:val="en-US" w:eastAsia="zh-CN"/>
              </w:rPr>
              <w:t>8.76</w:t>
            </w:r>
            <w:r>
              <w:rPr>
                <w:rFonts w:hint="default" w:ascii="Times New Roman" w:hAnsi="Times New Roman" w:eastAsia="宋体" w:cs="Times New Roman"/>
                <w:kern w:val="21"/>
                <w:sz w:val="24"/>
                <w:szCs w:val="24"/>
                <w:lang w:val="en-US" w:eastAsia="zh-CN"/>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1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b/>
                <w:bCs/>
                <w:kern w:val="21"/>
                <w:sz w:val="24"/>
                <w:szCs w:val="24"/>
              </w:rPr>
            </w:pPr>
            <w:r>
              <w:rPr>
                <w:rFonts w:hint="default" w:ascii="Times New Roman" w:hAnsi="Times New Roman" w:cs="Times New Roman"/>
                <w:b/>
                <w:bCs/>
                <w:kern w:val="21"/>
                <w:sz w:val="24"/>
                <w:szCs w:val="24"/>
              </w:rPr>
              <w:t>建设项目</w:t>
            </w:r>
          </w:p>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b/>
                <w:bCs/>
                <w:kern w:val="21"/>
                <w:sz w:val="24"/>
                <w:szCs w:val="24"/>
              </w:rPr>
            </w:pPr>
            <w:r>
              <w:rPr>
                <w:rFonts w:hint="default" w:ascii="Times New Roman" w:hAnsi="Times New Roman" w:cs="Times New Roman"/>
                <w:b/>
                <w:bCs/>
                <w:kern w:val="21"/>
                <w:sz w:val="24"/>
                <w:szCs w:val="24"/>
              </w:rPr>
              <w:t>行业类别</w:t>
            </w:r>
          </w:p>
        </w:tc>
        <w:tc>
          <w:tcPr>
            <w:tcW w:w="2510" w:type="dxa"/>
            <w:noWrap w:val="0"/>
            <w:vAlign w:val="center"/>
          </w:tcPr>
          <w:p>
            <w:pPr>
              <w:spacing w:before="69" w:line="228" w:lineRule="auto"/>
              <w:ind w:left="9"/>
              <w:rPr>
                <w:rFonts w:ascii="宋体" w:hAnsi="宋体" w:eastAsia="宋体" w:cs="宋体"/>
                <w:sz w:val="23"/>
                <w:szCs w:val="23"/>
              </w:rPr>
            </w:pPr>
            <w:r>
              <w:rPr>
                <w:rFonts w:ascii="宋体" w:hAnsi="宋体" w:eastAsia="宋体" w:cs="宋体"/>
                <w:spacing w:val="-18"/>
                <w:sz w:val="23"/>
                <w:szCs w:val="23"/>
              </w:rPr>
              <w:t>五</w:t>
            </w:r>
            <w:r>
              <w:rPr>
                <w:rFonts w:ascii="宋体" w:hAnsi="宋体" w:eastAsia="宋体" w:cs="宋体"/>
                <w:spacing w:val="-10"/>
                <w:sz w:val="23"/>
                <w:szCs w:val="23"/>
              </w:rPr>
              <w:t>十一、水利，</w:t>
            </w:r>
            <w:r>
              <w:rPr>
                <w:rFonts w:ascii="Times New Roman" w:hAnsi="Times New Roman" w:eastAsia="Times New Roman" w:cs="Times New Roman"/>
                <w:spacing w:val="-10"/>
                <w:sz w:val="23"/>
                <w:szCs w:val="23"/>
              </w:rPr>
              <w:t xml:space="preserve">127 </w:t>
            </w:r>
            <w:r>
              <w:rPr>
                <w:rFonts w:ascii="宋体" w:hAnsi="宋体" w:eastAsia="宋体" w:cs="宋体"/>
                <w:spacing w:val="-10"/>
                <w:sz w:val="23"/>
                <w:szCs w:val="23"/>
              </w:rPr>
              <w:t>防洪除涝工程，</w:t>
            </w:r>
          </w:p>
          <w:p>
            <w:pPr>
              <w:spacing w:before="25" w:line="228" w:lineRule="auto"/>
              <w:ind w:left="49"/>
              <w:rPr>
                <w:rFonts w:ascii="宋体" w:hAnsi="宋体" w:eastAsia="宋体" w:cs="宋体"/>
                <w:sz w:val="23"/>
                <w:szCs w:val="23"/>
              </w:rPr>
            </w:pPr>
            <w:r>
              <w:rPr>
                <w:rFonts w:ascii="宋体" w:hAnsi="宋体" w:eastAsia="宋体" w:cs="宋体"/>
                <w:spacing w:val="16"/>
                <w:sz w:val="23"/>
                <w:szCs w:val="23"/>
              </w:rPr>
              <w:t>其</w:t>
            </w:r>
            <w:r>
              <w:rPr>
                <w:rFonts w:ascii="宋体" w:hAnsi="宋体" w:eastAsia="宋体" w:cs="宋体"/>
                <w:spacing w:val="9"/>
                <w:sz w:val="23"/>
                <w:szCs w:val="23"/>
              </w:rPr>
              <w:t>他</w:t>
            </w:r>
            <w:r>
              <w:rPr>
                <w:rFonts w:ascii="宋体" w:hAnsi="宋体" w:eastAsia="宋体" w:cs="宋体"/>
                <w:spacing w:val="8"/>
                <w:sz w:val="23"/>
                <w:szCs w:val="23"/>
              </w:rPr>
              <w:t xml:space="preserve"> (小型沟渠的护坡除外；城</w:t>
            </w:r>
          </w:p>
          <w:p>
            <w:pPr>
              <w:spacing w:before="27" w:line="228" w:lineRule="auto"/>
              <w:ind w:left="168"/>
              <w:rPr>
                <w:rFonts w:ascii="宋体" w:hAnsi="宋体" w:eastAsia="宋体" w:cs="宋体"/>
                <w:sz w:val="23"/>
                <w:szCs w:val="23"/>
              </w:rPr>
            </w:pPr>
            <w:r>
              <w:rPr>
                <w:rFonts w:ascii="宋体" w:hAnsi="宋体" w:eastAsia="宋体" w:cs="宋体"/>
                <w:spacing w:val="12"/>
                <w:sz w:val="23"/>
                <w:szCs w:val="23"/>
              </w:rPr>
              <w:t>镇</w:t>
            </w:r>
            <w:r>
              <w:rPr>
                <w:rFonts w:ascii="宋体" w:hAnsi="宋体" w:eastAsia="宋体" w:cs="宋体"/>
                <w:spacing w:val="9"/>
                <w:sz w:val="23"/>
                <w:szCs w:val="23"/>
              </w:rPr>
              <w:t>排涝河流水闸、排涝泵站除</w:t>
            </w:r>
          </w:p>
          <w:p>
            <w:pPr>
              <w:spacing w:before="26" w:line="227" w:lineRule="auto"/>
              <w:ind w:left="10"/>
              <w:rPr>
                <w:rFonts w:ascii="宋体" w:hAnsi="宋体" w:eastAsia="宋体" w:cs="宋体"/>
                <w:color w:val="000000"/>
                <w:sz w:val="23"/>
                <w:szCs w:val="23"/>
              </w:rPr>
            </w:pPr>
            <w:r>
              <w:rPr>
                <w:rFonts w:ascii="宋体" w:hAnsi="宋体" w:eastAsia="宋体" w:cs="宋体"/>
                <w:spacing w:val="2"/>
                <w:sz w:val="23"/>
                <w:szCs w:val="23"/>
              </w:rPr>
              <w:t>外)</w:t>
            </w:r>
            <w:r>
              <w:rPr>
                <w:rFonts w:ascii="宋体" w:hAnsi="宋体" w:eastAsia="宋体" w:cs="宋体"/>
                <w:color w:val="000000"/>
                <w:spacing w:val="2"/>
                <w:sz w:val="23"/>
                <w:szCs w:val="23"/>
              </w:rPr>
              <w:t xml:space="preserve"> ；</w:t>
            </w:r>
            <w:r>
              <w:rPr>
                <w:rFonts w:ascii="Times New Roman" w:hAnsi="Times New Roman" w:eastAsia="Times New Roman" w:cs="Times New Roman"/>
                <w:color w:val="000000"/>
                <w:spacing w:val="2"/>
                <w:sz w:val="23"/>
                <w:szCs w:val="23"/>
              </w:rPr>
              <w:t xml:space="preserve">128 </w:t>
            </w:r>
            <w:r>
              <w:rPr>
                <w:rFonts w:ascii="宋体" w:hAnsi="宋体" w:eastAsia="宋体" w:cs="宋体"/>
                <w:color w:val="000000"/>
                <w:spacing w:val="2"/>
                <w:sz w:val="23"/>
                <w:szCs w:val="23"/>
              </w:rPr>
              <w:t>河湖整治 (不含农村</w:t>
            </w:r>
            <w:r>
              <w:rPr>
                <w:rFonts w:ascii="宋体" w:hAnsi="宋体" w:eastAsia="宋体" w:cs="宋体"/>
                <w:color w:val="000000"/>
                <w:spacing w:val="1"/>
                <w:sz w:val="23"/>
                <w:szCs w:val="23"/>
              </w:rPr>
              <w:t>塘</w:t>
            </w:r>
          </w:p>
          <w:p>
            <w:pPr>
              <w:keepNext w:val="0"/>
              <w:keepLines w:val="0"/>
              <w:pageBreakBefore w:val="0"/>
              <w:kinsoku/>
              <w:wordWrap/>
              <w:overflowPunct/>
              <w:topLinePunct w:val="0"/>
              <w:bidi w:val="0"/>
              <w:adjustRightInd w:val="0"/>
              <w:snapToGrid w:val="0"/>
              <w:jc w:val="both"/>
              <w:textAlignment w:val="auto"/>
              <w:rPr>
                <w:rFonts w:hint="default" w:ascii="Times New Roman" w:hAnsi="Times New Roman" w:eastAsia="宋体" w:cs="Times New Roman"/>
                <w:kern w:val="21"/>
                <w:sz w:val="24"/>
                <w:szCs w:val="24"/>
                <w:lang w:val="en-US" w:eastAsia="zh-CN"/>
              </w:rPr>
            </w:pPr>
            <w:r>
              <w:rPr>
                <w:rFonts w:ascii="宋体" w:hAnsi="宋体" w:eastAsia="宋体" w:cs="宋体"/>
                <w:color w:val="000000"/>
                <w:spacing w:val="13"/>
                <w:sz w:val="23"/>
                <w:szCs w:val="23"/>
              </w:rPr>
              <w:t>堰</w:t>
            </w:r>
            <w:r>
              <w:rPr>
                <w:rFonts w:ascii="宋体" w:hAnsi="宋体" w:eastAsia="宋体" w:cs="宋体"/>
                <w:color w:val="000000"/>
                <w:spacing w:val="7"/>
                <w:sz w:val="23"/>
                <w:szCs w:val="23"/>
              </w:rPr>
              <w:t>、水渠) ，其他</w:t>
            </w:r>
          </w:p>
        </w:tc>
        <w:tc>
          <w:tcPr>
            <w:tcW w:w="2106"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kern w:val="21"/>
                <w:sz w:val="24"/>
                <w:szCs w:val="24"/>
              </w:rPr>
            </w:pPr>
            <w:r>
              <w:rPr>
                <w:rFonts w:hint="default" w:ascii="Times New Roman" w:hAnsi="Times New Roman" w:cs="Times New Roman"/>
                <w:b/>
                <w:bCs/>
                <w:color w:val="000000"/>
                <w:kern w:val="21"/>
                <w:sz w:val="24"/>
                <w:szCs w:val="24"/>
              </w:rPr>
              <w:t>用地（用海）面积（m</w:t>
            </w:r>
            <w:r>
              <w:rPr>
                <w:rFonts w:hint="default" w:ascii="Times New Roman" w:hAnsi="Times New Roman" w:cs="Times New Roman"/>
                <w:b/>
                <w:bCs/>
                <w:color w:val="000000"/>
                <w:kern w:val="21"/>
                <w:sz w:val="24"/>
                <w:szCs w:val="24"/>
                <w:vertAlign w:val="superscript"/>
              </w:rPr>
              <w:t>2</w:t>
            </w:r>
            <w:r>
              <w:rPr>
                <w:rFonts w:hint="default" w:ascii="Times New Roman" w:hAnsi="Times New Roman" w:cs="Times New Roman"/>
                <w:b/>
                <w:bCs/>
                <w:color w:val="000000"/>
                <w:kern w:val="21"/>
                <w:sz w:val="24"/>
                <w:szCs w:val="24"/>
              </w:rPr>
              <w:t>）/长度（km）</w:t>
            </w:r>
          </w:p>
        </w:tc>
        <w:tc>
          <w:tcPr>
            <w:tcW w:w="4587"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kern w:val="21"/>
                <w:sz w:val="24"/>
                <w:szCs w:val="24"/>
                <w:lang w:val="en-US" w:eastAsia="zh-CN"/>
              </w:rPr>
            </w:pPr>
            <w:r>
              <w:rPr>
                <w:rFonts w:hint="eastAsia" w:ascii="Times New Roman" w:hAnsi="Times New Roman" w:eastAsia="宋体" w:cs="Times New Roman"/>
                <w:color w:val="000000"/>
                <w:kern w:val="21"/>
                <w:sz w:val="24"/>
                <w:szCs w:val="24"/>
                <w:lang w:val="en-US" w:eastAsia="zh-CN"/>
              </w:rPr>
              <w:t>27614（41.4亩）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12" w:type="dxa"/>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cs="Times New Roman"/>
                <w:kern w:val="21"/>
                <w:sz w:val="24"/>
                <w:szCs w:val="24"/>
              </w:rPr>
            </w:pPr>
            <w:r>
              <w:rPr>
                <w:rFonts w:hint="default" w:ascii="Times New Roman" w:hAnsi="Times New Roman" w:cs="Times New Roman"/>
                <w:b/>
                <w:bCs/>
                <w:kern w:val="21"/>
                <w:sz w:val="24"/>
                <w:szCs w:val="24"/>
              </w:rPr>
              <w:t>建设性质</w:t>
            </w:r>
          </w:p>
        </w:tc>
        <w:tc>
          <w:tcPr>
            <w:tcW w:w="2510" w:type="dxa"/>
            <w:noWrap w:val="0"/>
            <w:vAlign w:val="center"/>
          </w:tcPr>
          <w:p>
            <w:pPr>
              <w:keepNext w:val="0"/>
              <w:keepLines w:val="0"/>
              <w:pageBreakBefore w:val="0"/>
              <w:kinsoku/>
              <w:wordWrap/>
              <w:overflowPunct/>
              <w:topLinePunct w:val="0"/>
              <w:bidi w:val="0"/>
              <w:adjustRightInd w:val="0"/>
              <w:snapToGrid w:val="0"/>
              <w:jc w:val="left"/>
              <w:textAlignment w:val="auto"/>
              <w:rPr>
                <w:rFonts w:hint="default" w:ascii="Times New Roman" w:hAnsi="Times New Roman" w:cs="Times New Roman"/>
                <w:kern w:val="21"/>
                <w:sz w:val="24"/>
                <w:szCs w:val="24"/>
              </w:rPr>
            </w:pPr>
            <w:r>
              <w:rPr>
                <w:rFonts w:hint="default" w:ascii="Times New Roman" w:hAnsi="Times New Roman" w:cs="Times New Roman"/>
                <w:kern w:val="21"/>
                <w:sz w:val="24"/>
                <w:szCs w:val="24"/>
              </w:rPr>
              <w:sym w:font="Wingdings 2" w:char="00A3"/>
            </w:r>
            <w:r>
              <w:rPr>
                <w:rFonts w:hint="default" w:ascii="Times New Roman" w:hAnsi="Times New Roman" w:cs="Times New Roman"/>
                <w:kern w:val="21"/>
                <w:sz w:val="24"/>
                <w:szCs w:val="24"/>
              </w:rPr>
              <w:t>新建（迁建）</w:t>
            </w:r>
          </w:p>
          <w:p>
            <w:pPr>
              <w:keepNext w:val="0"/>
              <w:keepLines w:val="0"/>
              <w:pageBreakBefore w:val="0"/>
              <w:kinsoku/>
              <w:wordWrap/>
              <w:overflowPunct/>
              <w:topLinePunct w:val="0"/>
              <w:bidi w:val="0"/>
              <w:adjustRightInd w:val="0"/>
              <w:snapToGrid w:val="0"/>
              <w:jc w:val="left"/>
              <w:textAlignment w:val="auto"/>
              <w:rPr>
                <w:rFonts w:hint="default" w:ascii="Times New Roman" w:hAnsi="Times New Roman" w:cs="Times New Roman"/>
                <w:kern w:val="21"/>
                <w:sz w:val="24"/>
                <w:szCs w:val="24"/>
              </w:rPr>
            </w:pPr>
            <w:r>
              <w:rPr>
                <w:rFonts w:hint="default" w:ascii="Times New Roman" w:hAnsi="Times New Roman" w:cs="Times New Roman"/>
                <w:kern w:val="21"/>
                <w:sz w:val="24"/>
                <w:szCs w:val="24"/>
              </w:rPr>
              <w:sym w:font="Wingdings 2" w:char="0052"/>
            </w:r>
            <w:r>
              <w:rPr>
                <w:rFonts w:hint="default" w:ascii="Times New Roman" w:hAnsi="Times New Roman" w:cs="Times New Roman"/>
                <w:kern w:val="21"/>
                <w:sz w:val="24"/>
                <w:szCs w:val="24"/>
              </w:rPr>
              <w:t>改建</w:t>
            </w:r>
          </w:p>
          <w:p>
            <w:pPr>
              <w:keepNext w:val="0"/>
              <w:keepLines w:val="0"/>
              <w:pageBreakBefore w:val="0"/>
              <w:kinsoku/>
              <w:wordWrap/>
              <w:overflowPunct/>
              <w:topLinePunct w:val="0"/>
              <w:bidi w:val="0"/>
              <w:adjustRightInd w:val="0"/>
              <w:snapToGrid w:val="0"/>
              <w:jc w:val="left"/>
              <w:textAlignment w:val="auto"/>
              <w:rPr>
                <w:rFonts w:hint="default" w:ascii="Times New Roman" w:hAnsi="Times New Roman" w:cs="Times New Roman"/>
                <w:kern w:val="21"/>
                <w:sz w:val="24"/>
                <w:szCs w:val="24"/>
              </w:rPr>
            </w:pPr>
            <w:r>
              <w:rPr>
                <w:rFonts w:hint="default" w:ascii="Times New Roman" w:hAnsi="Times New Roman" w:cs="Times New Roman"/>
                <w:kern w:val="21"/>
                <w:sz w:val="24"/>
                <w:szCs w:val="24"/>
              </w:rPr>
              <w:sym w:font="Wingdings 2" w:char="00A3"/>
            </w:r>
            <w:r>
              <w:rPr>
                <w:rFonts w:hint="default" w:ascii="Times New Roman" w:hAnsi="Times New Roman" w:cs="Times New Roman"/>
                <w:kern w:val="21"/>
                <w:sz w:val="24"/>
                <w:szCs w:val="24"/>
              </w:rPr>
              <w:t>扩建</w:t>
            </w:r>
          </w:p>
          <w:p>
            <w:pPr>
              <w:keepNext w:val="0"/>
              <w:keepLines w:val="0"/>
              <w:pageBreakBefore w:val="0"/>
              <w:kinsoku/>
              <w:wordWrap/>
              <w:overflowPunct/>
              <w:topLinePunct w:val="0"/>
              <w:bidi w:val="0"/>
              <w:adjustRightInd w:val="0"/>
              <w:snapToGrid w:val="0"/>
              <w:jc w:val="left"/>
              <w:textAlignment w:val="auto"/>
              <w:rPr>
                <w:rFonts w:hint="default" w:ascii="Times New Roman" w:hAnsi="Times New Roman" w:cs="Times New Roman"/>
                <w:kern w:val="21"/>
                <w:sz w:val="24"/>
                <w:szCs w:val="24"/>
              </w:rPr>
            </w:pPr>
            <w:r>
              <w:rPr>
                <w:rFonts w:hint="default" w:ascii="Times New Roman" w:hAnsi="Times New Roman" w:cs="Times New Roman"/>
                <w:kern w:val="21"/>
                <w:sz w:val="24"/>
                <w:szCs w:val="24"/>
              </w:rPr>
              <w:sym w:font="Wingdings 2" w:char="00A3"/>
            </w:r>
            <w:r>
              <w:rPr>
                <w:rFonts w:hint="default" w:ascii="Times New Roman" w:hAnsi="Times New Roman" w:cs="Times New Roman"/>
                <w:kern w:val="21"/>
                <w:sz w:val="24"/>
                <w:szCs w:val="24"/>
              </w:rPr>
              <w:t>技术改造</w:t>
            </w:r>
          </w:p>
        </w:tc>
        <w:tc>
          <w:tcPr>
            <w:tcW w:w="2106"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b/>
                <w:bCs/>
                <w:kern w:val="21"/>
                <w:sz w:val="24"/>
                <w:szCs w:val="24"/>
              </w:rPr>
            </w:pPr>
            <w:r>
              <w:rPr>
                <w:rFonts w:hint="default" w:ascii="Times New Roman" w:hAnsi="Times New Roman" w:cs="Times New Roman"/>
                <w:b/>
                <w:bCs/>
                <w:kern w:val="21"/>
                <w:sz w:val="24"/>
                <w:szCs w:val="24"/>
              </w:rPr>
              <w:t>建设项目</w:t>
            </w:r>
          </w:p>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cs="Times New Roman"/>
                <w:kern w:val="21"/>
                <w:sz w:val="24"/>
                <w:szCs w:val="24"/>
              </w:rPr>
            </w:pPr>
            <w:r>
              <w:rPr>
                <w:rFonts w:hint="default" w:ascii="Times New Roman" w:hAnsi="Times New Roman" w:cs="Times New Roman"/>
                <w:b/>
                <w:bCs/>
                <w:kern w:val="21"/>
                <w:sz w:val="24"/>
                <w:szCs w:val="24"/>
              </w:rPr>
              <w:t>申报情形</w:t>
            </w:r>
          </w:p>
        </w:tc>
        <w:tc>
          <w:tcPr>
            <w:tcW w:w="4587" w:type="dxa"/>
            <w:noWrap w:val="0"/>
            <w:vAlign w:val="center"/>
          </w:tcPr>
          <w:p>
            <w:pPr>
              <w:keepNext w:val="0"/>
              <w:keepLines w:val="0"/>
              <w:pageBreakBefore w:val="0"/>
              <w:kinsoku/>
              <w:wordWrap/>
              <w:overflowPunct/>
              <w:topLinePunct w:val="0"/>
              <w:bidi w:val="0"/>
              <w:adjustRightInd w:val="0"/>
              <w:snapToGrid w:val="0"/>
              <w:jc w:val="left"/>
              <w:textAlignment w:val="auto"/>
              <w:rPr>
                <w:rFonts w:hint="default" w:ascii="Times New Roman" w:hAnsi="Times New Roman" w:cs="Times New Roman"/>
                <w:kern w:val="21"/>
                <w:sz w:val="24"/>
                <w:szCs w:val="24"/>
              </w:rPr>
            </w:pPr>
            <w:r>
              <w:rPr>
                <w:rFonts w:hint="default" w:ascii="Times New Roman" w:hAnsi="Times New Roman" w:cs="Times New Roman"/>
                <w:kern w:val="21"/>
                <w:sz w:val="24"/>
                <w:szCs w:val="24"/>
              </w:rPr>
              <w:sym w:font="Wingdings 2" w:char="0052"/>
            </w:r>
            <w:r>
              <w:rPr>
                <w:rFonts w:hint="default" w:ascii="Times New Roman" w:hAnsi="Times New Roman" w:cs="Times New Roman"/>
                <w:kern w:val="21"/>
                <w:sz w:val="24"/>
                <w:szCs w:val="24"/>
              </w:rPr>
              <w:t>首次申报项目</w:t>
            </w:r>
          </w:p>
          <w:p>
            <w:pPr>
              <w:keepNext w:val="0"/>
              <w:keepLines w:val="0"/>
              <w:pageBreakBefore w:val="0"/>
              <w:kinsoku/>
              <w:wordWrap/>
              <w:overflowPunct/>
              <w:topLinePunct w:val="0"/>
              <w:bidi w:val="0"/>
              <w:adjustRightInd w:val="0"/>
              <w:snapToGrid w:val="0"/>
              <w:jc w:val="left"/>
              <w:textAlignment w:val="auto"/>
              <w:rPr>
                <w:rFonts w:hint="default" w:ascii="Times New Roman" w:hAnsi="Times New Roman" w:cs="Times New Roman"/>
                <w:kern w:val="21"/>
                <w:sz w:val="24"/>
                <w:szCs w:val="24"/>
              </w:rPr>
            </w:pPr>
            <w:r>
              <w:rPr>
                <w:rFonts w:hint="default" w:ascii="Times New Roman" w:hAnsi="Times New Roman" w:cs="Times New Roman"/>
                <w:kern w:val="21"/>
                <w:sz w:val="24"/>
                <w:szCs w:val="24"/>
              </w:rPr>
              <w:sym w:font="Wingdings 2" w:char="00A3"/>
            </w:r>
            <w:r>
              <w:rPr>
                <w:rFonts w:hint="default" w:ascii="Times New Roman" w:hAnsi="Times New Roman" w:cs="Times New Roman"/>
                <w:kern w:val="21"/>
                <w:sz w:val="24"/>
                <w:szCs w:val="24"/>
              </w:rPr>
              <w:t>不予批准后再次申报项目</w:t>
            </w:r>
          </w:p>
          <w:p>
            <w:pPr>
              <w:keepNext w:val="0"/>
              <w:keepLines w:val="0"/>
              <w:pageBreakBefore w:val="0"/>
              <w:kinsoku/>
              <w:wordWrap/>
              <w:overflowPunct/>
              <w:topLinePunct w:val="0"/>
              <w:bidi w:val="0"/>
              <w:adjustRightInd w:val="0"/>
              <w:snapToGrid w:val="0"/>
              <w:jc w:val="left"/>
              <w:textAlignment w:val="auto"/>
              <w:rPr>
                <w:rFonts w:hint="default" w:ascii="Times New Roman" w:hAnsi="Times New Roman" w:cs="Times New Roman"/>
                <w:kern w:val="21"/>
                <w:sz w:val="24"/>
                <w:szCs w:val="24"/>
              </w:rPr>
            </w:pPr>
            <w:r>
              <w:rPr>
                <w:rFonts w:hint="default" w:ascii="Times New Roman" w:hAnsi="Times New Roman" w:cs="Times New Roman"/>
                <w:kern w:val="21"/>
                <w:sz w:val="24"/>
                <w:szCs w:val="24"/>
              </w:rPr>
              <w:sym w:font="Wingdings 2" w:char="00A3"/>
            </w:r>
            <w:r>
              <w:rPr>
                <w:rFonts w:hint="default" w:ascii="Times New Roman" w:hAnsi="Times New Roman" w:cs="Times New Roman"/>
                <w:kern w:val="21"/>
                <w:sz w:val="24"/>
                <w:szCs w:val="24"/>
              </w:rPr>
              <w:t>超五年重新审核项目</w:t>
            </w:r>
          </w:p>
          <w:p>
            <w:pPr>
              <w:keepNext w:val="0"/>
              <w:keepLines w:val="0"/>
              <w:pageBreakBefore w:val="0"/>
              <w:kinsoku/>
              <w:wordWrap/>
              <w:overflowPunct/>
              <w:topLinePunct w:val="0"/>
              <w:bidi w:val="0"/>
              <w:adjustRightInd w:val="0"/>
              <w:snapToGrid w:val="0"/>
              <w:textAlignment w:val="auto"/>
              <w:rPr>
                <w:rFonts w:hint="default" w:ascii="Times New Roman" w:hAnsi="Times New Roman" w:cs="Times New Roman"/>
                <w:kern w:val="21"/>
                <w:sz w:val="24"/>
                <w:szCs w:val="24"/>
              </w:rPr>
            </w:pPr>
            <w:r>
              <w:rPr>
                <w:rFonts w:hint="default" w:ascii="Times New Roman" w:hAnsi="Times New Roman" w:cs="Times New Roman"/>
                <w:kern w:val="21"/>
                <w:sz w:val="24"/>
                <w:szCs w:val="24"/>
              </w:rPr>
              <w:sym w:font="Wingdings 2" w:char="00A3"/>
            </w:r>
            <w:r>
              <w:rPr>
                <w:rFonts w:hint="default" w:ascii="Times New Roman" w:hAnsi="Times New Roman" w:cs="Times New Roman"/>
                <w:kern w:val="21"/>
                <w:sz w:val="24"/>
                <w:szCs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1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b/>
                <w:bCs/>
                <w:kern w:val="21"/>
                <w:sz w:val="24"/>
                <w:szCs w:val="24"/>
              </w:rPr>
            </w:pPr>
            <w:r>
              <w:rPr>
                <w:rFonts w:hint="default" w:ascii="Times New Roman" w:hAnsi="Times New Roman" w:cs="Times New Roman"/>
                <w:b/>
                <w:bCs/>
                <w:kern w:val="21"/>
                <w:sz w:val="24"/>
                <w:szCs w:val="24"/>
              </w:rPr>
              <w:t>项目审批（核准/</w:t>
            </w:r>
          </w:p>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kern w:val="21"/>
                <w:sz w:val="24"/>
                <w:szCs w:val="24"/>
              </w:rPr>
            </w:pPr>
            <w:r>
              <w:rPr>
                <w:rFonts w:hint="default" w:ascii="Times New Roman" w:hAnsi="Times New Roman" w:cs="Times New Roman"/>
                <w:b/>
                <w:bCs/>
                <w:kern w:val="21"/>
                <w:sz w:val="24"/>
                <w:szCs w:val="24"/>
              </w:rPr>
              <w:t>备案）部门（选填）</w:t>
            </w:r>
          </w:p>
        </w:tc>
        <w:tc>
          <w:tcPr>
            <w:tcW w:w="2510" w:type="dxa"/>
            <w:noWrap w:val="0"/>
            <w:vAlign w:val="center"/>
          </w:tcPr>
          <w:p>
            <w:pPr>
              <w:keepNext w:val="0"/>
              <w:keepLines w:val="0"/>
              <w:pageBreakBefore w:val="0"/>
              <w:kinsoku/>
              <w:wordWrap/>
              <w:overflowPunct/>
              <w:topLinePunct w:val="0"/>
              <w:bidi w:val="0"/>
              <w:adjustRightInd w:val="0"/>
              <w:snapToGrid w:val="0"/>
              <w:jc w:val="center"/>
              <w:textAlignment w:val="auto"/>
              <w:rPr>
                <w:rFonts w:hint="eastAsia" w:ascii="Times New Roman" w:hAnsi="Times New Roman" w:eastAsia="宋体" w:cs="Times New Roman"/>
                <w:kern w:val="21"/>
                <w:sz w:val="24"/>
                <w:szCs w:val="24"/>
                <w:lang w:eastAsia="zh-CN"/>
              </w:rPr>
            </w:pPr>
            <w:r>
              <w:rPr>
                <w:rFonts w:hint="default" w:ascii="Times New Roman" w:hAnsi="Times New Roman" w:cs="Times New Roman"/>
                <w:kern w:val="21"/>
                <w:sz w:val="24"/>
                <w:szCs w:val="24"/>
              </w:rPr>
              <w:t>乐山市</w:t>
            </w:r>
            <w:r>
              <w:rPr>
                <w:rFonts w:hint="eastAsia" w:ascii="Times New Roman" w:hAnsi="Times New Roman" w:cs="Times New Roman"/>
                <w:kern w:val="21"/>
                <w:sz w:val="24"/>
                <w:szCs w:val="24"/>
                <w:lang w:val="en-US" w:eastAsia="zh-CN"/>
              </w:rPr>
              <w:t>中区</w:t>
            </w:r>
            <w:r>
              <w:rPr>
                <w:rFonts w:hint="default" w:ascii="Times New Roman" w:hAnsi="Times New Roman" w:cs="Times New Roman"/>
                <w:kern w:val="21"/>
                <w:sz w:val="24"/>
                <w:szCs w:val="24"/>
              </w:rPr>
              <w:t>发展和改革</w:t>
            </w:r>
            <w:r>
              <w:rPr>
                <w:rFonts w:hint="eastAsia" w:ascii="Times New Roman" w:hAnsi="Times New Roman" w:cs="Times New Roman"/>
                <w:kern w:val="21"/>
                <w:sz w:val="24"/>
                <w:szCs w:val="24"/>
                <w:lang w:val="en-US" w:eastAsia="zh-CN"/>
              </w:rPr>
              <w:t>局</w:t>
            </w:r>
          </w:p>
        </w:tc>
        <w:tc>
          <w:tcPr>
            <w:tcW w:w="2106"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b/>
                <w:bCs/>
                <w:kern w:val="21"/>
                <w:sz w:val="24"/>
                <w:szCs w:val="24"/>
              </w:rPr>
            </w:pPr>
            <w:r>
              <w:rPr>
                <w:rFonts w:hint="default" w:ascii="Times New Roman" w:hAnsi="Times New Roman" w:cs="Times New Roman"/>
                <w:b/>
                <w:bCs/>
                <w:kern w:val="21"/>
                <w:sz w:val="24"/>
                <w:szCs w:val="24"/>
              </w:rPr>
              <w:t>项目审批（核准/</w:t>
            </w:r>
          </w:p>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kern w:val="21"/>
                <w:sz w:val="24"/>
                <w:szCs w:val="24"/>
              </w:rPr>
            </w:pPr>
            <w:r>
              <w:rPr>
                <w:rFonts w:hint="default" w:ascii="Times New Roman" w:hAnsi="Times New Roman" w:cs="Times New Roman"/>
                <w:b/>
                <w:bCs/>
                <w:kern w:val="21"/>
                <w:sz w:val="24"/>
                <w:szCs w:val="24"/>
              </w:rPr>
              <w:t>备案）文号（选填）</w:t>
            </w:r>
          </w:p>
        </w:tc>
        <w:tc>
          <w:tcPr>
            <w:tcW w:w="4587"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kern w:val="21"/>
                <w:sz w:val="24"/>
                <w:szCs w:val="24"/>
                <w:lang w:val="en-US"/>
              </w:rPr>
            </w:pPr>
            <w:r>
              <w:rPr>
                <w:rFonts w:hint="eastAsia" w:ascii="Times New Roman" w:hAnsi="Times New Roman" w:eastAsia="宋体" w:cs="Times New Roman"/>
                <w:kern w:val="21"/>
                <w:sz w:val="24"/>
                <w:szCs w:val="24"/>
                <w:lang w:val="en-US" w:eastAsia="zh-CN"/>
              </w:rPr>
              <w:t>川投资备【2202</w:t>
            </w:r>
            <w:r>
              <w:rPr>
                <w:rFonts w:hint="default" w:ascii="Times New Roman" w:hAnsi="Times New Roman" w:eastAsia="Calibri" w:cs="Times New Roman"/>
                <w:kern w:val="21"/>
                <w:sz w:val="24"/>
                <w:szCs w:val="24"/>
              </w:rPr>
              <w:t>-5111</w:t>
            </w:r>
            <w:r>
              <w:rPr>
                <w:rFonts w:hint="eastAsia" w:ascii="Times New Roman" w:hAnsi="Times New Roman" w:eastAsia="宋体" w:cs="Times New Roman"/>
                <w:kern w:val="21"/>
                <w:sz w:val="24"/>
                <w:szCs w:val="24"/>
                <w:lang w:val="en-US" w:eastAsia="zh-CN"/>
              </w:rPr>
              <w:t>02</w:t>
            </w:r>
            <w:r>
              <w:rPr>
                <w:rFonts w:hint="default" w:ascii="Times New Roman" w:hAnsi="Times New Roman" w:eastAsia="Calibri" w:cs="Times New Roman"/>
                <w:kern w:val="21"/>
                <w:sz w:val="24"/>
                <w:szCs w:val="24"/>
              </w:rPr>
              <w:t>-</w:t>
            </w:r>
            <w:r>
              <w:rPr>
                <w:rFonts w:hint="eastAsia" w:ascii="Times New Roman" w:hAnsi="Times New Roman" w:eastAsia="宋体" w:cs="Times New Roman"/>
                <w:kern w:val="21"/>
                <w:sz w:val="24"/>
                <w:szCs w:val="24"/>
                <w:lang w:val="en-US" w:eastAsia="zh-CN"/>
              </w:rPr>
              <w:t>04</w:t>
            </w:r>
            <w:r>
              <w:rPr>
                <w:rFonts w:hint="default" w:ascii="Times New Roman" w:hAnsi="Times New Roman" w:eastAsia="Calibri" w:cs="Times New Roman"/>
                <w:kern w:val="21"/>
                <w:sz w:val="24"/>
                <w:szCs w:val="24"/>
              </w:rPr>
              <w:t>-01-</w:t>
            </w:r>
            <w:r>
              <w:rPr>
                <w:rFonts w:hint="eastAsia" w:ascii="Times New Roman" w:hAnsi="Times New Roman" w:eastAsia="宋体" w:cs="Times New Roman"/>
                <w:kern w:val="21"/>
                <w:sz w:val="24"/>
                <w:szCs w:val="24"/>
                <w:lang w:val="en-US" w:eastAsia="zh-CN"/>
              </w:rPr>
              <w:t>468223】FGQB-0032号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1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总投资（万元）</w:t>
            </w:r>
          </w:p>
        </w:tc>
        <w:tc>
          <w:tcPr>
            <w:tcW w:w="2510"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kern w:val="21"/>
                <w:sz w:val="24"/>
                <w:szCs w:val="24"/>
                <w:highlight w:val="none"/>
                <w:lang w:val="en-US" w:eastAsia="zh-CN"/>
              </w:rPr>
            </w:pPr>
            <w:r>
              <w:rPr>
                <w:rFonts w:hint="eastAsia" w:ascii="Times New Roman" w:hAnsi="Times New Roman" w:eastAsia="宋体" w:cs="Times New Roman"/>
                <w:color w:val="auto"/>
                <w:kern w:val="21"/>
                <w:sz w:val="24"/>
                <w:szCs w:val="24"/>
                <w:highlight w:val="none"/>
                <w:lang w:val="en-US" w:eastAsia="zh-CN"/>
              </w:rPr>
              <w:t>3438</w:t>
            </w:r>
          </w:p>
        </w:tc>
        <w:tc>
          <w:tcPr>
            <w:tcW w:w="2106"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环保投资（万元）</w:t>
            </w:r>
          </w:p>
        </w:tc>
        <w:tc>
          <w:tcPr>
            <w:tcW w:w="4587"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b/>
                <w:bCs/>
                <w:color w:val="auto"/>
                <w:kern w:val="21"/>
                <w:sz w:val="24"/>
                <w:szCs w:val="24"/>
                <w:highlight w:val="none"/>
                <w:lang w:val="en-US" w:eastAsia="zh-CN"/>
              </w:rPr>
            </w:pPr>
            <w:r>
              <w:rPr>
                <w:rFonts w:hint="eastAsia" w:ascii="Times New Roman" w:hAnsi="Times New Roman" w:eastAsia="宋体" w:cs="Times New Roman"/>
                <w:b w:val="0"/>
                <w:bCs w:val="0"/>
                <w:color w:val="000000"/>
                <w:kern w:val="21"/>
                <w:sz w:val="24"/>
                <w:szCs w:val="24"/>
                <w:highlight w:val="none"/>
                <w:lang w:val="en-US" w:eastAsia="zh-CN"/>
              </w:rPr>
              <w:t>250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1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环保投资占比（%）</w:t>
            </w:r>
          </w:p>
        </w:tc>
        <w:tc>
          <w:tcPr>
            <w:tcW w:w="2510"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auto"/>
                <w:kern w:val="21"/>
                <w:sz w:val="24"/>
                <w:szCs w:val="24"/>
                <w:highlight w:val="none"/>
                <w:lang w:val="en-US" w:eastAsia="zh-CN"/>
              </w:rPr>
            </w:pPr>
            <w:r>
              <w:rPr>
                <w:rFonts w:hint="eastAsia" w:ascii="Times New Roman" w:hAnsi="Times New Roman" w:eastAsia="宋体" w:cs="Times New Roman"/>
                <w:b w:val="0"/>
                <w:bCs w:val="0"/>
                <w:color w:val="000000"/>
                <w:kern w:val="21"/>
                <w:sz w:val="24"/>
                <w:szCs w:val="24"/>
                <w:highlight w:val="none"/>
                <w:lang w:val="en-US" w:eastAsia="zh-CN"/>
              </w:rPr>
              <w:t>7.27</w:t>
            </w:r>
          </w:p>
        </w:tc>
        <w:tc>
          <w:tcPr>
            <w:tcW w:w="2106"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21"/>
                <w:sz w:val="24"/>
                <w:szCs w:val="24"/>
                <w:highlight w:val="none"/>
              </w:rPr>
              <w:t>施工工期</w:t>
            </w:r>
          </w:p>
        </w:tc>
        <w:tc>
          <w:tcPr>
            <w:tcW w:w="4587"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auto"/>
                <w:kern w:val="21"/>
                <w:sz w:val="24"/>
                <w:szCs w:val="24"/>
                <w:highlight w:val="none"/>
                <w:lang w:val="en-US"/>
              </w:rPr>
            </w:pPr>
            <w:r>
              <w:rPr>
                <w:rFonts w:hint="eastAsia" w:ascii="Times New Roman" w:hAnsi="Times New Roman" w:cs="Times New Roman"/>
                <w:color w:val="auto"/>
                <w:spacing w:val="0"/>
                <w:kern w:val="21"/>
                <w:sz w:val="24"/>
                <w:szCs w:val="24"/>
                <w:highlight w:val="none"/>
                <w:lang w:val="en-US" w:eastAsia="zh-CN"/>
              </w:rPr>
              <w:t>8</w:t>
            </w:r>
            <w:r>
              <w:rPr>
                <w:rFonts w:hint="default" w:ascii="Times New Roman" w:hAnsi="Times New Roman" w:cs="Times New Roman"/>
                <w:color w:val="auto"/>
                <w:spacing w:val="0"/>
                <w:kern w:val="21"/>
                <w:sz w:val="24"/>
                <w:szCs w:val="24"/>
                <w:highlight w:val="none"/>
                <w:lang w:val="en-US" w:eastAsia="zh-CN"/>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12" w:type="dxa"/>
            <w:noWrap w:val="0"/>
            <w:tcMar>
              <w:top w:w="16" w:type="dxa"/>
              <w:left w:w="16" w:type="dxa"/>
              <w:right w:w="16" w:type="dxa"/>
            </w:tcMar>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kern w:val="21"/>
                <w:sz w:val="24"/>
                <w:szCs w:val="24"/>
              </w:rPr>
            </w:pPr>
            <w:r>
              <w:rPr>
                <w:rFonts w:hint="default" w:ascii="Times New Roman" w:hAnsi="Times New Roman" w:cs="Times New Roman"/>
                <w:kern w:val="21"/>
                <w:sz w:val="24"/>
                <w:szCs w:val="24"/>
              </w:rPr>
              <w:t>是否开工建设</w:t>
            </w:r>
          </w:p>
        </w:tc>
        <w:tc>
          <w:tcPr>
            <w:tcW w:w="9203" w:type="dxa"/>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105"/>
              <w:jc w:val="left"/>
              <w:textAlignment w:val="auto"/>
              <w:rPr>
                <w:rFonts w:hint="default" w:ascii="Times New Roman" w:hAnsi="Times New Roman" w:cs="Times New Roman"/>
                <w:kern w:val="21"/>
                <w:sz w:val="24"/>
                <w:szCs w:val="24"/>
              </w:rPr>
            </w:pPr>
            <w:r>
              <w:rPr>
                <w:rFonts w:hint="default" w:ascii="Times New Roman" w:hAnsi="Times New Roman" w:cs="Times New Roman"/>
                <w:kern w:val="21"/>
                <w:sz w:val="24"/>
                <w:szCs w:val="24"/>
              </w:rPr>
              <w:sym w:font="Wingdings 2" w:char="0052"/>
            </w:r>
            <w:r>
              <w:rPr>
                <w:rFonts w:hint="default" w:ascii="Times New Roman" w:hAnsi="Times New Roman" w:cs="Times New Roman"/>
                <w:kern w:val="21"/>
                <w:sz w:val="24"/>
                <w:szCs w:val="24"/>
              </w:rPr>
              <w:t>否</w:t>
            </w:r>
          </w:p>
          <w:p>
            <w:pPr>
              <w:keepNext w:val="0"/>
              <w:keepLines w:val="0"/>
              <w:pageBreakBefore w:val="0"/>
              <w:kinsoku/>
              <w:wordWrap/>
              <w:overflowPunct/>
              <w:topLinePunct w:val="0"/>
              <w:bidi w:val="0"/>
              <w:adjustRightInd w:val="0"/>
              <w:snapToGrid w:val="0"/>
              <w:jc w:val="left"/>
              <w:textAlignment w:val="auto"/>
              <w:rPr>
                <w:rFonts w:hint="default" w:ascii="Times New Roman" w:hAnsi="Times New Roman" w:eastAsia="宋体" w:cs="Times New Roman"/>
                <w:color w:val="auto"/>
                <w:spacing w:val="0"/>
                <w:sz w:val="24"/>
                <w:szCs w:val="24"/>
              </w:rPr>
            </w:pPr>
            <w:r>
              <w:rPr>
                <w:rFonts w:hint="default" w:ascii="Times New Roman" w:hAnsi="Times New Roman" w:cs="Times New Roman"/>
                <w:kern w:val="21"/>
                <w:sz w:val="24"/>
                <w:szCs w:val="24"/>
              </w:rPr>
              <w:sym w:font="Wingdings 2" w:char="00A3"/>
            </w:r>
            <w:r>
              <w:rPr>
                <w:rFonts w:hint="default" w:ascii="Times New Roman" w:hAnsi="Times New Roman" w:cs="Times New Roman"/>
                <w:kern w:val="21"/>
                <w:sz w:val="24"/>
                <w:szCs w:val="24"/>
              </w:rPr>
              <w:t>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12" w:type="dxa"/>
            <w:noWrap w:val="0"/>
            <w:tcMar>
              <w:top w:w="16" w:type="dxa"/>
              <w:left w:w="16" w:type="dxa"/>
              <w:right w:w="16" w:type="dxa"/>
            </w:tcMar>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kern w:val="21"/>
                <w:sz w:val="24"/>
                <w:szCs w:val="24"/>
              </w:rPr>
            </w:pPr>
            <w:r>
              <w:rPr>
                <w:rFonts w:hint="default" w:ascii="Times New Roman" w:hAnsi="Times New Roman" w:cs="Times New Roman"/>
                <w:kern w:val="21"/>
                <w:sz w:val="24"/>
                <w:szCs w:val="24"/>
              </w:rPr>
              <w:t>专项评价设置情况</w:t>
            </w:r>
          </w:p>
        </w:tc>
        <w:tc>
          <w:tcPr>
            <w:tcW w:w="9203" w:type="dxa"/>
            <w:gridSpan w:val="3"/>
            <w:noWrap w:val="0"/>
            <w:tcMar>
              <w:top w:w="16" w:type="dxa"/>
              <w:left w:w="16" w:type="dxa"/>
              <w:right w:w="16" w:type="dxa"/>
            </w:tcMar>
            <w:vAlign w:val="center"/>
          </w:tcPr>
          <w:tbl>
            <w:tblPr>
              <w:tblStyle w:val="39"/>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165"/>
              <w:gridCol w:w="5734"/>
              <w:gridCol w:w="126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81"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专项评价的类别</w:t>
                  </w:r>
                </w:p>
              </w:tc>
              <w:tc>
                <w:tcPr>
                  <w:tcW w:w="3128"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涉及项目类别</w:t>
                  </w:r>
                </w:p>
              </w:tc>
              <w:tc>
                <w:tcPr>
                  <w:tcW w:w="689"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lang w:eastAsia="zh-CN"/>
                    </w:rPr>
                    <w:t>本项目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81"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w:t>
                  </w:r>
                </w:p>
              </w:tc>
              <w:tc>
                <w:tcPr>
                  <w:tcW w:w="3128"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水力发电：引水式发电、涉及调峰发电的项目；人工湖、人工湿地：全部；</w:t>
                  </w:r>
                </w:p>
                <w:p>
                  <w:pPr>
                    <w:keepNext w:val="0"/>
                    <w:keepLines w:val="0"/>
                    <w:pageBreakBefore w:val="0"/>
                    <w:widowControl w:val="0"/>
                    <w:kinsoku/>
                    <w:wordWrap/>
                    <w:overflowPunct/>
                    <w:topLinePunct w:val="0"/>
                    <w:autoSpaceDE w:val="0"/>
                    <w:autoSpaceDN w:val="0"/>
                    <w:bidi w:val="0"/>
                    <w:adjustRightInd w:val="0"/>
                    <w:snapToGrid w:val="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水库：全部；</w:t>
                  </w:r>
                </w:p>
                <w:p>
                  <w:pPr>
                    <w:keepNext w:val="0"/>
                    <w:keepLines w:val="0"/>
                    <w:pageBreakBefore w:val="0"/>
                    <w:widowControl w:val="0"/>
                    <w:kinsoku/>
                    <w:wordWrap/>
                    <w:overflowPunct/>
                    <w:topLinePunct w:val="0"/>
                    <w:autoSpaceDE w:val="0"/>
                    <w:autoSpaceDN w:val="0"/>
                    <w:bidi w:val="0"/>
                    <w:adjustRightInd w:val="0"/>
                    <w:snapToGrid w:val="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引水工程：全部（配套的管线工程等除外）；防洪除涝工程：包含水库的项目；</w:t>
                  </w:r>
                </w:p>
                <w:p>
                  <w:pPr>
                    <w:keepNext w:val="0"/>
                    <w:keepLines w:val="0"/>
                    <w:pageBreakBefore w:val="0"/>
                    <w:widowControl w:val="0"/>
                    <w:kinsoku/>
                    <w:wordWrap/>
                    <w:overflowPunct/>
                    <w:topLinePunct w:val="0"/>
                    <w:autoSpaceDE w:val="0"/>
                    <w:autoSpaceDN w:val="0"/>
                    <w:bidi w:val="0"/>
                    <w:adjustRightInd w:val="0"/>
                    <w:snapToGrid w:val="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河湖整治：涉及清淤且底泥存在重金属污染的项目</w:t>
                  </w:r>
                </w:p>
              </w:tc>
              <w:tc>
                <w:tcPr>
                  <w:tcW w:w="689"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eastAsia="zh-CN"/>
                    </w:rPr>
                    <w:t>本项目</w:t>
                  </w:r>
                  <w:r>
                    <w:rPr>
                      <w:rFonts w:hint="eastAsia" w:ascii="Times New Roman" w:hAnsi="Times New Roman" w:cs="Times New Roman"/>
                      <w:color w:val="auto"/>
                      <w:sz w:val="21"/>
                      <w:szCs w:val="21"/>
                      <w:lang w:val="en-US" w:eastAsia="zh-CN"/>
                    </w:rPr>
                    <w:t>涉及引水工程，因此需做地表水专章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81"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地下水</w:t>
                  </w:r>
                </w:p>
              </w:tc>
              <w:tc>
                <w:tcPr>
                  <w:tcW w:w="3128"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陆地石油和天然气开采：全部；地下水（含矿泉水）开采：全部；</w:t>
                  </w:r>
                </w:p>
                <w:p>
                  <w:pPr>
                    <w:keepNext w:val="0"/>
                    <w:keepLines w:val="0"/>
                    <w:pageBreakBefore w:val="0"/>
                    <w:widowControl w:val="0"/>
                    <w:kinsoku/>
                    <w:wordWrap/>
                    <w:overflowPunct/>
                    <w:topLinePunct w:val="0"/>
                    <w:autoSpaceDE w:val="0"/>
                    <w:autoSpaceDN w:val="0"/>
                    <w:bidi w:val="0"/>
                    <w:adjustRightInd w:val="0"/>
                    <w:snapToGrid w:val="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水利、水电、交通等：含穿越可溶岩地层隧道的项目</w:t>
                  </w:r>
                </w:p>
              </w:tc>
              <w:tc>
                <w:tcPr>
                  <w:tcW w:w="689"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不涉及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81"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生态</w:t>
                  </w:r>
                </w:p>
              </w:tc>
              <w:tc>
                <w:tcPr>
                  <w:tcW w:w="3128"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涉及环境敏感区（不包括饮用水水源保护区，以居住、医疗卫生、文化教育、科研、行政办公为主要功能的区域，以及文物保护单位）的项目</w:t>
                  </w:r>
                </w:p>
              </w:tc>
              <w:tc>
                <w:tcPr>
                  <w:tcW w:w="689"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不涉及重要水生生物的自然产卵场、索饵场、越冬场和洄游通道，天然渔场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81"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w:t>
                  </w:r>
                </w:p>
              </w:tc>
              <w:tc>
                <w:tcPr>
                  <w:tcW w:w="3128"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油气、液体化工码头：全部；干散货（含煤炭、矿石）、件杂、多用途、通用码头：涉及粉尘、挥发性有机物排放的项目</w:t>
                  </w:r>
                </w:p>
              </w:tc>
              <w:tc>
                <w:tcPr>
                  <w:tcW w:w="689"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不涉及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81"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w:t>
                  </w:r>
                </w:p>
              </w:tc>
              <w:tc>
                <w:tcPr>
                  <w:tcW w:w="3128"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公路、铁路、机场等交通运输业涉及环境敏感区（以居住、医疗卫生、文化教育、科研、行政办公为主要功能的区域）的项目；</w:t>
                  </w: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城市道路（不含维护，不含支路、人行天桥、人行地道）：全部</w:t>
                  </w:r>
                </w:p>
              </w:tc>
              <w:tc>
                <w:tcPr>
                  <w:tcW w:w="689"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不涉及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81"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环境风险</w:t>
                  </w:r>
                </w:p>
              </w:tc>
              <w:tc>
                <w:tcPr>
                  <w:tcW w:w="3128"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石油和天然气开采：全部；油气、液体化工码头：全部；原油、成品油、天然气管线（不含城镇天然气管线、企业厂区内管线），危  险化学品输送管线（不含企业厂区内管线）：全部</w:t>
                  </w:r>
                </w:p>
              </w:tc>
              <w:tc>
                <w:tcPr>
                  <w:tcW w:w="689"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不涉及</w:t>
                  </w:r>
                </w:p>
              </w:tc>
            </w:tr>
          </w:tbl>
          <w:p>
            <w:pPr>
              <w:keepNext w:val="0"/>
              <w:keepLines w:val="0"/>
              <w:pageBreakBefore w:val="0"/>
              <w:kinsoku/>
              <w:wordWrap/>
              <w:overflowPunct/>
              <w:topLinePunct w:val="0"/>
              <w:autoSpaceDE w:val="0"/>
              <w:autoSpaceDN w:val="0"/>
              <w:bidi w:val="0"/>
              <w:adjustRightInd w:val="0"/>
              <w:snapToGrid w:val="0"/>
              <w:ind w:firstLine="482" w:firstLineChars="200"/>
              <w:textAlignment w:val="auto"/>
              <w:rPr>
                <w:rFonts w:hint="default" w:ascii="Times New Roman" w:hAnsi="Times New Roman" w:cs="Times New Roman"/>
                <w:color w:val="0000FF"/>
                <w:kern w:val="21"/>
                <w:sz w:val="24"/>
                <w:szCs w:val="24"/>
              </w:rPr>
            </w:pPr>
            <w:r>
              <w:rPr>
                <w:rFonts w:hint="default"/>
                <w:b/>
                <w:bCs/>
                <w:color w:val="auto"/>
                <w:sz w:val="24"/>
                <w:szCs w:val="24"/>
                <w:lang w:eastAsia="zh-CN"/>
              </w:rPr>
              <w:t>综上，本项目需要设置</w:t>
            </w:r>
            <w:r>
              <w:rPr>
                <w:rFonts w:hint="eastAsia"/>
                <w:b/>
                <w:bCs/>
                <w:color w:val="auto"/>
                <w:sz w:val="24"/>
                <w:szCs w:val="24"/>
                <w:lang w:eastAsia="zh-CN"/>
              </w:rPr>
              <w:t>地表水</w:t>
            </w:r>
            <w:r>
              <w:rPr>
                <w:rFonts w:hint="default"/>
                <w:b/>
                <w:bCs/>
                <w:color w:val="auto"/>
                <w:sz w:val="24"/>
                <w:szCs w:val="24"/>
                <w:lang w:eastAsia="zh-CN"/>
              </w:rPr>
              <w:t>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12" w:type="dxa"/>
            <w:noWrap w:val="0"/>
            <w:tcMar>
              <w:top w:w="16" w:type="dxa"/>
              <w:left w:w="16" w:type="dxa"/>
              <w:right w:w="16" w:type="dxa"/>
            </w:tcMar>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kern w:val="21"/>
                <w:sz w:val="24"/>
                <w:szCs w:val="24"/>
              </w:rPr>
            </w:pPr>
            <w:r>
              <w:rPr>
                <w:rFonts w:hint="default" w:ascii="Times New Roman" w:hAnsi="Times New Roman" w:cs="Times New Roman"/>
                <w:kern w:val="21"/>
                <w:sz w:val="24"/>
                <w:szCs w:val="24"/>
              </w:rPr>
              <w:t>规划情况</w:t>
            </w:r>
          </w:p>
        </w:tc>
        <w:tc>
          <w:tcPr>
            <w:tcW w:w="9203" w:type="dxa"/>
            <w:gridSpan w:val="3"/>
            <w:noWrap w:val="0"/>
            <w:tcMar>
              <w:top w:w="16" w:type="dxa"/>
              <w:left w:w="16" w:type="dxa"/>
              <w:right w:w="16"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cs="Times New Roman"/>
                <w:color w:val="0000FF"/>
                <w:kern w:val="21"/>
                <w:sz w:val="24"/>
                <w:szCs w:val="24"/>
              </w:rPr>
            </w:pPr>
            <w:r>
              <w:rPr>
                <w:rFonts w:hint="eastAsia" w:ascii="Times New Roman" w:hAnsi="Times New Roman" w:cs="Times New Roman"/>
                <w:b/>
                <w:bCs/>
                <w:color w:val="auto"/>
                <w:kern w:val="21"/>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12" w:type="dxa"/>
            <w:noWrap w:val="0"/>
            <w:tcMar>
              <w:top w:w="16" w:type="dxa"/>
              <w:left w:w="16" w:type="dxa"/>
              <w:right w:w="16" w:type="dxa"/>
            </w:tcMar>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kern w:val="21"/>
                <w:sz w:val="24"/>
                <w:szCs w:val="24"/>
              </w:rPr>
            </w:pPr>
            <w:r>
              <w:rPr>
                <w:rFonts w:hint="default" w:ascii="Times New Roman" w:hAnsi="Times New Roman" w:cs="Times New Roman"/>
                <w:kern w:val="21"/>
                <w:sz w:val="24"/>
                <w:szCs w:val="24"/>
              </w:rPr>
              <w:t>规划环境影响评价情况</w:t>
            </w:r>
          </w:p>
        </w:tc>
        <w:tc>
          <w:tcPr>
            <w:tcW w:w="9203" w:type="dxa"/>
            <w:gridSpan w:val="3"/>
            <w:noWrap w:val="0"/>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仿宋_GB2312" w:cs="Times New Roman"/>
                <w:color w:val="0000FF"/>
                <w:kern w:val="21"/>
                <w:sz w:val="24"/>
                <w:szCs w:val="24"/>
                <w:lang w:eastAsia="zh-CN"/>
              </w:rPr>
            </w:pPr>
            <w:r>
              <w:rPr>
                <w:rFonts w:hint="default" w:ascii="Times New Roman" w:hAnsi="Times New Roman" w:cs="Times New Roman"/>
                <w:color w:val="auto"/>
                <w:kern w:val="21"/>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12" w:type="dxa"/>
            <w:noWrap w:val="0"/>
            <w:tcMar>
              <w:top w:w="16" w:type="dxa"/>
              <w:left w:w="16" w:type="dxa"/>
              <w:right w:w="16" w:type="dxa"/>
            </w:tcMar>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kern w:val="21"/>
                <w:sz w:val="24"/>
                <w:szCs w:val="24"/>
              </w:rPr>
            </w:pPr>
            <w:r>
              <w:rPr>
                <w:rFonts w:hint="default" w:ascii="Times New Roman" w:hAnsi="Times New Roman" w:cs="Times New Roman"/>
                <w:kern w:val="21"/>
                <w:sz w:val="24"/>
                <w:szCs w:val="24"/>
              </w:rPr>
              <w:t>规划及规划环境影响评价符合性分析</w:t>
            </w:r>
          </w:p>
        </w:tc>
        <w:tc>
          <w:tcPr>
            <w:tcW w:w="9203" w:type="dxa"/>
            <w:gridSpan w:val="3"/>
            <w:noWrap w:val="0"/>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snapToGrid/>
              <w:spacing w:line="360" w:lineRule="auto"/>
              <w:ind w:left="0" w:firstLine="518" w:firstLineChars="200"/>
              <w:textAlignment w:val="auto"/>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pacing w:val="14"/>
                <w:position w:val="2"/>
                <w:sz w:val="23"/>
                <w:szCs w:val="23"/>
                <w:lang w:val="en-US" w:eastAsia="zh-CN"/>
              </w:rPr>
              <w:t>1</w:t>
            </w:r>
            <w:r>
              <w:rPr>
                <w:rFonts w:hint="eastAsia" w:ascii="Times New Roman" w:hAnsi="Times New Roman" w:eastAsia="宋体" w:cs="Times New Roman"/>
                <w:b/>
                <w:bCs/>
                <w:sz w:val="24"/>
                <w:szCs w:val="24"/>
                <w:lang w:val="en-US" w:eastAsia="zh-CN"/>
              </w:rPr>
              <w:t>、项目与《中华人民共和国河道管理条例》符合性分析</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right="0" w:firstLine="462" w:firstLineChars="20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pacing w:val="10"/>
                <w:sz w:val="21"/>
                <w:szCs w:val="21"/>
              </w:rPr>
              <w:t>表</w:t>
            </w:r>
            <w:r>
              <w:rPr>
                <w:rFonts w:hint="default" w:ascii="Times New Roman" w:hAnsi="Times New Roman" w:eastAsia="宋体" w:cs="Times New Roman"/>
                <w:b/>
                <w:bCs/>
                <w:spacing w:val="7"/>
                <w:sz w:val="21"/>
                <w:szCs w:val="21"/>
              </w:rPr>
              <w:t>1-</w:t>
            </w:r>
            <w:r>
              <w:rPr>
                <w:rFonts w:hint="eastAsia" w:ascii="Times New Roman" w:hAnsi="Times New Roman" w:eastAsia="宋体" w:cs="Times New Roman"/>
                <w:b/>
                <w:bCs/>
                <w:spacing w:val="7"/>
                <w:sz w:val="21"/>
                <w:szCs w:val="21"/>
                <w:lang w:val="en-US" w:eastAsia="zh-CN"/>
              </w:rPr>
              <w:t>1</w:t>
            </w:r>
            <w:r>
              <w:rPr>
                <w:rFonts w:hint="default" w:ascii="Times New Roman" w:hAnsi="Times New Roman" w:eastAsia="宋体" w:cs="Times New Roman"/>
                <w:b/>
                <w:bCs/>
                <w:spacing w:val="7"/>
                <w:sz w:val="21"/>
                <w:szCs w:val="21"/>
              </w:rPr>
              <w:t xml:space="preserve">  项目与中华人民共和国河道管理条例符合性分析</w:t>
            </w:r>
          </w:p>
          <w:tbl>
            <w:tblPr>
              <w:tblStyle w:val="250"/>
              <w:tblW w:w="9164"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860"/>
              <w:gridCol w:w="430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2651" w:type="pct"/>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9"/>
                      <w:sz w:val="21"/>
                      <w:szCs w:val="21"/>
                    </w:rPr>
                    <w:t>河道管理条例内</w:t>
                  </w:r>
                  <w:r>
                    <w:rPr>
                      <w:rFonts w:hint="default" w:ascii="Times New Roman" w:hAnsi="Times New Roman" w:eastAsia="宋体" w:cs="Times New Roman"/>
                      <w:spacing w:val="7"/>
                      <w:sz w:val="21"/>
                      <w:szCs w:val="21"/>
                    </w:rPr>
                    <w:t>容</w:t>
                  </w:r>
                </w:p>
              </w:tc>
              <w:tc>
                <w:tcPr>
                  <w:tcW w:w="2348" w:type="pct"/>
                  <w:tcBorders>
                    <w:right w:val="single" w:color="000000"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7"/>
                      <w:sz w:val="21"/>
                      <w:szCs w:val="21"/>
                    </w:rPr>
                    <w:t>本</w:t>
                  </w:r>
                  <w:r>
                    <w:rPr>
                      <w:rFonts w:hint="default" w:ascii="Times New Roman" w:hAnsi="Times New Roman" w:eastAsia="宋体" w:cs="Times New Roman"/>
                      <w:spacing w:val="6"/>
                      <w:sz w:val="21"/>
                      <w:szCs w:val="21"/>
                    </w:rPr>
                    <w:t>项目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4" w:hRule="atLeast"/>
              </w:trPr>
              <w:tc>
                <w:tcPr>
                  <w:tcW w:w="2651" w:type="pct"/>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pacing w:val="13"/>
                      <w:sz w:val="21"/>
                      <w:szCs w:val="21"/>
                    </w:rPr>
                  </w:pPr>
                  <w:r>
                    <w:rPr>
                      <w:rFonts w:hint="default" w:ascii="Times New Roman" w:hAnsi="Times New Roman" w:eastAsia="宋体" w:cs="Times New Roman"/>
                      <w:spacing w:val="13"/>
                      <w:sz w:val="21"/>
                      <w:szCs w:val="21"/>
                    </w:rPr>
                    <w:t>第二章河道整治与建设</w:t>
                  </w:r>
                </w:p>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pacing w:val="13"/>
                      <w:sz w:val="21"/>
                      <w:szCs w:val="21"/>
                    </w:rPr>
                  </w:pPr>
                  <w:r>
                    <w:rPr>
                      <w:rFonts w:hint="default" w:ascii="Times New Roman" w:hAnsi="Times New Roman" w:eastAsia="宋体" w:cs="Times New Roman"/>
                      <w:spacing w:val="13"/>
                      <w:sz w:val="21"/>
                      <w:szCs w:val="21"/>
                    </w:rPr>
                    <w:t>第十条河道的整治与建设，应当服从流域综合规划，符合国家规定 的防洪标准、通航标准和其他有关技术要求，维护堤防安全，保持 河势稳定和行洪、航运通畅。</w:t>
                  </w:r>
                </w:p>
              </w:tc>
              <w:tc>
                <w:tcPr>
                  <w:tcW w:w="2348" w:type="pct"/>
                  <w:tcBorders>
                    <w:right w:val="single" w:color="000000"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pacing w:val="13"/>
                      <w:sz w:val="21"/>
                      <w:szCs w:val="21"/>
                    </w:rPr>
                  </w:pPr>
                  <w:r>
                    <w:rPr>
                      <w:rFonts w:hint="default" w:ascii="Times New Roman" w:hAnsi="Times New Roman" w:eastAsia="宋体" w:cs="Times New Roman"/>
                      <w:spacing w:val="13"/>
                      <w:sz w:val="21"/>
                      <w:szCs w:val="21"/>
                    </w:rPr>
                    <w:t>本项目符合</w:t>
                  </w:r>
                  <w:r>
                    <w:rPr>
                      <w:rFonts w:hint="default" w:ascii="Times New Roman" w:hAnsi="Times New Roman" w:eastAsia="宋体" w:cs="Times New Roman"/>
                      <w:spacing w:val="13"/>
                      <w:sz w:val="21"/>
                      <w:szCs w:val="21"/>
                      <w:lang w:val="en-US" w:eastAsia="zh-CN"/>
                    </w:rPr>
                    <w:t>乐山市峨眉河旅游综合开发规划</w:t>
                  </w:r>
                  <w:r>
                    <w:rPr>
                      <w:rFonts w:hint="default" w:ascii="Times New Roman" w:hAnsi="Times New Roman" w:eastAsia="宋体" w:cs="Times New Roman"/>
                      <w:spacing w:val="13"/>
                      <w:sz w:val="21"/>
                      <w:szCs w:val="21"/>
                    </w:rPr>
                    <w:t>，峨眉河开发已列入乐山市近期重点实施的工程，实施安福堰综合整治工程，不仅可以确保灌溉工程发挥正常作用，也改善了景观效果，提升了峨眉河旅游价值。</w:t>
                  </w:r>
                </w:p>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pacing w:val="13"/>
                      <w:sz w:val="21"/>
                      <w:szCs w:val="21"/>
                    </w:rPr>
                  </w:pPr>
                  <w:r>
                    <w:rPr>
                      <w:rFonts w:hint="default" w:ascii="Times New Roman" w:hAnsi="Times New Roman" w:eastAsia="宋体" w:cs="Times New Roman"/>
                      <w:spacing w:val="13"/>
                      <w:sz w:val="21"/>
                      <w:szCs w:val="21"/>
                    </w:rPr>
                    <w:t>符合国家规定的防护标准及相关技术要求</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48" w:hRule="atLeast"/>
              </w:trPr>
              <w:tc>
                <w:tcPr>
                  <w:tcW w:w="2651" w:type="pct"/>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3"/>
                      <w:sz w:val="21"/>
                      <w:szCs w:val="21"/>
                    </w:rPr>
                    <w:t>第十一条修建开发水利、防治水害、整治河道的各类工程和跨河</w:t>
                  </w:r>
                  <w:r>
                    <w:rPr>
                      <w:rFonts w:hint="default" w:ascii="Times New Roman" w:hAnsi="Times New Roman" w:eastAsia="宋体" w:cs="Times New Roman"/>
                      <w:spacing w:val="7"/>
                      <w:sz w:val="21"/>
                      <w:szCs w:val="21"/>
                    </w:rPr>
                    <w:t>、</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13"/>
                      <w:sz w:val="21"/>
                      <w:szCs w:val="21"/>
                    </w:rPr>
                    <w:t>穿河、穿堤、临河的桥梁、码头、道路、渡口、管道、缆线等建</w:t>
                  </w:r>
                  <w:r>
                    <w:rPr>
                      <w:rFonts w:hint="default" w:ascii="Times New Roman" w:hAnsi="Times New Roman" w:eastAsia="宋体" w:cs="Times New Roman"/>
                      <w:spacing w:val="8"/>
                      <w:sz w:val="21"/>
                      <w:szCs w:val="21"/>
                    </w:rPr>
                    <w:t>筑</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13"/>
                      <w:sz w:val="21"/>
                      <w:szCs w:val="21"/>
                    </w:rPr>
                    <w:t>物及设施，建设单位必须按照河道管理权限，将工程建设方案报</w:t>
                  </w:r>
                  <w:r>
                    <w:rPr>
                      <w:rFonts w:hint="default" w:ascii="Times New Roman" w:hAnsi="Times New Roman" w:eastAsia="宋体" w:cs="Times New Roman"/>
                      <w:spacing w:val="8"/>
                      <w:sz w:val="21"/>
                      <w:szCs w:val="21"/>
                    </w:rPr>
                    <w:t>送</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13"/>
                      <w:sz w:val="21"/>
                      <w:szCs w:val="21"/>
                    </w:rPr>
                    <w:t>河道主管机关审查同意。未经河道主管机关审查同意的，建设单</w:t>
                  </w:r>
                  <w:r>
                    <w:rPr>
                      <w:rFonts w:hint="default" w:ascii="Times New Roman" w:hAnsi="Times New Roman" w:eastAsia="宋体" w:cs="Times New Roman"/>
                      <w:spacing w:val="8"/>
                      <w:sz w:val="21"/>
                      <w:szCs w:val="21"/>
                    </w:rPr>
                    <w:t>位</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13"/>
                      <w:sz w:val="21"/>
                      <w:szCs w:val="21"/>
                    </w:rPr>
                    <w:t>不得开工建设。建设项目经批准后，建设单位应当将施工安排告</w:t>
                  </w:r>
                  <w:r>
                    <w:rPr>
                      <w:rFonts w:hint="default" w:ascii="Times New Roman" w:hAnsi="Times New Roman" w:eastAsia="宋体" w:cs="Times New Roman"/>
                      <w:spacing w:val="8"/>
                      <w:sz w:val="21"/>
                      <w:szCs w:val="21"/>
                    </w:rPr>
                    <w:t>知</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8"/>
                      <w:sz w:val="21"/>
                      <w:szCs w:val="21"/>
                    </w:rPr>
                    <w:t>河</w:t>
                  </w:r>
                  <w:r>
                    <w:rPr>
                      <w:rFonts w:hint="default" w:ascii="Times New Roman" w:hAnsi="Times New Roman" w:eastAsia="宋体" w:cs="Times New Roman"/>
                      <w:spacing w:val="7"/>
                      <w:sz w:val="21"/>
                      <w:szCs w:val="21"/>
                    </w:rPr>
                    <w:t>道主管机关。</w:t>
                  </w:r>
                </w:p>
              </w:tc>
              <w:tc>
                <w:tcPr>
                  <w:tcW w:w="2348" w:type="pct"/>
                  <w:tcBorders>
                    <w:right w:val="single" w:color="000000" w:sz="6"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spacing w:val="12"/>
                      <w:sz w:val="21"/>
                      <w:szCs w:val="21"/>
                    </w:rPr>
                    <w:t>本</w:t>
                  </w:r>
                  <w:r>
                    <w:rPr>
                      <w:rFonts w:hint="default" w:ascii="Times New Roman" w:hAnsi="Times New Roman" w:eastAsia="宋体" w:cs="Times New Roman"/>
                      <w:spacing w:val="7"/>
                      <w:sz w:val="21"/>
                      <w:szCs w:val="21"/>
                    </w:rPr>
                    <w:t>项目</w:t>
                  </w:r>
                  <w:r>
                    <w:rPr>
                      <w:rFonts w:hint="default" w:ascii="Times New Roman" w:hAnsi="Times New Roman" w:eastAsia="宋体" w:cs="Times New Roman"/>
                      <w:spacing w:val="7"/>
                      <w:sz w:val="21"/>
                      <w:szCs w:val="21"/>
                      <w:lang w:val="en-US" w:eastAsia="zh-CN"/>
                    </w:rPr>
                    <w:t>初步设计已通过市中区审批局组织评审；乐山市税务局已出具本项目行洪论证与河势稳定评价报告的批复（乐水审批</w:t>
                  </w:r>
                  <w:r>
                    <w:rPr>
                      <w:rFonts w:ascii="宋体" w:hAnsi="宋体" w:eastAsia="宋体" w:cs="宋体"/>
                      <w:sz w:val="21"/>
                      <w:szCs w:val="21"/>
                    </w:rPr>
                    <w:t>〔</w:t>
                  </w:r>
                  <w:r>
                    <w:rPr>
                      <w:rFonts w:ascii="Times New Roman" w:hAnsi="Times New Roman" w:eastAsia="Times New Roman" w:cs="Times New Roman"/>
                      <w:sz w:val="21"/>
                      <w:szCs w:val="21"/>
                    </w:rPr>
                    <w:t>20</w:t>
                  </w:r>
                  <w:r>
                    <w:rPr>
                      <w:rFonts w:hint="eastAsia" w:ascii="Times New Roman" w:hAnsi="Times New Roman" w:eastAsia="宋体" w:cs="Times New Roman"/>
                      <w:sz w:val="21"/>
                      <w:szCs w:val="21"/>
                      <w:lang w:val="en-US" w:eastAsia="zh-CN"/>
                    </w:rPr>
                    <w:t>22</w:t>
                  </w:r>
                  <w:r>
                    <w:rPr>
                      <w:rFonts w:ascii="宋体" w:hAnsi="宋体" w:eastAsia="宋体" w:cs="宋体"/>
                      <w:sz w:val="21"/>
                      <w:szCs w:val="21"/>
                    </w:rPr>
                    <w:t>〕</w:t>
                  </w:r>
                  <w:r>
                    <w:rPr>
                      <w:rFonts w:hint="default" w:ascii="Times New Roman" w:hAnsi="Times New Roman" w:eastAsia="宋体" w:cs="Times New Roman"/>
                      <w:spacing w:val="7"/>
                      <w:sz w:val="21"/>
                      <w:szCs w:val="21"/>
                      <w:lang w:val="en-US" w:eastAsia="zh-CN"/>
                    </w:rPr>
                    <w:t>23号）</w:t>
                  </w:r>
                </w:p>
              </w:tc>
            </w:tr>
          </w:tbl>
          <w:p>
            <w:pPr>
              <w:keepNext w:val="0"/>
              <w:keepLines w:val="0"/>
              <w:pageBreakBefore w:val="0"/>
              <w:numPr>
                <w:ilvl w:val="0"/>
                <w:numId w:val="0"/>
              </w:numPr>
              <w:kinsoku/>
              <w:wordWrap/>
              <w:overflowPunct/>
              <w:topLinePunct w:val="0"/>
              <w:autoSpaceDE w:val="0"/>
              <w:autoSpaceDN w:val="0"/>
              <w:bidi w:val="0"/>
              <w:adjustRightInd w:val="0"/>
              <w:snapToGrid w:val="0"/>
              <w:spacing w:line="360" w:lineRule="auto"/>
              <w:ind w:right="0" w:firstLine="482" w:firstLineChars="200"/>
              <w:textAlignment w:val="auto"/>
              <w:rPr>
                <w:rFonts w:hint="default" w:ascii="Times New Roman" w:hAnsi="Times New Roman" w:eastAsia="宋体" w:cs="Times New Roman"/>
                <w:b/>
                <w:bCs/>
                <w:sz w:val="24"/>
                <w:szCs w:val="24"/>
                <w:lang w:val="en-US" w:eastAsia="zh-CN"/>
              </w:rPr>
            </w:pP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、与</w:t>
            </w:r>
            <w:r>
              <w:rPr>
                <w:rFonts w:hint="default" w:ascii="Times New Roman" w:hAnsi="Times New Roman" w:cs="Times New Roman"/>
                <w:b/>
                <w:bCs/>
                <w:color w:val="auto"/>
                <w:kern w:val="21"/>
                <w:sz w:val="24"/>
                <w:szCs w:val="24"/>
                <w:lang w:eastAsia="zh-CN"/>
              </w:rPr>
              <w:t>《</w:t>
            </w:r>
            <w:r>
              <w:rPr>
                <w:rFonts w:hint="eastAsia" w:ascii="Times New Roman" w:hAnsi="Times New Roman" w:cs="Times New Roman"/>
                <w:b/>
                <w:bCs/>
                <w:color w:val="auto"/>
                <w:kern w:val="21"/>
                <w:sz w:val="24"/>
                <w:szCs w:val="24"/>
                <w:lang w:val="en-US" w:eastAsia="zh-CN"/>
              </w:rPr>
              <w:t>四川省“十三五”水利发展</w:t>
            </w:r>
            <w:r>
              <w:rPr>
                <w:rFonts w:hint="default" w:ascii="Times New Roman" w:hAnsi="Times New Roman" w:cs="Times New Roman"/>
                <w:b/>
                <w:bCs/>
                <w:color w:val="auto"/>
                <w:kern w:val="21"/>
                <w:sz w:val="24"/>
                <w:szCs w:val="24"/>
                <w:lang w:eastAsia="zh-CN"/>
              </w:rPr>
              <w:t>规划》符合性分析</w:t>
            </w:r>
          </w:p>
          <w:p>
            <w:pPr>
              <w:keepNext w:val="0"/>
              <w:keepLines w:val="0"/>
              <w:pageBreakBefore w:val="0"/>
              <w:widowControl w:val="0"/>
              <w:kinsoku/>
              <w:wordWrap/>
              <w:overflowPunct/>
              <w:topLinePunct w:val="0"/>
              <w:bidi w:val="0"/>
              <w:spacing w:line="360" w:lineRule="auto"/>
              <w:ind w:firstLine="480" w:firstLineChars="200"/>
              <w:jc w:val="both"/>
              <w:textAlignment w:val="auto"/>
              <w:rPr>
                <w:rFonts w:hint="eastAsia" w:ascii="宋体" w:hAnsi="宋体" w:eastAsia="宋体"/>
                <w:sz w:val="24"/>
                <w:szCs w:val="24"/>
              </w:rPr>
            </w:pPr>
            <w:r>
              <w:rPr>
                <w:rFonts w:hint="eastAsia" w:ascii="宋体" w:hAnsi="宋体" w:eastAsia="宋体"/>
                <w:sz w:val="24"/>
                <w:szCs w:val="24"/>
              </w:rPr>
              <w:t>《规划》紧紧围绕“四个全面”战略布局，坚持“创新、协调、绿色、开放、共享”发展理念，按照“节水优先、空间均衡、系统治理、两手发力”的新时期水利工作方针，根据我省“三大发展战略”、“两个跨越”和“推进绿色发展建设美丽四川”的要求……促进幸福美丽新村着力点，大力推进水生态文明建设，筑牢长江上游生态屏障；加快推进绿水兴川，为同步全面</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right="0" w:firstLine="480" w:firstLineChars="200"/>
              <w:jc w:val="both"/>
              <w:textAlignment w:val="auto"/>
              <w:rPr>
                <w:rFonts w:hint="eastAsia" w:ascii="宋体" w:hAnsi="宋体" w:eastAsia="宋体"/>
                <w:sz w:val="24"/>
                <w:szCs w:val="24"/>
              </w:rPr>
            </w:pPr>
            <w:r>
              <w:rPr>
                <w:rFonts w:hint="eastAsia" w:ascii="宋体" w:hAnsi="宋体" w:eastAsia="宋体"/>
                <w:sz w:val="24"/>
                <w:szCs w:val="24"/>
              </w:rPr>
              <w:t>建成小康社会提供更加坚实的水安全保障。……把保障和改善民生作为水利工作的出发点和落脚点，着力解决人民群众最关心最直接最现实的水利问题，使广大人民群众共享水利改革发展成果。</w:t>
            </w:r>
          </w:p>
          <w:p>
            <w:pPr>
              <w:keepNext w:val="0"/>
              <w:keepLines w:val="0"/>
              <w:pageBreakBefore w:val="0"/>
              <w:widowControl w:val="0"/>
              <w:kinsoku/>
              <w:wordWrap/>
              <w:overflowPunct/>
              <w:topLinePunct w:val="0"/>
              <w:bidi w:val="0"/>
              <w:spacing w:line="360" w:lineRule="auto"/>
              <w:ind w:firstLine="480" w:firstLineChars="200"/>
              <w:jc w:val="both"/>
              <w:textAlignment w:val="auto"/>
              <w:rPr>
                <w:rFonts w:hint="eastAsia" w:ascii="宋体" w:hAnsi="宋体" w:eastAsia="宋体"/>
                <w:sz w:val="24"/>
                <w:szCs w:val="24"/>
              </w:rPr>
            </w:pPr>
            <w:r>
              <w:rPr>
                <w:rFonts w:hint="eastAsia" w:ascii="宋体" w:hAnsi="宋体" w:eastAsia="宋体"/>
                <w:sz w:val="24"/>
                <w:szCs w:val="24"/>
              </w:rPr>
              <w:t>《规划》主要目标：防洪抗旱减灾。健全防汛抗旱指挥决策体系；城镇防洪排涝设施建设明显加强，主要江河和重点中小河流重要河段的防洪能力显著提升，完善山洪灾害综合防御体系；重点区域和城乡抗旱能力明显增强……。</w:t>
            </w:r>
          </w:p>
          <w:p>
            <w:pPr>
              <w:keepNext w:val="0"/>
              <w:keepLines w:val="0"/>
              <w:pageBreakBefore w:val="0"/>
              <w:widowControl w:val="0"/>
              <w:kinsoku/>
              <w:wordWrap/>
              <w:overflowPunct/>
              <w:topLinePunct w:val="0"/>
              <w:bidi w:val="0"/>
              <w:spacing w:line="360" w:lineRule="auto"/>
              <w:ind w:firstLine="480" w:firstLineChars="200"/>
              <w:jc w:val="both"/>
              <w:textAlignment w:val="auto"/>
              <w:rPr>
                <w:rFonts w:hint="eastAsia" w:ascii="宋体" w:hAnsi="宋体" w:eastAsia="宋体"/>
                <w:sz w:val="24"/>
                <w:szCs w:val="24"/>
              </w:rPr>
            </w:pPr>
            <w:r>
              <w:rPr>
                <w:rFonts w:hint="eastAsia" w:ascii="宋体" w:hAnsi="宋体" w:eastAsia="宋体"/>
                <w:sz w:val="24"/>
                <w:szCs w:val="24"/>
              </w:rPr>
              <w:t>加快完善水利基础设施网络：继续推进中小河流治理，采取综合措施提高防御洪水能力，改善河流生态环境。</w:t>
            </w:r>
          </w:p>
          <w:p>
            <w:pPr>
              <w:keepNext w:val="0"/>
              <w:keepLines w:val="0"/>
              <w:pageBreakBefore w:val="0"/>
              <w:widowControl w:val="0"/>
              <w:kinsoku/>
              <w:wordWrap/>
              <w:overflowPunct/>
              <w:topLinePunct w:val="0"/>
              <w:bidi w:val="0"/>
              <w:spacing w:line="360" w:lineRule="auto"/>
              <w:ind w:firstLine="480" w:firstLineChars="200"/>
              <w:jc w:val="both"/>
              <w:textAlignment w:val="auto"/>
              <w:rPr>
                <w:rFonts w:hint="eastAsia" w:ascii="宋体" w:hAnsi="宋体" w:eastAsia="宋体" w:cs="Times New Roman"/>
                <w:sz w:val="24"/>
                <w:szCs w:val="24"/>
              </w:rPr>
            </w:pPr>
            <w:r>
              <w:rPr>
                <w:rFonts w:hint="eastAsia" w:ascii="宋体" w:hAnsi="宋体" w:eastAsia="宋体"/>
                <w:sz w:val="24"/>
                <w:szCs w:val="24"/>
              </w:rPr>
              <w:t>强力推进水利扶贫攻坚：……在高原藏区继续实施岷江、雅砻江、黑河、白河防洪治理和牧区水利工程；……实施中小河流治理和</w:t>
            </w:r>
            <w:r>
              <w:rPr>
                <w:rFonts w:hint="eastAsia" w:ascii="宋体" w:hAnsi="宋体" w:eastAsia="宋体" w:cs="Times New Roman"/>
                <w:sz w:val="24"/>
                <w:szCs w:val="24"/>
              </w:rPr>
              <w:t>山洪灾害防治，进一步提高贫困地区防洪保安水平。</w:t>
            </w:r>
          </w:p>
          <w:p>
            <w:pPr>
              <w:keepNext w:val="0"/>
              <w:keepLines w:val="0"/>
              <w:pageBreakBefore w:val="0"/>
              <w:widowControl w:val="0"/>
              <w:kinsoku/>
              <w:wordWrap/>
              <w:overflowPunct/>
              <w:topLinePunct w:val="0"/>
              <w:bidi w:val="0"/>
              <w:spacing w:line="360" w:lineRule="auto"/>
              <w:ind w:firstLine="480" w:firstLineChars="200"/>
              <w:jc w:val="both"/>
              <w:textAlignment w:val="auto"/>
              <w:rPr>
                <w:rFonts w:hint="eastAsia" w:ascii="宋体" w:hAnsi="宋体" w:eastAsia="宋体" w:cs="Times New Roman"/>
                <w:sz w:val="24"/>
                <w:szCs w:val="24"/>
              </w:rPr>
            </w:pPr>
            <w:r>
              <w:rPr>
                <w:rFonts w:hint="default" w:ascii="宋体" w:hAnsi="宋体" w:eastAsia="宋体" w:cs="Times New Roman"/>
                <w:sz w:val="24"/>
                <w:szCs w:val="24"/>
                <w:lang w:eastAsia="zh-CN"/>
              </w:rPr>
              <w:t>本项目</w:t>
            </w:r>
            <w:r>
              <w:rPr>
                <w:rFonts w:hint="eastAsia" w:ascii="宋体" w:hAnsi="宋体" w:eastAsia="宋体" w:cs="Times New Roman"/>
                <w:sz w:val="24"/>
                <w:szCs w:val="24"/>
                <w:lang w:val="en-US" w:eastAsia="zh-CN"/>
              </w:rPr>
              <w:t>是安福堰综合整治工程，是建设骨干水利工程，保障水源，提高粮食综合生产力的需要，能提高防洪能力，确保人民群众生命安全，同时本项目可以改善安福堰水生态环境，是提升苏稽镇品质的需要。</w:t>
            </w:r>
            <w:r>
              <w:rPr>
                <w:rFonts w:hint="eastAsia" w:ascii="宋体" w:hAnsi="宋体" w:eastAsia="宋体" w:cs="Times New Roman"/>
                <w:sz w:val="24"/>
                <w:szCs w:val="24"/>
              </w:rPr>
              <w:t>本次安福堰综合整治工程建成后，可在保证灌溉水源保证率的同时引入富余水量作为生态流，促进水体交换和水生态修复。将极大地改善当地的水生态环境，提升城镇形象。故项目建设符合《四川省“十三五”水利发展规划》。</w:t>
            </w:r>
          </w:p>
          <w:p>
            <w:pPr>
              <w:keepNext w:val="0"/>
              <w:keepLines w:val="0"/>
              <w:pageBreakBefore w:val="0"/>
              <w:numPr>
                <w:ilvl w:val="0"/>
                <w:numId w:val="0"/>
              </w:numPr>
              <w:kinsoku/>
              <w:wordWrap/>
              <w:overflowPunct/>
              <w:topLinePunct w:val="0"/>
              <w:autoSpaceDE w:val="0"/>
              <w:autoSpaceDN w:val="0"/>
              <w:bidi w:val="0"/>
              <w:adjustRightInd w:val="0"/>
              <w:snapToGrid w:val="0"/>
              <w:spacing w:line="360" w:lineRule="auto"/>
              <w:ind w:right="0" w:firstLine="482" w:firstLineChars="200"/>
              <w:textAlignment w:val="auto"/>
              <w:rPr>
                <w:rFonts w:hint="default"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3</w:t>
            </w:r>
            <w:r>
              <w:rPr>
                <w:rFonts w:hint="default" w:ascii="Times New Roman" w:hAnsi="Times New Roman" w:cs="Times New Roman"/>
                <w:b/>
                <w:bCs/>
                <w:sz w:val="24"/>
                <w:szCs w:val="24"/>
                <w:lang w:val="en-US" w:eastAsia="zh-CN"/>
              </w:rPr>
              <w:t>、与</w:t>
            </w:r>
            <w:r>
              <w:rPr>
                <w:rFonts w:hint="default" w:ascii="Times New Roman" w:hAnsi="Times New Roman" w:cs="Times New Roman"/>
                <w:b/>
                <w:bCs/>
                <w:color w:val="auto"/>
                <w:kern w:val="21"/>
                <w:sz w:val="24"/>
                <w:szCs w:val="24"/>
                <w:lang w:eastAsia="zh-CN"/>
              </w:rPr>
              <w:t>《四川省“十四五”</w:t>
            </w:r>
            <w:r>
              <w:rPr>
                <w:rFonts w:hint="eastAsia" w:ascii="Times New Roman" w:hAnsi="Times New Roman" w:cs="Times New Roman"/>
                <w:b/>
                <w:bCs/>
                <w:color w:val="auto"/>
                <w:kern w:val="21"/>
                <w:sz w:val="24"/>
                <w:szCs w:val="24"/>
                <w:lang w:val="en-US" w:eastAsia="zh-CN"/>
              </w:rPr>
              <w:t>水安全保障规划</w:t>
            </w:r>
            <w:r>
              <w:rPr>
                <w:rFonts w:hint="default" w:ascii="Times New Roman" w:hAnsi="Times New Roman" w:cs="Times New Roman"/>
                <w:b/>
                <w:bCs/>
                <w:color w:val="auto"/>
                <w:kern w:val="21"/>
                <w:sz w:val="24"/>
                <w:szCs w:val="24"/>
                <w:lang w:eastAsia="zh-CN"/>
              </w:rPr>
              <w:t>》符合性分析</w:t>
            </w: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cs="Times New Roman"/>
                <w:b w:val="0"/>
                <w:bCs w:val="0"/>
                <w:color w:val="auto"/>
                <w:kern w:val="21"/>
                <w:sz w:val="24"/>
                <w:szCs w:val="24"/>
                <w:lang w:eastAsia="zh-CN"/>
              </w:rPr>
            </w:pPr>
            <w:r>
              <w:rPr>
                <w:rFonts w:hint="default" w:ascii="Times New Roman" w:hAnsi="Times New Roman" w:cs="Times New Roman"/>
                <w:b w:val="0"/>
                <w:bCs w:val="0"/>
                <w:color w:val="auto"/>
                <w:kern w:val="21"/>
                <w:sz w:val="24"/>
                <w:szCs w:val="24"/>
                <w:lang w:eastAsia="zh-CN"/>
              </w:rPr>
              <w:t>提升水旱灾害防御能力：统筹发展与安全，坚持人民至上、生命至上，切实践行“两个坚持、三个转变”防灾减灾救灾理念，实施防洪提升工程，解决防汛薄弱环节，强化流域防洪调度，加强洪水风险管理，构建工程措施和非工程措施相结合的现代水旱灾害防治体系，实现“更高标准、更严要求、更快反应、更好效果”，保障人民生命财产安全和经济社会和谐稳定。加强主要江河和中小河流防洪治理：……加强中小河流治理，优先解决城镇河段防洪不达标、近年洪涝灾害频发、河堤损毁严重等问题。</w:t>
            </w: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cs="Times New Roman"/>
                <w:b w:val="0"/>
                <w:bCs w:val="0"/>
                <w:color w:val="auto"/>
                <w:kern w:val="21"/>
                <w:sz w:val="24"/>
                <w:szCs w:val="24"/>
                <w:lang w:eastAsia="zh-CN"/>
              </w:rPr>
            </w:pPr>
            <w:r>
              <w:rPr>
                <w:rFonts w:hint="default" w:ascii="Times New Roman" w:hAnsi="Times New Roman" w:cs="Times New Roman"/>
                <w:b w:val="0"/>
                <w:bCs w:val="0"/>
                <w:color w:val="000000"/>
                <w:kern w:val="21"/>
                <w:sz w:val="24"/>
                <w:szCs w:val="24"/>
                <w:lang w:eastAsia="zh-CN"/>
              </w:rPr>
              <w:t>本项目</w:t>
            </w:r>
            <w:r>
              <w:rPr>
                <w:rFonts w:hint="eastAsia" w:ascii="Times New Roman" w:hAnsi="Times New Roman" w:cs="Times New Roman"/>
                <w:b w:val="0"/>
                <w:bCs w:val="0"/>
                <w:color w:val="000000"/>
                <w:kern w:val="21"/>
                <w:sz w:val="24"/>
                <w:szCs w:val="24"/>
                <w:lang w:val="en-US" w:eastAsia="zh-CN"/>
              </w:rPr>
              <w:t>是安福堰综合整治工程，能提高防洪能力，确保人民群众生命安全。</w:t>
            </w:r>
            <w:r>
              <w:rPr>
                <w:rFonts w:hint="default" w:ascii="Times New Roman" w:hAnsi="Times New Roman" w:cs="Times New Roman"/>
                <w:b w:val="0"/>
                <w:bCs w:val="0"/>
                <w:color w:val="000000"/>
                <w:kern w:val="21"/>
                <w:sz w:val="24"/>
                <w:szCs w:val="24"/>
                <w:lang w:eastAsia="zh-CN"/>
              </w:rPr>
              <w:t>故项</w:t>
            </w:r>
            <w:r>
              <w:rPr>
                <w:rFonts w:hint="default" w:ascii="Times New Roman" w:hAnsi="Times New Roman" w:cs="Times New Roman"/>
                <w:b w:val="0"/>
                <w:bCs w:val="0"/>
                <w:color w:val="auto"/>
                <w:kern w:val="21"/>
                <w:sz w:val="24"/>
                <w:szCs w:val="24"/>
                <w:lang w:eastAsia="zh-CN"/>
              </w:rPr>
              <w:t>目建设符合《四川省“十四五”水安全保障规划》。</w:t>
            </w:r>
          </w:p>
          <w:p>
            <w:pPr>
              <w:pStyle w:val="2"/>
              <w:keepNext w:val="0"/>
              <w:keepLines w:val="0"/>
              <w:pageBreakBefore w:val="0"/>
              <w:kinsoku/>
              <w:wordWrap/>
              <w:overflowPunct/>
              <w:topLinePunct w:val="0"/>
              <w:bidi w:val="0"/>
              <w:adjustRightInd w:val="0"/>
              <w:snapToGrid w:val="0"/>
              <w:spacing w:before="0" w:after="0" w:line="360" w:lineRule="auto"/>
              <w:ind w:right="0" w:firstLine="482" w:firstLineChars="200"/>
              <w:textAlignment w:val="auto"/>
              <w:rPr>
                <w:rFonts w:hint="default" w:ascii="Times New Roman" w:hAnsi="Times New Roman" w:eastAsia="宋体" w:cs="Times New Roman"/>
                <w:b/>
                <w:bCs/>
                <w:color w:val="auto"/>
                <w:kern w:val="21"/>
                <w:sz w:val="24"/>
                <w:szCs w:val="24"/>
                <w:lang w:val="en-US" w:eastAsia="zh-CN"/>
              </w:rPr>
            </w:pPr>
            <w:r>
              <w:rPr>
                <w:rFonts w:hint="eastAsia" w:ascii="Times New Roman" w:hAnsi="Times New Roman" w:eastAsia="宋体" w:cs="Times New Roman"/>
                <w:b/>
                <w:bCs/>
                <w:color w:val="auto"/>
                <w:kern w:val="21"/>
                <w:sz w:val="24"/>
                <w:szCs w:val="24"/>
                <w:lang w:val="en-US" w:eastAsia="zh-CN"/>
              </w:rPr>
              <w:t>4</w:t>
            </w:r>
            <w:r>
              <w:rPr>
                <w:rFonts w:hint="default" w:ascii="Times New Roman" w:hAnsi="Times New Roman" w:eastAsia="宋体" w:cs="Times New Roman"/>
                <w:b/>
                <w:bCs/>
                <w:color w:val="auto"/>
                <w:kern w:val="21"/>
                <w:sz w:val="24"/>
                <w:szCs w:val="24"/>
                <w:lang w:val="en-US" w:eastAsia="zh-CN"/>
              </w:rPr>
              <w:t>、与</w:t>
            </w:r>
            <w:r>
              <w:rPr>
                <w:rFonts w:hint="default" w:ascii="Times New Roman" w:hAnsi="Times New Roman" w:cs="Times New Roman"/>
                <w:b/>
                <w:bCs/>
                <w:color w:val="auto"/>
                <w:kern w:val="21"/>
                <w:sz w:val="24"/>
                <w:szCs w:val="24"/>
                <w:lang w:eastAsia="zh-CN"/>
              </w:rPr>
              <w:t>《乐山市</w:t>
            </w:r>
            <w:r>
              <w:rPr>
                <w:rFonts w:hint="eastAsia" w:ascii="Times New Roman" w:hAnsi="Times New Roman" w:cs="Times New Roman"/>
                <w:b/>
                <w:bCs/>
                <w:color w:val="auto"/>
                <w:kern w:val="21"/>
                <w:sz w:val="24"/>
                <w:szCs w:val="24"/>
                <w:lang w:val="en-US" w:eastAsia="zh-CN"/>
              </w:rPr>
              <w:t>城市总体规划（2011-2030）</w:t>
            </w:r>
            <w:r>
              <w:rPr>
                <w:rFonts w:hint="default" w:ascii="Times New Roman" w:hAnsi="Times New Roman" w:cs="Times New Roman"/>
                <w:b/>
                <w:bCs/>
                <w:color w:val="auto"/>
                <w:kern w:val="21"/>
                <w:sz w:val="24"/>
                <w:szCs w:val="24"/>
                <w:lang w:eastAsia="zh-CN"/>
              </w:rPr>
              <w:t>》</w:t>
            </w:r>
            <w:r>
              <w:rPr>
                <w:rFonts w:hint="eastAsia" w:ascii="Times New Roman" w:hAnsi="Times New Roman" w:cs="Times New Roman"/>
                <w:b/>
                <w:bCs/>
                <w:color w:val="auto"/>
                <w:kern w:val="21"/>
                <w:sz w:val="24"/>
                <w:szCs w:val="24"/>
                <w:lang w:eastAsia="zh-CN"/>
              </w:rPr>
              <w:t>（</w:t>
            </w:r>
            <w:r>
              <w:rPr>
                <w:rFonts w:hint="eastAsia" w:ascii="Times New Roman" w:hAnsi="Times New Roman" w:cs="Times New Roman"/>
                <w:b/>
                <w:bCs/>
                <w:color w:val="auto"/>
                <w:kern w:val="21"/>
                <w:sz w:val="24"/>
                <w:szCs w:val="24"/>
                <w:lang w:val="en-US" w:eastAsia="zh-CN"/>
              </w:rPr>
              <w:t>2017版</w:t>
            </w:r>
            <w:r>
              <w:rPr>
                <w:rFonts w:hint="eastAsia" w:ascii="Times New Roman" w:hAnsi="Times New Roman" w:cs="Times New Roman"/>
                <w:b/>
                <w:bCs/>
                <w:color w:val="auto"/>
                <w:kern w:val="21"/>
                <w:sz w:val="24"/>
                <w:szCs w:val="24"/>
                <w:lang w:eastAsia="zh-CN"/>
              </w:rPr>
              <w:t>）</w:t>
            </w:r>
            <w:r>
              <w:rPr>
                <w:rFonts w:hint="default" w:ascii="Times New Roman" w:hAnsi="Times New Roman" w:cs="Times New Roman"/>
                <w:b/>
                <w:bCs/>
                <w:color w:val="auto"/>
                <w:kern w:val="21"/>
                <w:sz w:val="24"/>
                <w:szCs w:val="24"/>
                <w:lang w:eastAsia="zh-CN"/>
              </w:rPr>
              <w:t>符合性分析</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eastAsia" w:ascii="宋体" w:hAnsi="宋体" w:eastAsia="宋体"/>
                <w:sz w:val="24"/>
                <w:szCs w:val="24"/>
              </w:rPr>
            </w:pPr>
            <w:r>
              <w:rPr>
                <w:rFonts w:hint="eastAsia" w:ascii="宋体" w:hAnsi="宋体" w:eastAsia="宋体"/>
                <w:sz w:val="24"/>
                <w:szCs w:val="24"/>
              </w:rPr>
              <w:t>根据《乐山市城市总体规划（</w:t>
            </w:r>
            <w:r>
              <w:rPr>
                <w:rFonts w:hint="eastAsia" w:ascii="TimesNewRomanPSMT" w:hAnsi="TimesNewRomanPSMT" w:eastAsia="TimesNewRomanPSMT"/>
                <w:sz w:val="24"/>
                <w:szCs w:val="24"/>
              </w:rPr>
              <w:t>2011-2030</w:t>
            </w:r>
            <w:r>
              <w:rPr>
                <w:rFonts w:hint="eastAsia" w:ascii="宋体" w:hAnsi="宋体" w:eastAsia="宋体"/>
                <w:sz w:val="24"/>
                <w:szCs w:val="24"/>
              </w:rPr>
              <w:t>）》：</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eastAsia" w:ascii="宋体" w:hAnsi="宋体" w:eastAsia="宋体"/>
                <w:sz w:val="24"/>
                <w:szCs w:val="24"/>
              </w:rPr>
            </w:pPr>
            <w:r>
              <w:rPr>
                <w:rFonts w:hint="eastAsia" w:ascii="宋体" w:hAnsi="宋体" w:eastAsia="宋体"/>
                <w:sz w:val="24"/>
                <w:szCs w:val="24"/>
              </w:rPr>
              <w:t>规划大渡河、青衣江、岷江按</w:t>
            </w:r>
            <w:r>
              <w:rPr>
                <w:rFonts w:hint="eastAsia" w:ascii="TimesNewRomanPSMT" w:hAnsi="TimesNewRomanPSMT" w:eastAsia="TimesNewRomanPSMT"/>
                <w:sz w:val="24"/>
                <w:szCs w:val="24"/>
              </w:rPr>
              <w:t xml:space="preserve">50 </w:t>
            </w:r>
            <w:r>
              <w:rPr>
                <w:rFonts w:hint="eastAsia" w:ascii="宋体" w:hAnsi="宋体" w:eastAsia="宋体"/>
                <w:sz w:val="24"/>
                <w:szCs w:val="24"/>
              </w:rPr>
              <w:t>年一遇防洪标准设防；竹公溪、峨眉河等中小河流可按</w:t>
            </w:r>
            <w:r>
              <w:rPr>
                <w:rFonts w:hint="eastAsia" w:ascii="TimesNewRomanPSMT" w:hAnsi="TimesNewRomanPSMT" w:eastAsia="TimesNewRomanPSMT"/>
                <w:sz w:val="24"/>
                <w:szCs w:val="24"/>
              </w:rPr>
              <w:t xml:space="preserve">20 </w:t>
            </w:r>
            <w:r>
              <w:rPr>
                <w:rFonts w:hint="eastAsia" w:ascii="宋体" w:hAnsi="宋体" w:eastAsia="宋体"/>
                <w:sz w:val="24"/>
                <w:szCs w:val="24"/>
              </w:rPr>
              <w:t>年一遇防洪标准设防。乐山中心城区内涝防治标准应按不小于</w:t>
            </w:r>
            <w:r>
              <w:rPr>
                <w:rFonts w:hint="eastAsia" w:ascii="TimesNewRomanPSMT" w:hAnsi="TimesNewRomanPSMT" w:eastAsia="TimesNewRomanPSMT"/>
                <w:sz w:val="24"/>
                <w:szCs w:val="24"/>
              </w:rPr>
              <w:t xml:space="preserve">30 </w:t>
            </w:r>
            <w:r>
              <w:rPr>
                <w:rFonts w:hint="eastAsia" w:ascii="宋体" w:hAnsi="宋体" w:eastAsia="宋体"/>
                <w:sz w:val="24"/>
                <w:szCs w:val="24"/>
              </w:rPr>
              <w:t>年一遇暴雨进行设防，即保证在发生</w:t>
            </w:r>
            <w:r>
              <w:rPr>
                <w:rFonts w:hint="eastAsia" w:ascii="TimesNewRomanPSMT" w:hAnsi="TimesNewRomanPSMT" w:eastAsia="TimesNewRomanPSMT"/>
                <w:sz w:val="24"/>
                <w:szCs w:val="24"/>
              </w:rPr>
              <w:t xml:space="preserve">30 </w:t>
            </w:r>
            <w:r>
              <w:rPr>
                <w:rFonts w:hint="eastAsia" w:ascii="宋体" w:hAnsi="宋体" w:eastAsia="宋体"/>
                <w:sz w:val="24"/>
                <w:szCs w:val="24"/>
              </w:rPr>
              <w:t>年一遇暴雨时，居民住宅和工商业建筑的底层不进水，道路确保至少有一条车道积水深度小于</w:t>
            </w:r>
            <w:r>
              <w:rPr>
                <w:rFonts w:hint="eastAsia" w:ascii="TimesNewRomanPSMT" w:hAnsi="TimesNewRomanPSMT" w:eastAsia="TimesNewRomanPSMT"/>
                <w:sz w:val="24"/>
                <w:szCs w:val="24"/>
              </w:rPr>
              <w:t>15cm</w:t>
            </w:r>
            <w:r>
              <w:rPr>
                <w:rFonts w:hint="eastAsia" w:ascii="宋体" w:hAnsi="宋体" w:eastAsia="宋体"/>
                <w:sz w:val="24"/>
                <w:szCs w:val="24"/>
              </w:rPr>
              <w:t>。中心城区应全面推进完善流域和区域防洪减灾体系，重点加强岷江、青衣江、大渡河及重要支流防洪工程建设；继续推进防洪控制性枢纽工程建设；加快推进峨眉河、茫溪河等中小河流流域治理；加快推进山洪灾害防治；建设完善非工程措施。</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eastAsia" w:ascii="宋体" w:hAnsi="宋体" w:eastAsia="宋体"/>
                <w:sz w:val="24"/>
                <w:szCs w:val="24"/>
                <w:lang w:eastAsia="zh-CN"/>
              </w:rPr>
            </w:pPr>
            <w:r>
              <w:rPr>
                <w:rFonts w:hint="eastAsia" w:ascii="宋体" w:hAnsi="宋体" w:eastAsia="宋体"/>
                <w:sz w:val="24"/>
                <w:szCs w:val="24"/>
              </w:rPr>
              <w:t>本项目</w:t>
            </w:r>
            <w:r>
              <w:rPr>
                <w:rFonts w:hint="eastAsia" w:ascii="宋体" w:hAnsi="宋体" w:cs="宋体"/>
                <w:bCs/>
                <w:color w:val="auto"/>
                <w:sz w:val="24"/>
                <w:highlight w:val="none"/>
              </w:rPr>
              <w:t>安福堰综合整治工程</w:t>
            </w:r>
            <w:r>
              <w:rPr>
                <w:rFonts w:hint="eastAsia" w:ascii="宋体" w:hAnsi="宋体" w:eastAsia="宋体"/>
                <w:sz w:val="24"/>
                <w:szCs w:val="24"/>
              </w:rPr>
              <w:t>位于乐山市市中区</w:t>
            </w:r>
            <w:r>
              <w:rPr>
                <w:rFonts w:hint="eastAsia" w:ascii="宋体" w:hAnsi="宋体" w:eastAsia="宋体"/>
                <w:sz w:val="24"/>
                <w:szCs w:val="24"/>
                <w:lang w:val="en-US" w:eastAsia="zh-CN"/>
              </w:rPr>
              <w:t>苏稽镇</w:t>
            </w:r>
            <w:r>
              <w:rPr>
                <w:rFonts w:hint="eastAsia" w:ascii="宋体" w:hAnsi="宋体" w:eastAsia="宋体"/>
                <w:sz w:val="24"/>
                <w:szCs w:val="24"/>
              </w:rPr>
              <w:t>，</w:t>
            </w:r>
            <w:r>
              <w:rPr>
                <w:rFonts w:hint="eastAsia" w:ascii="宋体" w:hAnsi="宋体" w:eastAsia="宋体"/>
                <w:sz w:val="24"/>
                <w:szCs w:val="24"/>
                <w:lang w:val="en-US" w:eastAsia="zh-CN"/>
              </w:rPr>
              <w:t>项目建成后不仅能确保灌区的灌溉水量，有利于推动灌区农业经济发展，</w:t>
            </w:r>
            <w:r>
              <w:rPr>
                <w:rFonts w:hint="eastAsia" w:ascii="Times New Roman" w:hAnsi="Times New Roman" w:cs="Times New Roman"/>
                <w:b w:val="0"/>
                <w:bCs w:val="0"/>
                <w:color w:val="000000"/>
                <w:kern w:val="21"/>
                <w:sz w:val="24"/>
                <w:szCs w:val="24"/>
                <w:lang w:val="en-US" w:eastAsia="zh-CN"/>
              </w:rPr>
              <w:t>提高防洪能力，确保人民群众生命安全，还能极大地改善当地的水生态环境，提升水域的景观效果。因此本项目</w:t>
            </w:r>
            <w:r>
              <w:rPr>
                <w:rFonts w:hint="eastAsia" w:ascii="宋体" w:hAnsi="宋体" w:eastAsia="宋体"/>
                <w:sz w:val="24"/>
                <w:szCs w:val="24"/>
              </w:rPr>
              <w:t>符合《乐山市城市总体规划（</w:t>
            </w:r>
            <w:r>
              <w:rPr>
                <w:rFonts w:hint="eastAsia" w:ascii="TimesNewRomanPSMT" w:hAnsi="TimesNewRomanPSMT" w:eastAsia="TimesNewRomanPSMT"/>
                <w:sz w:val="24"/>
                <w:szCs w:val="24"/>
              </w:rPr>
              <w:t xml:space="preserve">2011-2020 </w:t>
            </w:r>
            <w:r>
              <w:rPr>
                <w:rFonts w:hint="eastAsia" w:ascii="宋体" w:hAnsi="宋体" w:eastAsia="宋体"/>
                <w:sz w:val="24"/>
                <w:szCs w:val="24"/>
              </w:rPr>
              <w:t>年）》</w:t>
            </w:r>
            <w:r>
              <w:rPr>
                <w:rFonts w:hint="eastAsia" w:ascii="宋体" w:hAnsi="宋体" w:eastAsia="宋体"/>
                <w:sz w:val="24"/>
                <w:szCs w:val="24"/>
                <w:lang w:eastAsia="zh-CN"/>
              </w:rPr>
              <w:t>。</w:t>
            </w:r>
          </w:p>
          <w:p>
            <w:pPr>
              <w:pStyle w:val="2"/>
              <w:keepNext w:val="0"/>
              <w:keepLines w:val="0"/>
              <w:pageBreakBefore w:val="0"/>
              <w:kinsoku/>
              <w:wordWrap/>
              <w:overflowPunct/>
              <w:topLinePunct w:val="0"/>
              <w:autoSpaceDE/>
              <w:autoSpaceDN/>
              <w:bidi w:val="0"/>
              <w:adjustRightInd w:val="0"/>
              <w:snapToGrid w:val="0"/>
              <w:spacing w:before="0" w:after="0" w:line="360" w:lineRule="auto"/>
              <w:ind w:left="0" w:right="0" w:firstLine="482" w:firstLineChars="200"/>
              <w:textAlignment w:val="auto"/>
              <w:rPr>
                <w:rFonts w:hint="eastAsia" w:ascii="Times New Roman" w:hAnsi="Times New Roman" w:eastAsia="宋体" w:cs="Times New Roman"/>
                <w:b/>
                <w:bCs/>
                <w:color w:val="auto"/>
                <w:kern w:val="21"/>
                <w:sz w:val="24"/>
                <w:szCs w:val="24"/>
                <w:lang w:val="en-US" w:eastAsia="zh-CN"/>
              </w:rPr>
            </w:pPr>
            <w:r>
              <w:rPr>
                <w:rFonts w:hint="eastAsia" w:ascii="Times New Roman" w:hAnsi="Times New Roman" w:eastAsia="宋体" w:cs="Times New Roman"/>
                <w:b/>
                <w:bCs/>
                <w:color w:val="auto"/>
                <w:kern w:val="21"/>
                <w:sz w:val="24"/>
                <w:szCs w:val="24"/>
                <w:lang w:val="en-US" w:eastAsia="zh-CN"/>
              </w:rPr>
              <w:t>5、项目与《岷江流域综合规划》符合性分析</w:t>
            </w:r>
          </w:p>
          <w:p>
            <w:pPr>
              <w:keepNext w:val="0"/>
              <w:keepLines w:val="0"/>
              <w:pageBreakBefore w:val="0"/>
              <w:kinsoku/>
              <w:wordWrap/>
              <w:overflowPunct/>
              <w:topLinePunct w:val="0"/>
              <w:autoSpaceDE/>
              <w:autoSpaceDN/>
              <w:bidi w:val="0"/>
              <w:spacing w:line="360" w:lineRule="auto"/>
              <w:ind w:left="0" w:right="0" w:firstLine="520" w:firstLineChars="200"/>
              <w:textAlignment w:val="auto"/>
              <w:rPr>
                <w:rFonts w:ascii="宋体" w:hAnsi="宋体" w:eastAsia="宋体" w:cs="宋体"/>
                <w:sz w:val="24"/>
                <w:szCs w:val="24"/>
              </w:rPr>
            </w:pPr>
            <w:r>
              <w:rPr>
                <w:rFonts w:ascii="宋体" w:hAnsi="宋体" w:eastAsia="宋体" w:cs="宋体"/>
                <w:spacing w:val="10"/>
                <w:sz w:val="24"/>
                <w:szCs w:val="24"/>
              </w:rPr>
              <w:t>根据水利部《</w:t>
            </w:r>
            <w:r>
              <w:rPr>
                <w:rFonts w:ascii="宋体" w:hAnsi="宋体" w:eastAsia="宋体" w:cs="宋体"/>
                <w:spacing w:val="6"/>
                <w:sz w:val="24"/>
                <w:szCs w:val="24"/>
              </w:rPr>
              <w:t>岷</w:t>
            </w:r>
            <w:r>
              <w:rPr>
                <w:rFonts w:ascii="宋体" w:hAnsi="宋体" w:eastAsia="宋体" w:cs="宋体"/>
                <w:spacing w:val="5"/>
                <w:sz w:val="24"/>
                <w:szCs w:val="24"/>
              </w:rPr>
              <w:t>江流域综合规划》(水规计〔</w:t>
            </w:r>
            <w:r>
              <w:rPr>
                <w:rFonts w:ascii="Times New Roman" w:hAnsi="Times New Roman" w:eastAsia="Times New Roman" w:cs="Times New Roman"/>
                <w:spacing w:val="5"/>
                <w:sz w:val="24"/>
                <w:szCs w:val="24"/>
              </w:rPr>
              <w:t>2021</w:t>
            </w:r>
            <w:r>
              <w:rPr>
                <w:rFonts w:ascii="宋体" w:hAnsi="宋体" w:eastAsia="宋体" w:cs="宋体"/>
                <w:spacing w:val="5"/>
                <w:sz w:val="24"/>
                <w:szCs w:val="24"/>
              </w:rPr>
              <w:t>〕</w:t>
            </w:r>
            <w:r>
              <w:rPr>
                <w:rFonts w:ascii="Times New Roman" w:hAnsi="Times New Roman" w:eastAsia="Times New Roman" w:cs="Times New Roman"/>
                <w:spacing w:val="5"/>
                <w:sz w:val="24"/>
                <w:szCs w:val="24"/>
              </w:rPr>
              <w:t xml:space="preserve">287 </w:t>
            </w:r>
            <w:r>
              <w:rPr>
                <w:rFonts w:ascii="宋体" w:hAnsi="宋体" w:eastAsia="宋体" w:cs="宋体"/>
                <w:spacing w:val="5"/>
                <w:sz w:val="24"/>
                <w:szCs w:val="24"/>
              </w:rPr>
              <w:t>号) ，规划范围为</w:t>
            </w:r>
            <w:r>
              <w:rPr>
                <w:rFonts w:ascii="宋体" w:hAnsi="宋体" w:eastAsia="宋体" w:cs="宋体"/>
                <w:spacing w:val="6"/>
                <w:sz w:val="24"/>
                <w:szCs w:val="24"/>
              </w:rPr>
              <w:t>岷</w:t>
            </w:r>
            <w:r>
              <w:rPr>
                <w:rFonts w:ascii="宋体" w:hAnsi="宋体" w:eastAsia="宋体" w:cs="宋体"/>
                <w:spacing w:val="5"/>
                <w:sz w:val="24"/>
                <w:szCs w:val="24"/>
              </w:rPr>
              <w:t xml:space="preserve">江流域，重点是岷江干流及大渡河、青衣江等主要支流规划水平年为 </w:t>
            </w:r>
            <w:r>
              <w:rPr>
                <w:rFonts w:ascii="Times New Roman" w:hAnsi="Times New Roman" w:eastAsia="Times New Roman" w:cs="Times New Roman"/>
                <w:spacing w:val="5"/>
                <w:sz w:val="24"/>
                <w:szCs w:val="24"/>
              </w:rPr>
              <w:t xml:space="preserve">2030 </w:t>
            </w:r>
            <w:r>
              <w:rPr>
                <w:rFonts w:ascii="宋体" w:hAnsi="宋体" w:eastAsia="宋体" w:cs="宋体"/>
                <w:spacing w:val="5"/>
                <w:sz w:val="24"/>
                <w:szCs w:val="24"/>
              </w:rPr>
              <w:t>年。</w:t>
            </w:r>
            <w:r>
              <w:rPr>
                <w:rFonts w:ascii="宋体" w:hAnsi="宋体" w:eastAsia="宋体" w:cs="宋体"/>
                <w:sz w:val="24"/>
                <w:szCs w:val="24"/>
              </w:rPr>
              <w:t xml:space="preserve"> </w:t>
            </w:r>
            <w:r>
              <w:rPr>
                <w:rFonts w:ascii="宋体" w:hAnsi="宋体" w:eastAsia="宋体" w:cs="宋体"/>
                <w:spacing w:val="8"/>
                <w:sz w:val="24"/>
                <w:szCs w:val="24"/>
              </w:rPr>
              <w:t>本项目为</w:t>
            </w:r>
            <w:r>
              <w:rPr>
                <w:rFonts w:hint="eastAsia" w:ascii="宋体" w:hAnsi="宋体" w:cs="宋体"/>
                <w:bCs/>
                <w:color w:val="auto"/>
                <w:sz w:val="24"/>
                <w:highlight w:val="none"/>
              </w:rPr>
              <w:t>安福堰综合整治工程</w:t>
            </w:r>
            <w:r>
              <w:rPr>
                <w:rFonts w:ascii="宋体" w:hAnsi="宋体" w:eastAsia="宋体" w:cs="宋体"/>
                <w:spacing w:val="8"/>
                <w:sz w:val="24"/>
                <w:szCs w:val="24"/>
              </w:rPr>
              <w:t>，</w:t>
            </w:r>
            <w:r>
              <w:rPr>
                <w:rFonts w:hint="eastAsia" w:ascii="宋体" w:hAnsi="宋体" w:eastAsia="宋体" w:cs="宋体"/>
                <w:spacing w:val="8"/>
                <w:sz w:val="24"/>
                <w:szCs w:val="24"/>
                <w:lang w:val="en-US" w:eastAsia="zh-CN"/>
              </w:rPr>
              <w:t>涉及河流是峨眉河，峨眉河是</w:t>
            </w:r>
            <w:r>
              <w:rPr>
                <w:rFonts w:hint="eastAsia"/>
                <w:color w:val="auto"/>
                <w:sz w:val="24"/>
                <w:highlight w:val="none"/>
              </w:rPr>
              <w:t>大渡河下游左岸一级支流</w:t>
            </w:r>
            <w:r>
              <w:rPr>
                <w:rFonts w:ascii="宋体" w:hAnsi="宋体" w:eastAsia="宋体" w:cs="宋体"/>
                <w:spacing w:val="8"/>
                <w:sz w:val="24"/>
                <w:szCs w:val="24"/>
              </w:rPr>
              <w:t>。规划要求如下</w:t>
            </w:r>
            <w:r>
              <w:rPr>
                <w:rFonts w:ascii="宋体" w:hAnsi="宋体" w:eastAsia="宋体" w:cs="宋体"/>
                <w:spacing w:val="3"/>
                <w:sz w:val="24"/>
                <w:szCs w:val="24"/>
              </w:rPr>
              <w:t>：</w:t>
            </w:r>
          </w:p>
          <w:p>
            <w:pPr>
              <w:keepNext w:val="0"/>
              <w:keepLines w:val="0"/>
              <w:pageBreakBefore w:val="0"/>
              <w:kinsoku/>
              <w:wordWrap/>
              <w:overflowPunct/>
              <w:topLinePunct w:val="0"/>
              <w:autoSpaceDE/>
              <w:autoSpaceDN/>
              <w:bidi w:val="0"/>
              <w:spacing w:line="360" w:lineRule="auto"/>
              <w:ind w:left="0" w:right="0" w:firstLine="506" w:firstLineChars="200"/>
              <w:textAlignment w:val="auto"/>
              <w:rPr>
                <w:rFonts w:ascii="宋体" w:hAnsi="宋体" w:eastAsia="宋体" w:cs="宋体"/>
                <w:sz w:val="24"/>
                <w:szCs w:val="24"/>
              </w:rPr>
            </w:pPr>
            <w:r>
              <w:rPr>
                <w:rFonts w:ascii="宋体" w:hAnsi="宋体" w:eastAsia="宋体" w:cs="宋体"/>
                <w:b/>
                <w:bCs/>
                <w:spacing w:val="6"/>
                <w:sz w:val="24"/>
                <w:szCs w:val="24"/>
              </w:rPr>
              <w:t>治理、保护</w:t>
            </w:r>
            <w:r>
              <w:rPr>
                <w:rFonts w:ascii="宋体" w:hAnsi="宋体" w:eastAsia="宋体" w:cs="宋体"/>
                <w:b/>
                <w:bCs/>
                <w:spacing w:val="3"/>
                <w:sz w:val="24"/>
                <w:szCs w:val="24"/>
              </w:rPr>
              <w:t>与开发任务：</w:t>
            </w:r>
            <w:r>
              <w:rPr>
                <w:rFonts w:ascii="宋体" w:hAnsi="宋体" w:eastAsia="宋体" w:cs="宋体"/>
                <w:spacing w:val="3"/>
                <w:sz w:val="24"/>
                <w:szCs w:val="24"/>
              </w:rPr>
              <w:t>岷江流域治理开发与保护任务为供水、灌溉、防洪、</w:t>
            </w:r>
            <w:r>
              <w:rPr>
                <w:rFonts w:ascii="宋体" w:hAnsi="宋体" w:eastAsia="宋体" w:cs="宋体"/>
                <w:sz w:val="24"/>
                <w:szCs w:val="24"/>
              </w:rPr>
              <w:t xml:space="preserve"> </w:t>
            </w:r>
            <w:r>
              <w:rPr>
                <w:rFonts w:ascii="宋体" w:hAnsi="宋体" w:eastAsia="宋体" w:cs="宋体"/>
                <w:spacing w:val="6"/>
                <w:sz w:val="24"/>
                <w:szCs w:val="24"/>
              </w:rPr>
              <w:t>水资源与水生态环境</w:t>
            </w:r>
            <w:r>
              <w:rPr>
                <w:rFonts w:ascii="宋体" w:hAnsi="宋体" w:eastAsia="宋体" w:cs="宋体"/>
                <w:spacing w:val="4"/>
                <w:sz w:val="24"/>
                <w:szCs w:val="24"/>
              </w:rPr>
              <w:t>保</w:t>
            </w:r>
            <w:r>
              <w:rPr>
                <w:rFonts w:ascii="宋体" w:hAnsi="宋体" w:eastAsia="宋体" w:cs="宋体"/>
                <w:spacing w:val="3"/>
                <w:sz w:val="24"/>
                <w:szCs w:val="24"/>
              </w:rPr>
              <w:t>护、跨流域调水、水力发电、航运、水土保持、水利血防。</w:t>
            </w:r>
          </w:p>
          <w:p>
            <w:pPr>
              <w:keepNext w:val="0"/>
              <w:keepLines w:val="0"/>
              <w:pageBreakBefore w:val="0"/>
              <w:kinsoku/>
              <w:wordWrap/>
              <w:overflowPunct/>
              <w:topLinePunct w:val="0"/>
              <w:autoSpaceDE/>
              <w:autoSpaceDN/>
              <w:bidi w:val="0"/>
              <w:spacing w:line="360" w:lineRule="auto"/>
              <w:ind w:left="0" w:right="0" w:firstLine="546" w:firstLineChars="200"/>
              <w:textAlignment w:val="auto"/>
              <w:rPr>
                <w:rFonts w:ascii="宋体" w:hAnsi="宋体" w:eastAsia="宋体" w:cs="宋体"/>
                <w:sz w:val="24"/>
                <w:szCs w:val="24"/>
              </w:rPr>
            </w:pPr>
            <w:r>
              <w:rPr>
                <w:rFonts w:ascii="宋体" w:hAnsi="宋体" w:eastAsia="宋体" w:cs="宋体"/>
                <w:b/>
                <w:bCs/>
                <w:spacing w:val="16"/>
                <w:sz w:val="24"/>
                <w:szCs w:val="24"/>
              </w:rPr>
              <w:t>规</w:t>
            </w:r>
            <w:r>
              <w:rPr>
                <w:rFonts w:ascii="宋体" w:hAnsi="宋体" w:eastAsia="宋体" w:cs="宋体"/>
                <w:b/>
                <w:bCs/>
                <w:spacing w:val="10"/>
                <w:sz w:val="24"/>
                <w:szCs w:val="24"/>
              </w:rPr>
              <w:t>划目标：</w:t>
            </w:r>
            <w:r>
              <w:rPr>
                <w:rFonts w:ascii="宋体" w:hAnsi="宋体" w:eastAsia="宋体" w:cs="宋体"/>
                <w:spacing w:val="10"/>
                <w:sz w:val="24"/>
                <w:szCs w:val="24"/>
              </w:rPr>
              <w:t>规划目标是基本实现水资源节约集约与高效利用，防洪保护对象</w:t>
            </w:r>
            <w:r>
              <w:rPr>
                <w:rFonts w:ascii="宋体" w:hAnsi="宋体" w:eastAsia="宋体" w:cs="宋体"/>
                <w:sz w:val="24"/>
                <w:szCs w:val="24"/>
              </w:rPr>
              <w:t xml:space="preserve"> </w:t>
            </w:r>
            <w:r>
              <w:rPr>
                <w:rFonts w:ascii="宋体" w:hAnsi="宋体" w:eastAsia="宋体" w:cs="宋体"/>
                <w:spacing w:val="16"/>
                <w:sz w:val="24"/>
                <w:szCs w:val="24"/>
              </w:rPr>
              <w:t>规</w:t>
            </w:r>
            <w:r>
              <w:rPr>
                <w:rFonts w:ascii="宋体" w:hAnsi="宋体" w:eastAsia="宋体" w:cs="宋体"/>
                <w:spacing w:val="10"/>
                <w:sz w:val="24"/>
                <w:szCs w:val="24"/>
              </w:rPr>
              <w:t>划标准内洪水可防御，水资源保护有效提升，生态环境质量总体改善，受损水</w:t>
            </w:r>
            <w:r>
              <w:rPr>
                <w:rFonts w:ascii="宋体" w:hAnsi="宋体" w:eastAsia="宋体" w:cs="宋体"/>
                <w:spacing w:val="16"/>
                <w:sz w:val="24"/>
                <w:szCs w:val="24"/>
              </w:rPr>
              <w:t>生</w:t>
            </w:r>
            <w:r>
              <w:rPr>
                <w:rFonts w:ascii="宋体" w:hAnsi="宋体" w:eastAsia="宋体" w:cs="宋体"/>
                <w:spacing w:val="10"/>
                <w:sz w:val="24"/>
                <w:szCs w:val="24"/>
              </w:rPr>
              <w:t>态系统逐步恢复并呈良性发展，基本实现流域管理现代化，保障经济社会可持</w:t>
            </w:r>
            <w:r>
              <w:rPr>
                <w:rFonts w:ascii="宋体" w:hAnsi="宋体" w:eastAsia="宋体" w:cs="宋体"/>
                <w:spacing w:val="5"/>
                <w:sz w:val="24"/>
                <w:szCs w:val="24"/>
              </w:rPr>
              <w:t>续发展</w:t>
            </w:r>
            <w:r>
              <w:rPr>
                <w:rFonts w:ascii="宋体" w:hAnsi="宋体" w:eastAsia="宋体" w:cs="宋体"/>
                <w:spacing w:val="4"/>
                <w:sz w:val="24"/>
                <w:szCs w:val="24"/>
              </w:rPr>
              <w:t>。</w:t>
            </w:r>
          </w:p>
          <w:p>
            <w:pPr>
              <w:keepNext w:val="0"/>
              <w:keepLines w:val="0"/>
              <w:pageBreakBefore w:val="0"/>
              <w:kinsoku/>
              <w:wordWrap/>
              <w:overflowPunct/>
              <w:topLinePunct w:val="0"/>
              <w:autoSpaceDE/>
              <w:autoSpaceDN/>
              <w:bidi w:val="0"/>
              <w:spacing w:line="360" w:lineRule="auto"/>
              <w:ind w:left="0" w:right="0" w:firstLine="554" w:firstLineChars="200"/>
              <w:textAlignment w:val="auto"/>
              <w:rPr>
                <w:rFonts w:ascii="宋体" w:hAnsi="宋体" w:eastAsia="宋体" w:cs="宋体"/>
                <w:sz w:val="24"/>
                <w:szCs w:val="24"/>
              </w:rPr>
            </w:pPr>
            <w:r>
              <w:rPr>
                <w:rFonts w:ascii="宋体" w:hAnsi="宋体" w:eastAsia="宋体" w:cs="宋体"/>
                <w:b/>
                <w:bCs/>
                <w:spacing w:val="18"/>
                <w:sz w:val="24"/>
                <w:szCs w:val="24"/>
              </w:rPr>
              <w:t>规</w:t>
            </w:r>
            <w:r>
              <w:rPr>
                <w:rFonts w:ascii="宋体" w:hAnsi="宋体" w:eastAsia="宋体" w:cs="宋体"/>
                <w:b/>
                <w:bCs/>
                <w:spacing w:val="10"/>
                <w:sz w:val="24"/>
                <w:szCs w:val="24"/>
              </w:rPr>
              <w:t>划总部布局岷江干流：</w:t>
            </w:r>
            <w:r>
              <w:rPr>
                <w:rFonts w:ascii="宋体" w:hAnsi="宋体" w:eastAsia="宋体" w:cs="宋体"/>
                <w:spacing w:val="10"/>
                <w:sz w:val="24"/>
                <w:szCs w:val="24"/>
              </w:rPr>
              <w:t>实施河道整治和堤防、护岸工程，通过紫坪铺等水</w:t>
            </w:r>
            <w:r>
              <w:rPr>
                <w:rFonts w:ascii="宋体" w:hAnsi="宋体" w:eastAsia="宋体" w:cs="宋体"/>
                <w:spacing w:val="12"/>
                <w:sz w:val="24"/>
                <w:szCs w:val="24"/>
              </w:rPr>
              <w:t>库</w:t>
            </w:r>
            <w:r>
              <w:rPr>
                <w:rFonts w:ascii="宋体" w:hAnsi="宋体" w:eastAsia="宋体" w:cs="宋体"/>
                <w:spacing w:val="9"/>
                <w:sz w:val="24"/>
                <w:szCs w:val="24"/>
              </w:rPr>
              <w:t>调控洪水并分担川江河段及长江中下游的防洪任务。</w:t>
            </w:r>
          </w:p>
          <w:p>
            <w:pPr>
              <w:keepNext w:val="0"/>
              <w:keepLines w:val="0"/>
              <w:pageBreakBefore w:val="0"/>
              <w:kinsoku/>
              <w:wordWrap/>
              <w:overflowPunct/>
              <w:topLinePunct w:val="0"/>
              <w:autoSpaceDE/>
              <w:autoSpaceDN/>
              <w:bidi w:val="0"/>
              <w:spacing w:line="360" w:lineRule="auto"/>
              <w:ind w:left="0" w:right="0" w:firstLine="504" w:firstLineChars="200"/>
              <w:textAlignment w:val="auto"/>
              <w:rPr>
                <w:rFonts w:ascii="宋体" w:hAnsi="宋体" w:eastAsia="宋体" w:cs="宋体"/>
                <w:sz w:val="24"/>
                <w:szCs w:val="24"/>
              </w:rPr>
            </w:pPr>
            <w:r>
              <w:rPr>
                <w:rFonts w:ascii="宋体" w:hAnsi="宋体" w:eastAsia="宋体" w:cs="宋体"/>
                <w:spacing w:val="6"/>
                <w:sz w:val="24"/>
                <w:szCs w:val="24"/>
              </w:rPr>
              <w:t>本项目为</w:t>
            </w:r>
            <w:r>
              <w:rPr>
                <w:rFonts w:hint="eastAsia" w:ascii="宋体" w:hAnsi="宋体" w:cs="宋体"/>
                <w:bCs/>
                <w:color w:val="auto"/>
                <w:sz w:val="24"/>
                <w:highlight w:val="none"/>
              </w:rPr>
              <w:t>安福堰综合整治工程</w:t>
            </w:r>
            <w:r>
              <w:rPr>
                <w:rFonts w:ascii="宋体" w:hAnsi="宋体" w:eastAsia="宋体" w:cs="宋体"/>
                <w:spacing w:val="3"/>
                <w:sz w:val="24"/>
                <w:szCs w:val="24"/>
              </w:rPr>
              <w:t>，</w:t>
            </w:r>
            <w:r>
              <w:rPr>
                <w:rFonts w:hint="eastAsia" w:ascii="宋体" w:hAnsi="宋体"/>
                <w:color w:val="auto"/>
                <w:sz w:val="24"/>
                <w:highlight w:val="none"/>
              </w:rPr>
              <w:t>本次安福堰综合整治</w:t>
            </w:r>
            <w:r>
              <w:rPr>
                <w:rFonts w:ascii="宋体" w:hAnsi="宋体"/>
                <w:color w:val="auto"/>
                <w:sz w:val="24"/>
                <w:highlight w:val="none"/>
              </w:rPr>
              <w:t>任务以</w:t>
            </w:r>
            <w:r>
              <w:rPr>
                <w:rFonts w:hint="eastAsia" w:ascii="宋体" w:hAnsi="宋体"/>
                <w:color w:val="auto"/>
                <w:sz w:val="24"/>
                <w:highlight w:val="none"/>
              </w:rPr>
              <w:t>农田</w:t>
            </w:r>
            <w:r>
              <w:rPr>
                <w:rFonts w:ascii="宋体" w:hAnsi="宋体"/>
                <w:color w:val="auto"/>
                <w:sz w:val="24"/>
                <w:highlight w:val="none"/>
              </w:rPr>
              <w:t>灌溉为主，兼顾</w:t>
            </w:r>
            <w:r>
              <w:rPr>
                <w:rFonts w:hint="eastAsia" w:ascii="宋体" w:hAnsi="宋体"/>
                <w:color w:val="auto"/>
                <w:sz w:val="24"/>
                <w:highlight w:val="none"/>
              </w:rPr>
              <w:t>河湖生态治理及打造峨眉河苏稽段水</w:t>
            </w:r>
            <w:r>
              <w:rPr>
                <w:rFonts w:hint="eastAsia" w:ascii="Times New Roman" w:hAnsi="Times New Roman" w:eastAsia="宋体" w:cs="Times New Roman"/>
                <w:color w:val="auto"/>
                <w:spacing w:val="-2"/>
                <w:sz w:val="24"/>
                <w:szCs w:val="32"/>
                <w:highlight w:val="none"/>
              </w:rPr>
              <w:t>景观</w:t>
            </w:r>
            <w:r>
              <w:rPr>
                <w:rFonts w:ascii="宋体" w:hAnsi="宋体"/>
                <w:color w:val="auto"/>
                <w:sz w:val="24"/>
                <w:highlight w:val="none"/>
              </w:rPr>
              <w:t>等综合利用</w:t>
            </w:r>
            <w:r>
              <w:rPr>
                <w:rFonts w:ascii="宋体" w:hAnsi="宋体" w:eastAsia="宋体" w:cs="宋体"/>
                <w:spacing w:val="3"/>
                <w:sz w:val="24"/>
                <w:szCs w:val="24"/>
              </w:rPr>
              <w:t>，</w:t>
            </w:r>
            <w:r>
              <w:rPr>
                <w:rFonts w:ascii="宋体" w:hAnsi="宋体" w:eastAsia="宋体" w:cs="宋体"/>
                <w:sz w:val="24"/>
                <w:szCs w:val="24"/>
              </w:rPr>
              <w:t xml:space="preserve"> </w:t>
            </w:r>
            <w:r>
              <w:rPr>
                <w:rFonts w:ascii="宋体" w:hAnsi="宋体" w:eastAsia="宋体" w:cs="宋体"/>
                <w:spacing w:val="14"/>
                <w:sz w:val="24"/>
                <w:szCs w:val="24"/>
              </w:rPr>
              <w:t>本</w:t>
            </w:r>
            <w:r>
              <w:rPr>
                <w:rFonts w:ascii="宋体" w:hAnsi="宋体" w:eastAsia="宋体" w:cs="宋体"/>
                <w:spacing w:val="10"/>
                <w:sz w:val="24"/>
                <w:szCs w:val="24"/>
              </w:rPr>
              <w:t>项</w:t>
            </w:r>
            <w:r>
              <w:rPr>
                <w:rFonts w:ascii="宋体" w:hAnsi="宋体" w:eastAsia="宋体" w:cs="宋体"/>
                <w:spacing w:val="7"/>
                <w:sz w:val="24"/>
                <w:szCs w:val="24"/>
              </w:rPr>
              <w:t>目与《四川省岷江流域综合规划》相符。</w:t>
            </w: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eastAsia="宋体" w:cs="Times New Roman"/>
                <w:b w:val="0"/>
                <w:bCs w:val="0"/>
                <w:color w:val="auto"/>
                <w:kern w:val="21"/>
                <w:sz w:val="24"/>
                <w:szCs w:val="24"/>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609" w:hRule="atLeast"/>
          <w:jc w:val="center"/>
        </w:trPr>
        <w:tc>
          <w:tcPr>
            <w:tcW w:w="712" w:type="dxa"/>
            <w:noWrap w:val="0"/>
            <w:tcMar>
              <w:top w:w="16" w:type="dxa"/>
              <w:left w:w="16" w:type="dxa"/>
              <w:right w:w="16" w:type="dxa"/>
            </w:tcMar>
            <w:vAlign w:val="center"/>
          </w:tcPr>
          <w:p>
            <w:pPr>
              <w:keepNext w:val="0"/>
              <w:keepLines w:val="0"/>
              <w:pageBreakBefore w:val="0"/>
              <w:kinsoku/>
              <w:wordWrap/>
              <w:overflowPunct/>
              <w:topLinePunct w:val="0"/>
              <w:autoSpaceDE w:val="0"/>
              <w:autoSpaceDN w:val="0"/>
              <w:bidi w:val="0"/>
              <w:adjustRightInd w:val="0"/>
              <w:snapToGrid w:val="0"/>
              <w:jc w:val="center"/>
              <w:textAlignment w:val="auto"/>
              <w:rPr>
                <w:rFonts w:hint="default" w:ascii="Times New Roman" w:hAnsi="Times New Roman" w:cs="Times New Roman"/>
                <w:kern w:val="21"/>
                <w:sz w:val="24"/>
                <w:szCs w:val="24"/>
              </w:rPr>
            </w:pPr>
            <w:r>
              <w:rPr>
                <w:rFonts w:hint="default" w:ascii="Times New Roman" w:hAnsi="Times New Roman" w:cs="Times New Roman"/>
                <w:kern w:val="21"/>
                <w:sz w:val="24"/>
                <w:szCs w:val="24"/>
              </w:rPr>
              <w:t>其他符合性分析</w:t>
            </w:r>
          </w:p>
        </w:tc>
        <w:tc>
          <w:tcPr>
            <w:tcW w:w="9203" w:type="dxa"/>
            <w:gridSpan w:val="3"/>
            <w:noWrap w:val="0"/>
            <w:tcMar>
              <w:top w:w="16" w:type="dxa"/>
              <w:left w:w="16" w:type="dxa"/>
              <w:right w:w="16"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textAlignment w:val="baseline"/>
              <w:rPr>
                <w:rFonts w:hint="default" w:ascii="Times New Roman" w:hAnsi="Times New Roman" w:cs="Times New Roman"/>
                <w:b/>
                <w:bCs/>
                <w:color w:val="auto"/>
                <w:spacing w:val="0"/>
                <w:sz w:val="24"/>
                <w:szCs w:val="24"/>
              </w:rPr>
            </w:pPr>
            <w:r>
              <w:rPr>
                <w:rFonts w:hint="default" w:ascii="Times New Roman" w:hAnsi="Times New Roman" w:cs="Times New Roman"/>
                <w:b/>
                <w:bCs/>
                <w:color w:val="auto"/>
                <w:spacing w:val="0"/>
                <w:sz w:val="24"/>
                <w:szCs w:val="24"/>
                <w:lang w:val="en-US" w:eastAsia="zh-CN"/>
              </w:rPr>
              <w:t>1、</w:t>
            </w:r>
            <w:r>
              <w:rPr>
                <w:rFonts w:hint="default" w:ascii="Times New Roman" w:hAnsi="Times New Roman" w:cs="Times New Roman"/>
                <w:b/>
                <w:bCs/>
                <w:color w:val="auto"/>
                <w:spacing w:val="0"/>
                <w:sz w:val="24"/>
                <w:szCs w:val="24"/>
              </w:rPr>
              <w:t>产业政策符合性分析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pacing w:val="0"/>
                <w:sz w:val="24"/>
                <w:szCs w:val="24"/>
              </w:rPr>
            </w:pPr>
            <w:r>
              <w:rPr>
                <w:rFonts w:hint="default" w:ascii="Times New Roman" w:hAnsi="Times New Roman" w:cs="Times New Roman"/>
                <w:color w:val="auto"/>
                <w:spacing w:val="0"/>
                <w:sz w:val="24"/>
                <w:szCs w:val="24"/>
              </w:rPr>
              <w:t>本项目为</w:t>
            </w:r>
            <w:r>
              <w:rPr>
                <w:rFonts w:hint="eastAsia" w:ascii="宋体" w:hAnsi="宋体" w:cs="宋体"/>
                <w:bCs/>
                <w:color w:val="auto"/>
                <w:sz w:val="24"/>
                <w:highlight w:val="none"/>
              </w:rPr>
              <w:t>安福堰综合整治工程</w:t>
            </w:r>
            <w:r>
              <w:rPr>
                <w:rFonts w:hint="default" w:ascii="Times New Roman" w:hAnsi="Times New Roman" w:cs="Times New Roman"/>
                <w:color w:val="auto"/>
                <w:spacing w:val="0"/>
                <w:sz w:val="24"/>
                <w:szCs w:val="24"/>
              </w:rPr>
              <w:t>，根据《产业结构调整指导目录（2019年本）》</w:t>
            </w:r>
            <w:r>
              <w:rPr>
                <w:rFonts w:hint="eastAsia" w:ascii="Times New Roman" w:hAnsi="Times New Roman" w:cs="Times New Roman"/>
                <w:color w:val="auto"/>
                <w:spacing w:val="0"/>
                <w:sz w:val="24"/>
                <w:szCs w:val="24"/>
                <w:lang w:eastAsia="zh-CN"/>
              </w:rPr>
              <w:t>（</w:t>
            </w:r>
            <w:r>
              <w:rPr>
                <w:rFonts w:hint="eastAsia" w:ascii="Times New Roman" w:hAnsi="Times New Roman" w:cs="Times New Roman"/>
                <w:color w:val="auto"/>
                <w:spacing w:val="0"/>
                <w:sz w:val="24"/>
                <w:szCs w:val="24"/>
                <w:lang w:val="en-US" w:eastAsia="zh-CN"/>
              </w:rPr>
              <w:t>2021年修正</w:t>
            </w:r>
            <w:r>
              <w:rPr>
                <w:rFonts w:hint="eastAsia" w:ascii="Times New Roman" w:hAnsi="Times New Roman" w:cs="Times New Roman"/>
                <w:color w:val="auto"/>
                <w:spacing w:val="0"/>
                <w:sz w:val="24"/>
                <w:szCs w:val="24"/>
                <w:lang w:eastAsia="zh-CN"/>
              </w:rPr>
              <w:t>）</w:t>
            </w:r>
            <w:r>
              <w:rPr>
                <w:rFonts w:hint="default" w:ascii="Times New Roman" w:hAnsi="Times New Roman" w:cs="Times New Roman"/>
                <w:color w:val="auto"/>
                <w:spacing w:val="0"/>
                <w:sz w:val="24"/>
                <w:szCs w:val="24"/>
              </w:rPr>
              <w:t>，本项目</w:t>
            </w:r>
            <w:r>
              <w:rPr>
                <w:rFonts w:hint="default" w:ascii="Times New Roman" w:hAnsi="Times New Roman" w:cs="Times New Roman"/>
                <w:color w:val="auto"/>
                <w:spacing w:val="0"/>
                <w:sz w:val="24"/>
                <w:szCs w:val="24"/>
                <w:lang w:eastAsia="zh-CN"/>
              </w:rPr>
              <w:t>属于</w:t>
            </w:r>
            <w:r>
              <w:rPr>
                <w:rFonts w:hint="default" w:ascii="Times New Roman" w:hAnsi="Times New Roman" w:cs="Times New Roman"/>
                <w:color w:val="auto"/>
                <w:spacing w:val="0"/>
                <w:sz w:val="24"/>
                <w:szCs w:val="24"/>
                <w:highlight w:val="none"/>
                <w:lang w:eastAsia="zh-CN"/>
              </w:rPr>
              <w:t>第一类</w:t>
            </w:r>
            <w:r>
              <w:rPr>
                <w:rFonts w:hint="default" w:ascii="Times New Roman" w:hAnsi="Times New Roman" w:cs="Times New Roman"/>
                <w:color w:val="auto"/>
                <w:spacing w:val="0"/>
                <w:sz w:val="24"/>
                <w:szCs w:val="24"/>
                <w:highlight w:val="none"/>
              </w:rPr>
              <w:t>鼓励类中</w:t>
            </w:r>
            <w:r>
              <w:rPr>
                <w:rFonts w:hint="default" w:ascii="Times New Roman" w:hAnsi="Times New Roman" w:cs="Times New Roman"/>
                <w:color w:val="auto"/>
                <w:spacing w:val="0"/>
                <w:sz w:val="24"/>
                <w:szCs w:val="24"/>
                <w:highlight w:val="none"/>
                <w:lang w:eastAsia="zh-CN"/>
              </w:rPr>
              <w:t>第二条“水</w:t>
            </w:r>
            <w:r>
              <w:rPr>
                <w:rFonts w:hint="eastAsia" w:ascii="Times New Roman" w:hAnsi="Times New Roman" w:cs="Times New Roman"/>
                <w:color w:val="auto"/>
                <w:spacing w:val="0"/>
                <w:sz w:val="24"/>
                <w:szCs w:val="24"/>
                <w:highlight w:val="none"/>
                <w:lang w:val="en-US" w:eastAsia="zh-CN"/>
              </w:rPr>
              <w:t>利</w:t>
            </w:r>
            <w:r>
              <w:rPr>
                <w:rFonts w:hint="default" w:ascii="Times New Roman" w:hAnsi="Times New Roman" w:cs="Times New Roman"/>
                <w:color w:val="auto"/>
                <w:spacing w:val="0"/>
                <w:sz w:val="24"/>
                <w:szCs w:val="24"/>
                <w:highlight w:val="none"/>
                <w:lang w:eastAsia="zh-CN"/>
              </w:rPr>
              <w:t>”</w:t>
            </w:r>
            <w:r>
              <w:rPr>
                <w:rFonts w:hint="default" w:ascii="Times New Roman" w:hAnsi="Times New Roman" w:cs="Times New Roman"/>
                <w:color w:val="auto"/>
                <w:spacing w:val="0"/>
                <w:sz w:val="24"/>
                <w:szCs w:val="24"/>
                <w:highlight w:val="none"/>
                <w:lang w:val="en-US" w:eastAsia="zh-CN"/>
              </w:rPr>
              <w:t>中的</w:t>
            </w:r>
            <w:r>
              <w:rPr>
                <w:rFonts w:hint="default" w:ascii="Times New Roman" w:hAnsi="Times New Roman" w:cs="Times New Roman"/>
                <w:color w:val="auto"/>
                <w:spacing w:val="0"/>
                <w:sz w:val="24"/>
                <w:szCs w:val="24"/>
                <w:highlight w:val="none"/>
                <w:lang w:eastAsia="zh-CN"/>
              </w:rPr>
              <w:t>第</w:t>
            </w:r>
            <w:r>
              <w:rPr>
                <w:rFonts w:hint="eastAsia" w:ascii="Times New Roman" w:hAnsi="Times New Roman" w:cs="Times New Roman"/>
                <w:color w:val="auto"/>
                <w:spacing w:val="0"/>
                <w:sz w:val="24"/>
                <w:szCs w:val="24"/>
                <w:highlight w:val="none"/>
                <w:lang w:val="en-US" w:eastAsia="zh-CN"/>
              </w:rPr>
              <w:t>1</w:t>
            </w:r>
            <w:r>
              <w:rPr>
                <w:rFonts w:hint="default" w:ascii="Times New Roman" w:hAnsi="Times New Roman" w:cs="Times New Roman"/>
                <w:color w:val="auto"/>
                <w:spacing w:val="0"/>
                <w:sz w:val="24"/>
                <w:szCs w:val="24"/>
                <w:highlight w:val="none"/>
                <w:lang w:val="en-US" w:eastAsia="zh-CN"/>
              </w:rPr>
              <w:t>条“</w:t>
            </w:r>
            <w:r>
              <w:rPr>
                <w:rFonts w:hint="eastAsia" w:ascii="Times New Roman" w:hAnsi="Times New Roman" w:cs="Times New Roman"/>
                <w:color w:val="auto"/>
                <w:spacing w:val="0"/>
                <w:sz w:val="24"/>
                <w:szCs w:val="24"/>
                <w:highlight w:val="none"/>
                <w:lang w:val="en-US" w:eastAsia="zh-CN"/>
              </w:rPr>
              <w:t>江河湖海堤防建设及河道治理工程</w:t>
            </w:r>
            <w:r>
              <w:rPr>
                <w:rFonts w:hint="default" w:ascii="Times New Roman" w:hAnsi="Times New Roman" w:cs="Times New Roman"/>
                <w:color w:val="auto"/>
                <w:spacing w:val="0"/>
                <w:sz w:val="24"/>
                <w:szCs w:val="24"/>
                <w:highlight w:val="none"/>
                <w:lang w:val="en-US" w:eastAsia="zh-CN"/>
              </w:rPr>
              <w:t>”</w:t>
            </w:r>
            <w:r>
              <w:rPr>
                <w:rFonts w:hint="eastAsia" w:ascii="Times New Roman" w:hAnsi="Times New Roman" w:cs="Times New Roman"/>
                <w:color w:val="auto"/>
                <w:spacing w:val="0"/>
                <w:sz w:val="24"/>
                <w:szCs w:val="24"/>
                <w:highlight w:val="none"/>
                <w:lang w:val="en-US" w:eastAsia="zh-CN"/>
              </w:rPr>
              <w:t>以及第4条“灌区及配套设施建设、改造”</w:t>
            </w:r>
            <w:r>
              <w:rPr>
                <w:rFonts w:hint="default" w:ascii="Times New Roman" w:hAnsi="Times New Roman" w:cs="Times New Roman"/>
                <w:color w:val="auto"/>
                <w:spacing w:val="0"/>
                <w:sz w:val="24"/>
                <w:szCs w:val="24"/>
                <w:highlight w:val="none"/>
                <w:lang w:eastAsia="zh-CN"/>
              </w:rPr>
              <w:t>项目</w:t>
            </w:r>
            <w:r>
              <w:rPr>
                <w:rFonts w:hint="default" w:ascii="Times New Roman" w:hAnsi="Times New Roman" w:cs="Times New Roman"/>
                <w:color w:val="auto"/>
                <w:spacing w:val="0"/>
                <w:sz w:val="24"/>
                <w:szCs w:val="24"/>
                <w:highlight w:val="none"/>
              </w:rPr>
              <w:t>，属于鼓励类</w:t>
            </w:r>
            <w:r>
              <w:rPr>
                <w:rFonts w:hint="default" w:ascii="Times New Roman" w:hAnsi="Times New Roman" w:cs="Times New Roman"/>
                <w:color w:val="auto"/>
                <w:spacing w:val="0"/>
                <w:sz w:val="24"/>
                <w:szCs w:val="24"/>
                <w:highlight w:val="none"/>
                <w:lang w:eastAsia="zh-CN"/>
              </w:rPr>
              <w:t>；</w:t>
            </w:r>
            <w:r>
              <w:rPr>
                <w:rFonts w:hint="default" w:ascii="Times New Roman" w:hAnsi="Times New Roman" w:cs="Times New Roman"/>
                <w:color w:val="auto"/>
                <w:spacing w:val="0"/>
                <w:sz w:val="24"/>
                <w:szCs w:val="24"/>
              </w:rPr>
              <w:t>同时，202</w:t>
            </w:r>
            <w:r>
              <w:rPr>
                <w:rFonts w:hint="eastAsia" w:ascii="Times New Roman" w:hAnsi="Times New Roman" w:cs="Times New Roman"/>
                <w:color w:val="auto"/>
                <w:spacing w:val="0"/>
                <w:sz w:val="24"/>
                <w:szCs w:val="24"/>
                <w:lang w:val="en-US" w:eastAsia="zh-CN"/>
              </w:rPr>
              <w:t>2</w:t>
            </w:r>
            <w:r>
              <w:rPr>
                <w:rFonts w:hint="default" w:ascii="Times New Roman" w:hAnsi="Times New Roman" w:cs="Times New Roman"/>
                <w:color w:val="auto"/>
                <w:spacing w:val="0"/>
                <w:sz w:val="24"/>
                <w:szCs w:val="24"/>
              </w:rPr>
              <w:t>年</w:t>
            </w:r>
            <w:r>
              <w:rPr>
                <w:rFonts w:hint="default" w:ascii="Times New Roman" w:hAnsi="Times New Roman" w:cs="Times New Roman"/>
                <w:color w:val="auto"/>
                <w:spacing w:val="0"/>
                <w:sz w:val="24"/>
                <w:szCs w:val="24"/>
                <w:lang w:val="en-US" w:eastAsia="zh-CN"/>
              </w:rPr>
              <w:t>2</w:t>
            </w:r>
            <w:r>
              <w:rPr>
                <w:rFonts w:hint="default" w:ascii="Times New Roman" w:hAnsi="Times New Roman" w:cs="Times New Roman"/>
                <w:color w:val="auto"/>
                <w:spacing w:val="0"/>
                <w:sz w:val="24"/>
                <w:szCs w:val="24"/>
              </w:rPr>
              <w:t>月</w:t>
            </w:r>
            <w:r>
              <w:rPr>
                <w:rFonts w:hint="eastAsia" w:ascii="Times New Roman" w:hAnsi="Times New Roman" w:cs="Times New Roman"/>
                <w:color w:val="auto"/>
                <w:spacing w:val="0"/>
                <w:sz w:val="24"/>
                <w:szCs w:val="24"/>
                <w:lang w:val="en-US" w:eastAsia="zh-CN"/>
              </w:rPr>
              <w:t>23</w:t>
            </w:r>
            <w:r>
              <w:rPr>
                <w:rFonts w:hint="default" w:ascii="Times New Roman" w:hAnsi="Times New Roman" w:cs="Times New Roman"/>
                <w:color w:val="auto"/>
                <w:spacing w:val="0"/>
                <w:sz w:val="24"/>
                <w:szCs w:val="24"/>
              </w:rPr>
              <w:t>日，</w:t>
            </w:r>
            <w:r>
              <w:rPr>
                <w:rFonts w:hint="default" w:ascii="Times New Roman" w:hAnsi="Times New Roman" w:cs="Times New Roman"/>
                <w:color w:val="auto"/>
                <w:spacing w:val="0"/>
                <w:sz w:val="24"/>
                <w:szCs w:val="24"/>
                <w:lang w:eastAsia="zh-CN"/>
              </w:rPr>
              <w:t>乐山市</w:t>
            </w:r>
            <w:r>
              <w:rPr>
                <w:rFonts w:hint="eastAsia" w:ascii="Times New Roman" w:hAnsi="Times New Roman" w:cs="Times New Roman"/>
                <w:color w:val="auto"/>
                <w:spacing w:val="0"/>
                <w:sz w:val="24"/>
                <w:szCs w:val="24"/>
                <w:lang w:val="en-US" w:eastAsia="zh-CN"/>
              </w:rPr>
              <w:t>中区</w:t>
            </w:r>
            <w:r>
              <w:rPr>
                <w:rFonts w:hint="default" w:ascii="Times New Roman" w:hAnsi="Times New Roman" w:cs="Times New Roman"/>
                <w:color w:val="auto"/>
                <w:spacing w:val="0"/>
                <w:sz w:val="24"/>
                <w:szCs w:val="24"/>
                <w:lang w:eastAsia="zh-CN"/>
              </w:rPr>
              <w:t>发展和改革</w:t>
            </w:r>
            <w:r>
              <w:rPr>
                <w:rFonts w:hint="eastAsia" w:ascii="Times New Roman" w:hAnsi="Times New Roman" w:cs="Times New Roman"/>
                <w:color w:val="auto"/>
                <w:spacing w:val="0"/>
                <w:sz w:val="24"/>
                <w:szCs w:val="24"/>
                <w:lang w:val="en-US" w:eastAsia="zh-CN"/>
              </w:rPr>
              <w:t>局</w:t>
            </w:r>
            <w:r>
              <w:rPr>
                <w:rFonts w:hint="default" w:ascii="Times New Roman" w:hAnsi="Times New Roman" w:cs="Times New Roman"/>
                <w:color w:val="auto"/>
                <w:spacing w:val="0"/>
                <w:sz w:val="24"/>
                <w:szCs w:val="24"/>
              </w:rPr>
              <w:t>出具了</w:t>
            </w:r>
            <w:r>
              <w:rPr>
                <w:rFonts w:hint="eastAsia" w:ascii="Times New Roman" w:hAnsi="Times New Roman" w:cs="Times New Roman"/>
                <w:color w:val="auto"/>
                <w:spacing w:val="0"/>
                <w:sz w:val="24"/>
                <w:szCs w:val="24"/>
                <w:lang w:val="en-US" w:eastAsia="zh-CN"/>
              </w:rPr>
              <w:t>该项目备案表</w:t>
            </w:r>
            <w:r>
              <w:rPr>
                <w:rFonts w:hint="default" w:ascii="Times New Roman" w:hAnsi="Times New Roman" w:eastAsia="宋体" w:cs="Times New Roman"/>
                <w:color w:val="auto"/>
                <w:spacing w:val="0"/>
                <w:sz w:val="24"/>
                <w:szCs w:val="24"/>
                <w:highlight w:val="none"/>
                <w:lang w:eastAsia="zh-CN"/>
              </w:rPr>
              <w:t>，</w:t>
            </w:r>
            <w:r>
              <w:rPr>
                <w:rFonts w:hint="eastAsia" w:ascii="Times New Roman" w:hAnsi="Times New Roman" w:eastAsia="宋体" w:cs="Times New Roman"/>
                <w:color w:val="auto"/>
                <w:spacing w:val="0"/>
                <w:sz w:val="24"/>
                <w:szCs w:val="24"/>
                <w:highlight w:val="none"/>
                <w:lang w:val="en-US" w:eastAsia="zh-CN"/>
              </w:rPr>
              <w:t>备案号</w:t>
            </w:r>
            <w:r>
              <w:rPr>
                <w:rFonts w:hint="default" w:ascii="Times New Roman" w:hAnsi="Times New Roman" w:eastAsia="宋体" w:cs="Times New Roman"/>
                <w:color w:val="auto"/>
                <w:spacing w:val="0"/>
                <w:sz w:val="24"/>
                <w:szCs w:val="24"/>
                <w:highlight w:val="none"/>
                <w:lang w:eastAsia="zh-CN"/>
              </w:rPr>
              <w:t>为“</w:t>
            </w:r>
            <w:r>
              <w:rPr>
                <w:rFonts w:hint="eastAsia" w:ascii="Times New Roman" w:hAnsi="Times New Roman" w:eastAsia="宋体" w:cs="Times New Roman"/>
                <w:color w:val="auto"/>
                <w:spacing w:val="0"/>
                <w:sz w:val="24"/>
                <w:szCs w:val="24"/>
                <w:highlight w:val="none"/>
                <w:lang w:val="en-US" w:eastAsia="zh-CN"/>
              </w:rPr>
              <w:t>川投资备</w:t>
            </w:r>
            <w:r>
              <w:rPr>
                <w:rFonts w:hint="eastAsia" w:ascii="Times New Roman" w:hAnsi="Times New Roman" w:eastAsia="宋体" w:cs="Times New Roman"/>
                <w:kern w:val="21"/>
                <w:sz w:val="24"/>
                <w:szCs w:val="24"/>
                <w:lang w:val="en-US" w:eastAsia="zh-CN"/>
              </w:rPr>
              <w:t>【2202</w:t>
            </w:r>
            <w:r>
              <w:rPr>
                <w:rFonts w:hint="default" w:ascii="Times New Roman" w:hAnsi="Times New Roman" w:eastAsia="Calibri" w:cs="Times New Roman"/>
                <w:kern w:val="21"/>
                <w:sz w:val="24"/>
                <w:szCs w:val="24"/>
              </w:rPr>
              <w:t>-5111</w:t>
            </w:r>
            <w:r>
              <w:rPr>
                <w:rFonts w:hint="eastAsia" w:ascii="Times New Roman" w:hAnsi="Times New Roman" w:eastAsia="宋体" w:cs="Times New Roman"/>
                <w:kern w:val="21"/>
                <w:sz w:val="24"/>
                <w:szCs w:val="24"/>
                <w:lang w:val="en-US" w:eastAsia="zh-CN"/>
              </w:rPr>
              <w:t>02</w:t>
            </w:r>
            <w:r>
              <w:rPr>
                <w:rFonts w:hint="default" w:ascii="Times New Roman" w:hAnsi="Times New Roman" w:eastAsia="Calibri" w:cs="Times New Roman"/>
                <w:kern w:val="21"/>
                <w:sz w:val="24"/>
                <w:szCs w:val="24"/>
              </w:rPr>
              <w:t>-</w:t>
            </w:r>
            <w:r>
              <w:rPr>
                <w:rFonts w:hint="eastAsia" w:ascii="Times New Roman" w:hAnsi="Times New Roman" w:eastAsia="宋体" w:cs="Times New Roman"/>
                <w:kern w:val="21"/>
                <w:sz w:val="24"/>
                <w:szCs w:val="24"/>
                <w:lang w:val="en-US" w:eastAsia="zh-CN"/>
              </w:rPr>
              <w:t>04</w:t>
            </w:r>
            <w:r>
              <w:rPr>
                <w:rFonts w:hint="default" w:ascii="Times New Roman" w:hAnsi="Times New Roman" w:eastAsia="Calibri" w:cs="Times New Roman"/>
                <w:kern w:val="21"/>
                <w:sz w:val="24"/>
                <w:szCs w:val="24"/>
              </w:rPr>
              <w:t>-01-</w:t>
            </w:r>
            <w:r>
              <w:rPr>
                <w:rFonts w:hint="eastAsia" w:ascii="Times New Roman" w:hAnsi="Times New Roman" w:eastAsia="宋体" w:cs="Times New Roman"/>
                <w:kern w:val="21"/>
                <w:sz w:val="24"/>
                <w:szCs w:val="24"/>
                <w:lang w:val="en-US" w:eastAsia="zh-CN"/>
              </w:rPr>
              <w:t>468223】FGQB-0032号</w:t>
            </w:r>
            <w:r>
              <w:rPr>
                <w:rFonts w:hint="default" w:ascii="Times New Roman" w:hAnsi="Times New Roman" w:eastAsia="宋体" w:cs="Times New Roman"/>
                <w:color w:val="auto"/>
                <w:spacing w:val="0"/>
                <w:sz w:val="24"/>
                <w:szCs w:val="24"/>
                <w:highlight w:val="none"/>
                <w:lang w:eastAsia="zh-CN"/>
              </w:rPr>
              <w:t>”，同意本项目的建设。</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right="0" w:firstLine="482" w:firstLineChars="200"/>
              <w:textAlignment w:val="baseline"/>
              <w:rPr>
                <w:rFonts w:hint="default" w:ascii="Times New Roman" w:hAnsi="Times New Roman" w:cs="Times New Roman"/>
                <w:b/>
                <w:bCs/>
                <w:color w:val="auto"/>
                <w:spacing w:val="0"/>
                <w:sz w:val="24"/>
                <w:szCs w:val="24"/>
              </w:rPr>
            </w:pPr>
            <w:r>
              <w:rPr>
                <w:rFonts w:hint="default" w:ascii="Times New Roman" w:hAnsi="Times New Roman" w:cs="Times New Roman"/>
                <w:b/>
                <w:bCs/>
                <w:color w:val="auto"/>
                <w:spacing w:val="0"/>
                <w:sz w:val="24"/>
                <w:szCs w:val="24"/>
              </w:rPr>
              <w:t>因此，本项目建设符合国家产业政策的要求。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textAlignment w:val="baseline"/>
              <w:rPr>
                <w:rFonts w:hint="default" w:ascii="Times New Roman" w:hAnsi="Times New Roman" w:eastAsia="宋体" w:cs="Times New Roman"/>
                <w:color w:val="auto"/>
                <w:spacing w:val="0"/>
                <w:sz w:val="24"/>
                <w:szCs w:val="24"/>
              </w:rPr>
            </w:pPr>
            <w:r>
              <w:rPr>
                <w:rFonts w:hint="eastAsia" w:ascii="Times New Roman" w:hAnsi="Times New Roman" w:eastAsia="宋体" w:cs="Times New Roman"/>
                <w:b/>
                <w:bCs/>
                <w:color w:val="auto"/>
                <w:spacing w:val="0"/>
                <w:sz w:val="24"/>
                <w:szCs w:val="24"/>
                <w:lang w:val="en-US" w:eastAsia="zh-CN"/>
              </w:rPr>
              <w:t>2</w:t>
            </w:r>
            <w:r>
              <w:rPr>
                <w:rFonts w:hint="default" w:ascii="Times New Roman" w:hAnsi="Times New Roman" w:eastAsia="宋体" w:cs="Times New Roman"/>
                <w:b/>
                <w:bCs/>
                <w:color w:val="auto"/>
                <w:spacing w:val="0"/>
                <w:sz w:val="24"/>
                <w:szCs w:val="24"/>
              </w:rPr>
              <w:t xml:space="preserve"> 、本项目与《四川省长江经济带发展负面清单实施细则 (试行) 》符合性分析</w:t>
            </w:r>
          </w:p>
          <w:p>
            <w:pPr>
              <w:spacing w:before="56" w:line="373" w:lineRule="auto"/>
              <w:ind w:left="20" w:right="9" w:firstLine="1"/>
              <w:rPr>
                <w:rFonts w:ascii="宋体" w:hAnsi="宋体" w:eastAsia="宋体" w:cs="宋体"/>
                <w:sz w:val="23"/>
                <w:szCs w:val="23"/>
              </w:rPr>
            </w:pPr>
            <w:r>
              <w:rPr>
                <w:rFonts w:ascii="宋体" w:hAnsi="宋体" w:eastAsia="宋体" w:cs="宋体"/>
                <w:spacing w:val="1"/>
                <w:sz w:val="23"/>
                <w:szCs w:val="23"/>
              </w:rPr>
              <w:t>根据《四</w:t>
            </w:r>
            <w:r>
              <w:rPr>
                <w:rFonts w:ascii="宋体" w:hAnsi="宋体" w:eastAsia="宋体" w:cs="宋体"/>
                <w:sz w:val="23"/>
                <w:szCs w:val="23"/>
              </w:rPr>
              <w:t>川省长江经济带发展负面清单实施细则 (试行) 》(川长江办〔</w:t>
            </w:r>
            <w:r>
              <w:rPr>
                <w:rFonts w:ascii="Times New Roman" w:hAnsi="Times New Roman" w:eastAsia="Times New Roman" w:cs="Times New Roman"/>
                <w:sz w:val="23"/>
                <w:szCs w:val="23"/>
              </w:rPr>
              <w:t>2019</w:t>
            </w:r>
            <w:r>
              <w:rPr>
                <w:rFonts w:ascii="宋体" w:hAnsi="宋体" w:eastAsia="宋体" w:cs="宋体"/>
                <w:sz w:val="23"/>
                <w:szCs w:val="23"/>
              </w:rPr>
              <w:t>〕</w:t>
            </w:r>
            <w:r>
              <w:rPr>
                <w:rFonts w:ascii="Times New Roman" w:hAnsi="Times New Roman" w:eastAsia="Times New Roman" w:cs="Times New Roman"/>
                <w:spacing w:val="11"/>
                <w:sz w:val="23"/>
                <w:szCs w:val="23"/>
              </w:rPr>
              <w:t xml:space="preserve">8 </w:t>
            </w:r>
            <w:r>
              <w:rPr>
                <w:rFonts w:ascii="宋体" w:hAnsi="宋体" w:eastAsia="宋体" w:cs="宋体"/>
                <w:spacing w:val="11"/>
                <w:sz w:val="23"/>
                <w:szCs w:val="23"/>
              </w:rPr>
              <w:t>号) 相关标准要求，本项目与《四川省长江经济带发展负面清单实施细则 (</w:t>
            </w:r>
            <w:r>
              <w:rPr>
                <w:rFonts w:ascii="宋体" w:hAnsi="宋体" w:eastAsia="宋体" w:cs="宋体"/>
                <w:spacing w:val="4"/>
                <w:sz w:val="23"/>
                <w:szCs w:val="23"/>
              </w:rPr>
              <w:t>试</w:t>
            </w:r>
            <w:r>
              <w:rPr>
                <w:rFonts w:ascii="宋体" w:hAnsi="宋体" w:eastAsia="宋体" w:cs="宋体"/>
                <w:sz w:val="23"/>
                <w:szCs w:val="23"/>
              </w:rPr>
              <w:t xml:space="preserve"> </w:t>
            </w:r>
            <w:r>
              <w:rPr>
                <w:rFonts w:ascii="宋体" w:hAnsi="宋体" w:eastAsia="宋体" w:cs="宋体"/>
                <w:spacing w:val="4"/>
                <w:sz w:val="23"/>
                <w:szCs w:val="23"/>
              </w:rPr>
              <w:t>行)</w:t>
            </w:r>
            <w:r>
              <w:rPr>
                <w:rFonts w:ascii="宋体" w:hAnsi="宋体" w:eastAsia="宋体" w:cs="宋体"/>
                <w:spacing w:val="2"/>
                <w:sz w:val="23"/>
                <w:szCs w:val="23"/>
              </w:rPr>
              <w:t xml:space="preserve"> 》的符合性见表 </w:t>
            </w:r>
            <w:r>
              <w:rPr>
                <w:rFonts w:ascii="Times New Roman" w:hAnsi="Times New Roman" w:eastAsia="Times New Roman" w:cs="Times New Roman"/>
                <w:spacing w:val="2"/>
                <w:sz w:val="23"/>
                <w:szCs w:val="23"/>
              </w:rPr>
              <w:t>1-</w:t>
            </w:r>
            <w:r>
              <w:rPr>
                <w:rFonts w:hint="eastAsia" w:ascii="Times New Roman" w:hAnsi="Times New Roman" w:eastAsia="宋体" w:cs="Times New Roman"/>
                <w:spacing w:val="2"/>
                <w:sz w:val="23"/>
                <w:szCs w:val="23"/>
                <w:lang w:val="en-US" w:eastAsia="zh-CN"/>
              </w:rPr>
              <w:t>2</w:t>
            </w:r>
            <w:r>
              <w:rPr>
                <w:rFonts w:ascii="宋体" w:hAnsi="宋体" w:eastAsia="宋体" w:cs="宋体"/>
                <w:spacing w:val="2"/>
                <w:sz w:val="23"/>
                <w:szCs w:val="23"/>
              </w:rPr>
              <w:t>。</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430" w:firstLineChars="200"/>
              <w:jc w:val="center"/>
              <w:textAlignment w:val="baseline"/>
              <w:rPr>
                <w:rFonts w:hint="default" w:ascii="Times New Roman" w:hAnsi="Times New Roman" w:cs="Times New Roman"/>
                <w:b/>
                <w:bCs/>
                <w:color w:val="auto"/>
                <w:spacing w:val="0"/>
                <w:sz w:val="24"/>
                <w:szCs w:val="24"/>
              </w:rPr>
            </w:pPr>
            <w:r>
              <w:rPr>
                <w:rFonts w:ascii="宋体" w:hAnsi="宋体" w:eastAsia="宋体" w:cs="宋体"/>
                <w:b/>
                <w:bCs/>
                <w:spacing w:val="7"/>
                <w:sz w:val="20"/>
                <w:szCs w:val="20"/>
              </w:rPr>
              <w:t xml:space="preserve">表 </w:t>
            </w:r>
            <w:r>
              <w:rPr>
                <w:rFonts w:ascii="Times New Roman" w:hAnsi="Times New Roman" w:eastAsia="Times New Roman" w:cs="Times New Roman"/>
                <w:b/>
                <w:bCs/>
                <w:spacing w:val="7"/>
                <w:sz w:val="20"/>
                <w:szCs w:val="20"/>
              </w:rPr>
              <w:t>1-</w:t>
            </w:r>
            <w:r>
              <w:rPr>
                <w:rFonts w:hint="eastAsia" w:ascii="Times New Roman" w:hAnsi="Times New Roman" w:eastAsia="宋体" w:cs="Times New Roman"/>
                <w:b/>
                <w:bCs/>
                <w:spacing w:val="7"/>
                <w:sz w:val="20"/>
                <w:szCs w:val="20"/>
                <w:lang w:val="en-US" w:eastAsia="zh-CN"/>
              </w:rPr>
              <w:t>2</w:t>
            </w:r>
            <w:r>
              <w:rPr>
                <w:rFonts w:ascii="Times New Roman" w:hAnsi="Times New Roman" w:eastAsia="Times New Roman" w:cs="Times New Roman"/>
                <w:b/>
                <w:bCs/>
                <w:spacing w:val="7"/>
                <w:sz w:val="20"/>
                <w:szCs w:val="20"/>
              </w:rPr>
              <w:t xml:space="preserve">  </w:t>
            </w:r>
            <w:r>
              <w:rPr>
                <w:rFonts w:ascii="宋体" w:hAnsi="宋体" w:eastAsia="宋体" w:cs="宋体"/>
                <w:b/>
                <w:bCs/>
                <w:spacing w:val="7"/>
                <w:sz w:val="20"/>
                <w:szCs w:val="20"/>
              </w:rPr>
              <w:t>项目与四川省长江经济带发展负面清单实施细则 (试行</w:t>
            </w:r>
            <w:r>
              <w:rPr>
                <w:rFonts w:ascii="宋体" w:hAnsi="宋体" w:eastAsia="宋体" w:cs="宋体"/>
                <w:b/>
                <w:bCs/>
                <w:spacing w:val="6"/>
                <w:sz w:val="20"/>
                <w:szCs w:val="20"/>
              </w:rPr>
              <w:t>)</w:t>
            </w:r>
          </w:p>
          <w:tbl>
            <w:tblPr>
              <w:tblStyle w:val="39"/>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5"/>
              <w:gridCol w:w="6303"/>
              <w:gridCol w:w="1578"/>
              <w:gridCol w:w="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序号</w:t>
                  </w:r>
                </w:p>
              </w:tc>
              <w:tc>
                <w:tcPr>
                  <w:tcW w:w="3439"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规范内容</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本项目情况</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是否符合要求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1</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禁止新建、改建和扩建未纳入《全国内河航道与港口布局规划》等全国港口规划，以及《四川省内河水运发展规划》、《泸州—宜宾—乐山港口群布局规划》等省级港口布局规划及港口总体规划的码头项目。</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本项目不属于码头项目</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2</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禁止新建、改建和扩建不符合《长江干线过江通道布局规划》的过长江通道项目（含桥梁、隧道）。</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本项目不属于过江通道项目</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3</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禁止在自然保护区核心区、缓冲区的岸线和河段范围内投资建设旅游和生产经营项目。禁止在自然保护区内进行砍伐、放牧、狩猎、捕捞、采药、开垦、烧荒、开矿、采石、挖沙等活动。</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项目选址不在风景名胜区内</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4</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禁止在饮用水水源准保护区的岸线和河段范围内新建、扩建对水体污染严重的建设项目；改建建设项目不得增加排污量。禁止在饮用水水源准保护区的岸线和河段范围内设置化工原料、矿物油类及有毒有害矿产品的贮存场所，以及生活垃圾、工业固体废物和危险废物的堆放场所和转运站。</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项目选址不在饮用水保护区内</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5</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在饮用水水源二级保护区的岸线和河段范围内，除应遵守准保护区规定外，禁止新建、改建、扩建排放污染物的建设项目；禁止从事经营性取土和采石（砂）等活动；禁止从事网箱养殖、施肥养鱼等污染饮用水水体的活动；禁止铺设输送污水、油类、有毒有害物品的管道。</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项目选址不在饮用水保护区内</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6</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饮用水水源一级保护区的岸线和河段范围内，除应遵守准保护区和二级保护区规定外，禁止新建、改建、扩建与供（取）水设施和保护水源无关的项目，以及网箱养殖、旅游等可能污染饮用水水体的投资建设项目；禁止设置畜禽养殖场。</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项目选址不在饮用水保护区内</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7</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禁止在水产种质资源保护区的岸线和河段范围内新建排污口。</w:t>
                  </w:r>
                </w:p>
              </w:tc>
              <w:tc>
                <w:tcPr>
                  <w:tcW w:w="861" w:type="pct"/>
                  <w:vMerge w:val="restar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项目选址不在水产种质资源保护区内</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8</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禁止在水产种质资源保护区岸线和河段范围内围湖造田、围湖造地、挖沙采石。</w:t>
                  </w:r>
                </w:p>
              </w:tc>
              <w:tc>
                <w:tcPr>
                  <w:tcW w:w="861" w:type="pct"/>
                  <w:vMerge w:val="continue"/>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9</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禁止在国家湿地公园的岸线和河段范围内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滥采滥捕野生动植物，引入外来物种，擅自放牧、捕捞、取土、取水、排污、放生，以及其他破坏湿地及其生态功能的活动</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项目选址不在国家湿地公园保护范围内</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10</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禁止在《长江岸线保护和开发利用总体规划》划定的岸线保护区内投资建设除保障防洪安全、河势稳定、供水安全以及保护生态环境、已建重要枢纽工程以外的项目。</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项目选址不在长江岸线保护区内</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11</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禁止在《长江岸线保护和开发利用总体规划》划定的岸线保留区内投资建设除保障防洪安全、河势稳定、供水安全、航道稳定以及保护生态环境以外的项目。</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项目选址不在长江岸线保护区内</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12</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禁止在《全国重要江河湖泊水功能区划》划定的河段保护区、保留区内投资建设不利于水资源及自然生态保护的项目。</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项目选址不再全国重要江河湖泊水功能区划保护区、保留区</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13</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禁止在生态保护红线范围内投资建设除国家重大战略资源勘查项目、生态保护修复和环境治理项目、重大基础设施项目、军事国防项目以及农牧民基本生产生活等必要的民生项目以外的项目。生态保护红线原则上按禁止开发区域的要求进行管理。严禁不符合主体功能定位的各类开发活动，严禁任意改变用途。</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项目选址不在生态红线范围内</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14</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止占用永久基本农田，国家重大战略资源勘查、生态保护修复和环境治理、重大基础设施、军事国防以及农牧民基本生产生活等必要的民生项目（包括深度贫困地区、集中连片特困地区、国家扶贫开发工作重点县省级以下基础设施、易扶贫搬迁、民生发展等建设项目），选址确实难以避让永久基本农田的，按程序严格论证后依法依规报批。</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项目不占用基本农田</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15</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禁止在长江干流和主要支流（包括：岷江干流、沱江干流、赤水河干流、嘉陵江干流、雅砻江干流）1公里〔指长江干支流岸线边界（即水利部门河道管理范围边界）向陆域纵深 1 公里〕范围内新建、扩建化工园区和化工项目。</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本项目不属于化工项目</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16</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禁止在合规园区外新建、扩建钢铁、石化、化工、焦化、建材、有色等高污染项目。合规园区指列入《中国开发区审核公告目录（2018 年版）》或是由省级人民政府批准设立的园区。高污染项目应严格按照《环境保护综合名录（2017 年版）》“高污染”产品名录执行。</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本项目为</w:t>
                  </w:r>
                  <w:r>
                    <w:rPr>
                      <w:rFonts w:hint="eastAsia" w:ascii="Times New Roman" w:hAnsi="Times New Roman" w:cs="Times New Roman"/>
                      <w:bCs/>
                      <w:color w:val="000000"/>
                      <w:spacing w:val="4"/>
                      <w:sz w:val="21"/>
                      <w:szCs w:val="21"/>
                      <w:lang w:val="en-US" w:eastAsia="zh-CN"/>
                    </w:rPr>
                    <w:t>河道综合整治工程</w:t>
                  </w:r>
                  <w:r>
                    <w:rPr>
                      <w:rFonts w:hint="default" w:ascii="Times New Roman" w:hAnsi="Times New Roman" w:cs="Times New Roman"/>
                      <w:bCs/>
                      <w:color w:val="000000"/>
                      <w:spacing w:val="4"/>
                      <w:sz w:val="21"/>
                      <w:szCs w:val="21"/>
                    </w:rPr>
                    <w:t>，不属于钢铁、石化、化工、焦化、建材、有色等高污染项目。</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17</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禁止新建、扩建不符合国家石化、现代煤化工等产业布局规划（包括但不限于《石化产业规划布局方案（修订版）》《现代煤化工产业创新发展布局方案》）的项目</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本项目不属于石化、现代煤化工项目</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18</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新建乙烯、对二甲苯（PX）、二苯基甲烷二异氰酸酯（MDI）项目由省政府投资主管部门按照国家批准的石化产业规划布局方案核准。未列入国家批准的相关规划的新建乙烯、对二甲苯（PX）、二苯基甲烷二异氰酸酯（MDI）项目，禁止建设。</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项目不属于石化产业</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19</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本项目不属于法律法规和相关政策明令禁止的落后产能项目</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20</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禁止新建、扩建不符合国家产能置换要求的严重过剩产能行业的项目。对于不符合国家产能置换要求的严重过剩产能行业，不得以其他任何名义、任何方式备案新增产能项目</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本项目不属于严重过剩产能行业的项目</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4"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21</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禁止新建和改扩建后产能低于30万吨/年的煤矿</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项目不属于煤矿项目</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254"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22</w:t>
                  </w:r>
                </w:p>
              </w:tc>
              <w:tc>
                <w:tcPr>
                  <w:tcW w:w="3439" w:type="pct"/>
                  <w:tcBorders>
                    <w:tl2br w:val="nil"/>
                    <w:tr2bl w:val="nil"/>
                  </w:tcBorders>
                  <w:noWrap w:val="0"/>
                  <w:vAlign w:val="center"/>
                </w:tcPr>
                <w:p>
                  <w:pPr>
                    <w:snapToGrid w:val="0"/>
                    <w:spacing w:line="240" w:lineRule="auto"/>
                    <w:jc w:val="left"/>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禁止建设以下燃油汽车投资项目（不在中国境内销售产品的投资项目除外）：（一）新建独立燃油汽车企业；（二）现有汽车企业跨乘用车、商用车类别建设燃油汽车生产能力；（三）外省现有燃油汽车企业整体搬迁至本省（列入国家级区域发展规划或不改变企业股权结构的项目除外）；（四）对行业管理部门特别公示的燃油汽车企业进行投资（企业原有股东投资或将该企业转为非独立法人的投资项目除外）。</w:t>
                  </w:r>
                </w:p>
              </w:tc>
              <w:tc>
                <w:tcPr>
                  <w:tcW w:w="861"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项目不属于燃油汽车项目</w:t>
                  </w:r>
                </w:p>
              </w:tc>
              <w:tc>
                <w:tcPr>
                  <w:tcW w:w="445" w:type="pct"/>
                  <w:tcBorders>
                    <w:tl2br w:val="nil"/>
                    <w:tr2bl w:val="nil"/>
                  </w:tcBorders>
                  <w:noWrap w:val="0"/>
                  <w:vAlign w:val="center"/>
                </w:tcPr>
                <w:p>
                  <w:pPr>
                    <w:snapToGrid w:val="0"/>
                    <w:spacing w:line="240" w:lineRule="auto"/>
                    <w:jc w:val="center"/>
                    <w:rPr>
                      <w:rFonts w:hint="default" w:ascii="Times New Roman" w:hAnsi="Times New Roman" w:cs="Times New Roman"/>
                      <w:bCs/>
                      <w:color w:val="000000"/>
                      <w:spacing w:val="4"/>
                      <w:sz w:val="21"/>
                      <w:szCs w:val="21"/>
                    </w:rPr>
                  </w:pPr>
                  <w:r>
                    <w:rPr>
                      <w:rFonts w:hint="default" w:ascii="Times New Roman" w:hAnsi="Times New Roman" w:cs="Times New Roman"/>
                      <w:bCs/>
                      <w:color w:val="000000"/>
                      <w:spacing w:val="4"/>
                      <w:sz w:val="21"/>
                      <w:szCs w:val="21"/>
                    </w:rPr>
                    <w:t>符合</w:t>
                  </w:r>
                </w:p>
              </w:tc>
            </w:tr>
          </w:tbl>
          <w:p>
            <w:pPr>
              <w:keepNext w:val="0"/>
              <w:keepLines w:val="0"/>
              <w:pageBreakBefore w:val="0"/>
              <w:widowControl w:val="0"/>
              <w:numPr>
                <w:ilvl w:val="0"/>
                <w:numId w:val="9"/>
              </w:numPr>
              <w:kinsoku/>
              <w:wordWrap/>
              <w:overflowPunct/>
              <w:topLinePunct w:val="0"/>
              <w:autoSpaceDE w:val="0"/>
              <w:autoSpaceDN w:val="0"/>
              <w:bidi w:val="0"/>
              <w:adjustRightInd w:val="0"/>
              <w:snapToGrid w:val="0"/>
              <w:spacing w:line="360" w:lineRule="auto"/>
              <w:ind w:firstLine="482" w:firstLineChars="200"/>
              <w:textAlignment w:val="baseline"/>
              <w:rPr>
                <w:rFonts w:hint="default" w:ascii="Times New Roman" w:hAnsi="Times New Roman" w:eastAsia="宋体" w:cs="Times New Roman"/>
                <w:b/>
                <w:bCs/>
                <w:color w:val="auto"/>
                <w:spacing w:val="0"/>
                <w:sz w:val="24"/>
                <w:szCs w:val="24"/>
                <w:lang w:val="en-US" w:eastAsia="zh-CN"/>
              </w:rPr>
            </w:pPr>
            <w:r>
              <w:rPr>
                <w:rFonts w:hint="default" w:ascii="Times New Roman" w:hAnsi="Times New Roman" w:eastAsia="宋体" w:cs="Times New Roman"/>
                <w:b/>
                <w:bCs/>
                <w:color w:val="auto"/>
                <w:spacing w:val="0"/>
                <w:sz w:val="24"/>
                <w:szCs w:val="24"/>
                <w:lang w:val="en-US" w:eastAsia="zh-CN"/>
              </w:rPr>
              <w:t>与《长江经济带发展负面清单指南（试行）2022年版》相符性分析</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pacing w:val="0"/>
                <w:sz w:val="21"/>
                <w:szCs w:val="21"/>
                <w:lang w:val="en-US" w:eastAsia="zh-CN"/>
              </w:rPr>
            </w:pPr>
            <w:r>
              <w:rPr>
                <w:rFonts w:hint="eastAsia" w:ascii="Times New Roman" w:hAnsi="Times New Roman" w:eastAsia="宋体" w:cs="Times New Roman"/>
                <w:b/>
                <w:bCs/>
                <w:color w:val="auto"/>
                <w:spacing w:val="0"/>
                <w:sz w:val="21"/>
                <w:szCs w:val="21"/>
                <w:lang w:val="en-US" w:eastAsia="zh-CN"/>
              </w:rPr>
              <w:t>表1-3  项目与</w:t>
            </w:r>
            <w:r>
              <w:rPr>
                <w:rFonts w:hint="default" w:ascii="Times New Roman" w:hAnsi="Times New Roman" w:eastAsia="宋体" w:cs="Times New Roman"/>
                <w:b/>
                <w:bCs/>
                <w:color w:val="auto"/>
                <w:spacing w:val="0"/>
                <w:sz w:val="21"/>
                <w:szCs w:val="21"/>
                <w:lang w:val="en-US" w:eastAsia="zh-CN"/>
              </w:rPr>
              <w:t>《长江经济带发展负面清单指南》</w:t>
            </w:r>
            <w:r>
              <w:rPr>
                <w:rFonts w:hint="eastAsia" w:ascii="Times New Roman" w:hAnsi="Times New Roman" w:eastAsia="宋体" w:cs="Times New Roman"/>
                <w:b/>
                <w:bCs/>
                <w:color w:val="auto"/>
                <w:spacing w:val="0"/>
                <w:sz w:val="21"/>
                <w:szCs w:val="21"/>
                <w:lang w:val="en-US" w:eastAsia="zh-CN"/>
              </w:rPr>
              <w:t>符合性分析</w:t>
            </w:r>
          </w:p>
          <w:tbl>
            <w:tblPr>
              <w:tblStyle w:val="39"/>
              <w:tblW w:w="499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50"/>
              <w:gridCol w:w="6099"/>
              <w:gridCol w:w="1336"/>
              <w:gridCol w:w="107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55"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序号</w:t>
                  </w:r>
                </w:p>
              </w:tc>
              <w:tc>
                <w:tcPr>
                  <w:tcW w:w="33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w w:val="95"/>
                      <w:sz w:val="21"/>
                      <w:szCs w:val="21"/>
                    </w:rPr>
                    <w:t>负面清单</w:t>
                  </w:r>
                </w:p>
              </w:tc>
              <w:tc>
                <w:tcPr>
                  <w:tcW w:w="7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w w:val="95"/>
                      <w:sz w:val="21"/>
                      <w:szCs w:val="21"/>
                    </w:rPr>
                    <w:t>符合性分析</w:t>
                  </w:r>
                </w:p>
              </w:tc>
              <w:tc>
                <w:tcPr>
                  <w:tcW w:w="586"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w w:val="95"/>
                      <w:sz w:val="21"/>
                      <w:szCs w:val="21"/>
                    </w:rPr>
                    <w:t>是否符合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55"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w:t>
                  </w:r>
                </w:p>
              </w:tc>
              <w:tc>
                <w:tcPr>
                  <w:tcW w:w="33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禁止建设不符合全国和省级港口布局规划以及港口总体规划的码头项目，禁止建设不符合《长江干线过江通道布局规划》的过长江通道项目。</w:t>
                  </w:r>
                </w:p>
              </w:tc>
              <w:tc>
                <w:tcPr>
                  <w:tcW w:w="7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rPr>
                    <w:t>本项目</w:t>
                  </w:r>
                  <w:r>
                    <w:rPr>
                      <w:rFonts w:hint="default" w:ascii="Times New Roman" w:hAnsi="Times New Roman" w:eastAsia="宋体" w:cs="Times New Roman"/>
                      <w:color w:val="auto"/>
                      <w:spacing w:val="0"/>
                      <w:sz w:val="21"/>
                      <w:szCs w:val="21"/>
                      <w:lang w:eastAsia="zh-CN"/>
                    </w:rPr>
                    <w:t>不涉及码头建设，不属于过江项目</w:t>
                  </w:r>
                </w:p>
              </w:tc>
              <w:tc>
                <w:tcPr>
                  <w:tcW w:w="586"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55"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w:t>
                  </w:r>
                </w:p>
              </w:tc>
              <w:tc>
                <w:tcPr>
                  <w:tcW w:w="33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禁止在自然保护区核心区、缓冲区的岸线和河段范围内投资建设旅游和生产经营项目。禁止在风景名胜区核心景区的岸线和河段范围内投资建设与风景名胜资源保护无关的项目。</w:t>
                  </w:r>
                </w:p>
              </w:tc>
              <w:tc>
                <w:tcPr>
                  <w:tcW w:w="7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eastAsia="zh-CN"/>
                    </w:rPr>
                    <w:t>本项目不涉及风景名胜区</w:t>
                  </w:r>
                </w:p>
              </w:tc>
              <w:tc>
                <w:tcPr>
                  <w:tcW w:w="586"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55"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3</w:t>
                  </w:r>
                </w:p>
              </w:tc>
              <w:tc>
                <w:tcPr>
                  <w:tcW w:w="33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w:t>
                  </w:r>
                </w:p>
              </w:tc>
              <w:tc>
                <w:tcPr>
                  <w:tcW w:w="7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本项目不涉及</w:t>
                  </w:r>
                  <w:r>
                    <w:rPr>
                      <w:rFonts w:hint="default" w:ascii="Times New Roman" w:hAnsi="Times New Roman" w:eastAsia="宋体" w:cs="Times New Roman"/>
                      <w:color w:val="auto"/>
                      <w:spacing w:val="0"/>
                      <w:sz w:val="21"/>
                      <w:szCs w:val="21"/>
                    </w:rPr>
                    <w:t>饮用水源准保护区</w:t>
                  </w:r>
                </w:p>
              </w:tc>
              <w:tc>
                <w:tcPr>
                  <w:tcW w:w="586"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55"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4</w:t>
                  </w:r>
                </w:p>
              </w:tc>
              <w:tc>
                <w:tcPr>
                  <w:tcW w:w="33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禁止在水产种质资源保护区的岸线和河段范围内新建围湖造田、围海造地或围填海等投资建设项目。禁止在国家湿地公园的岸线和河段范围内挖沙、采矿，以及任何不符合主体功能定位的投资建设项目。</w:t>
                  </w:r>
                </w:p>
              </w:tc>
              <w:tc>
                <w:tcPr>
                  <w:tcW w:w="7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本项目不涉及</w:t>
                  </w:r>
                  <w:r>
                    <w:rPr>
                      <w:rFonts w:hint="default" w:ascii="Times New Roman" w:hAnsi="Times New Roman" w:eastAsia="宋体" w:cs="Times New Roman"/>
                      <w:color w:val="auto"/>
                      <w:spacing w:val="0"/>
                      <w:sz w:val="21"/>
                      <w:szCs w:val="21"/>
                    </w:rPr>
                    <w:t>水产种质资源保护区</w:t>
                  </w:r>
                  <w:r>
                    <w:rPr>
                      <w:rFonts w:hint="default" w:ascii="Times New Roman" w:hAnsi="Times New Roman" w:eastAsia="宋体" w:cs="Times New Roman"/>
                      <w:color w:val="auto"/>
                      <w:spacing w:val="0"/>
                      <w:sz w:val="21"/>
                      <w:szCs w:val="21"/>
                      <w:lang w:eastAsia="zh-CN"/>
                    </w:rPr>
                    <w:t>，不涉及</w:t>
                  </w:r>
                  <w:r>
                    <w:rPr>
                      <w:rFonts w:hint="default" w:ascii="Times New Roman" w:hAnsi="Times New Roman" w:eastAsia="宋体" w:cs="Times New Roman"/>
                      <w:color w:val="auto"/>
                      <w:spacing w:val="0"/>
                      <w:sz w:val="21"/>
                      <w:szCs w:val="21"/>
                    </w:rPr>
                    <w:t>国家湿地公园</w:t>
                  </w:r>
                </w:p>
              </w:tc>
              <w:tc>
                <w:tcPr>
                  <w:tcW w:w="586"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55"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5</w:t>
                  </w:r>
                </w:p>
              </w:tc>
              <w:tc>
                <w:tcPr>
                  <w:tcW w:w="33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在《全国重要江河湖泊水功能区划》划定的河段及湖泊保护区、保留区内投资建设不利于水资源及自然生态保护的项目。</w:t>
                  </w:r>
                </w:p>
              </w:tc>
              <w:tc>
                <w:tcPr>
                  <w:tcW w:w="7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本项目属于</w:t>
                  </w:r>
                  <w:r>
                    <w:rPr>
                      <w:rFonts w:hint="eastAsia" w:ascii="Times New Roman" w:hAnsi="Times New Roman" w:eastAsia="宋体" w:cs="Times New Roman"/>
                      <w:color w:val="auto"/>
                      <w:spacing w:val="0"/>
                      <w:sz w:val="21"/>
                      <w:szCs w:val="21"/>
                      <w:lang w:val="en-US" w:eastAsia="zh-CN"/>
                    </w:rPr>
                    <w:t>河道</w:t>
                  </w:r>
                  <w:r>
                    <w:rPr>
                      <w:rFonts w:hint="eastAsia" w:ascii="Times New Roman" w:hAnsi="Times New Roman" w:eastAsia="宋体" w:cs="Times New Roman"/>
                      <w:color w:val="auto"/>
                      <w:spacing w:val="0"/>
                      <w:sz w:val="21"/>
                      <w:szCs w:val="21"/>
                      <w:lang w:eastAsia="zh-CN"/>
                    </w:rPr>
                    <w:t>综合整治工程</w:t>
                  </w:r>
                </w:p>
              </w:tc>
              <w:tc>
                <w:tcPr>
                  <w:tcW w:w="586"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55"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6</w:t>
                  </w:r>
                </w:p>
              </w:tc>
              <w:tc>
                <w:tcPr>
                  <w:tcW w:w="33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禁止未经许可在长江干支流及湖泊新设、改设或扩大排污口。</w:t>
                  </w:r>
                </w:p>
              </w:tc>
              <w:tc>
                <w:tcPr>
                  <w:tcW w:w="7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本项目不涉及</w:t>
                  </w:r>
                  <w:r>
                    <w:rPr>
                      <w:rFonts w:hint="default" w:ascii="Times New Roman" w:hAnsi="Times New Roman" w:eastAsia="宋体" w:cs="Times New Roman"/>
                      <w:color w:val="auto"/>
                      <w:spacing w:val="0"/>
                      <w:sz w:val="21"/>
                      <w:szCs w:val="21"/>
                    </w:rPr>
                    <w:t>排污口</w:t>
                  </w:r>
                </w:p>
              </w:tc>
              <w:tc>
                <w:tcPr>
                  <w:tcW w:w="586"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55"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7</w:t>
                  </w:r>
                </w:p>
              </w:tc>
              <w:tc>
                <w:tcPr>
                  <w:tcW w:w="33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禁止在“一江一口两湖七河”和332个水生生物保护区开展生产性捕捞。</w:t>
                  </w:r>
                </w:p>
              </w:tc>
              <w:tc>
                <w:tcPr>
                  <w:tcW w:w="7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eastAsia="zh-CN"/>
                    </w:rPr>
                    <w:t>本项目不涉及捕捞</w:t>
                  </w:r>
                </w:p>
              </w:tc>
              <w:tc>
                <w:tcPr>
                  <w:tcW w:w="586"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55"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8</w:t>
                  </w:r>
                </w:p>
              </w:tc>
              <w:tc>
                <w:tcPr>
                  <w:tcW w:w="33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禁止在长江干支流、重要湖泊岸线一公里范围内新建、扩建化工园区和化工项目。禁止在长江干流岸线三公里范围内和重要支流岸线一公里范围内新建、改建、扩建尾矿库、冶炼渣库和磷石膏库，以提升安全、生态环境保护水平为目的的改建除外。</w:t>
                  </w:r>
                </w:p>
              </w:tc>
              <w:tc>
                <w:tcPr>
                  <w:tcW w:w="7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本项目不属于</w:t>
                  </w:r>
                  <w:r>
                    <w:rPr>
                      <w:rFonts w:hint="default" w:ascii="Times New Roman" w:hAnsi="Times New Roman" w:eastAsia="宋体" w:cs="Times New Roman"/>
                      <w:color w:val="auto"/>
                      <w:spacing w:val="0"/>
                      <w:sz w:val="21"/>
                      <w:szCs w:val="21"/>
                    </w:rPr>
                    <w:t>化工尾矿库</w:t>
                  </w:r>
                  <w:r>
                    <w:rPr>
                      <w:rFonts w:hint="default" w:ascii="Times New Roman" w:hAnsi="Times New Roman" w:eastAsia="宋体" w:cs="Times New Roman"/>
                      <w:color w:val="auto"/>
                      <w:spacing w:val="0"/>
                      <w:sz w:val="21"/>
                      <w:szCs w:val="21"/>
                      <w:lang w:eastAsia="zh-CN"/>
                    </w:rPr>
                    <w:t>等</w:t>
                  </w:r>
                  <w:r>
                    <w:rPr>
                      <w:rFonts w:hint="default" w:ascii="Times New Roman" w:hAnsi="Times New Roman" w:eastAsia="宋体" w:cs="Times New Roman"/>
                      <w:color w:val="auto"/>
                      <w:spacing w:val="0"/>
                      <w:sz w:val="21"/>
                      <w:szCs w:val="21"/>
                    </w:rPr>
                    <w:t>项目</w:t>
                  </w:r>
                </w:p>
              </w:tc>
              <w:tc>
                <w:tcPr>
                  <w:tcW w:w="586"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55"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w:t>
                  </w:r>
                </w:p>
              </w:tc>
              <w:tc>
                <w:tcPr>
                  <w:tcW w:w="33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禁止在合规园区外新建、</w:t>
                  </w:r>
                  <w:r>
                    <w:rPr>
                      <w:rFonts w:hint="eastAsia" w:ascii="Times New Roman" w:hAnsi="Times New Roman" w:eastAsia="宋体" w:cs="Times New Roman"/>
                      <w:color w:val="auto"/>
                      <w:spacing w:val="0"/>
                      <w:sz w:val="21"/>
                      <w:szCs w:val="21"/>
                      <w:lang w:eastAsia="zh-CN"/>
                    </w:rPr>
                    <w:t>扩建</w:t>
                  </w:r>
                  <w:r>
                    <w:rPr>
                      <w:rFonts w:hint="default" w:ascii="Times New Roman" w:hAnsi="Times New Roman" w:eastAsia="宋体" w:cs="Times New Roman"/>
                      <w:color w:val="auto"/>
                      <w:spacing w:val="0"/>
                      <w:sz w:val="21"/>
                      <w:szCs w:val="21"/>
                    </w:rPr>
                    <w:t>钢铁、石化、化工、焦化、建材、有色、制浆造纸等高污染项目。</w:t>
                  </w:r>
                </w:p>
              </w:tc>
              <w:tc>
                <w:tcPr>
                  <w:tcW w:w="7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eastAsia="zh-CN"/>
                    </w:rPr>
                    <w:t>本项目不涉及</w:t>
                  </w:r>
                </w:p>
              </w:tc>
              <w:tc>
                <w:tcPr>
                  <w:tcW w:w="586"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55"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10</w:t>
                  </w:r>
                </w:p>
              </w:tc>
              <w:tc>
                <w:tcPr>
                  <w:tcW w:w="33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禁止新建、扩建不符合国家石化、现代煤化工等产业布局规划的项目。</w:t>
                  </w:r>
                </w:p>
              </w:tc>
              <w:tc>
                <w:tcPr>
                  <w:tcW w:w="7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eastAsia="zh-CN"/>
                    </w:rPr>
                    <w:t>本项目不涉及</w:t>
                  </w:r>
                </w:p>
              </w:tc>
              <w:tc>
                <w:tcPr>
                  <w:tcW w:w="586"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55"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11</w:t>
                  </w:r>
                </w:p>
              </w:tc>
              <w:tc>
                <w:tcPr>
                  <w:tcW w:w="33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1禁止新建、扩建法律法规和相关政策明令禁止的落后产能项目。禁止新建、扩建不符合国家产能置换要求的严重过剩产能行业的项目。禁止新建、扩建不符合要求的高耗能高排放项目。</w:t>
                  </w:r>
                </w:p>
              </w:tc>
              <w:tc>
                <w:tcPr>
                  <w:tcW w:w="729"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eastAsia="zh-CN"/>
                    </w:rPr>
                    <w:t>本项目</w:t>
                  </w:r>
                  <w:r>
                    <w:rPr>
                      <w:rFonts w:hint="eastAsia" w:eastAsia="宋体" w:cs="Times New Roman"/>
                      <w:color w:val="auto"/>
                      <w:spacing w:val="0"/>
                      <w:sz w:val="21"/>
                      <w:szCs w:val="21"/>
                      <w:lang w:val="en-US" w:eastAsia="zh-CN"/>
                    </w:rPr>
                    <w:t>不涉及</w:t>
                  </w:r>
                </w:p>
              </w:tc>
              <w:tc>
                <w:tcPr>
                  <w:tcW w:w="586" w:type="pct"/>
                  <w:noWrap w:val="0"/>
                  <w:vAlign w:val="center"/>
                </w:tcPr>
                <w:p>
                  <w:pPr>
                    <w:pStyle w:val="155"/>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textAlignment w:val="auto"/>
              <w:rPr>
                <w:rFonts w:hint="default" w:ascii="Times New Roman" w:hAnsi="Times New Roman" w:cs="Times New Roman"/>
                <w:b/>
                <w:bCs/>
                <w:color w:val="auto"/>
                <w:spacing w:val="0"/>
                <w:sz w:val="24"/>
                <w:szCs w:val="24"/>
                <w:lang w:eastAsia="zh-CN"/>
              </w:rPr>
            </w:pPr>
            <w:r>
              <w:rPr>
                <w:rFonts w:hint="default" w:ascii="Times New Roman" w:hAnsi="Times New Roman" w:cs="Times New Roman"/>
                <w:b/>
                <w:bCs/>
                <w:color w:val="auto"/>
                <w:spacing w:val="0"/>
                <w:sz w:val="24"/>
                <w:szCs w:val="24"/>
                <w:lang w:eastAsia="zh-CN"/>
              </w:rPr>
              <w:t>综上所述，本项目不属于</w:t>
            </w:r>
            <w:r>
              <w:rPr>
                <w:rFonts w:hint="default" w:ascii="Times New Roman" w:hAnsi="Times New Roman" w:cs="Times New Roman"/>
                <w:b/>
                <w:bCs/>
                <w:color w:val="auto"/>
                <w:spacing w:val="0"/>
                <w:sz w:val="24"/>
                <w:szCs w:val="24"/>
                <w:lang w:val="en-US" w:eastAsia="zh-CN"/>
              </w:rPr>
              <w:t>《长江经济带发展负面清单指南（试行）2022年版》中禁止类项目。</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right="0" w:firstLine="482" w:firstLineChars="200"/>
              <w:textAlignment w:val="auto"/>
              <w:rPr>
                <w:rFonts w:hint="default" w:ascii="Times New Roman" w:hAnsi="Times New Roman" w:cs="Times New Roman"/>
                <w:b/>
                <w:bCs/>
                <w:color w:val="auto"/>
                <w:spacing w:val="0"/>
                <w:sz w:val="24"/>
                <w:szCs w:val="24"/>
                <w:lang w:val="en-US" w:eastAsia="zh-CN"/>
              </w:rPr>
            </w:pPr>
            <w:r>
              <w:rPr>
                <w:rFonts w:hint="eastAsia" w:ascii="Times New Roman" w:hAnsi="Times New Roman" w:cs="Times New Roman"/>
                <w:b/>
                <w:bCs/>
                <w:color w:val="auto"/>
                <w:spacing w:val="0"/>
                <w:sz w:val="24"/>
                <w:szCs w:val="24"/>
                <w:lang w:val="en-US" w:eastAsia="zh-CN"/>
              </w:rPr>
              <w:t>4、</w:t>
            </w:r>
            <w:r>
              <w:rPr>
                <w:rFonts w:hint="default" w:ascii="Times New Roman" w:hAnsi="Times New Roman" w:cs="Times New Roman"/>
                <w:b/>
                <w:bCs/>
                <w:color w:val="auto"/>
                <w:spacing w:val="0"/>
                <w:sz w:val="24"/>
                <w:szCs w:val="24"/>
                <w:lang w:val="en-US" w:eastAsia="zh-CN"/>
              </w:rPr>
              <w:t>与“三线一单”管控要求的符合性分析</w:t>
            </w:r>
          </w:p>
          <w:p>
            <w:pPr>
              <w:keepNext w:val="0"/>
              <w:keepLines w:val="0"/>
              <w:pageBreakBefore w:val="0"/>
              <w:widowControl w:val="0"/>
              <w:kinsoku/>
              <w:wordWrap/>
              <w:overflowPunct/>
              <w:topLinePunct w:val="0"/>
              <w:bidi w:val="0"/>
              <w:spacing w:line="360" w:lineRule="auto"/>
              <w:ind w:left="0" w:right="0" w:firstLine="536" w:firstLineChars="200"/>
              <w:textAlignment w:val="auto"/>
              <w:rPr>
                <w:rFonts w:ascii="宋体" w:hAnsi="宋体" w:eastAsia="宋体" w:cs="宋体"/>
                <w:sz w:val="24"/>
                <w:szCs w:val="24"/>
              </w:rPr>
            </w:pPr>
            <w:r>
              <w:rPr>
                <w:rFonts w:ascii="宋体" w:hAnsi="宋体" w:eastAsia="宋体" w:cs="宋体"/>
                <w:spacing w:val="14"/>
                <w:sz w:val="24"/>
                <w:szCs w:val="24"/>
              </w:rPr>
              <w:t>为</w:t>
            </w:r>
            <w:r>
              <w:rPr>
                <w:rFonts w:ascii="宋体" w:hAnsi="宋体" w:eastAsia="宋体" w:cs="宋体"/>
                <w:spacing w:val="10"/>
                <w:sz w:val="24"/>
                <w:szCs w:val="24"/>
              </w:rPr>
              <w:t>深入贯彻习近平生态文明思想，落实党中央、国务院和省委、省政府关于</w:t>
            </w:r>
            <w:r>
              <w:rPr>
                <w:rFonts w:ascii="宋体" w:hAnsi="宋体" w:eastAsia="宋体" w:cs="宋体"/>
                <w:sz w:val="24"/>
                <w:szCs w:val="24"/>
              </w:rPr>
              <w:t xml:space="preserve"> </w:t>
            </w:r>
            <w:r>
              <w:rPr>
                <w:rFonts w:ascii="宋体" w:hAnsi="宋体" w:eastAsia="宋体" w:cs="宋体"/>
                <w:spacing w:val="17"/>
                <w:sz w:val="24"/>
                <w:szCs w:val="24"/>
              </w:rPr>
              <w:t>全</w:t>
            </w:r>
            <w:r>
              <w:rPr>
                <w:rFonts w:ascii="宋体" w:hAnsi="宋体" w:eastAsia="宋体" w:cs="宋体"/>
                <w:spacing w:val="10"/>
                <w:sz w:val="24"/>
                <w:szCs w:val="24"/>
              </w:rPr>
              <w:t>面加强生态环境保护深入打好污染防治攻坚战的重大决策部署，推动全市生态</w:t>
            </w:r>
            <w:r>
              <w:rPr>
                <w:rFonts w:ascii="宋体" w:hAnsi="宋体" w:eastAsia="宋体" w:cs="宋体"/>
                <w:sz w:val="24"/>
                <w:szCs w:val="24"/>
              </w:rPr>
              <w:t xml:space="preserve"> </w:t>
            </w:r>
            <w:r>
              <w:rPr>
                <w:rFonts w:ascii="宋体" w:hAnsi="宋体" w:eastAsia="宋体" w:cs="宋体"/>
                <w:spacing w:val="17"/>
                <w:sz w:val="24"/>
                <w:szCs w:val="24"/>
              </w:rPr>
              <w:t>环</w:t>
            </w:r>
            <w:r>
              <w:rPr>
                <w:rFonts w:ascii="宋体" w:hAnsi="宋体" w:eastAsia="宋体" w:cs="宋体"/>
                <w:spacing w:val="10"/>
                <w:sz w:val="24"/>
                <w:szCs w:val="24"/>
              </w:rPr>
              <w:t>境质量持续改善和经济社会高质量发展，现就落实生态保护红线、环境质量底</w:t>
            </w:r>
            <w:r>
              <w:rPr>
                <w:rFonts w:ascii="宋体" w:hAnsi="宋体" w:eastAsia="宋体" w:cs="宋体"/>
                <w:spacing w:val="17"/>
                <w:sz w:val="24"/>
                <w:szCs w:val="24"/>
              </w:rPr>
              <w:t>线</w:t>
            </w:r>
            <w:r>
              <w:rPr>
                <w:rFonts w:ascii="宋体" w:hAnsi="宋体" w:eastAsia="宋体" w:cs="宋体"/>
                <w:spacing w:val="10"/>
                <w:sz w:val="24"/>
                <w:szCs w:val="24"/>
              </w:rPr>
              <w:t>、资源利用上线，制定生态环境准入清单。乐山市人民政府发布了《乐山市人</w:t>
            </w:r>
            <w:r>
              <w:rPr>
                <w:rFonts w:ascii="宋体" w:hAnsi="宋体" w:eastAsia="宋体" w:cs="宋体"/>
                <w:spacing w:val="17"/>
                <w:sz w:val="24"/>
                <w:szCs w:val="24"/>
              </w:rPr>
              <w:t>民</w:t>
            </w:r>
            <w:r>
              <w:rPr>
                <w:rFonts w:ascii="宋体" w:hAnsi="宋体" w:eastAsia="宋体" w:cs="宋体"/>
                <w:spacing w:val="10"/>
                <w:sz w:val="24"/>
                <w:szCs w:val="24"/>
              </w:rPr>
              <w:t>政府关于落实生态保护红线、环境质量底线、资源利用上限制定生态环境准入</w:t>
            </w:r>
            <w:r>
              <w:rPr>
                <w:rFonts w:ascii="宋体" w:hAnsi="宋体" w:eastAsia="宋体" w:cs="宋体"/>
                <w:sz w:val="24"/>
                <w:szCs w:val="24"/>
              </w:rPr>
              <w:t xml:space="preserve"> </w:t>
            </w:r>
            <w:r>
              <w:rPr>
                <w:rFonts w:ascii="宋体" w:hAnsi="宋体" w:eastAsia="宋体" w:cs="宋体"/>
                <w:spacing w:val="14"/>
                <w:sz w:val="24"/>
                <w:szCs w:val="24"/>
              </w:rPr>
              <w:t>清单</w:t>
            </w:r>
            <w:r>
              <w:rPr>
                <w:rFonts w:ascii="宋体" w:hAnsi="宋体" w:eastAsia="宋体" w:cs="宋体"/>
                <w:spacing w:val="8"/>
                <w:sz w:val="24"/>
                <w:szCs w:val="24"/>
              </w:rPr>
              <w:t>实</w:t>
            </w:r>
            <w:r>
              <w:rPr>
                <w:rFonts w:ascii="宋体" w:hAnsi="宋体" w:eastAsia="宋体" w:cs="宋体"/>
                <w:spacing w:val="7"/>
                <w:sz w:val="24"/>
                <w:szCs w:val="24"/>
              </w:rPr>
              <w:t>施生态环境分区管控的通知》(乐府发〔</w:t>
            </w:r>
            <w:r>
              <w:rPr>
                <w:rFonts w:ascii="Times New Roman" w:hAnsi="Times New Roman" w:eastAsia="Times New Roman" w:cs="Times New Roman"/>
                <w:spacing w:val="7"/>
                <w:sz w:val="24"/>
                <w:szCs w:val="24"/>
              </w:rPr>
              <w:t>2021</w:t>
            </w:r>
            <w:r>
              <w:rPr>
                <w:rFonts w:ascii="宋体" w:hAnsi="宋体" w:eastAsia="宋体" w:cs="宋体"/>
                <w:spacing w:val="7"/>
                <w:sz w:val="24"/>
                <w:szCs w:val="24"/>
              </w:rPr>
              <w:t>〕</w:t>
            </w:r>
            <w:r>
              <w:rPr>
                <w:rFonts w:ascii="Times New Roman" w:hAnsi="Times New Roman" w:eastAsia="Times New Roman" w:cs="Times New Roman"/>
                <w:spacing w:val="7"/>
                <w:sz w:val="24"/>
                <w:szCs w:val="24"/>
              </w:rPr>
              <w:t>7</w:t>
            </w:r>
            <w:r>
              <w:rPr>
                <w:rFonts w:ascii="宋体" w:hAnsi="宋体" w:eastAsia="宋体" w:cs="宋体"/>
                <w:spacing w:val="7"/>
                <w:sz w:val="24"/>
                <w:szCs w:val="24"/>
              </w:rPr>
              <w:t>号) ，本项目与其符合</w:t>
            </w:r>
            <w:r>
              <w:rPr>
                <w:rFonts w:ascii="宋体" w:hAnsi="宋体" w:eastAsia="宋体" w:cs="宋体"/>
                <w:spacing w:val="10"/>
                <w:sz w:val="24"/>
                <w:szCs w:val="24"/>
              </w:rPr>
              <w:t>性</w:t>
            </w:r>
            <w:r>
              <w:rPr>
                <w:rFonts w:ascii="宋体" w:hAnsi="宋体" w:eastAsia="宋体" w:cs="宋体"/>
                <w:spacing w:val="6"/>
                <w:sz w:val="24"/>
                <w:szCs w:val="24"/>
              </w:rPr>
              <w:t>分析如下：</w:t>
            </w:r>
          </w:p>
          <w:p>
            <w:pPr>
              <w:keepNext w:val="0"/>
              <w:keepLines w:val="0"/>
              <w:pageBreakBefore w:val="0"/>
              <w:widowControl w:val="0"/>
              <w:kinsoku/>
              <w:wordWrap/>
              <w:overflowPunct/>
              <w:topLinePunct w:val="0"/>
              <w:bidi w:val="0"/>
              <w:spacing w:line="360" w:lineRule="auto"/>
              <w:ind w:left="0" w:right="0" w:firstLine="526" w:firstLineChars="200"/>
              <w:textAlignment w:val="auto"/>
              <w:rPr>
                <w:rFonts w:ascii="宋体" w:hAnsi="宋体" w:eastAsia="宋体" w:cs="宋体"/>
                <w:b/>
                <w:bCs/>
                <w:sz w:val="24"/>
                <w:szCs w:val="24"/>
              </w:rPr>
            </w:pPr>
            <w:r>
              <w:rPr>
                <w:rFonts w:ascii="宋体" w:hAnsi="宋体" w:eastAsia="宋体" w:cs="宋体"/>
                <w:b/>
                <w:bCs/>
                <w:spacing w:val="11"/>
                <w:sz w:val="24"/>
                <w:szCs w:val="24"/>
              </w:rPr>
              <w:t>①</w:t>
            </w:r>
            <w:r>
              <w:rPr>
                <w:rFonts w:ascii="宋体" w:hAnsi="宋体" w:eastAsia="宋体" w:cs="宋体"/>
                <w:b/>
                <w:bCs/>
                <w:spacing w:val="10"/>
                <w:sz w:val="24"/>
                <w:szCs w:val="24"/>
              </w:rPr>
              <w:t>与生态保护红线符合性分析</w:t>
            </w:r>
          </w:p>
          <w:p>
            <w:pPr>
              <w:keepNext w:val="0"/>
              <w:keepLines w:val="0"/>
              <w:pageBreakBefore w:val="0"/>
              <w:widowControl w:val="0"/>
              <w:kinsoku/>
              <w:wordWrap/>
              <w:overflowPunct/>
              <w:topLinePunct w:val="0"/>
              <w:bidi w:val="0"/>
              <w:spacing w:line="360" w:lineRule="auto"/>
              <w:ind w:left="0" w:right="0" w:firstLine="496" w:firstLineChars="200"/>
              <w:textAlignment w:val="auto"/>
              <w:rPr>
                <w:rFonts w:ascii="宋体" w:hAnsi="宋体" w:eastAsia="宋体" w:cs="宋体"/>
                <w:spacing w:val="6"/>
                <w:sz w:val="24"/>
                <w:szCs w:val="24"/>
              </w:rPr>
            </w:pPr>
            <w:r>
              <w:rPr>
                <w:rFonts w:ascii="宋体" w:hAnsi="宋体" w:eastAsia="宋体" w:cs="宋体"/>
                <w:spacing w:val="4"/>
                <w:sz w:val="24"/>
                <w:szCs w:val="24"/>
              </w:rPr>
              <w:t>乐山市境内划定的生态保护红线总面积为</w:t>
            </w:r>
            <w:r>
              <w:rPr>
                <w:rFonts w:ascii="Times New Roman" w:hAnsi="Times New Roman" w:eastAsia="Times New Roman" w:cs="Times New Roman"/>
                <w:spacing w:val="4"/>
                <w:sz w:val="24"/>
                <w:szCs w:val="24"/>
              </w:rPr>
              <w:t>2430.92</w:t>
            </w:r>
            <w:r>
              <w:rPr>
                <w:rFonts w:ascii="宋体" w:hAnsi="宋体" w:eastAsia="宋体" w:cs="宋体"/>
                <w:spacing w:val="4"/>
                <w:sz w:val="24"/>
                <w:szCs w:val="24"/>
              </w:rPr>
              <w:t>平方公里，占乐山市</w:t>
            </w:r>
            <w:r>
              <w:rPr>
                <w:rFonts w:ascii="宋体" w:hAnsi="宋体" w:eastAsia="宋体" w:cs="宋体"/>
                <w:spacing w:val="1"/>
                <w:sz w:val="24"/>
                <w:szCs w:val="24"/>
              </w:rPr>
              <w:t>国</w:t>
            </w:r>
            <w:r>
              <w:rPr>
                <w:rFonts w:ascii="宋体" w:hAnsi="宋体" w:eastAsia="宋体" w:cs="宋体"/>
                <w:sz w:val="24"/>
                <w:szCs w:val="24"/>
              </w:rPr>
              <w:t>土</w:t>
            </w:r>
            <w:r>
              <w:rPr>
                <w:rFonts w:ascii="宋体" w:hAnsi="宋体" w:eastAsia="宋体" w:cs="宋体"/>
                <w:spacing w:val="1"/>
                <w:sz w:val="24"/>
                <w:szCs w:val="24"/>
              </w:rPr>
              <w:t>面积的</w:t>
            </w:r>
            <w:r>
              <w:rPr>
                <w:rFonts w:ascii="Times New Roman" w:hAnsi="Times New Roman" w:eastAsia="Times New Roman" w:cs="Times New Roman"/>
                <w:spacing w:val="1"/>
                <w:sz w:val="24"/>
                <w:szCs w:val="24"/>
              </w:rPr>
              <w:t>19. 11%</w:t>
            </w:r>
            <w:r>
              <w:rPr>
                <w:rFonts w:ascii="宋体" w:hAnsi="宋体" w:eastAsia="宋体" w:cs="宋体"/>
                <w:spacing w:val="1"/>
                <w:sz w:val="24"/>
                <w:szCs w:val="24"/>
              </w:rPr>
              <w:t>，涵盖了水源涵养、生物多样性维护、水土保持功能极重要区以及</w:t>
            </w:r>
            <w:r>
              <w:rPr>
                <w:rFonts w:ascii="宋体" w:hAnsi="宋体" w:eastAsia="宋体" w:cs="宋体"/>
                <w:spacing w:val="15"/>
                <w:sz w:val="24"/>
                <w:szCs w:val="24"/>
              </w:rPr>
              <w:t>水</w:t>
            </w:r>
            <w:r>
              <w:rPr>
                <w:rFonts w:ascii="宋体" w:hAnsi="宋体" w:eastAsia="宋体" w:cs="宋体"/>
                <w:spacing w:val="8"/>
                <w:sz w:val="24"/>
                <w:szCs w:val="24"/>
              </w:rPr>
              <w:t>土流失、石漠化极敏感区，还包括黑竹沟国家级自然保护区、马边大风顶国家</w:t>
            </w:r>
            <w:r>
              <w:rPr>
                <w:rFonts w:ascii="宋体" w:hAnsi="宋体" w:eastAsia="宋体" w:cs="宋体"/>
                <w:spacing w:val="6"/>
                <w:sz w:val="24"/>
                <w:szCs w:val="24"/>
              </w:rPr>
              <w:t>级自然保护区、芹菜坪省级自然保护区、峨眉山</w:t>
            </w:r>
            <w:r>
              <w:rPr>
                <w:rFonts w:ascii="Times New Roman" w:hAnsi="Times New Roman" w:eastAsia="Times New Roman" w:cs="Times New Roman"/>
                <w:spacing w:val="6"/>
                <w:sz w:val="24"/>
                <w:szCs w:val="24"/>
              </w:rPr>
              <w:t>-</w:t>
            </w:r>
            <w:r>
              <w:rPr>
                <w:rFonts w:ascii="宋体" w:hAnsi="宋体" w:eastAsia="宋体" w:cs="宋体"/>
                <w:spacing w:val="6"/>
                <w:sz w:val="24"/>
                <w:szCs w:val="24"/>
              </w:rPr>
              <w:t>乐山大佛国家级风景名胜区、</w:t>
            </w:r>
            <w:r>
              <w:rPr>
                <w:rFonts w:ascii="宋体" w:hAnsi="宋体" w:eastAsia="宋体" w:cs="宋体"/>
                <w:spacing w:val="3"/>
                <w:sz w:val="24"/>
                <w:szCs w:val="24"/>
              </w:rPr>
              <w:t>黑</w:t>
            </w:r>
            <w:r>
              <w:rPr>
                <w:rFonts w:ascii="宋体" w:hAnsi="宋体" w:eastAsia="宋体" w:cs="宋体"/>
                <w:spacing w:val="2"/>
                <w:sz w:val="24"/>
                <w:szCs w:val="24"/>
              </w:rPr>
              <w:t>竹沟省级风景名胜区、大渡河</w:t>
            </w:r>
            <w:r>
              <w:rPr>
                <w:rFonts w:ascii="Times New Roman" w:hAnsi="Times New Roman" w:eastAsia="Times New Roman" w:cs="Times New Roman"/>
                <w:spacing w:val="2"/>
                <w:sz w:val="24"/>
                <w:szCs w:val="24"/>
              </w:rPr>
              <w:t>-</w:t>
            </w:r>
            <w:r>
              <w:rPr>
                <w:rFonts w:ascii="宋体" w:hAnsi="宋体" w:eastAsia="宋体" w:cs="宋体"/>
                <w:spacing w:val="2"/>
                <w:sz w:val="24"/>
                <w:szCs w:val="24"/>
              </w:rPr>
              <w:t>美女峰省级风景名胜区、大</w:t>
            </w:r>
            <w:r>
              <w:rPr>
                <w:rFonts w:ascii="宋体" w:hAnsi="宋体" w:eastAsia="宋体" w:cs="宋体"/>
                <w:spacing w:val="1"/>
                <w:sz w:val="24"/>
                <w:szCs w:val="24"/>
              </w:rPr>
              <w:t>渡河峡谷国家地质公园、</w:t>
            </w:r>
            <w:r>
              <w:rPr>
                <w:rFonts w:ascii="宋体" w:hAnsi="宋体" w:eastAsia="宋体" w:cs="宋体"/>
                <w:sz w:val="24"/>
                <w:szCs w:val="24"/>
              </w:rPr>
              <w:t xml:space="preserve"> </w:t>
            </w:r>
            <w:r>
              <w:rPr>
                <w:rFonts w:ascii="宋体" w:hAnsi="宋体" w:eastAsia="宋体" w:cs="宋体"/>
                <w:spacing w:val="6"/>
                <w:sz w:val="24"/>
                <w:szCs w:val="24"/>
              </w:rPr>
              <w:t>大瓦山国家湿地、峨眉山</w:t>
            </w:r>
            <w:r>
              <w:rPr>
                <w:rFonts w:ascii="Times New Roman" w:hAnsi="Times New Roman" w:eastAsia="Times New Roman" w:cs="Times New Roman"/>
                <w:spacing w:val="6"/>
                <w:sz w:val="24"/>
                <w:szCs w:val="24"/>
              </w:rPr>
              <w:t>-</w:t>
            </w:r>
            <w:r>
              <w:rPr>
                <w:rFonts w:ascii="宋体" w:hAnsi="宋体" w:eastAsia="宋体" w:cs="宋体"/>
                <w:spacing w:val="6"/>
                <w:sz w:val="24"/>
                <w:szCs w:val="24"/>
              </w:rPr>
              <w:t>乐山大佛世界自然与文化遗产、岷江长吻鮠国家级水</w:t>
            </w:r>
            <w:r>
              <w:rPr>
                <w:rFonts w:ascii="宋体" w:hAnsi="宋体" w:eastAsia="宋体" w:cs="宋体"/>
                <w:spacing w:val="3"/>
                <w:sz w:val="24"/>
                <w:szCs w:val="24"/>
              </w:rPr>
              <w:t>产</w:t>
            </w:r>
            <w:r>
              <w:rPr>
                <w:rFonts w:ascii="宋体" w:hAnsi="宋体" w:eastAsia="宋体" w:cs="宋体"/>
                <w:spacing w:val="15"/>
                <w:sz w:val="24"/>
                <w:szCs w:val="24"/>
              </w:rPr>
              <w:t>种</w:t>
            </w:r>
            <w:r>
              <w:rPr>
                <w:rFonts w:ascii="宋体" w:hAnsi="宋体" w:eastAsia="宋体" w:cs="宋体"/>
                <w:spacing w:val="8"/>
                <w:sz w:val="24"/>
                <w:szCs w:val="24"/>
              </w:rPr>
              <w:t>质资源保护区、乐山市第一水厂饮用水新水源保护区、乐山市青衣江陶渡集中</w:t>
            </w:r>
            <w:r>
              <w:rPr>
                <w:rFonts w:ascii="宋体" w:hAnsi="宋体" w:eastAsia="宋体" w:cs="宋体"/>
                <w:spacing w:val="15"/>
                <w:sz w:val="24"/>
                <w:szCs w:val="24"/>
              </w:rPr>
              <w:t>式</w:t>
            </w:r>
            <w:r>
              <w:rPr>
                <w:rFonts w:ascii="宋体" w:hAnsi="宋体" w:eastAsia="宋体" w:cs="宋体"/>
                <w:spacing w:val="8"/>
                <w:sz w:val="24"/>
                <w:szCs w:val="24"/>
              </w:rPr>
              <w:t>饮用水水源保护区等法定保护区域，以及极小种群物种分布栖息地、国家一级</w:t>
            </w:r>
            <w:r>
              <w:rPr>
                <w:rFonts w:ascii="宋体" w:hAnsi="宋体" w:eastAsia="宋体" w:cs="宋体"/>
                <w:spacing w:val="15"/>
                <w:sz w:val="24"/>
                <w:szCs w:val="24"/>
              </w:rPr>
              <w:t>公</w:t>
            </w:r>
            <w:r>
              <w:rPr>
                <w:rFonts w:ascii="宋体" w:hAnsi="宋体" w:eastAsia="宋体" w:cs="宋体"/>
                <w:spacing w:val="8"/>
                <w:sz w:val="24"/>
                <w:szCs w:val="24"/>
              </w:rPr>
              <w:t>益林、重要湿地等各类保护地。乐山市生态保护红线划定情况见下表，乐山市</w:t>
            </w:r>
            <w:r>
              <w:rPr>
                <w:rFonts w:ascii="宋体" w:hAnsi="宋体" w:eastAsia="宋体" w:cs="宋体"/>
                <w:spacing w:val="10"/>
                <w:sz w:val="24"/>
                <w:szCs w:val="24"/>
              </w:rPr>
              <w:t>生</w:t>
            </w:r>
            <w:r>
              <w:rPr>
                <w:rFonts w:ascii="宋体" w:hAnsi="宋体" w:eastAsia="宋体" w:cs="宋体"/>
                <w:spacing w:val="6"/>
                <w:sz w:val="24"/>
                <w:szCs w:val="24"/>
              </w:rPr>
              <w:t>态空间分布图见下图。</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446" w:firstLineChars="200"/>
              <w:jc w:val="center"/>
              <w:textAlignment w:val="auto"/>
              <w:rPr>
                <w:rFonts w:hint="default" w:ascii="Times New Roman" w:hAnsi="Times New Roman" w:eastAsia="宋体" w:cs="Times New Roman"/>
                <w:b/>
                <w:bCs/>
                <w:color w:val="auto"/>
                <w:spacing w:val="0"/>
                <w:sz w:val="21"/>
                <w:szCs w:val="21"/>
                <w:lang w:val="en-US" w:eastAsia="zh-CN"/>
              </w:rPr>
            </w:pPr>
            <w:r>
              <w:rPr>
                <w:rFonts w:hint="default" w:ascii="Times New Roman" w:hAnsi="Times New Roman" w:eastAsia="宋体" w:cs="Times New Roman"/>
                <w:b/>
                <w:bCs/>
                <w:spacing w:val="6"/>
                <w:sz w:val="21"/>
                <w:szCs w:val="21"/>
              </w:rPr>
              <w:t>表</w:t>
            </w:r>
            <w:r>
              <w:rPr>
                <w:rFonts w:hint="eastAsia" w:ascii="Times New Roman" w:hAnsi="Times New Roman" w:eastAsia="宋体" w:cs="Times New Roman"/>
                <w:b/>
                <w:bCs/>
                <w:spacing w:val="5"/>
                <w:sz w:val="21"/>
                <w:szCs w:val="21"/>
                <w:lang w:val="en-US" w:eastAsia="zh-CN"/>
              </w:rPr>
              <w:t xml:space="preserve">1-4 </w:t>
            </w:r>
            <w:r>
              <w:rPr>
                <w:rFonts w:hint="default" w:ascii="Times New Roman" w:hAnsi="Times New Roman" w:eastAsia="宋体" w:cs="Times New Roman"/>
                <w:b/>
                <w:bCs/>
                <w:spacing w:val="3"/>
                <w:sz w:val="21"/>
                <w:szCs w:val="21"/>
              </w:rPr>
              <w:t>乐山市生态保护红线划定范围</w:t>
            </w:r>
          </w:p>
          <w:tbl>
            <w:tblPr>
              <w:tblStyle w:val="250"/>
              <w:tblW w:w="9166" w:type="dxa"/>
              <w:tblInd w:w="0" w:type="dxa"/>
              <w:tblBorders>
                <w:top w:val="single" w:color="000000" w:sz="2" w:space="0"/>
                <w:left w:val="single" w:color="000000" w:sz="2" w:space="0"/>
                <w:bottom w:val="single" w:color="000000" w:sz="2" w:space="0"/>
                <w:right w:val="single" w:color="000000" w:sz="6" w:space="0"/>
                <w:insideH w:val="single" w:color="000000" w:sz="2" w:space="0"/>
                <w:insideV w:val="single" w:color="000000" w:sz="2" w:space="0"/>
              </w:tblBorders>
              <w:tblLayout w:type="autofit"/>
              <w:tblCellMar>
                <w:top w:w="0" w:type="dxa"/>
                <w:left w:w="0" w:type="dxa"/>
                <w:bottom w:w="0" w:type="dxa"/>
                <w:right w:w="0" w:type="dxa"/>
              </w:tblCellMar>
            </w:tblPr>
            <w:tblGrid>
              <w:gridCol w:w="904"/>
              <w:gridCol w:w="588"/>
              <w:gridCol w:w="2709"/>
              <w:gridCol w:w="4965"/>
            </w:tblGrid>
            <w:tr>
              <w:tblPrEx>
                <w:tblBorders>
                  <w:top w:val="single" w:color="000000" w:sz="2" w:space="0"/>
                  <w:left w:val="single" w:color="000000" w:sz="2" w:space="0"/>
                  <w:bottom w:val="single" w:color="000000" w:sz="2" w:space="0"/>
                  <w:right w:val="single" w:color="000000" w:sz="6" w:space="0"/>
                  <w:insideH w:val="single" w:color="000000" w:sz="2" w:space="0"/>
                  <w:insideV w:val="single" w:color="000000" w:sz="2" w:space="0"/>
                </w:tblBorders>
                <w:tblCellMar>
                  <w:top w:w="0" w:type="dxa"/>
                  <w:left w:w="0" w:type="dxa"/>
                  <w:bottom w:w="0" w:type="dxa"/>
                  <w:right w:w="0" w:type="dxa"/>
                </w:tblCellMar>
              </w:tblPrEx>
              <w:trPr>
                <w:trHeight w:val="600" w:hRule="atLeast"/>
              </w:trPr>
              <w:tc>
                <w:tcPr>
                  <w:tcW w:w="904"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4"/>
                      <w:sz w:val="21"/>
                      <w:szCs w:val="21"/>
                    </w:rPr>
                    <w:t>生</w:t>
                  </w:r>
                  <w:r>
                    <w:rPr>
                      <w:rFonts w:ascii="宋体" w:hAnsi="宋体" w:eastAsia="宋体" w:cs="宋体"/>
                      <w:spacing w:val="3"/>
                      <w:sz w:val="21"/>
                      <w:szCs w:val="21"/>
                    </w:rPr>
                    <w:t>态</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5"/>
                      <w:sz w:val="21"/>
                      <w:szCs w:val="21"/>
                    </w:rPr>
                    <w:t>评估</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z w:val="21"/>
                      <w:szCs w:val="21"/>
                    </w:rPr>
                    <w:t>区</w:t>
                  </w:r>
                </w:p>
              </w:tc>
              <w:tc>
                <w:tcPr>
                  <w:tcW w:w="5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27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5"/>
                      <w:sz w:val="21"/>
                      <w:szCs w:val="21"/>
                    </w:rPr>
                    <w:t>生</w:t>
                  </w:r>
                  <w:r>
                    <w:rPr>
                      <w:rFonts w:ascii="宋体" w:hAnsi="宋体" w:eastAsia="宋体" w:cs="宋体"/>
                      <w:spacing w:val="8"/>
                      <w:sz w:val="21"/>
                      <w:szCs w:val="21"/>
                    </w:rPr>
                    <w:t>态功能重要性评估区</w:t>
                  </w:r>
                </w:p>
              </w:tc>
              <w:tc>
                <w:tcPr>
                  <w:tcW w:w="49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8"/>
                      <w:sz w:val="21"/>
                      <w:szCs w:val="21"/>
                    </w:rPr>
                    <w:t>水源涵</w:t>
                  </w:r>
                  <w:r>
                    <w:rPr>
                      <w:rFonts w:ascii="宋体" w:hAnsi="宋体" w:eastAsia="宋体" w:cs="宋体"/>
                      <w:spacing w:val="7"/>
                      <w:sz w:val="21"/>
                      <w:szCs w:val="21"/>
                    </w:rPr>
                    <w:t>养</w:t>
                  </w:r>
                  <w:r>
                    <w:rPr>
                      <w:rFonts w:ascii="宋体" w:hAnsi="宋体" w:eastAsia="宋体" w:cs="宋体"/>
                      <w:spacing w:val="4"/>
                      <w:sz w:val="21"/>
                      <w:szCs w:val="21"/>
                    </w:rPr>
                    <w:t>功</w:t>
                  </w:r>
                  <w:r>
                    <w:rPr>
                      <w:rFonts w:hint="eastAsia" w:ascii="宋体" w:hAnsi="宋体" w:eastAsia="宋体" w:cs="宋体"/>
                      <w:spacing w:val="4"/>
                      <w:sz w:val="21"/>
                      <w:szCs w:val="21"/>
                      <w:lang w:val="en-US" w:eastAsia="zh-CN"/>
                    </w:rPr>
                    <w:t>水源涵养功能区、</w:t>
                  </w:r>
                  <w:r>
                    <w:rPr>
                      <w:rFonts w:ascii="宋体" w:hAnsi="宋体" w:eastAsia="宋体" w:cs="宋体"/>
                      <w:spacing w:val="4"/>
                      <w:sz w:val="21"/>
                      <w:szCs w:val="21"/>
                    </w:rPr>
                    <w:t>水土保持功能、生物多样性维护</w:t>
                  </w:r>
                  <w:r>
                    <w:rPr>
                      <w:rFonts w:ascii="宋体" w:hAnsi="宋体" w:eastAsia="宋体" w:cs="宋体"/>
                      <w:sz w:val="21"/>
                      <w:szCs w:val="21"/>
                    </w:rPr>
                    <w:t xml:space="preserve"> </w:t>
                  </w:r>
                  <w:r>
                    <w:rPr>
                      <w:rFonts w:ascii="宋体" w:hAnsi="宋体" w:eastAsia="宋体" w:cs="宋体"/>
                      <w:spacing w:val="11"/>
                      <w:sz w:val="21"/>
                      <w:szCs w:val="21"/>
                    </w:rPr>
                    <w:t>功</w:t>
                  </w:r>
                  <w:r>
                    <w:rPr>
                      <w:rFonts w:ascii="宋体" w:hAnsi="宋体" w:eastAsia="宋体" w:cs="宋体"/>
                      <w:spacing w:val="7"/>
                      <w:sz w:val="21"/>
                      <w:szCs w:val="21"/>
                    </w:rPr>
                    <w:t>能极重要区</w:t>
                  </w:r>
                </w:p>
              </w:tc>
            </w:tr>
            <w:tr>
              <w:tblPrEx>
                <w:tblBorders>
                  <w:top w:val="single" w:color="000000" w:sz="2" w:space="0"/>
                  <w:left w:val="single" w:color="000000" w:sz="2" w:space="0"/>
                  <w:bottom w:val="single" w:color="000000" w:sz="2" w:space="0"/>
                  <w:right w:val="single" w:color="000000" w:sz="6"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9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szCs w:val="21"/>
                    </w:rPr>
                  </w:pPr>
                </w:p>
              </w:tc>
              <w:tc>
                <w:tcPr>
                  <w:tcW w:w="5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27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5"/>
                      <w:sz w:val="21"/>
                      <w:szCs w:val="21"/>
                    </w:rPr>
                    <w:t>生</w:t>
                  </w:r>
                  <w:r>
                    <w:rPr>
                      <w:rFonts w:ascii="宋体" w:hAnsi="宋体" w:eastAsia="宋体" w:cs="宋体"/>
                      <w:spacing w:val="8"/>
                      <w:sz w:val="21"/>
                      <w:szCs w:val="21"/>
                    </w:rPr>
                    <w:t>态环境敏感性评估区</w:t>
                  </w:r>
                </w:p>
              </w:tc>
              <w:tc>
                <w:tcPr>
                  <w:tcW w:w="49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9"/>
                      <w:sz w:val="21"/>
                      <w:szCs w:val="21"/>
                    </w:rPr>
                    <w:t>水土流失、石漠化极敏感</w:t>
                  </w:r>
                  <w:r>
                    <w:rPr>
                      <w:rFonts w:ascii="宋体" w:hAnsi="宋体" w:eastAsia="宋体" w:cs="宋体"/>
                      <w:spacing w:val="8"/>
                      <w:sz w:val="21"/>
                      <w:szCs w:val="21"/>
                    </w:rPr>
                    <w:t>区</w:t>
                  </w:r>
                </w:p>
              </w:tc>
            </w:tr>
            <w:tr>
              <w:tblPrEx>
                <w:tblBorders>
                  <w:top w:val="single" w:color="000000" w:sz="2" w:space="0"/>
                  <w:left w:val="single" w:color="000000" w:sz="2" w:space="0"/>
                  <w:bottom w:val="single" w:color="000000" w:sz="2" w:space="0"/>
                  <w:right w:val="single" w:color="000000" w:sz="6"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904"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szCs w:val="21"/>
                    </w:rPr>
                  </w:pP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szCs w:val="21"/>
                    </w:rPr>
                  </w:pP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szCs w:val="21"/>
                    </w:rPr>
                  </w:pP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szCs w:val="21"/>
                    </w:rPr>
                  </w:pP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szCs w:val="21"/>
                    </w:rPr>
                  </w:pP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6"/>
                      <w:sz w:val="21"/>
                      <w:szCs w:val="21"/>
                    </w:rPr>
                    <w:t>国</w:t>
                  </w:r>
                  <w:r>
                    <w:rPr>
                      <w:rFonts w:ascii="宋体" w:hAnsi="宋体" w:eastAsia="宋体" w:cs="宋体"/>
                      <w:spacing w:val="-5"/>
                      <w:sz w:val="21"/>
                      <w:szCs w:val="21"/>
                    </w:rPr>
                    <w:t>家</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5"/>
                      <w:sz w:val="21"/>
                      <w:szCs w:val="21"/>
                    </w:rPr>
                    <w:t>级、省</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3"/>
                      <w:sz w:val="21"/>
                      <w:szCs w:val="21"/>
                    </w:rPr>
                    <w:t>级禁</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4"/>
                      <w:sz w:val="21"/>
                      <w:szCs w:val="21"/>
                    </w:rPr>
                    <w:t>止开</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3"/>
                      <w:sz w:val="21"/>
                      <w:szCs w:val="21"/>
                    </w:rPr>
                    <w:t>发区</w:t>
                  </w:r>
                </w:p>
              </w:tc>
              <w:tc>
                <w:tcPr>
                  <w:tcW w:w="5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szCs w:val="21"/>
                    </w:rPr>
                  </w:pP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27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2"/>
                      <w:sz w:val="21"/>
                      <w:szCs w:val="21"/>
                    </w:rPr>
                    <w:t>自</w:t>
                  </w:r>
                  <w:r>
                    <w:rPr>
                      <w:rFonts w:ascii="宋体" w:hAnsi="宋体" w:eastAsia="宋体" w:cs="宋体"/>
                      <w:spacing w:val="1"/>
                      <w:sz w:val="21"/>
                      <w:szCs w:val="21"/>
                    </w:rPr>
                    <w:t>然保护区</w:t>
                  </w:r>
                </w:p>
              </w:tc>
              <w:tc>
                <w:tcPr>
                  <w:tcW w:w="49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8"/>
                      <w:sz w:val="21"/>
                      <w:szCs w:val="21"/>
                    </w:rPr>
                    <w:t>黑竹沟</w:t>
                  </w:r>
                  <w:r>
                    <w:rPr>
                      <w:rFonts w:ascii="宋体" w:hAnsi="宋体" w:eastAsia="宋体" w:cs="宋体"/>
                      <w:spacing w:val="4"/>
                      <w:sz w:val="21"/>
                      <w:szCs w:val="21"/>
                    </w:rPr>
                    <w:t>国家级自然保护区、马边大风顶国家级自</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5"/>
                      <w:sz w:val="21"/>
                      <w:szCs w:val="21"/>
                    </w:rPr>
                    <w:t>然保护区、芹菜坪省级自然保护区、乐山市金</w:t>
                  </w:r>
                  <w:r>
                    <w:rPr>
                      <w:rFonts w:ascii="宋体" w:hAnsi="宋体" w:eastAsia="宋体" w:cs="宋体"/>
                      <w:spacing w:val="1"/>
                      <w:sz w:val="21"/>
                      <w:szCs w:val="21"/>
                    </w:rPr>
                    <w:t>口</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9"/>
                      <w:sz w:val="21"/>
                      <w:szCs w:val="21"/>
                    </w:rPr>
                    <w:t>河区八月林自然保护区</w:t>
                  </w:r>
                </w:p>
              </w:tc>
            </w:tr>
            <w:tr>
              <w:tblPrEx>
                <w:tblBorders>
                  <w:top w:val="single" w:color="000000" w:sz="2" w:space="0"/>
                  <w:left w:val="single" w:color="000000" w:sz="2" w:space="0"/>
                  <w:bottom w:val="single" w:color="000000" w:sz="2" w:space="0"/>
                  <w:right w:val="single" w:color="000000" w:sz="6"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9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szCs w:val="21"/>
                    </w:rPr>
                  </w:pPr>
                </w:p>
              </w:tc>
              <w:tc>
                <w:tcPr>
                  <w:tcW w:w="5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27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9"/>
                      <w:sz w:val="21"/>
                      <w:szCs w:val="21"/>
                    </w:rPr>
                    <w:t>风景名胜区的核心景</w:t>
                  </w:r>
                  <w:r>
                    <w:rPr>
                      <w:rFonts w:ascii="宋体" w:hAnsi="宋体" w:eastAsia="宋体" w:cs="宋体"/>
                      <w:spacing w:val="7"/>
                      <w:sz w:val="21"/>
                      <w:szCs w:val="21"/>
                    </w:rPr>
                    <w:t>区</w:t>
                  </w:r>
                </w:p>
              </w:tc>
              <w:tc>
                <w:tcPr>
                  <w:tcW w:w="49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9"/>
                      <w:sz w:val="21"/>
                      <w:szCs w:val="21"/>
                    </w:rPr>
                    <w:t>峨眉山</w:t>
                  </w:r>
                  <w:r>
                    <w:rPr>
                      <w:rFonts w:ascii="Times New Roman" w:hAnsi="Times New Roman" w:eastAsia="Times New Roman" w:cs="Times New Roman"/>
                      <w:spacing w:val="9"/>
                      <w:sz w:val="21"/>
                      <w:szCs w:val="21"/>
                    </w:rPr>
                    <w:t>-</w:t>
                  </w:r>
                  <w:r>
                    <w:rPr>
                      <w:rFonts w:ascii="宋体" w:hAnsi="宋体" w:eastAsia="宋体" w:cs="宋体"/>
                      <w:spacing w:val="9"/>
                      <w:sz w:val="21"/>
                      <w:szCs w:val="21"/>
                    </w:rPr>
                    <w:t>乐山大佛国家级风景名胜区、黑竹沟</w:t>
                  </w:r>
                  <w:r>
                    <w:rPr>
                      <w:rFonts w:ascii="宋体" w:hAnsi="宋体" w:eastAsia="宋体" w:cs="宋体"/>
                      <w:spacing w:val="6"/>
                      <w:sz w:val="21"/>
                      <w:szCs w:val="21"/>
                    </w:rPr>
                    <w:t>省</w:t>
                  </w:r>
                  <w:r>
                    <w:rPr>
                      <w:rFonts w:ascii="宋体" w:hAnsi="宋体" w:eastAsia="宋体" w:cs="宋体"/>
                      <w:sz w:val="21"/>
                      <w:szCs w:val="21"/>
                    </w:rPr>
                    <w:t xml:space="preserve"> </w:t>
                  </w:r>
                  <w:r>
                    <w:rPr>
                      <w:rFonts w:ascii="宋体" w:hAnsi="宋体" w:eastAsia="宋体" w:cs="宋体"/>
                      <w:spacing w:val="9"/>
                      <w:sz w:val="21"/>
                      <w:szCs w:val="21"/>
                    </w:rPr>
                    <w:t>级风景名胜区、大渡河</w:t>
                  </w:r>
                  <w:r>
                    <w:rPr>
                      <w:rFonts w:ascii="Times New Roman" w:hAnsi="Times New Roman" w:eastAsia="Times New Roman" w:cs="Times New Roman"/>
                      <w:spacing w:val="9"/>
                      <w:sz w:val="21"/>
                      <w:szCs w:val="21"/>
                    </w:rPr>
                    <w:t>-</w:t>
                  </w:r>
                  <w:r>
                    <w:rPr>
                      <w:rFonts w:ascii="宋体" w:hAnsi="宋体" w:eastAsia="宋体" w:cs="宋体"/>
                      <w:spacing w:val="9"/>
                      <w:sz w:val="21"/>
                      <w:szCs w:val="21"/>
                    </w:rPr>
                    <w:t>美女峰省级风景名胜区</w:t>
                  </w:r>
                </w:p>
              </w:tc>
            </w:tr>
            <w:tr>
              <w:tblPrEx>
                <w:tblBorders>
                  <w:top w:val="single" w:color="000000" w:sz="2" w:space="0"/>
                  <w:left w:val="single" w:color="000000" w:sz="2" w:space="0"/>
                  <w:bottom w:val="single" w:color="000000" w:sz="2" w:space="0"/>
                  <w:right w:val="single" w:color="000000" w:sz="6"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9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szCs w:val="21"/>
                    </w:rPr>
                  </w:pPr>
                </w:p>
              </w:tc>
              <w:tc>
                <w:tcPr>
                  <w:tcW w:w="5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27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0"/>
                      <w:sz w:val="21"/>
                      <w:szCs w:val="21"/>
                    </w:rPr>
                    <w:t>地</w:t>
                  </w:r>
                  <w:r>
                    <w:rPr>
                      <w:rFonts w:ascii="宋体" w:hAnsi="宋体" w:eastAsia="宋体" w:cs="宋体"/>
                      <w:spacing w:val="9"/>
                      <w:sz w:val="21"/>
                      <w:szCs w:val="21"/>
                    </w:rPr>
                    <w:t>质公园的地质遗迹保护</w:t>
                  </w:r>
                  <w:r>
                    <w:rPr>
                      <w:rFonts w:ascii="宋体" w:hAnsi="宋体" w:eastAsia="宋体" w:cs="宋体"/>
                      <w:sz w:val="21"/>
                      <w:szCs w:val="21"/>
                    </w:rPr>
                    <w:t>区</w:t>
                  </w:r>
                </w:p>
              </w:tc>
              <w:tc>
                <w:tcPr>
                  <w:tcW w:w="49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9"/>
                      <w:sz w:val="21"/>
                      <w:szCs w:val="21"/>
                    </w:rPr>
                    <w:t>大渡河峡谷国家地质公</w:t>
                  </w:r>
                  <w:r>
                    <w:rPr>
                      <w:rFonts w:ascii="宋体" w:hAnsi="宋体" w:eastAsia="宋体" w:cs="宋体"/>
                      <w:spacing w:val="8"/>
                      <w:sz w:val="21"/>
                      <w:szCs w:val="21"/>
                    </w:rPr>
                    <w:t>园</w:t>
                  </w:r>
                </w:p>
              </w:tc>
            </w:tr>
            <w:tr>
              <w:tblPrEx>
                <w:tblBorders>
                  <w:top w:val="single" w:color="000000" w:sz="2" w:space="0"/>
                  <w:left w:val="single" w:color="000000" w:sz="2" w:space="0"/>
                  <w:bottom w:val="single" w:color="000000" w:sz="2" w:space="0"/>
                  <w:right w:val="single" w:color="000000" w:sz="6"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9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szCs w:val="21"/>
                    </w:rPr>
                  </w:pPr>
                </w:p>
              </w:tc>
              <w:tc>
                <w:tcPr>
                  <w:tcW w:w="5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w:t>
                  </w:r>
                </w:p>
              </w:tc>
              <w:tc>
                <w:tcPr>
                  <w:tcW w:w="27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6"/>
                      <w:sz w:val="21"/>
                      <w:szCs w:val="21"/>
                    </w:rPr>
                    <w:t>湿地公园的湿地保育区、</w:t>
                  </w:r>
                  <w:r>
                    <w:rPr>
                      <w:rFonts w:ascii="宋体" w:hAnsi="宋体" w:eastAsia="宋体" w:cs="宋体"/>
                      <w:spacing w:val="5"/>
                      <w:sz w:val="21"/>
                      <w:szCs w:val="21"/>
                    </w:rPr>
                    <w:t>恢</w:t>
                  </w:r>
                  <w:r>
                    <w:rPr>
                      <w:rFonts w:ascii="宋体" w:hAnsi="宋体" w:eastAsia="宋体" w:cs="宋体"/>
                      <w:sz w:val="21"/>
                      <w:szCs w:val="21"/>
                    </w:rPr>
                    <w:t xml:space="preserve"> </w:t>
                  </w:r>
                  <w:r>
                    <w:rPr>
                      <w:rFonts w:ascii="宋体" w:hAnsi="宋体" w:eastAsia="宋体" w:cs="宋体"/>
                      <w:spacing w:val="6"/>
                      <w:sz w:val="21"/>
                      <w:szCs w:val="21"/>
                    </w:rPr>
                    <w:t>复重建</w:t>
                  </w:r>
                  <w:r>
                    <w:rPr>
                      <w:rFonts w:ascii="宋体" w:hAnsi="宋体" w:eastAsia="宋体" w:cs="宋体"/>
                      <w:spacing w:val="5"/>
                      <w:sz w:val="21"/>
                      <w:szCs w:val="21"/>
                    </w:rPr>
                    <w:t>区</w:t>
                  </w:r>
                </w:p>
              </w:tc>
              <w:tc>
                <w:tcPr>
                  <w:tcW w:w="49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0"/>
                      <w:sz w:val="21"/>
                      <w:szCs w:val="21"/>
                    </w:rPr>
                    <w:t>大</w:t>
                  </w:r>
                  <w:r>
                    <w:rPr>
                      <w:rFonts w:ascii="宋体" w:hAnsi="宋体" w:eastAsia="宋体" w:cs="宋体"/>
                      <w:spacing w:val="8"/>
                      <w:sz w:val="21"/>
                      <w:szCs w:val="21"/>
                    </w:rPr>
                    <w:t>瓦山国家湿地</w:t>
                  </w:r>
                </w:p>
              </w:tc>
            </w:tr>
            <w:tr>
              <w:tblPrEx>
                <w:tblBorders>
                  <w:top w:val="single" w:color="000000" w:sz="2" w:space="0"/>
                  <w:left w:val="single" w:color="000000" w:sz="2" w:space="0"/>
                  <w:bottom w:val="single" w:color="000000" w:sz="2" w:space="0"/>
                  <w:right w:val="single" w:color="000000" w:sz="6"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9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szCs w:val="21"/>
                    </w:rPr>
                  </w:pPr>
                </w:p>
              </w:tc>
              <w:tc>
                <w:tcPr>
                  <w:tcW w:w="5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27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0"/>
                      <w:sz w:val="21"/>
                      <w:szCs w:val="21"/>
                    </w:rPr>
                    <w:t>世</w:t>
                  </w:r>
                  <w:r>
                    <w:rPr>
                      <w:rFonts w:ascii="宋体" w:hAnsi="宋体" w:eastAsia="宋体" w:cs="宋体"/>
                      <w:spacing w:val="9"/>
                      <w:sz w:val="21"/>
                      <w:szCs w:val="21"/>
                    </w:rPr>
                    <w:t>界自然遗产地的核心区</w:t>
                  </w:r>
                </w:p>
              </w:tc>
              <w:tc>
                <w:tcPr>
                  <w:tcW w:w="49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6"/>
                      <w:sz w:val="21"/>
                      <w:szCs w:val="21"/>
                    </w:rPr>
                    <w:t>峨</w:t>
                  </w:r>
                  <w:r>
                    <w:rPr>
                      <w:rFonts w:ascii="宋体" w:hAnsi="宋体" w:eastAsia="宋体" w:cs="宋体"/>
                      <w:spacing w:val="10"/>
                      <w:sz w:val="21"/>
                      <w:szCs w:val="21"/>
                    </w:rPr>
                    <w:t>眉</w:t>
                  </w:r>
                  <w:r>
                    <w:rPr>
                      <w:rFonts w:ascii="宋体" w:hAnsi="宋体" w:eastAsia="宋体" w:cs="宋体"/>
                      <w:spacing w:val="8"/>
                      <w:sz w:val="21"/>
                      <w:szCs w:val="21"/>
                    </w:rPr>
                    <w:t>山</w:t>
                  </w:r>
                  <w:r>
                    <w:rPr>
                      <w:rFonts w:ascii="Times New Roman" w:hAnsi="Times New Roman" w:eastAsia="Times New Roman" w:cs="Times New Roman"/>
                      <w:spacing w:val="8"/>
                      <w:sz w:val="21"/>
                      <w:szCs w:val="21"/>
                    </w:rPr>
                    <w:t>-</w:t>
                  </w:r>
                  <w:r>
                    <w:rPr>
                      <w:rFonts w:ascii="宋体" w:hAnsi="宋体" w:eastAsia="宋体" w:cs="宋体"/>
                      <w:spacing w:val="8"/>
                      <w:sz w:val="21"/>
                      <w:szCs w:val="21"/>
                    </w:rPr>
                    <w:t>乐山大佛世界自然与文化遗产</w:t>
                  </w:r>
                </w:p>
              </w:tc>
            </w:tr>
            <w:tr>
              <w:tblPrEx>
                <w:tblBorders>
                  <w:top w:val="single" w:color="000000" w:sz="2" w:space="0"/>
                  <w:left w:val="single" w:color="000000" w:sz="2" w:space="0"/>
                  <w:bottom w:val="single" w:color="000000" w:sz="2" w:space="0"/>
                  <w:right w:val="single" w:color="000000" w:sz="6"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9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szCs w:val="21"/>
                    </w:rPr>
                  </w:pPr>
                </w:p>
              </w:tc>
              <w:tc>
                <w:tcPr>
                  <w:tcW w:w="5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6</w:t>
                  </w:r>
                </w:p>
              </w:tc>
              <w:tc>
                <w:tcPr>
                  <w:tcW w:w="27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0"/>
                      <w:sz w:val="21"/>
                      <w:szCs w:val="21"/>
                    </w:rPr>
                    <w:t>饮</w:t>
                  </w:r>
                  <w:r>
                    <w:rPr>
                      <w:rFonts w:ascii="宋体" w:hAnsi="宋体" w:eastAsia="宋体" w:cs="宋体"/>
                      <w:spacing w:val="9"/>
                      <w:sz w:val="21"/>
                      <w:szCs w:val="21"/>
                    </w:rPr>
                    <w:t>用水水源保护区的一级</w:t>
                  </w:r>
                  <w:r>
                    <w:rPr>
                      <w:rFonts w:ascii="宋体" w:hAnsi="宋体" w:eastAsia="宋体" w:cs="宋体"/>
                      <w:sz w:val="21"/>
                      <w:szCs w:val="21"/>
                    </w:rPr>
                    <w:t xml:space="preserve"> </w:t>
                  </w:r>
                  <w:r>
                    <w:rPr>
                      <w:rFonts w:ascii="宋体" w:hAnsi="宋体" w:eastAsia="宋体" w:cs="宋体"/>
                      <w:spacing w:val="7"/>
                      <w:sz w:val="21"/>
                      <w:szCs w:val="21"/>
                    </w:rPr>
                    <w:t>保</w:t>
                  </w:r>
                  <w:r>
                    <w:rPr>
                      <w:rFonts w:ascii="宋体" w:hAnsi="宋体" w:eastAsia="宋体" w:cs="宋体"/>
                      <w:spacing w:val="6"/>
                      <w:sz w:val="21"/>
                      <w:szCs w:val="21"/>
                    </w:rPr>
                    <w:t>护区</w:t>
                  </w:r>
                </w:p>
              </w:tc>
              <w:tc>
                <w:tcPr>
                  <w:tcW w:w="49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8"/>
                      <w:sz w:val="21"/>
                      <w:szCs w:val="21"/>
                    </w:rPr>
                    <w:t>乐山</w:t>
                  </w:r>
                  <w:r>
                    <w:rPr>
                      <w:rFonts w:ascii="宋体" w:hAnsi="宋体" w:eastAsia="宋体" w:cs="宋体"/>
                      <w:spacing w:val="5"/>
                      <w:sz w:val="21"/>
                      <w:szCs w:val="21"/>
                    </w:rPr>
                    <w:t>市</w:t>
                  </w:r>
                  <w:r>
                    <w:rPr>
                      <w:rFonts w:ascii="宋体" w:hAnsi="宋体" w:eastAsia="宋体" w:cs="宋体"/>
                      <w:spacing w:val="4"/>
                      <w:sz w:val="21"/>
                      <w:szCs w:val="21"/>
                    </w:rPr>
                    <w:t>第一水厂饮用水新水源保护区、乐山市青</w:t>
                  </w:r>
                  <w:r>
                    <w:rPr>
                      <w:rFonts w:ascii="宋体" w:hAnsi="宋体" w:eastAsia="宋体" w:cs="宋体"/>
                      <w:sz w:val="21"/>
                      <w:szCs w:val="21"/>
                    </w:rPr>
                    <w:t xml:space="preserve"> </w:t>
                  </w:r>
                  <w:r>
                    <w:rPr>
                      <w:rFonts w:ascii="宋体" w:hAnsi="宋体" w:eastAsia="宋体" w:cs="宋体"/>
                      <w:spacing w:val="14"/>
                      <w:sz w:val="21"/>
                      <w:szCs w:val="21"/>
                    </w:rPr>
                    <w:t>衣</w:t>
                  </w:r>
                  <w:r>
                    <w:rPr>
                      <w:rFonts w:ascii="宋体" w:hAnsi="宋体" w:eastAsia="宋体" w:cs="宋体"/>
                      <w:spacing w:val="9"/>
                      <w:sz w:val="21"/>
                      <w:szCs w:val="21"/>
                    </w:rPr>
                    <w:t>江陶渡集中式饮用水水源保护区</w:t>
                  </w:r>
                </w:p>
              </w:tc>
            </w:tr>
            <w:tr>
              <w:tblPrEx>
                <w:tblBorders>
                  <w:top w:val="single" w:color="000000" w:sz="2" w:space="0"/>
                  <w:left w:val="single" w:color="000000" w:sz="2" w:space="0"/>
                  <w:bottom w:val="single" w:color="000000" w:sz="2" w:space="0"/>
                  <w:right w:val="single" w:color="000000" w:sz="6"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9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szCs w:val="21"/>
                    </w:rPr>
                  </w:pPr>
                </w:p>
              </w:tc>
              <w:tc>
                <w:tcPr>
                  <w:tcW w:w="5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7</w:t>
                  </w:r>
                </w:p>
              </w:tc>
              <w:tc>
                <w:tcPr>
                  <w:tcW w:w="27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9"/>
                      <w:sz w:val="21"/>
                      <w:szCs w:val="21"/>
                    </w:rPr>
                    <w:t>水产种质资源保护区的</w:t>
                  </w:r>
                  <w:r>
                    <w:rPr>
                      <w:rFonts w:ascii="宋体" w:hAnsi="宋体" w:eastAsia="宋体" w:cs="宋体"/>
                      <w:spacing w:val="8"/>
                      <w:sz w:val="21"/>
                      <w:szCs w:val="21"/>
                    </w:rPr>
                    <w:t>核</w:t>
                  </w:r>
                  <w:r>
                    <w:rPr>
                      <w:rFonts w:ascii="宋体" w:hAnsi="宋体" w:eastAsia="宋体" w:cs="宋体"/>
                      <w:sz w:val="21"/>
                      <w:szCs w:val="21"/>
                    </w:rPr>
                    <w:t xml:space="preserve"> </w:t>
                  </w:r>
                  <w:r>
                    <w:rPr>
                      <w:rFonts w:ascii="宋体" w:hAnsi="宋体" w:eastAsia="宋体" w:cs="宋体"/>
                      <w:spacing w:val="3"/>
                      <w:sz w:val="21"/>
                      <w:szCs w:val="21"/>
                    </w:rPr>
                    <w:t>心区</w:t>
                  </w:r>
                </w:p>
              </w:tc>
              <w:tc>
                <w:tcPr>
                  <w:tcW w:w="49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9"/>
                      <w:sz w:val="21"/>
                      <w:szCs w:val="21"/>
                    </w:rPr>
                    <w:t>岷江长吻鮠国家级水产种质资源保护区</w:t>
                  </w:r>
                </w:p>
              </w:tc>
            </w:tr>
            <w:tr>
              <w:tblPrEx>
                <w:tblBorders>
                  <w:top w:val="single" w:color="000000" w:sz="2" w:space="0"/>
                  <w:left w:val="single" w:color="000000" w:sz="2" w:space="0"/>
                  <w:bottom w:val="single" w:color="000000" w:sz="2" w:space="0"/>
                  <w:right w:val="single" w:color="000000" w:sz="6"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904"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4"/>
                      <w:sz w:val="21"/>
                      <w:szCs w:val="21"/>
                    </w:rPr>
                    <w:t>其他</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4"/>
                      <w:sz w:val="21"/>
                      <w:szCs w:val="21"/>
                    </w:rPr>
                    <w:t>各</w:t>
                  </w:r>
                  <w:r>
                    <w:rPr>
                      <w:rFonts w:ascii="宋体" w:hAnsi="宋体" w:eastAsia="宋体" w:cs="宋体"/>
                      <w:spacing w:val="3"/>
                      <w:sz w:val="21"/>
                      <w:szCs w:val="21"/>
                    </w:rPr>
                    <w:t>类</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4"/>
                      <w:sz w:val="21"/>
                      <w:szCs w:val="21"/>
                    </w:rPr>
                    <w:t>保护</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z w:val="21"/>
                      <w:szCs w:val="21"/>
                    </w:rPr>
                    <w:t>地</w:t>
                  </w:r>
                </w:p>
              </w:tc>
              <w:tc>
                <w:tcPr>
                  <w:tcW w:w="5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27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9"/>
                      <w:sz w:val="21"/>
                      <w:szCs w:val="21"/>
                    </w:rPr>
                    <w:t>极小种群物种分布的栖</w:t>
                  </w:r>
                  <w:r>
                    <w:rPr>
                      <w:rFonts w:ascii="宋体" w:hAnsi="宋体" w:eastAsia="宋体" w:cs="宋体"/>
                      <w:spacing w:val="8"/>
                      <w:sz w:val="21"/>
                      <w:szCs w:val="21"/>
                    </w:rPr>
                    <w:t>息</w:t>
                  </w:r>
                  <w:r>
                    <w:rPr>
                      <w:rFonts w:ascii="宋体" w:hAnsi="宋体" w:eastAsia="宋体" w:cs="宋体"/>
                      <w:sz w:val="21"/>
                      <w:szCs w:val="21"/>
                    </w:rPr>
                    <w:t xml:space="preserve"> 地</w:t>
                  </w:r>
                </w:p>
              </w:tc>
              <w:tc>
                <w:tcPr>
                  <w:tcW w:w="49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0"/>
                      <w:sz w:val="21"/>
                      <w:szCs w:val="21"/>
                    </w:rPr>
                    <w:t>峨</w:t>
                  </w:r>
                  <w:r>
                    <w:rPr>
                      <w:rFonts w:ascii="宋体" w:hAnsi="宋体" w:eastAsia="宋体" w:cs="宋体"/>
                      <w:spacing w:val="9"/>
                      <w:sz w:val="21"/>
                      <w:szCs w:val="21"/>
                    </w:rPr>
                    <w:t>眉黄连、峨眉拟单性木兰的分布栖息地</w:t>
                  </w:r>
                </w:p>
              </w:tc>
            </w:tr>
            <w:tr>
              <w:tblPrEx>
                <w:tblBorders>
                  <w:top w:val="single" w:color="000000" w:sz="2" w:space="0"/>
                  <w:left w:val="single" w:color="000000" w:sz="2" w:space="0"/>
                  <w:bottom w:val="single" w:color="000000" w:sz="2" w:space="0"/>
                  <w:right w:val="single" w:color="000000" w:sz="6"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9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szCs w:val="21"/>
                    </w:rPr>
                  </w:pPr>
                </w:p>
              </w:tc>
              <w:tc>
                <w:tcPr>
                  <w:tcW w:w="5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27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0"/>
                      <w:sz w:val="21"/>
                      <w:szCs w:val="21"/>
                    </w:rPr>
                    <w:t>国</w:t>
                  </w:r>
                  <w:r>
                    <w:rPr>
                      <w:rFonts w:ascii="宋体" w:hAnsi="宋体" w:eastAsia="宋体" w:cs="宋体"/>
                      <w:spacing w:val="5"/>
                      <w:sz w:val="21"/>
                      <w:szCs w:val="21"/>
                    </w:rPr>
                    <w:t>家一级公益林</w:t>
                  </w:r>
                </w:p>
              </w:tc>
              <w:tc>
                <w:tcPr>
                  <w:tcW w:w="49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9"/>
                      <w:sz w:val="21"/>
                      <w:szCs w:val="21"/>
                    </w:rPr>
                    <w:t>峨眉山市、峨边县、马边县、沐川</w:t>
                  </w:r>
                  <w:r>
                    <w:rPr>
                      <w:rFonts w:ascii="宋体" w:hAnsi="宋体" w:eastAsia="宋体" w:cs="宋体"/>
                      <w:spacing w:val="8"/>
                      <w:sz w:val="21"/>
                      <w:szCs w:val="21"/>
                    </w:rPr>
                    <w:t>县</w:t>
                  </w:r>
                </w:p>
              </w:tc>
            </w:tr>
            <w:tr>
              <w:tblPrEx>
                <w:tblBorders>
                  <w:top w:val="single" w:color="000000" w:sz="2" w:space="0"/>
                  <w:left w:val="single" w:color="000000" w:sz="2" w:space="0"/>
                  <w:bottom w:val="single" w:color="000000" w:sz="2" w:space="0"/>
                  <w:right w:val="single" w:color="000000" w:sz="6" w:space="0"/>
                  <w:insideH w:val="single" w:color="000000" w:sz="2" w:space="0"/>
                  <w:insideV w:val="single" w:color="000000" w:sz="2" w:space="0"/>
                </w:tblBorders>
                <w:tblCellMar>
                  <w:top w:w="0" w:type="dxa"/>
                  <w:left w:w="0" w:type="dxa"/>
                  <w:bottom w:w="0" w:type="dxa"/>
                  <w:right w:w="0" w:type="dxa"/>
                </w:tblCellMar>
              </w:tblPrEx>
              <w:trPr>
                <w:trHeight w:val="286" w:hRule="atLeast"/>
              </w:trPr>
              <w:tc>
                <w:tcPr>
                  <w:tcW w:w="90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szCs w:val="21"/>
                    </w:rPr>
                  </w:pPr>
                </w:p>
              </w:tc>
              <w:tc>
                <w:tcPr>
                  <w:tcW w:w="5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27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7"/>
                      <w:sz w:val="21"/>
                      <w:szCs w:val="21"/>
                    </w:rPr>
                    <w:t>重要湿地</w:t>
                  </w:r>
                </w:p>
              </w:tc>
              <w:tc>
                <w:tcPr>
                  <w:tcW w:w="49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1"/>
                      <w:sz w:val="21"/>
                      <w:szCs w:val="21"/>
                    </w:rPr>
                    <w:t>沙</w:t>
                  </w:r>
                  <w:r>
                    <w:rPr>
                      <w:rFonts w:ascii="宋体" w:hAnsi="宋体" w:eastAsia="宋体" w:cs="宋体"/>
                      <w:spacing w:val="8"/>
                      <w:sz w:val="21"/>
                      <w:szCs w:val="21"/>
                    </w:rPr>
                    <w:t>湾区、犍为县</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pacing w:val="0"/>
                <w:sz w:val="24"/>
                <w:szCs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sz w:val="24"/>
              </w:rPr>
              <mc:AlternateContent>
                <mc:Choice Requires="wps">
                  <w:drawing>
                    <wp:anchor distT="0" distB="0" distL="114300" distR="114300" simplePos="0" relativeHeight="251661312" behindDoc="0" locked="0" layoutInCell="1" allowOverlap="1">
                      <wp:simplePos x="0" y="0"/>
                      <wp:positionH relativeFrom="column">
                        <wp:posOffset>2855595</wp:posOffset>
                      </wp:positionH>
                      <wp:positionV relativeFrom="paragraph">
                        <wp:posOffset>528320</wp:posOffset>
                      </wp:positionV>
                      <wp:extent cx="702310" cy="285750"/>
                      <wp:effectExtent l="18415" t="12700" r="22225" b="215900"/>
                      <wp:wrapNone/>
                      <wp:docPr id="51" name="矩形标注 51"/>
                      <wp:cNvGraphicFramePr/>
                      <a:graphic xmlns:a="http://schemas.openxmlformats.org/drawingml/2006/main">
                        <a:graphicData uri="http://schemas.microsoft.com/office/word/2010/wordprocessingShape">
                          <wps:wsp>
                            <wps:cNvSpPr/>
                            <wps:spPr>
                              <a:xfrm>
                                <a:off x="0" y="0"/>
                                <a:ext cx="702310" cy="285750"/>
                              </a:xfrm>
                              <a:prstGeom prst="wedgeRectCallout">
                                <a:avLst>
                                  <a:gd name="adj1" fmla="val -47319"/>
                                  <a:gd name="adj2" fmla="val 106444"/>
                                </a:avLst>
                              </a:prstGeom>
                              <a:noFill/>
                              <a:ln w="25400" cap="flat" cmpd="sng">
                                <a:solidFill>
                                  <a:srgbClr val="FF0000"/>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本项目</w:t>
                                  </w:r>
                                </w:p>
                              </w:txbxContent>
                            </wps:txbx>
                            <wps:bodyPr upright="1"/>
                          </wps:wsp>
                        </a:graphicData>
                      </a:graphic>
                    </wp:anchor>
                  </w:drawing>
                </mc:Choice>
                <mc:Fallback>
                  <w:pict>
                    <v:shape id="_x0000_s1026" o:spid="_x0000_s1026" o:spt="61" type="#_x0000_t61" style="position:absolute;left:0pt;margin-left:224.85pt;margin-top:41.6pt;height:22.5pt;width:55.3pt;z-index:251661312;mso-width-relative:page;mso-height-relative:page;" filled="f" stroked="t" coordsize="21600,21600" o:gfxdata="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L8xRXLZAAAACgEAAA8AAAAAAAAAAQAgAAAAIgAAAGRycy9kb3du&#10;cmV2LnhtbFBLAQIUABQAAAAIAIdO4kBFVrcWNwIAAGcEAAAOAAAAAAAAAAEAIAAAACgBAABkcnMv&#10;ZTJvRG9jLnhtbFBLBQYAAAAABgAGAFkBAADRBQAAAAA=&#10;" adj="579,33792">
                      <v:path/>
                      <v:fill on="f" focussize="0,0"/>
                      <v:stroke weight="2pt" color="#FF0000"/>
                      <v:imagedata o:title=""/>
                      <o:lock v:ext="edit" aspectratio="f"/>
                      <v:textbox>
                        <w:txbxContent>
                          <w:p>
                            <w:pPr>
                              <w:rPr>
                                <w:rFonts w:hint="eastAsia" w:eastAsia="宋体"/>
                                <w:lang w:val="en-US" w:eastAsia="zh-CN"/>
                              </w:rPr>
                            </w:pPr>
                            <w:r>
                              <w:rPr>
                                <w:rFonts w:hint="eastAsia"/>
                                <w:lang w:val="en-US" w:eastAsia="zh-CN"/>
                              </w:rPr>
                              <w:t>本项目</w:t>
                            </w:r>
                          </w:p>
                        </w:txbxContent>
                      </v:textbox>
                    </v:shape>
                  </w:pict>
                </mc:Fallback>
              </mc:AlternateContent>
            </w:r>
            <w:r>
              <w:drawing>
                <wp:inline distT="0" distB="0" distL="114300" distR="114300">
                  <wp:extent cx="4770755" cy="3545840"/>
                  <wp:effectExtent l="9525" t="9525" r="20320" b="26035"/>
                  <wp:docPr id="4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7"/>
                          <pic:cNvPicPr>
                            <a:picLocks noChangeAspect="1"/>
                          </pic:cNvPicPr>
                        </pic:nvPicPr>
                        <pic:blipFill>
                          <a:blip r:embed="rId31"/>
                          <a:stretch>
                            <a:fillRect/>
                          </a:stretch>
                        </pic:blipFill>
                        <pic:spPr>
                          <a:xfrm>
                            <a:off x="0" y="0"/>
                            <a:ext cx="4770755" cy="3545840"/>
                          </a:xfrm>
                          <a:prstGeom prst="rect">
                            <a:avLst/>
                          </a:prstGeom>
                          <a:noFill/>
                          <a:ln w="9525" cap="flat" cmpd="sng">
                            <a:solidFill>
                              <a:srgbClr val="000000"/>
                            </a:solidFill>
                            <a:prstDash val="solid"/>
                            <a:miter/>
                            <a:headEnd type="none" w="med" len="med"/>
                            <a:tailEnd type="none" w="med" len="med"/>
                          </a:ln>
                        </pic:spPr>
                      </pic:pic>
                    </a:graphicData>
                  </a:graphic>
                </wp:inline>
              </w:drawing>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18" w:firstLineChars="200"/>
              <w:jc w:val="center"/>
              <w:textAlignment w:val="auto"/>
              <w:rPr>
                <w:rFonts w:hint="default" w:ascii="Times New Roman" w:hAnsi="Times New Roman" w:eastAsia="宋体" w:cs="Times New Roman"/>
                <w:b/>
                <w:bCs/>
                <w:color w:val="auto"/>
                <w:spacing w:val="0"/>
                <w:sz w:val="21"/>
                <w:szCs w:val="21"/>
                <w:lang w:val="en-US" w:eastAsia="zh-CN"/>
              </w:rPr>
            </w:pPr>
            <w:r>
              <w:rPr>
                <w:rFonts w:hint="default" w:ascii="Times New Roman" w:hAnsi="Times New Roman" w:eastAsia="宋体" w:cs="Times New Roman"/>
                <w:b/>
                <w:bCs/>
                <w:spacing w:val="-1"/>
                <w:sz w:val="21"/>
                <w:szCs w:val="21"/>
              </w:rPr>
              <w:t>图1-1</w:t>
            </w:r>
            <w:r>
              <w:rPr>
                <w:rFonts w:hint="eastAsia" w:ascii="Times New Roman" w:hAnsi="Times New Roman" w:eastAsia="宋体" w:cs="Times New Roman"/>
                <w:b/>
                <w:bCs/>
                <w:spacing w:val="-1"/>
                <w:sz w:val="21"/>
                <w:szCs w:val="21"/>
                <w:lang w:val="en-US" w:eastAsia="zh-CN"/>
              </w:rPr>
              <w:t xml:space="preserve">  </w:t>
            </w:r>
            <w:r>
              <w:rPr>
                <w:rFonts w:hint="default" w:ascii="Times New Roman" w:hAnsi="Times New Roman" w:eastAsia="宋体" w:cs="Times New Roman"/>
                <w:b/>
                <w:bCs/>
                <w:sz w:val="21"/>
                <w:szCs w:val="21"/>
              </w:rPr>
              <w:t>乐山市生态红线图</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根据上图可知，本项目位于一般生态空间，不在生态红线区域范围之内，符 合四川省及乐山市生态保护红线相关要求。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textAlignment w:val="auto"/>
              <w:rPr>
                <w:rFonts w:hint="default" w:ascii="Times New Roman" w:hAnsi="Times New Roman" w:eastAsia="宋体" w:cs="Times New Roman"/>
                <w:b/>
                <w:bCs/>
                <w:color w:val="auto"/>
                <w:spacing w:val="0"/>
                <w:sz w:val="24"/>
                <w:szCs w:val="24"/>
                <w:lang w:val="en-US" w:eastAsia="zh-CN"/>
              </w:rPr>
            </w:pPr>
            <w:r>
              <w:rPr>
                <w:rFonts w:hint="default" w:ascii="Times New Roman" w:hAnsi="Times New Roman" w:eastAsia="宋体" w:cs="Times New Roman"/>
                <w:b/>
                <w:bCs/>
                <w:color w:val="auto"/>
                <w:spacing w:val="0"/>
                <w:sz w:val="24"/>
                <w:szCs w:val="24"/>
                <w:lang w:val="en-US" w:eastAsia="zh-CN"/>
              </w:rPr>
              <w:t>②与“环境质量底线”符合性分析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“环境质量底线”是国家和地方设置的大气、水和土壤环境质量目标，也是改 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本项目位于乐山市市中区范围内。根据《环境影响评价技术导则 大气环境》(HJ2.2-2018) 6.4. 1.2“根据国家或地方生态环境主管部门公开发布的城市环境空气质量达标情况，判断项目所在区域是否属于达标区。根据乐山市生态环境局发布的《2021年乐山市年度环境质量状况》结论，市中区为达标区。</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项目选址区域地表水体为</w:t>
            </w:r>
            <w:r>
              <w:rPr>
                <w:rFonts w:hint="eastAsia" w:ascii="Times New Roman" w:hAnsi="Times New Roman" w:eastAsia="宋体" w:cs="Times New Roman"/>
                <w:b w:val="0"/>
                <w:bCs w:val="0"/>
                <w:color w:val="auto"/>
                <w:spacing w:val="0"/>
                <w:sz w:val="24"/>
                <w:szCs w:val="24"/>
                <w:lang w:val="en-US" w:eastAsia="zh-CN"/>
              </w:rPr>
              <w:t>峨眉河</w:t>
            </w:r>
            <w:r>
              <w:rPr>
                <w:rFonts w:hint="default" w:ascii="Times New Roman" w:hAnsi="Times New Roman" w:eastAsia="宋体" w:cs="Times New Roman"/>
                <w:b w:val="0"/>
                <w:bCs w:val="0"/>
                <w:color w:val="auto"/>
                <w:spacing w:val="0"/>
                <w:sz w:val="24"/>
                <w:szCs w:val="24"/>
                <w:lang w:val="en-US" w:eastAsia="zh-CN"/>
              </w:rPr>
              <w:t>，根据《乐山市地表水水质质量月报2022年</w:t>
            </w:r>
            <w:r>
              <w:rPr>
                <w:rFonts w:hint="eastAsia" w:ascii="Times New Roman" w:hAnsi="Times New Roman" w:eastAsia="宋体" w:cs="Times New Roman"/>
                <w:b w:val="0"/>
                <w:bCs w:val="0"/>
                <w:color w:val="auto"/>
                <w:spacing w:val="0"/>
                <w:sz w:val="24"/>
                <w:szCs w:val="24"/>
                <w:lang w:val="en-US" w:eastAsia="zh-CN"/>
              </w:rPr>
              <w:t>8</w:t>
            </w:r>
            <w:r>
              <w:rPr>
                <w:rFonts w:hint="default" w:ascii="Times New Roman" w:hAnsi="Times New Roman" w:eastAsia="宋体" w:cs="Times New Roman"/>
                <w:b w:val="0"/>
                <w:bCs w:val="0"/>
                <w:color w:val="auto"/>
                <w:spacing w:val="0"/>
                <w:sz w:val="24"/>
                <w:szCs w:val="24"/>
                <w:lang w:val="en-US" w:eastAsia="zh-CN"/>
              </w:rPr>
              <w:t>月》，省考</w:t>
            </w:r>
            <w:r>
              <w:rPr>
                <w:rFonts w:hint="eastAsia" w:ascii="Times New Roman" w:hAnsi="Times New Roman" w:eastAsia="宋体" w:cs="Times New Roman"/>
                <w:b w:val="0"/>
                <w:bCs w:val="0"/>
                <w:color w:val="auto"/>
                <w:spacing w:val="0"/>
                <w:sz w:val="24"/>
                <w:szCs w:val="24"/>
                <w:lang w:val="en-US" w:eastAsia="zh-CN"/>
              </w:rPr>
              <w:t>峨眉河曾河坝</w:t>
            </w:r>
            <w:r>
              <w:rPr>
                <w:rFonts w:hint="default" w:ascii="Times New Roman" w:hAnsi="Times New Roman" w:eastAsia="宋体" w:cs="Times New Roman"/>
                <w:b w:val="0"/>
                <w:bCs w:val="0"/>
                <w:color w:val="auto"/>
                <w:spacing w:val="0"/>
                <w:sz w:val="24"/>
                <w:szCs w:val="24"/>
                <w:lang w:val="en-US" w:eastAsia="zh-CN"/>
              </w:rPr>
              <w:t>断面地表水质为Ⅱ类。</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项目所在区域为2类声环境功能区，根据环境噪声现状监测结果，项目区域各点位噪声满足《声环境质量标准》 (GB3096-2008) 中2类标准，表明项目所在地声环境质量良好。本项目营运期无噪声排放，不会改变项目所在区域的声环境功能。</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综上，本项目建设符合环境质量底线要求。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textAlignment w:val="auto"/>
              <w:rPr>
                <w:rFonts w:hint="eastAsia"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③与</w:t>
            </w:r>
            <w:r>
              <w:rPr>
                <w:rFonts w:hint="default" w:ascii="Times New Roman" w:hAnsi="Times New Roman" w:eastAsia="宋体" w:cs="Times New Roman"/>
                <w:b/>
                <w:bCs/>
                <w:color w:val="auto"/>
                <w:spacing w:val="0"/>
                <w:sz w:val="24"/>
                <w:szCs w:val="24"/>
                <w:lang w:val="en-US" w:eastAsia="zh-CN"/>
              </w:rPr>
              <w:t>“</w:t>
            </w:r>
            <w:r>
              <w:rPr>
                <w:rFonts w:hint="eastAsia" w:ascii="Times New Roman" w:hAnsi="Times New Roman" w:eastAsia="宋体" w:cs="Times New Roman"/>
                <w:b/>
                <w:bCs/>
                <w:color w:val="auto"/>
                <w:spacing w:val="0"/>
                <w:sz w:val="24"/>
                <w:szCs w:val="24"/>
                <w:lang w:val="en-US" w:eastAsia="zh-CN"/>
              </w:rPr>
              <w:t>资源利用上线</w:t>
            </w:r>
            <w:r>
              <w:rPr>
                <w:rFonts w:hint="default" w:ascii="Times New Roman" w:hAnsi="Times New Roman" w:eastAsia="宋体" w:cs="Times New Roman"/>
                <w:b/>
                <w:bCs/>
                <w:color w:val="auto"/>
                <w:spacing w:val="0"/>
                <w:sz w:val="24"/>
                <w:szCs w:val="24"/>
                <w:lang w:val="en-US" w:eastAsia="zh-CN"/>
              </w:rPr>
              <w:t>”</w:t>
            </w:r>
            <w:r>
              <w:rPr>
                <w:rFonts w:hint="eastAsia" w:ascii="Times New Roman" w:hAnsi="Times New Roman" w:eastAsia="宋体" w:cs="Times New Roman"/>
                <w:b/>
                <w:bCs/>
                <w:color w:val="auto"/>
                <w:spacing w:val="0"/>
                <w:sz w:val="24"/>
                <w:szCs w:val="24"/>
                <w:lang w:val="en-US" w:eastAsia="zh-CN"/>
              </w:rPr>
              <w:t>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000000"/>
                <w:spacing w:val="0"/>
                <w:sz w:val="24"/>
                <w:szCs w:val="24"/>
                <w:lang w:val="en-US" w:eastAsia="zh-CN"/>
              </w:rPr>
            </w:pPr>
            <w:r>
              <w:rPr>
                <w:rFonts w:hint="eastAsia" w:ascii="Times New Roman" w:hAnsi="Times New Roman" w:eastAsia="宋体" w:cs="Times New Roman"/>
                <w:b w:val="0"/>
                <w:bCs w:val="0"/>
                <w:color w:val="auto"/>
                <w:spacing w:val="0"/>
                <w:sz w:val="24"/>
                <w:szCs w:val="24"/>
                <w:lang w:val="en-US" w:eastAsia="zh-CN"/>
              </w:rPr>
              <w:t>本项目电源直接由当地电网接入，</w:t>
            </w:r>
            <w:r>
              <w:rPr>
                <w:rFonts w:hint="eastAsia" w:ascii="Times New Roman" w:hAnsi="Times New Roman" w:eastAsia="宋体" w:cs="Times New Roman"/>
                <w:b w:val="0"/>
                <w:bCs w:val="0"/>
                <w:color w:val="000000"/>
                <w:spacing w:val="0"/>
                <w:sz w:val="24"/>
                <w:szCs w:val="24"/>
                <w:lang w:val="en-US" w:eastAsia="zh-CN"/>
              </w:rPr>
              <w:t>电量充沛，能满足用电需要；项目地区水资源充沛，项目用水对当地水资源利用影响不明显，没有触及当地水资源利用上线。本项目用地在原有大坝红线范围内重建，符合用地要求，未触及土地资源利用上线。</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宋体" w:hAnsi="宋体" w:eastAsia="宋体" w:cs="宋体"/>
                <w:color w:val="000000"/>
                <w:sz w:val="23"/>
                <w:szCs w:val="23"/>
              </w:rPr>
            </w:pPr>
            <w:r>
              <w:rPr>
                <w:rFonts w:hint="eastAsia" w:ascii="Times New Roman" w:hAnsi="Times New Roman" w:eastAsia="宋体" w:cs="Times New Roman"/>
                <w:b w:val="0"/>
                <w:bCs w:val="0"/>
                <w:color w:val="000000"/>
                <w:spacing w:val="0"/>
                <w:sz w:val="24"/>
                <w:szCs w:val="24"/>
                <w:lang w:val="en-US" w:eastAsia="zh-CN"/>
              </w:rPr>
              <w:t>因此，本项目的建设未触及当地的资源利用上线，符合相关要求。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textAlignment w:val="auto"/>
              <w:rPr>
                <w:rFonts w:hint="eastAsia"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④环境准入负面清单</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rFonts w:hint="eastAsia" w:ascii="Times New Roman" w:hAnsi="Times New Roman" w:eastAsia="宋体" w:cs="Times New Roman"/>
                <w:b w:val="0"/>
                <w:bCs w:val="0"/>
                <w:color w:val="auto"/>
                <w:spacing w:val="0"/>
                <w:sz w:val="24"/>
                <w:szCs w:val="24"/>
                <w:lang w:val="en-US" w:eastAsia="zh-CN"/>
              </w:rPr>
              <w:t>根据《乐山市人民政府关于落实生态保护红线、环境质量底线、资源利用上限制定生态环境准入清单实施生态环境分区管控的通知》(乐府发〔2021〕7 号) 中乐山市环境管控单元图，本项目位于乐山市市中区环境综合管控单元城镇重点管控单元 (管控单元名称：市中区中心城区，管控单元编号：ZH51110220001)，其符合性分析如下表：</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54" w:firstLineChars="200"/>
              <w:jc w:val="center"/>
              <w:textAlignment w:val="auto"/>
              <w:rPr>
                <w:rFonts w:hint="default" w:ascii="Times New Roman" w:hAnsi="Times New Roman" w:eastAsia="宋体" w:cs="Times New Roman"/>
                <w:b/>
                <w:bCs/>
                <w:spacing w:val="8"/>
                <w:sz w:val="21"/>
                <w:szCs w:val="21"/>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54" w:firstLineChars="200"/>
              <w:jc w:val="center"/>
              <w:textAlignment w:val="auto"/>
              <w:rPr>
                <w:rFonts w:hint="default" w:ascii="Times New Roman" w:hAnsi="Times New Roman" w:eastAsia="宋体" w:cs="Times New Roman"/>
                <w:b/>
                <w:bCs/>
                <w:spacing w:val="8"/>
                <w:sz w:val="21"/>
                <w:szCs w:val="21"/>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54" w:firstLineChars="200"/>
              <w:jc w:val="center"/>
              <w:textAlignment w:val="auto"/>
              <w:rPr>
                <w:rFonts w:hint="default" w:ascii="Times New Roman" w:hAnsi="Times New Roman" w:eastAsia="宋体" w:cs="Times New Roman"/>
                <w:b/>
                <w:bCs/>
                <w:spacing w:val="8"/>
                <w:sz w:val="21"/>
                <w:szCs w:val="21"/>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54" w:firstLineChars="200"/>
              <w:jc w:val="center"/>
              <w:textAlignment w:val="auto"/>
              <w:rPr>
                <w:rFonts w:hint="default" w:ascii="Times New Roman" w:hAnsi="Times New Roman" w:eastAsia="宋体" w:cs="Times New Roman"/>
                <w:b/>
                <w:bCs/>
                <w:spacing w:val="8"/>
                <w:sz w:val="21"/>
                <w:szCs w:val="21"/>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54" w:firstLineChars="200"/>
              <w:jc w:val="center"/>
              <w:textAlignment w:val="auto"/>
              <w:rPr>
                <w:rFonts w:hint="default" w:ascii="Times New Roman" w:hAnsi="Times New Roman" w:eastAsia="宋体" w:cs="Times New Roman"/>
                <w:b/>
                <w:bCs/>
                <w:spacing w:val="8"/>
                <w:sz w:val="21"/>
                <w:szCs w:val="21"/>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54" w:firstLineChars="200"/>
              <w:jc w:val="center"/>
              <w:textAlignment w:val="auto"/>
              <w:rPr>
                <w:rFonts w:hint="default" w:ascii="Times New Roman" w:hAnsi="Times New Roman" w:eastAsia="宋体" w:cs="Times New Roman"/>
                <w:b/>
                <w:bCs/>
                <w:spacing w:val="8"/>
                <w:sz w:val="21"/>
                <w:szCs w:val="21"/>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54" w:firstLineChars="200"/>
              <w:jc w:val="center"/>
              <w:textAlignment w:val="auto"/>
              <w:rPr>
                <w:rFonts w:hint="default" w:ascii="Times New Roman" w:hAnsi="Times New Roman" w:eastAsia="宋体" w:cs="Times New Roman"/>
                <w:b/>
                <w:bCs/>
                <w:spacing w:val="8"/>
                <w:sz w:val="21"/>
                <w:szCs w:val="21"/>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54" w:firstLineChars="200"/>
              <w:jc w:val="center"/>
              <w:textAlignment w:val="auto"/>
              <w:rPr>
                <w:rFonts w:hint="default" w:ascii="Times New Roman" w:hAnsi="Times New Roman" w:eastAsia="宋体" w:cs="Times New Roman"/>
                <w:b/>
                <w:bCs/>
                <w:spacing w:val="8"/>
                <w:sz w:val="21"/>
                <w:szCs w:val="21"/>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54" w:firstLineChars="200"/>
              <w:jc w:val="center"/>
              <w:textAlignment w:val="auto"/>
              <w:rPr>
                <w:rFonts w:hint="default" w:ascii="Times New Roman" w:hAnsi="Times New Roman" w:eastAsia="宋体" w:cs="Times New Roman"/>
                <w:b/>
                <w:bCs/>
                <w:spacing w:val="8"/>
                <w:sz w:val="21"/>
                <w:szCs w:val="21"/>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54" w:firstLineChars="200"/>
              <w:jc w:val="center"/>
              <w:textAlignment w:val="auto"/>
              <w:rPr>
                <w:rFonts w:hint="default" w:ascii="Times New Roman" w:hAnsi="Times New Roman" w:eastAsia="宋体" w:cs="Times New Roman"/>
                <w:b/>
                <w:bCs/>
                <w:spacing w:val="8"/>
                <w:sz w:val="21"/>
                <w:szCs w:val="21"/>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54" w:firstLineChars="200"/>
              <w:jc w:val="center"/>
              <w:textAlignment w:val="auto"/>
              <w:rPr>
                <w:rFonts w:hint="default" w:ascii="Times New Roman" w:hAnsi="Times New Roman" w:eastAsia="宋体" w:cs="Times New Roman"/>
                <w:b/>
                <w:bCs/>
                <w:spacing w:val="8"/>
                <w:sz w:val="21"/>
                <w:szCs w:val="21"/>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54" w:firstLineChars="200"/>
              <w:jc w:val="center"/>
              <w:textAlignment w:val="auto"/>
              <w:rPr>
                <w:rFonts w:hint="default" w:ascii="Times New Roman" w:hAnsi="Times New Roman" w:eastAsia="宋体" w:cs="Times New Roman"/>
                <w:b/>
                <w:bCs/>
                <w:spacing w:val="8"/>
                <w:sz w:val="21"/>
                <w:szCs w:val="21"/>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54" w:firstLineChars="200"/>
              <w:jc w:val="center"/>
              <w:textAlignment w:val="auto"/>
              <w:rPr>
                <w:rFonts w:hint="default" w:ascii="Times New Roman" w:hAnsi="Times New Roman" w:eastAsia="宋体" w:cs="Times New Roman"/>
                <w:b/>
                <w:bCs/>
                <w:spacing w:val="8"/>
                <w:sz w:val="21"/>
                <w:szCs w:val="21"/>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54" w:firstLineChars="200"/>
              <w:jc w:val="center"/>
              <w:textAlignment w:val="auto"/>
              <w:rPr>
                <w:rFonts w:hint="default" w:ascii="Times New Roman" w:hAnsi="Times New Roman" w:eastAsia="宋体" w:cs="Times New Roman"/>
                <w:b/>
                <w:bCs/>
                <w:color w:val="auto"/>
                <w:spacing w:val="0"/>
                <w:sz w:val="21"/>
                <w:szCs w:val="21"/>
                <w:lang w:val="en-US" w:eastAsia="zh-CN"/>
              </w:rPr>
            </w:pPr>
            <w:r>
              <w:rPr>
                <w:rFonts w:hint="default" w:ascii="Times New Roman" w:hAnsi="Times New Roman" w:eastAsia="宋体" w:cs="Times New Roman"/>
                <w:b/>
                <w:bCs/>
                <w:spacing w:val="8"/>
                <w:sz w:val="21"/>
                <w:szCs w:val="21"/>
              </w:rPr>
              <w:t>表</w:t>
            </w:r>
            <w:r>
              <w:rPr>
                <w:rFonts w:hint="default" w:ascii="Times New Roman" w:hAnsi="Times New Roman" w:eastAsia="Times New Roman" w:cs="Times New Roman"/>
                <w:b/>
                <w:bCs/>
                <w:spacing w:val="8"/>
                <w:sz w:val="21"/>
                <w:szCs w:val="21"/>
              </w:rPr>
              <w:t>1</w:t>
            </w:r>
            <w:r>
              <w:rPr>
                <w:rFonts w:hint="default" w:ascii="Times New Roman" w:hAnsi="Times New Roman" w:eastAsia="Times New Roman" w:cs="Times New Roman"/>
                <w:b/>
                <w:bCs/>
                <w:spacing w:val="6"/>
                <w:sz w:val="21"/>
                <w:szCs w:val="21"/>
              </w:rPr>
              <w:t>-</w:t>
            </w:r>
            <w:r>
              <w:rPr>
                <w:rFonts w:hint="eastAsia" w:ascii="Times New Roman" w:hAnsi="Times New Roman" w:eastAsia="宋体" w:cs="Times New Roman"/>
                <w:b/>
                <w:bCs/>
                <w:spacing w:val="4"/>
                <w:sz w:val="21"/>
                <w:szCs w:val="21"/>
                <w:lang w:val="en-US" w:eastAsia="zh-CN"/>
              </w:rPr>
              <w:t xml:space="preserve">5  </w:t>
            </w:r>
            <w:r>
              <w:rPr>
                <w:rFonts w:hint="default" w:ascii="Times New Roman" w:hAnsi="Times New Roman" w:eastAsia="宋体" w:cs="Times New Roman"/>
                <w:b/>
                <w:bCs/>
                <w:spacing w:val="4"/>
                <w:sz w:val="21"/>
                <w:szCs w:val="21"/>
              </w:rPr>
              <w:t>本项目与生态环境管控单元符合性分析</w:t>
            </w:r>
          </w:p>
          <w:tbl>
            <w:tblPr>
              <w:tblStyle w:val="250"/>
              <w:tblW w:w="9166"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048"/>
              <w:gridCol w:w="776"/>
              <w:gridCol w:w="4262"/>
              <w:gridCol w:w="2259"/>
              <w:gridCol w:w="82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2" w:hRule="atLeast"/>
              </w:trPr>
              <w:tc>
                <w:tcPr>
                  <w:tcW w:w="1824" w:type="dxa"/>
                  <w:gridSpan w:val="2"/>
                  <w:noWrap w:val="0"/>
                  <w:vAlign w:val="top"/>
                </w:tcPr>
                <w:p>
                  <w:pPr>
                    <w:spacing w:line="246" w:lineRule="auto"/>
                    <w:rPr>
                      <w:rFonts w:ascii="Arial"/>
                      <w:sz w:val="21"/>
                    </w:rPr>
                  </w:pPr>
                </w:p>
                <w:p>
                  <w:pPr>
                    <w:spacing w:before="65" w:line="230" w:lineRule="auto"/>
                    <w:ind w:left="637"/>
                    <w:rPr>
                      <w:rFonts w:ascii="宋体" w:hAnsi="宋体" w:eastAsia="宋体" w:cs="宋体"/>
                      <w:sz w:val="20"/>
                      <w:szCs w:val="20"/>
                    </w:rPr>
                  </w:pPr>
                  <w:r>
                    <w:rPr>
                      <w:rFonts w:ascii="宋体" w:hAnsi="宋体" w:eastAsia="宋体" w:cs="宋体"/>
                      <w:spacing w:val="5"/>
                      <w:sz w:val="20"/>
                      <w:szCs w:val="20"/>
                    </w:rPr>
                    <w:t>序号</w:t>
                  </w:r>
                </w:p>
              </w:tc>
              <w:tc>
                <w:tcPr>
                  <w:tcW w:w="4262" w:type="dxa"/>
                  <w:noWrap w:val="0"/>
                  <w:vAlign w:val="top"/>
                </w:tcPr>
                <w:p>
                  <w:pPr>
                    <w:spacing w:line="246" w:lineRule="auto"/>
                    <w:rPr>
                      <w:rFonts w:ascii="Arial"/>
                      <w:sz w:val="21"/>
                    </w:rPr>
                  </w:pPr>
                </w:p>
                <w:p>
                  <w:pPr>
                    <w:spacing w:before="65" w:line="230" w:lineRule="auto"/>
                    <w:ind w:left="1703"/>
                    <w:rPr>
                      <w:rFonts w:ascii="宋体" w:hAnsi="宋体" w:eastAsia="宋体" w:cs="宋体"/>
                      <w:sz w:val="20"/>
                      <w:szCs w:val="20"/>
                    </w:rPr>
                  </w:pPr>
                  <w:r>
                    <w:rPr>
                      <w:rFonts w:ascii="宋体" w:hAnsi="宋体" w:eastAsia="宋体" w:cs="宋体"/>
                      <w:spacing w:val="4"/>
                      <w:sz w:val="20"/>
                      <w:szCs w:val="20"/>
                    </w:rPr>
                    <w:t>要求</w:t>
                  </w:r>
                </w:p>
              </w:tc>
              <w:tc>
                <w:tcPr>
                  <w:tcW w:w="2259" w:type="dxa"/>
                  <w:noWrap w:val="0"/>
                  <w:vAlign w:val="top"/>
                </w:tcPr>
                <w:p>
                  <w:pPr>
                    <w:spacing w:line="246" w:lineRule="auto"/>
                    <w:rPr>
                      <w:rFonts w:ascii="Arial"/>
                      <w:sz w:val="21"/>
                    </w:rPr>
                  </w:pPr>
                </w:p>
                <w:p>
                  <w:pPr>
                    <w:spacing w:before="65" w:line="228" w:lineRule="auto"/>
                    <w:ind w:left="792"/>
                    <w:rPr>
                      <w:rFonts w:ascii="宋体" w:hAnsi="宋体" w:eastAsia="宋体" w:cs="宋体"/>
                      <w:sz w:val="20"/>
                      <w:szCs w:val="20"/>
                    </w:rPr>
                  </w:pPr>
                  <w:r>
                    <w:rPr>
                      <w:rFonts w:ascii="宋体" w:hAnsi="宋体" w:eastAsia="宋体" w:cs="宋体"/>
                      <w:spacing w:val="7"/>
                      <w:sz w:val="20"/>
                      <w:szCs w:val="20"/>
                    </w:rPr>
                    <w:t>本</w:t>
                  </w:r>
                  <w:r>
                    <w:rPr>
                      <w:rFonts w:ascii="宋体" w:hAnsi="宋体" w:eastAsia="宋体" w:cs="宋体"/>
                      <w:spacing w:val="6"/>
                      <w:sz w:val="20"/>
                      <w:szCs w:val="20"/>
                    </w:rPr>
                    <w:t>项目</w:t>
                  </w:r>
                </w:p>
              </w:tc>
              <w:tc>
                <w:tcPr>
                  <w:tcW w:w="821" w:type="dxa"/>
                  <w:tcBorders>
                    <w:right w:val="single" w:color="000000" w:sz="6" w:space="0"/>
                  </w:tcBorders>
                  <w:noWrap w:val="0"/>
                  <w:vAlign w:val="top"/>
                </w:tcPr>
                <w:p>
                  <w:pPr>
                    <w:spacing w:before="42" w:line="271" w:lineRule="exact"/>
                    <w:ind w:left="169"/>
                    <w:rPr>
                      <w:rFonts w:ascii="宋体" w:hAnsi="宋体" w:eastAsia="宋体" w:cs="宋体"/>
                      <w:sz w:val="20"/>
                      <w:szCs w:val="20"/>
                    </w:rPr>
                  </w:pPr>
                  <w:r>
                    <w:rPr>
                      <w:rFonts w:ascii="宋体" w:hAnsi="宋体" w:eastAsia="宋体" w:cs="宋体"/>
                      <w:spacing w:val="3"/>
                      <w:position w:val="4"/>
                      <w:sz w:val="20"/>
                      <w:szCs w:val="20"/>
                    </w:rPr>
                    <w:t>是否</w:t>
                  </w:r>
                </w:p>
                <w:p>
                  <w:pPr>
                    <w:spacing w:line="228" w:lineRule="auto"/>
                    <w:ind w:left="167"/>
                    <w:rPr>
                      <w:rFonts w:ascii="宋体" w:hAnsi="宋体" w:eastAsia="宋体" w:cs="宋体"/>
                      <w:sz w:val="20"/>
                      <w:szCs w:val="20"/>
                    </w:rPr>
                  </w:pPr>
                  <w:r>
                    <w:rPr>
                      <w:rFonts w:ascii="宋体" w:hAnsi="宋体" w:eastAsia="宋体" w:cs="宋体"/>
                      <w:spacing w:val="4"/>
                      <w:sz w:val="20"/>
                      <w:szCs w:val="20"/>
                    </w:rPr>
                    <w:t>符</w:t>
                  </w:r>
                  <w:r>
                    <w:rPr>
                      <w:rFonts w:ascii="宋体" w:hAnsi="宋体" w:eastAsia="宋体" w:cs="宋体"/>
                      <w:spacing w:val="3"/>
                      <w:sz w:val="20"/>
                      <w:szCs w:val="20"/>
                    </w:rPr>
                    <w:t>合</w:t>
                  </w:r>
                </w:p>
                <w:p>
                  <w:pPr>
                    <w:spacing w:before="26" w:line="226" w:lineRule="auto"/>
                    <w:ind w:left="166"/>
                    <w:rPr>
                      <w:rFonts w:ascii="宋体" w:hAnsi="宋体" w:eastAsia="宋体" w:cs="宋体"/>
                      <w:sz w:val="20"/>
                      <w:szCs w:val="20"/>
                    </w:rPr>
                  </w:pPr>
                  <w:r>
                    <w:rPr>
                      <w:rFonts w:ascii="宋体" w:hAnsi="宋体" w:eastAsia="宋体" w:cs="宋体"/>
                      <w:spacing w:val="4"/>
                      <w:sz w:val="20"/>
                      <w:szCs w:val="20"/>
                    </w:rPr>
                    <w:t>要求</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54" w:hRule="atLeast"/>
              </w:trPr>
              <w:tc>
                <w:tcPr>
                  <w:tcW w:w="1048" w:type="dxa"/>
                  <w:noWrap w:val="0"/>
                  <w:vAlign w:val="top"/>
                </w:tcPr>
                <w:p>
                  <w:pPr>
                    <w:spacing w:line="374" w:lineRule="auto"/>
                    <w:rPr>
                      <w:rFonts w:ascii="Arial"/>
                      <w:sz w:val="21"/>
                    </w:rPr>
                  </w:pPr>
                </w:p>
                <w:p>
                  <w:pPr>
                    <w:spacing w:before="65" w:line="228" w:lineRule="auto"/>
                    <w:ind w:left="181"/>
                    <w:rPr>
                      <w:rFonts w:ascii="宋体" w:hAnsi="宋体" w:eastAsia="宋体" w:cs="宋体"/>
                      <w:sz w:val="20"/>
                      <w:szCs w:val="20"/>
                    </w:rPr>
                  </w:pPr>
                  <w:r>
                    <w:rPr>
                      <w:rFonts w:ascii="宋体" w:hAnsi="宋体" w:eastAsia="宋体" w:cs="宋体"/>
                      <w:spacing w:val="6"/>
                      <w:sz w:val="20"/>
                      <w:szCs w:val="20"/>
                    </w:rPr>
                    <w:t>乐</w:t>
                  </w:r>
                  <w:r>
                    <w:rPr>
                      <w:rFonts w:ascii="宋体" w:hAnsi="宋体" w:eastAsia="宋体" w:cs="宋体"/>
                      <w:spacing w:val="4"/>
                      <w:sz w:val="20"/>
                      <w:szCs w:val="20"/>
                    </w:rPr>
                    <w:t>山市</w:t>
                  </w:r>
                </w:p>
                <w:p>
                  <w:pPr>
                    <w:spacing w:before="24" w:line="228" w:lineRule="auto"/>
                    <w:ind w:left="174"/>
                    <w:rPr>
                      <w:rFonts w:ascii="宋体" w:hAnsi="宋体" w:eastAsia="宋体" w:cs="宋体"/>
                      <w:sz w:val="20"/>
                      <w:szCs w:val="20"/>
                    </w:rPr>
                  </w:pPr>
                  <w:r>
                    <w:rPr>
                      <w:rFonts w:ascii="宋体" w:hAnsi="宋体" w:eastAsia="宋体" w:cs="宋体"/>
                      <w:spacing w:val="7"/>
                      <w:sz w:val="20"/>
                      <w:szCs w:val="20"/>
                    </w:rPr>
                    <w:t>环境</w:t>
                  </w:r>
                  <w:r>
                    <w:rPr>
                      <w:rFonts w:ascii="宋体" w:hAnsi="宋体" w:eastAsia="宋体" w:cs="宋体"/>
                      <w:spacing w:val="6"/>
                      <w:sz w:val="20"/>
                      <w:szCs w:val="20"/>
                    </w:rPr>
                    <w:t>管</w:t>
                  </w:r>
                </w:p>
                <w:p>
                  <w:pPr>
                    <w:spacing w:before="23" w:line="229" w:lineRule="auto"/>
                    <w:ind w:left="174"/>
                    <w:rPr>
                      <w:rFonts w:ascii="宋体" w:hAnsi="宋体" w:eastAsia="宋体" w:cs="宋体"/>
                      <w:sz w:val="20"/>
                      <w:szCs w:val="20"/>
                    </w:rPr>
                  </w:pPr>
                  <w:r>
                    <w:rPr>
                      <w:rFonts w:ascii="宋体" w:hAnsi="宋体" w:eastAsia="宋体" w:cs="宋体"/>
                      <w:spacing w:val="7"/>
                      <w:sz w:val="20"/>
                      <w:szCs w:val="20"/>
                    </w:rPr>
                    <w:t>控单元</w:t>
                  </w:r>
                </w:p>
                <w:p>
                  <w:pPr>
                    <w:spacing w:before="24" w:line="231" w:lineRule="auto"/>
                    <w:ind w:left="176"/>
                    <w:rPr>
                      <w:rFonts w:ascii="宋体" w:hAnsi="宋体" w:eastAsia="宋体" w:cs="宋体"/>
                      <w:sz w:val="20"/>
                      <w:szCs w:val="20"/>
                    </w:rPr>
                  </w:pPr>
                  <w:r>
                    <w:rPr>
                      <w:rFonts w:ascii="宋体" w:hAnsi="宋体" w:eastAsia="宋体" w:cs="宋体"/>
                      <w:spacing w:val="7"/>
                      <w:sz w:val="20"/>
                      <w:szCs w:val="20"/>
                    </w:rPr>
                    <w:t>生</w:t>
                  </w:r>
                  <w:r>
                    <w:rPr>
                      <w:rFonts w:ascii="宋体" w:hAnsi="宋体" w:eastAsia="宋体" w:cs="宋体"/>
                      <w:spacing w:val="6"/>
                      <w:sz w:val="20"/>
                      <w:szCs w:val="20"/>
                    </w:rPr>
                    <w:t>态环</w:t>
                  </w:r>
                </w:p>
                <w:p>
                  <w:pPr>
                    <w:spacing w:before="22" w:line="228" w:lineRule="auto"/>
                    <w:ind w:left="175"/>
                    <w:rPr>
                      <w:rFonts w:ascii="宋体" w:hAnsi="宋体" w:eastAsia="宋体" w:cs="宋体"/>
                      <w:sz w:val="20"/>
                      <w:szCs w:val="20"/>
                    </w:rPr>
                  </w:pPr>
                  <w:r>
                    <w:rPr>
                      <w:rFonts w:ascii="宋体" w:hAnsi="宋体" w:eastAsia="宋体" w:cs="宋体"/>
                      <w:spacing w:val="7"/>
                      <w:sz w:val="20"/>
                      <w:szCs w:val="20"/>
                    </w:rPr>
                    <w:t>境</w:t>
                  </w:r>
                  <w:r>
                    <w:rPr>
                      <w:rFonts w:ascii="宋体" w:hAnsi="宋体" w:eastAsia="宋体" w:cs="宋体"/>
                      <w:spacing w:val="6"/>
                      <w:sz w:val="20"/>
                      <w:szCs w:val="20"/>
                    </w:rPr>
                    <w:t>管控</w:t>
                  </w:r>
                </w:p>
                <w:p>
                  <w:pPr>
                    <w:spacing w:before="26" w:line="230" w:lineRule="auto"/>
                    <w:ind w:left="281"/>
                    <w:rPr>
                      <w:rFonts w:ascii="宋体" w:hAnsi="宋体" w:eastAsia="宋体" w:cs="宋体"/>
                      <w:sz w:val="20"/>
                      <w:szCs w:val="20"/>
                    </w:rPr>
                  </w:pPr>
                  <w:r>
                    <w:rPr>
                      <w:rFonts w:ascii="宋体" w:hAnsi="宋体" w:eastAsia="宋体" w:cs="宋体"/>
                      <w:spacing w:val="4"/>
                      <w:sz w:val="20"/>
                      <w:szCs w:val="20"/>
                    </w:rPr>
                    <w:t>要求</w:t>
                  </w:r>
                </w:p>
              </w:tc>
              <w:tc>
                <w:tcPr>
                  <w:tcW w:w="776" w:type="dxa"/>
                  <w:noWrap w:val="0"/>
                  <w:vAlign w:val="top"/>
                </w:tcPr>
                <w:p>
                  <w:pPr>
                    <w:spacing w:line="259" w:lineRule="auto"/>
                    <w:rPr>
                      <w:rFonts w:ascii="Arial"/>
                      <w:sz w:val="21"/>
                    </w:rPr>
                  </w:pPr>
                </w:p>
                <w:p>
                  <w:pPr>
                    <w:spacing w:line="260" w:lineRule="auto"/>
                    <w:rPr>
                      <w:rFonts w:ascii="Arial"/>
                      <w:sz w:val="21"/>
                    </w:rPr>
                  </w:pPr>
                </w:p>
                <w:p>
                  <w:pPr>
                    <w:spacing w:line="260" w:lineRule="auto"/>
                    <w:rPr>
                      <w:rFonts w:ascii="Arial"/>
                      <w:sz w:val="21"/>
                    </w:rPr>
                  </w:pPr>
                </w:p>
                <w:p>
                  <w:pPr>
                    <w:spacing w:before="65" w:line="271" w:lineRule="exact"/>
                    <w:ind w:left="150"/>
                    <w:rPr>
                      <w:rFonts w:ascii="宋体" w:hAnsi="宋体" w:eastAsia="宋体" w:cs="宋体"/>
                      <w:sz w:val="20"/>
                      <w:szCs w:val="20"/>
                    </w:rPr>
                  </w:pPr>
                  <w:r>
                    <w:rPr>
                      <w:rFonts w:ascii="宋体" w:hAnsi="宋体" w:eastAsia="宋体" w:cs="宋体"/>
                      <w:spacing w:val="4"/>
                      <w:position w:val="4"/>
                      <w:sz w:val="20"/>
                      <w:szCs w:val="20"/>
                    </w:rPr>
                    <w:t>重点</w:t>
                  </w:r>
                </w:p>
                <w:p>
                  <w:pPr>
                    <w:spacing w:line="228" w:lineRule="auto"/>
                    <w:ind w:left="153"/>
                    <w:rPr>
                      <w:rFonts w:ascii="宋体" w:hAnsi="宋体" w:eastAsia="宋体" w:cs="宋体"/>
                      <w:sz w:val="20"/>
                      <w:szCs w:val="20"/>
                    </w:rPr>
                  </w:pPr>
                  <w:r>
                    <w:rPr>
                      <w:rFonts w:ascii="宋体" w:hAnsi="宋体" w:eastAsia="宋体" w:cs="宋体"/>
                      <w:spacing w:val="3"/>
                      <w:sz w:val="20"/>
                      <w:szCs w:val="20"/>
                    </w:rPr>
                    <w:t>管</w:t>
                  </w:r>
                  <w:r>
                    <w:rPr>
                      <w:rFonts w:ascii="宋体" w:hAnsi="宋体" w:eastAsia="宋体" w:cs="宋体"/>
                      <w:spacing w:val="2"/>
                      <w:sz w:val="20"/>
                      <w:szCs w:val="20"/>
                    </w:rPr>
                    <w:t>控</w:t>
                  </w:r>
                </w:p>
                <w:p>
                  <w:pPr>
                    <w:spacing w:before="23" w:line="230" w:lineRule="auto"/>
                    <w:ind w:left="150"/>
                    <w:rPr>
                      <w:rFonts w:ascii="宋体" w:hAnsi="宋体" w:eastAsia="宋体" w:cs="宋体"/>
                      <w:sz w:val="20"/>
                      <w:szCs w:val="20"/>
                    </w:rPr>
                  </w:pPr>
                  <w:r>
                    <w:rPr>
                      <w:rFonts w:ascii="宋体" w:hAnsi="宋体" w:eastAsia="宋体" w:cs="宋体"/>
                      <w:spacing w:val="4"/>
                      <w:sz w:val="20"/>
                      <w:szCs w:val="20"/>
                    </w:rPr>
                    <w:t>要求</w:t>
                  </w:r>
                </w:p>
              </w:tc>
              <w:tc>
                <w:tcPr>
                  <w:tcW w:w="4262" w:type="dxa"/>
                  <w:noWrap w:val="0"/>
                  <w:vAlign w:val="top"/>
                </w:tcPr>
                <w:p>
                  <w:pPr>
                    <w:rPr>
                      <w:rFonts w:ascii="Arial"/>
                      <w:sz w:val="21"/>
                    </w:rPr>
                  </w:pPr>
                </w:p>
                <w:p>
                  <w:pPr>
                    <w:spacing w:before="65" w:line="251" w:lineRule="auto"/>
                    <w:ind w:left="125" w:right="32" w:firstLine="1"/>
                    <w:rPr>
                      <w:rFonts w:ascii="宋体" w:hAnsi="宋体" w:eastAsia="宋体" w:cs="宋体"/>
                      <w:sz w:val="20"/>
                      <w:szCs w:val="20"/>
                    </w:rPr>
                  </w:pPr>
                  <w:r>
                    <w:rPr>
                      <w:rFonts w:ascii="宋体" w:hAnsi="宋体" w:eastAsia="宋体" w:cs="宋体"/>
                      <w:spacing w:val="15"/>
                      <w:sz w:val="20"/>
                      <w:szCs w:val="20"/>
                    </w:rPr>
                    <w:t>重</w:t>
                  </w:r>
                  <w:r>
                    <w:rPr>
                      <w:rFonts w:ascii="宋体" w:hAnsi="宋体" w:eastAsia="宋体" w:cs="宋体"/>
                      <w:spacing w:val="9"/>
                      <w:sz w:val="20"/>
                      <w:szCs w:val="20"/>
                    </w:rPr>
                    <w:t>点管控单元中，应针对性地加强污染</w:t>
                  </w:r>
                  <w:r>
                    <w:rPr>
                      <w:rFonts w:ascii="宋体" w:hAnsi="宋体" w:eastAsia="宋体" w:cs="宋体"/>
                      <w:sz w:val="20"/>
                      <w:szCs w:val="20"/>
                    </w:rPr>
                    <w:t xml:space="preserve"> </w:t>
                  </w:r>
                  <w:r>
                    <w:rPr>
                      <w:rFonts w:ascii="宋体" w:hAnsi="宋体" w:eastAsia="宋体" w:cs="宋体"/>
                      <w:spacing w:val="17"/>
                      <w:sz w:val="20"/>
                      <w:szCs w:val="20"/>
                    </w:rPr>
                    <w:t>物</w:t>
                  </w:r>
                  <w:r>
                    <w:rPr>
                      <w:rFonts w:ascii="宋体" w:hAnsi="宋体" w:eastAsia="宋体" w:cs="宋体"/>
                      <w:spacing w:val="9"/>
                      <w:sz w:val="20"/>
                      <w:szCs w:val="20"/>
                    </w:rPr>
                    <w:t>排放控制和环境风险防控，解决生态</w:t>
                  </w:r>
                  <w:r>
                    <w:rPr>
                      <w:rFonts w:ascii="宋体" w:hAnsi="宋体" w:eastAsia="宋体" w:cs="宋体"/>
                      <w:sz w:val="20"/>
                      <w:szCs w:val="20"/>
                    </w:rPr>
                    <w:t xml:space="preserve"> </w:t>
                  </w:r>
                  <w:r>
                    <w:rPr>
                      <w:rFonts w:ascii="宋体" w:hAnsi="宋体" w:eastAsia="宋体" w:cs="宋体"/>
                      <w:spacing w:val="17"/>
                      <w:sz w:val="20"/>
                      <w:szCs w:val="20"/>
                    </w:rPr>
                    <w:t>环</w:t>
                  </w:r>
                  <w:r>
                    <w:rPr>
                      <w:rFonts w:ascii="宋体" w:hAnsi="宋体" w:eastAsia="宋体" w:cs="宋体"/>
                      <w:spacing w:val="9"/>
                      <w:sz w:val="20"/>
                      <w:szCs w:val="20"/>
                    </w:rPr>
                    <w:t>境质量不达标、生态环境风险突出等</w:t>
                  </w:r>
                  <w:r>
                    <w:rPr>
                      <w:rFonts w:ascii="宋体" w:hAnsi="宋体" w:eastAsia="宋体" w:cs="宋体"/>
                      <w:sz w:val="20"/>
                      <w:szCs w:val="20"/>
                    </w:rPr>
                    <w:t xml:space="preserve"> </w:t>
                  </w:r>
                  <w:r>
                    <w:rPr>
                      <w:rFonts w:ascii="宋体" w:hAnsi="宋体" w:eastAsia="宋体" w:cs="宋体"/>
                      <w:spacing w:val="3"/>
                      <w:sz w:val="20"/>
                      <w:szCs w:val="20"/>
                    </w:rPr>
                    <w:t>问题，制定差别化的生态环境准入要求</w:t>
                  </w:r>
                  <w:r>
                    <w:rPr>
                      <w:rFonts w:ascii="宋体" w:hAnsi="宋体" w:eastAsia="宋体" w:cs="宋体"/>
                      <w:spacing w:val="1"/>
                      <w:sz w:val="20"/>
                      <w:szCs w:val="20"/>
                    </w:rPr>
                    <w:t>。</w:t>
                  </w:r>
                  <w:r>
                    <w:rPr>
                      <w:rFonts w:ascii="宋体" w:hAnsi="宋体" w:eastAsia="宋体" w:cs="宋体"/>
                      <w:sz w:val="20"/>
                      <w:szCs w:val="20"/>
                    </w:rPr>
                    <w:t xml:space="preserve"> </w:t>
                  </w:r>
                  <w:r>
                    <w:rPr>
                      <w:rFonts w:ascii="宋体" w:hAnsi="宋体" w:eastAsia="宋体" w:cs="宋体"/>
                      <w:spacing w:val="17"/>
                      <w:sz w:val="20"/>
                      <w:szCs w:val="20"/>
                    </w:rPr>
                    <w:t>对</w:t>
                  </w:r>
                  <w:r>
                    <w:rPr>
                      <w:rFonts w:ascii="宋体" w:hAnsi="宋体" w:eastAsia="宋体" w:cs="宋体"/>
                      <w:spacing w:val="9"/>
                      <w:sz w:val="20"/>
                      <w:szCs w:val="20"/>
                    </w:rPr>
                    <w:t>环境质量不达标区域，提出污染物削</w:t>
                  </w:r>
                  <w:r>
                    <w:rPr>
                      <w:rFonts w:ascii="宋体" w:hAnsi="宋体" w:eastAsia="宋体" w:cs="宋体"/>
                      <w:sz w:val="20"/>
                      <w:szCs w:val="20"/>
                    </w:rPr>
                    <w:t xml:space="preserve"> </w:t>
                  </w:r>
                  <w:r>
                    <w:rPr>
                      <w:rFonts w:ascii="宋体" w:hAnsi="宋体" w:eastAsia="宋体" w:cs="宋体"/>
                      <w:spacing w:val="17"/>
                      <w:sz w:val="20"/>
                      <w:szCs w:val="20"/>
                    </w:rPr>
                    <w:t>减</w:t>
                  </w:r>
                  <w:r>
                    <w:rPr>
                      <w:rFonts w:ascii="宋体" w:hAnsi="宋体" w:eastAsia="宋体" w:cs="宋体"/>
                      <w:spacing w:val="9"/>
                      <w:sz w:val="20"/>
                      <w:szCs w:val="20"/>
                    </w:rPr>
                    <w:t>比例要求；对环境质量达标区域，提</w:t>
                  </w:r>
                </w:p>
                <w:p>
                  <w:pPr>
                    <w:spacing w:line="228" w:lineRule="auto"/>
                    <w:ind w:left="775"/>
                    <w:rPr>
                      <w:rFonts w:ascii="宋体" w:hAnsi="宋体" w:eastAsia="宋体" w:cs="宋体"/>
                      <w:sz w:val="20"/>
                      <w:szCs w:val="20"/>
                    </w:rPr>
                  </w:pPr>
                  <w:r>
                    <w:rPr>
                      <w:rFonts w:ascii="宋体" w:hAnsi="宋体" w:eastAsia="宋体" w:cs="宋体"/>
                      <w:spacing w:val="11"/>
                      <w:sz w:val="20"/>
                      <w:szCs w:val="20"/>
                    </w:rPr>
                    <w:t>出</w:t>
                  </w:r>
                  <w:r>
                    <w:rPr>
                      <w:rFonts w:ascii="宋体" w:hAnsi="宋体" w:eastAsia="宋体" w:cs="宋体"/>
                      <w:spacing w:val="6"/>
                      <w:sz w:val="20"/>
                      <w:szCs w:val="20"/>
                    </w:rPr>
                    <w:t>允许排放量建议指标。</w:t>
                  </w:r>
                </w:p>
              </w:tc>
              <w:tc>
                <w:tcPr>
                  <w:tcW w:w="2259" w:type="dxa"/>
                  <w:noWrap w:val="0"/>
                  <w:vAlign w:val="top"/>
                </w:tcPr>
                <w:p>
                  <w:pPr>
                    <w:spacing w:before="34" w:line="251" w:lineRule="auto"/>
                    <w:ind w:left="154" w:right="8" w:firstLine="12"/>
                    <w:rPr>
                      <w:rFonts w:ascii="宋体" w:hAnsi="宋体" w:eastAsia="宋体" w:cs="宋体"/>
                      <w:sz w:val="20"/>
                      <w:szCs w:val="20"/>
                    </w:rPr>
                  </w:pPr>
                  <w:r>
                    <w:rPr>
                      <w:rFonts w:ascii="宋体" w:hAnsi="宋体" w:eastAsia="宋体" w:cs="宋体"/>
                      <w:spacing w:val="10"/>
                      <w:sz w:val="20"/>
                      <w:szCs w:val="20"/>
                    </w:rPr>
                    <w:t>乐</w:t>
                  </w:r>
                  <w:r>
                    <w:rPr>
                      <w:rFonts w:ascii="宋体" w:hAnsi="宋体" w:eastAsia="宋体" w:cs="宋体"/>
                      <w:spacing w:val="8"/>
                      <w:sz w:val="20"/>
                      <w:szCs w:val="20"/>
                    </w:rPr>
                    <w:t>山市市中区为达标</w:t>
                  </w:r>
                  <w:r>
                    <w:rPr>
                      <w:rFonts w:ascii="宋体" w:hAnsi="宋体" w:eastAsia="宋体" w:cs="宋体"/>
                      <w:sz w:val="20"/>
                      <w:szCs w:val="20"/>
                    </w:rPr>
                    <w:t xml:space="preserve"> </w:t>
                  </w:r>
                  <w:r>
                    <w:rPr>
                      <w:rFonts w:ascii="宋体" w:hAnsi="宋体" w:eastAsia="宋体" w:cs="宋体"/>
                      <w:spacing w:val="14"/>
                      <w:sz w:val="20"/>
                      <w:szCs w:val="20"/>
                    </w:rPr>
                    <w:t>区</w:t>
                  </w:r>
                  <w:r>
                    <w:rPr>
                      <w:rFonts w:ascii="宋体" w:hAnsi="宋体" w:eastAsia="宋体" w:cs="宋体"/>
                      <w:spacing w:val="9"/>
                      <w:sz w:val="20"/>
                      <w:szCs w:val="20"/>
                    </w:rPr>
                    <w:t>，根据工程分析本</w:t>
                  </w:r>
                  <w:r>
                    <w:rPr>
                      <w:rFonts w:ascii="宋体" w:hAnsi="宋体" w:eastAsia="宋体" w:cs="宋体"/>
                      <w:spacing w:val="14"/>
                      <w:sz w:val="20"/>
                      <w:szCs w:val="20"/>
                    </w:rPr>
                    <w:t>项</w:t>
                  </w:r>
                  <w:r>
                    <w:rPr>
                      <w:rFonts w:ascii="宋体" w:hAnsi="宋体" w:eastAsia="宋体" w:cs="宋体"/>
                      <w:spacing w:val="9"/>
                      <w:sz w:val="20"/>
                      <w:szCs w:val="20"/>
                    </w:rPr>
                    <w:t>目各项污染均能达</w:t>
                  </w:r>
                  <w:r>
                    <w:rPr>
                      <w:rFonts w:ascii="宋体" w:hAnsi="宋体" w:eastAsia="宋体" w:cs="宋体"/>
                      <w:spacing w:val="14"/>
                      <w:sz w:val="20"/>
                      <w:szCs w:val="20"/>
                    </w:rPr>
                    <w:t>标</w:t>
                  </w:r>
                  <w:r>
                    <w:rPr>
                      <w:rFonts w:ascii="宋体" w:hAnsi="宋体" w:eastAsia="宋体" w:cs="宋体"/>
                      <w:spacing w:val="9"/>
                      <w:sz w:val="20"/>
                      <w:szCs w:val="20"/>
                    </w:rPr>
                    <w:t>排放对周围环境影</w:t>
                  </w:r>
                  <w:r>
                    <w:rPr>
                      <w:rFonts w:ascii="宋体" w:hAnsi="宋体" w:eastAsia="宋体" w:cs="宋体"/>
                      <w:spacing w:val="14"/>
                      <w:sz w:val="20"/>
                      <w:szCs w:val="20"/>
                    </w:rPr>
                    <w:t>响</w:t>
                  </w:r>
                  <w:r>
                    <w:rPr>
                      <w:rFonts w:ascii="宋体" w:hAnsi="宋体" w:eastAsia="宋体" w:cs="宋体"/>
                      <w:spacing w:val="9"/>
                      <w:sz w:val="20"/>
                      <w:szCs w:val="20"/>
                    </w:rPr>
                    <w:t>小；同时本项目为</w:t>
                  </w:r>
                  <w:r>
                    <w:rPr>
                      <w:rFonts w:ascii="宋体" w:hAnsi="宋体" w:eastAsia="宋体" w:cs="宋体"/>
                      <w:sz w:val="20"/>
                      <w:szCs w:val="20"/>
                    </w:rPr>
                    <w:t xml:space="preserve"> </w:t>
                  </w:r>
                  <w:r>
                    <w:rPr>
                      <w:rFonts w:ascii="宋体" w:hAnsi="宋体" w:eastAsia="宋体" w:cs="宋体"/>
                      <w:spacing w:val="14"/>
                      <w:sz w:val="20"/>
                      <w:szCs w:val="20"/>
                    </w:rPr>
                    <w:t>《</w:t>
                  </w:r>
                  <w:r>
                    <w:rPr>
                      <w:rFonts w:ascii="宋体" w:hAnsi="宋体" w:eastAsia="宋体" w:cs="宋体"/>
                      <w:spacing w:val="9"/>
                      <w:sz w:val="20"/>
                      <w:szCs w:val="20"/>
                    </w:rPr>
                    <w:t>产业结构调整指导</w:t>
                  </w:r>
                  <w:r>
                    <w:rPr>
                      <w:rFonts w:ascii="宋体" w:hAnsi="宋体" w:eastAsia="宋体" w:cs="宋体"/>
                      <w:sz w:val="20"/>
                      <w:szCs w:val="20"/>
                    </w:rPr>
                    <w:t xml:space="preserve"> </w:t>
                  </w:r>
                  <w:r>
                    <w:rPr>
                      <w:rFonts w:ascii="宋体" w:hAnsi="宋体" w:eastAsia="宋体" w:cs="宋体"/>
                      <w:spacing w:val="-2"/>
                      <w:sz w:val="20"/>
                      <w:szCs w:val="20"/>
                    </w:rPr>
                    <w:t>目录 (</w:t>
                  </w:r>
                  <w:r>
                    <w:rPr>
                      <w:rFonts w:ascii="Times New Roman" w:hAnsi="Times New Roman" w:eastAsia="Times New Roman" w:cs="Times New Roman"/>
                      <w:spacing w:val="-2"/>
                      <w:sz w:val="20"/>
                      <w:szCs w:val="20"/>
                    </w:rPr>
                    <w:t xml:space="preserve">2021 </w:t>
                  </w:r>
                  <w:r>
                    <w:rPr>
                      <w:rFonts w:ascii="宋体" w:hAnsi="宋体" w:eastAsia="宋体" w:cs="宋体"/>
                      <w:spacing w:val="-2"/>
                      <w:sz w:val="20"/>
                      <w:szCs w:val="20"/>
                    </w:rPr>
                    <w:t>年</w:t>
                  </w:r>
                  <w:r>
                    <w:rPr>
                      <w:rFonts w:ascii="宋体" w:hAnsi="宋体" w:eastAsia="宋体" w:cs="宋体"/>
                      <w:spacing w:val="-1"/>
                      <w:sz w:val="20"/>
                      <w:szCs w:val="20"/>
                    </w:rPr>
                    <w:t>修订) 》</w:t>
                  </w:r>
                  <w:r>
                    <w:rPr>
                      <w:rFonts w:ascii="宋体" w:hAnsi="宋体" w:eastAsia="宋体" w:cs="宋体"/>
                      <w:sz w:val="20"/>
                      <w:szCs w:val="20"/>
                    </w:rPr>
                    <w:t xml:space="preserve"> </w:t>
                  </w:r>
                  <w:r>
                    <w:rPr>
                      <w:rFonts w:ascii="宋体" w:hAnsi="宋体" w:eastAsia="宋体" w:cs="宋体"/>
                      <w:spacing w:val="14"/>
                      <w:sz w:val="20"/>
                      <w:szCs w:val="20"/>
                    </w:rPr>
                    <w:t>鼓</w:t>
                  </w:r>
                  <w:r>
                    <w:rPr>
                      <w:rFonts w:ascii="宋体" w:hAnsi="宋体" w:eastAsia="宋体" w:cs="宋体"/>
                      <w:spacing w:val="9"/>
                      <w:sz w:val="20"/>
                      <w:szCs w:val="20"/>
                    </w:rPr>
                    <w:t>励类项目，符合国家</w:t>
                  </w:r>
                  <w:r>
                    <w:rPr>
                      <w:rFonts w:ascii="宋体" w:hAnsi="宋体" w:eastAsia="宋体" w:cs="宋体"/>
                      <w:spacing w:val="6"/>
                      <w:sz w:val="20"/>
                      <w:szCs w:val="20"/>
                    </w:rPr>
                    <w:t>产业政策。</w:t>
                  </w:r>
                </w:p>
              </w:tc>
              <w:tc>
                <w:tcPr>
                  <w:tcW w:w="821" w:type="dxa"/>
                  <w:tcBorders>
                    <w:right w:val="single" w:color="000000" w:sz="6" w:space="0"/>
                  </w:tcBorders>
                  <w:noWrap w:val="0"/>
                  <w:vAlign w:val="top"/>
                </w:tcPr>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3" w:lineRule="auto"/>
                    <w:rPr>
                      <w:rFonts w:ascii="Arial"/>
                      <w:sz w:val="21"/>
                    </w:rPr>
                  </w:pPr>
                </w:p>
                <w:p>
                  <w:pPr>
                    <w:spacing w:before="65" w:line="228" w:lineRule="auto"/>
                    <w:ind w:left="167"/>
                    <w:rPr>
                      <w:rFonts w:ascii="宋体" w:hAnsi="宋体" w:eastAsia="宋体" w:cs="宋体"/>
                      <w:sz w:val="20"/>
                      <w:szCs w:val="20"/>
                    </w:rPr>
                  </w:pPr>
                  <w:r>
                    <w:rPr>
                      <w:rFonts w:ascii="宋体" w:hAnsi="宋体" w:eastAsia="宋体" w:cs="宋体"/>
                      <w:spacing w:val="4"/>
                      <w:sz w:val="20"/>
                      <w:szCs w:val="20"/>
                    </w:rPr>
                    <w:t>符</w:t>
                  </w:r>
                  <w:r>
                    <w:rPr>
                      <w:rFonts w:ascii="宋体" w:hAnsi="宋体" w:eastAsia="宋体" w:cs="宋体"/>
                      <w:spacing w:val="3"/>
                      <w:sz w:val="20"/>
                      <w:szCs w:val="20"/>
                    </w:rPr>
                    <w:t>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78" w:hRule="atLeast"/>
              </w:trPr>
              <w:tc>
                <w:tcPr>
                  <w:tcW w:w="1048" w:type="dxa"/>
                  <w:noWrap w:val="0"/>
                  <w:vAlign w:val="top"/>
                </w:tcPr>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before="65" w:line="228" w:lineRule="auto"/>
                    <w:ind w:left="181"/>
                    <w:rPr>
                      <w:rFonts w:ascii="宋体" w:hAnsi="宋体" w:eastAsia="宋体" w:cs="宋体"/>
                      <w:sz w:val="20"/>
                      <w:szCs w:val="20"/>
                    </w:rPr>
                  </w:pPr>
                  <w:r>
                    <w:rPr>
                      <w:rFonts w:ascii="宋体" w:hAnsi="宋体" w:eastAsia="宋体" w:cs="宋体"/>
                      <w:spacing w:val="6"/>
                      <w:sz w:val="20"/>
                      <w:szCs w:val="20"/>
                    </w:rPr>
                    <w:t>乐</w:t>
                  </w:r>
                  <w:r>
                    <w:rPr>
                      <w:rFonts w:ascii="宋体" w:hAnsi="宋体" w:eastAsia="宋体" w:cs="宋体"/>
                      <w:spacing w:val="4"/>
                      <w:sz w:val="20"/>
                      <w:szCs w:val="20"/>
                    </w:rPr>
                    <w:t>山市</w:t>
                  </w:r>
                </w:p>
                <w:p>
                  <w:pPr>
                    <w:spacing w:before="24" w:line="228" w:lineRule="auto"/>
                    <w:ind w:left="174"/>
                    <w:rPr>
                      <w:rFonts w:ascii="宋体" w:hAnsi="宋体" w:eastAsia="宋体" w:cs="宋体"/>
                      <w:sz w:val="20"/>
                      <w:szCs w:val="20"/>
                    </w:rPr>
                  </w:pPr>
                  <w:r>
                    <w:rPr>
                      <w:rFonts w:ascii="宋体" w:hAnsi="宋体" w:eastAsia="宋体" w:cs="宋体"/>
                      <w:spacing w:val="7"/>
                      <w:sz w:val="20"/>
                      <w:szCs w:val="20"/>
                    </w:rPr>
                    <w:t>全市</w:t>
                  </w:r>
                  <w:r>
                    <w:rPr>
                      <w:rFonts w:ascii="宋体" w:hAnsi="宋体" w:eastAsia="宋体" w:cs="宋体"/>
                      <w:spacing w:val="6"/>
                      <w:sz w:val="20"/>
                      <w:szCs w:val="20"/>
                    </w:rPr>
                    <w:t>及</w:t>
                  </w:r>
                </w:p>
                <w:p>
                  <w:pPr>
                    <w:spacing w:before="26" w:line="229" w:lineRule="auto"/>
                    <w:ind w:left="283"/>
                    <w:rPr>
                      <w:rFonts w:ascii="宋体" w:hAnsi="宋体" w:eastAsia="宋体" w:cs="宋体"/>
                      <w:sz w:val="20"/>
                      <w:szCs w:val="20"/>
                    </w:rPr>
                  </w:pPr>
                  <w:r>
                    <w:rPr>
                      <w:rFonts w:ascii="宋体" w:hAnsi="宋体" w:eastAsia="宋体" w:cs="宋体"/>
                      <w:spacing w:val="4"/>
                      <w:sz w:val="20"/>
                      <w:szCs w:val="20"/>
                    </w:rPr>
                    <w:t>各</w:t>
                  </w:r>
                  <w:r>
                    <w:rPr>
                      <w:rFonts w:ascii="宋体" w:hAnsi="宋体" w:eastAsia="宋体" w:cs="宋体"/>
                      <w:spacing w:val="3"/>
                      <w:sz w:val="20"/>
                      <w:szCs w:val="20"/>
                    </w:rPr>
                    <w:t>县</w:t>
                  </w:r>
                </w:p>
                <w:p>
                  <w:pPr>
                    <w:spacing w:before="23" w:line="228" w:lineRule="auto"/>
                    <w:ind w:left="185"/>
                    <w:rPr>
                      <w:rFonts w:ascii="宋体" w:hAnsi="宋体" w:eastAsia="宋体" w:cs="宋体"/>
                      <w:sz w:val="20"/>
                      <w:szCs w:val="20"/>
                    </w:rPr>
                  </w:pPr>
                  <w:r>
                    <w:rPr>
                      <w:rFonts w:ascii="宋体" w:hAnsi="宋体" w:eastAsia="宋体" w:cs="宋体"/>
                      <w:spacing w:val="33"/>
                      <w:sz w:val="20"/>
                      <w:szCs w:val="20"/>
                    </w:rPr>
                    <w:t>(市、</w:t>
                  </w:r>
                </w:p>
                <w:p>
                  <w:pPr>
                    <w:spacing w:before="25" w:line="230" w:lineRule="auto"/>
                    <w:ind w:left="140"/>
                    <w:rPr>
                      <w:rFonts w:ascii="宋体" w:hAnsi="宋体" w:eastAsia="宋体" w:cs="宋体"/>
                      <w:sz w:val="20"/>
                      <w:szCs w:val="20"/>
                    </w:rPr>
                  </w:pPr>
                  <w:r>
                    <w:rPr>
                      <w:rFonts w:ascii="宋体" w:hAnsi="宋体" w:eastAsia="宋体" w:cs="宋体"/>
                      <w:spacing w:val="2"/>
                      <w:sz w:val="20"/>
                      <w:szCs w:val="20"/>
                    </w:rPr>
                    <w:t>区)总体</w:t>
                  </w:r>
                </w:p>
                <w:p>
                  <w:pPr>
                    <w:spacing w:before="22" w:line="231" w:lineRule="auto"/>
                    <w:ind w:left="176"/>
                    <w:rPr>
                      <w:rFonts w:ascii="宋体" w:hAnsi="宋体" w:eastAsia="宋体" w:cs="宋体"/>
                      <w:sz w:val="20"/>
                      <w:szCs w:val="20"/>
                    </w:rPr>
                  </w:pPr>
                  <w:r>
                    <w:rPr>
                      <w:rFonts w:ascii="宋体" w:hAnsi="宋体" w:eastAsia="宋体" w:cs="宋体"/>
                      <w:spacing w:val="7"/>
                      <w:sz w:val="20"/>
                      <w:szCs w:val="20"/>
                    </w:rPr>
                    <w:t>生</w:t>
                  </w:r>
                  <w:r>
                    <w:rPr>
                      <w:rFonts w:ascii="宋体" w:hAnsi="宋体" w:eastAsia="宋体" w:cs="宋体"/>
                      <w:spacing w:val="6"/>
                      <w:sz w:val="20"/>
                      <w:szCs w:val="20"/>
                    </w:rPr>
                    <w:t>态环</w:t>
                  </w:r>
                </w:p>
                <w:p>
                  <w:pPr>
                    <w:spacing w:before="24" w:line="228" w:lineRule="auto"/>
                    <w:ind w:left="175"/>
                    <w:rPr>
                      <w:rFonts w:ascii="宋体" w:hAnsi="宋体" w:eastAsia="宋体" w:cs="宋体"/>
                      <w:sz w:val="20"/>
                      <w:szCs w:val="20"/>
                    </w:rPr>
                  </w:pPr>
                  <w:r>
                    <w:rPr>
                      <w:rFonts w:ascii="宋体" w:hAnsi="宋体" w:eastAsia="宋体" w:cs="宋体"/>
                      <w:spacing w:val="7"/>
                      <w:sz w:val="20"/>
                      <w:szCs w:val="20"/>
                    </w:rPr>
                    <w:t>境</w:t>
                  </w:r>
                  <w:r>
                    <w:rPr>
                      <w:rFonts w:ascii="宋体" w:hAnsi="宋体" w:eastAsia="宋体" w:cs="宋体"/>
                      <w:spacing w:val="6"/>
                      <w:sz w:val="20"/>
                      <w:szCs w:val="20"/>
                    </w:rPr>
                    <w:t>管控</w:t>
                  </w:r>
                </w:p>
                <w:p>
                  <w:pPr>
                    <w:spacing w:before="24" w:line="230" w:lineRule="auto"/>
                    <w:ind w:left="281"/>
                    <w:rPr>
                      <w:rFonts w:ascii="宋体" w:hAnsi="宋体" w:eastAsia="宋体" w:cs="宋体"/>
                      <w:sz w:val="20"/>
                      <w:szCs w:val="20"/>
                    </w:rPr>
                  </w:pPr>
                  <w:r>
                    <w:rPr>
                      <w:rFonts w:ascii="宋体" w:hAnsi="宋体" w:eastAsia="宋体" w:cs="宋体"/>
                      <w:spacing w:val="4"/>
                      <w:sz w:val="20"/>
                      <w:szCs w:val="20"/>
                    </w:rPr>
                    <w:t>要求</w:t>
                  </w:r>
                </w:p>
              </w:tc>
              <w:tc>
                <w:tcPr>
                  <w:tcW w:w="776" w:type="dxa"/>
                  <w:noWrap w:val="0"/>
                  <w:vAlign w:val="top"/>
                </w:tcPr>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6" w:lineRule="auto"/>
                    <w:rPr>
                      <w:rFonts w:ascii="Arial"/>
                      <w:sz w:val="21"/>
                    </w:rPr>
                  </w:pPr>
                </w:p>
                <w:p>
                  <w:pPr>
                    <w:spacing w:before="65" w:line="274" w:lineRule="exact"/>
                    <w:ind w:left="155"/>
                    <w:rPr>
                      <w:rFonts w:ascii="宋体" w:hAnsi="宋体" w:eastAsia="宋体" w:cs="宋体"/>
                      <w:sz w:val="20"/>
                      <w:szCs w:val="20"/>
                    </w:rPr>
                  </w:pPr>
                  <w:r>
                    <w:rPr>
                      <w:rFonts w:ascii="宋体" w:hAnsi="宋体" w:eastAsia="宋体" w:cs="宋体"/>
                      <w:spacing w:val="2"/>
                      <w:position w:val="4"/>
                      <w:sz w:val="20"/>
                      <w:szCs w:val="20"/>
                    </w:rPr>
                    <w:t>市中</w:t>
                  </w:r>
                </w:p>
                <w:p>
                  <w:pPr>
                    <w:spacing w:line="233" w:lineRule="auto"/>
                    <w:ind w:left="268"/>
                    <w:rPr>
                      <w:rFonts w:ascii="宋体" w:hAnsi="宋体" w:eastAsia="宋体" w:cs="宋体"/>
                      <w:sz w:val="20"/>
                      <w:szCs w:val="20"/>
                    </w:rPr>
                  </w:pPr>
                  <w:r>
                    <w:rPr>
                      <w:rFonts w:ascii="宋体" w:hAnsi="宋体" w:eastAsia="宋体" w:cs="宋体"/>
                      <w:sz w:val="20"/>
                      <w:szCs w:val="20"/>
                    </w:rPr>
                    <w:t>区</w:t>
                  </w:r>
                </w:p>
              </w:tc>
              <w:tc>
                <w:tcPr>
                  <w:tcW w:w="4262" w:type="dxa"/>
                  <w:noWrap w:val="0"/>
                  <w:vAlign w:val="top"/>
                </w:tcPr>
                <w:p>
                  <w:pPr>
                    <w:spacing w:before="34" w:line="228" w:lineRule="auto"/>
                    <w:ind w:left="168"/>
                    <w:rPr>
                      <w:rFonts w:ascii="宋体" w:hAnsi="宋体" w:eastAsia="宋体" w:cs="宋体"/>
                      <w:sz w:val="20"/>
                      <w:szCs w:val="20"/>
                    </w:rPr>
                  </w:pPr>
                  <w:r>
                    <w:rPr>
                      <w:rFonts w:ascii="Times New Roman" w:hAnsi="Times New Roman" w:eastAsia="Times New Roman" w:cs="Times New Roman"/>
                      <w:spacing w:val="8"/>
                      <w:sz w:val="20"/>
                      <w:szCs w:val="20"/>
                    </w:rPr>
                    <w:t>1.</w:t>
                  </w:r>
                  <w:r>
                    <w:rPr>
                      <w:rFonts w:ascii="宋体" w:hAnsi="宋体" w:eastAsia="宋体" w:cs="宋体"/>
                      <w:spacing w:val="8"/>
                      <w:sz w:val="20"/>
                      <w:szCs w:val="20"/>
                    </w:rPr>
                    <w:t>优化调整产业结构，严格生态环境</w:t>
                  </w:r>
                  <w:r>
                    <w:rPr>
                      <w:rFonts w:ascii="宋体" w:hAnsi="宋体" w:eastAsia="宋体" w:cs="宋体"/>
                      <w:spacing w:val="5"/>
                      <w:sz w:val="20"/>
                      <w:szCs w:val="20"/>
                    </w:rPr>
                    <w:t>准</w:t>
                  </w:r>
                </w:p>
                <w:p>
                  <w:pPr>
                    <w:spacing w:before="24" w:line="228" w:lineRule="auto"/>
                    <w:ind w:left="151"/>
                    <w:rPr>
                      <w:rFonts w:ascii="宋体" w:hAnsi="宋体" w:eastAsia="宋体" w:cs="宋体"/>
                      <w:sz w:val="20"/>
                      <w:szCs w:val="20"/>
                    </w:rPr>
                  </w:pPr>
                  <w:r>
                    <w:rPr>
                      <w:rFonts w:ascii="宋体" w:hAnsi="宋体" w:eastAsia="宋体" w:cs="宋体"/>
                      <w:spacing w:val="9"/>
                      <w:sz w:val="20"/>
                      <w:szCs w:val="20"/>
                    </w:rPr>
                    <w:t>入要求；</w:t>
                  </w:r>
                  <w:r>
                    <w:rPr>
                      <w:rFonts w:ascii="Times New Roman" w:hAnsi="Times New Roman" w:eastAsia="Times New Roman" w:cs="Times New Roman"/>
                      <w:spacing w:val="9"/>
                      <w:sz w:val="20"/>
                      <w:szCs w:val="20"/>
                    </w:rPr>
                    <w:t>2.</w:t>
                  </w:r>
                  <w:r>
                    <w:rPr>
                      <w:rFonts w:ascii="宋体" w:hAnsi="宋体" w:eastAsia="宋体" w:cs="宋体"/>
                      <w:spacing w:val="9"/>
                      <w:sz w:val="20"/>
                      <w:szCs w:val="20"/>
                    </w:rPr>
                    <w:t>推动城市建成区内企业“</w:t>
                  </w:r>
                  <w:r>
                    <w:rPr>
                      <w:rFonts w:ascii="宋体" w:hAnsi="宋体" w:eastAsia="宋体" w:cs="宋体"/>
                      <w:spacing w:val="5"/>
                      <w:sz w:val="20"/>
                      <w:szCs w:val="20"/>
                    </w:rPr>
                    <w:t>退</w:t>
                  </w:r>
                </w:p>
                <w:p>
                  <w:pPr>
                    <w:spacing w:before="26" w:line="228" w:lineRule="auto"/>
                    <w:ind w:left="442"/>
                    <w:rPr>
                      <w:rFonts w:ascii="宋体" w:hAnsi="宋体" w:eastAsia="宋体" w:cs="宋体"/>
                      <w:sz w:val="20"/>
                      <w:szCs w:val="20"/>
                    </w:rPr>
                  </w:pPr>
                  <w:r>
                    <w:rPr>
                      <w:rFonts w:ascii="宋体" w:hAnsi="宋体" w:eastAsia="宋体" w:cs="宋体"/>
                      <w:spacing w:val="2"/>
                      <w:sz w:val="20"/>
                      <w:szCs w:val="20"/>
                    </w:rPr>
                    <w:t>城入园” ，严格控制园外企业</w:t>
                  </w:r>
                  <w:r>
                    <w:rPr>
                      <w:rFonts w:ascii="宋体" w:hAnsi="宋体" w:eastAsia="宋体" w:cs="宋体"/>
                      <w:spacing w:val="1"/>
                      <w:sz w:val="20"/>
                      <w:szCs w:val="20"/>
                    </w:rPr>
                    <w:t>无</w:t>
                  </w:r>
                </w:p>
                <w:p>
                  <w:pPr>
                    <w:spacing w:before="23" w:line="229" w:lineRule="auto"/>
                    <w:ind w:left="151"/>
                    <w:rPr>
                      <w:rFonts w:ascii="宋体" w:hAnsi="宋体" w:eastAsia="宋体" w:cs="宋体"/>
                      <w:sz w:val="20"/>
                      <w:szCs w:val="20"/>
                    </w:rPr>
                  </w:pPr>
                  <w:r>
                    <w:rPr>
                      <w:rFonts w:ascii="宋体" w:hAnsi="宋体" w:eastAsia="宋体" w:cs="宋体"/>
                      <w:spacing w:val="9"/>
                      <w:sz w:val="20"/>
                      <w:szCs w:val="20"/>
                    </w:rPr>
                    <w:t>序扩张；</w:t>
                  </w:r>
                  <w:r>
                    <w:rPr>
                      <w:rFonts w:ascii="Times New Roman" w:hAnsi="Times New Roman" w:eastAsia="Times New Roman" w:cs="Times New Roman"/>
                      <w:spacing w:val="9"/>
                      <w:sz w:val="20"/>
                      <w:szCs w:val="20"/>
                    </w:rPr>
                    <w:t>3.</w:t>
                  </w:r>
                  <w:r>
                    <w:rPr>
                      <w:rFonts w:ascii="宋体" w:hAnsi="宋体" w:eastAsia="宋体" w:cs="宋体"/>
                      <w:spacing w:val="9"/>
                      <w:sz w:val="20"/>
                      <w:szCs w:val="20"/>
                    </w:rPr>
                    <w:t>加强泥溪河、茫溪河等小</w:t>
                  </w:r>
                  <w:r>
                    <w:rPr>
                      <w:rFonts w:ascii="宋体" w:hAnsi="宋体" w:eastAsia="宋体" w:cs="宋体"/>
                      <w:spacing w:val="5"/>
                      <w:sz w:val="20"/>
                      <w:szCs w:val="20"/>
                    </w:rPr>
                    <w:t>流</w:t>
                  </w:r>
                </w:p>
                <w:p>
                  <w:pPr>
                    <w:spacing w:before="25" w:line="229" w:lineRule="auto"/>
                    <w:ind w:left="126"/>
                    <w:rPr>
                      <w:rFonts w:ascii="宋体" w:hAnsi="宋体" w:eastAsia="宋体" w:cs="宋体"/>
                      <w:sz w:val="20"/>
                      <w:szCs w:val="20"/>
                    </w:rPr>
                  </w:pPr>
                  <w:r>
                    <w:rPr>
                      <w:rFonts w:ascii="宋体" w:hAnsi="宋体" w:eastAsia="宋体" w:cs="宋体"/>
                      <w:spacing w:val="15"/>
                      <w:sz w:val="20"/>
                      <w:szCs w:val="20"/>
                    </w:rPr>
                    <w:t>域</w:t>
                  </w:r>
                  <w:r>
                    <w:rPr>
                      <w:rFonts w:ascii="宋体" w:hAnsi="宋体" w:eastAsia="宋体" w:cs="宋体"/>
                      <w:spacing w:val="9"/>
                      <w:sz w:val="20"/>
                      <w:szCs w:val="20"/>
                    </w:rPr>
                    <w:t>污染治理，严控泥溪河、茫溪河流域</w:t>
                  </w:r>
                </w:p>
                <w:p>
                  <w:pPr>
                    <w:spacing w:before="24" w:line="228" w:lineRule="auto"/>
                    <w:ind w:left="127"/>
                    <w:rPr>
                      <w:rFonts w:ascii="宋体" w:hAnsi="宋体" w:eastAsia="宋体" w:cs="宋体"/>
                      <w:sz w:val="20"/>
                      <w:szCs w:val="20"/>
                    </w:rPr>
                  </w:pPr>
                  <w:r>
                    <w:rPr>
                      <w:rFonts w:ascii="宋体" w:hAnsi="宋体" w:eastAsia="宋体" w:cs="宋体"/>
                      <w:spacing w:val="15"/>
                      <w:sz w:val="20"/>
                      <w:szCs w:val="20"/>
                    </w:rPr>
                    <w:t>涉</w:t>
                  </w:r>
                  <w:r>
                    <w:rPr>
                      <w:rFonts w:ascii="宋体" w:hAnsi="宋体" w:eastAsia="宋体" w:cs="宋体"/>
                      <w:spacing w:val="9"/>
                      <w:sz w:val="20"/>
                      <w:szCs w:val="20"/>
                    </w:rPr>
                    <w:t>水排放项目及水产养殖规模；加强农</w:t>
                  </w:r>
                </w:p>
                <w:p>
                  <w:pPr>
                    <w:spacing w:before="26" w:line="229" w:lineRule="auto"/>
                    <w:ind w:left="125"/>
                    <w:rPr>
                      <w:rFonts w:ascii="宋体" w:hAnsi="宋体" w:eastAsia="宋体" w:cs="宋体"/>
                      <w:sz w:val="20"/>
                      <w:szCs w:val="20"/>
                    </w:rPr>
                  </w:pPr>
                  <w:r>
                    <w:rPr>
                      <w:rFonts w:ascii="宋体" w:hAnsi="宋体" w:eastAsia="宋体" w:cs="宋体"/>
                      <w:spacing w:val="17"/>
                      <w:sz w:val="20"/>
                      <w:szCs w:val="20"/>
                    </w:rPr>
                    <w:t>业</w:t>
                  </w:r>
                  <w:r>
                    <w:rPr>
                      <w:rFonts w:ascii="宋体" w:hAnsi="宋体" w:eastAsia="宋体" w:cs="宋体"/>
                      <w:spacing w:val="9"/>
                      <w:sz w:val="20"/>
                      <w:szCs w:val="20"/>
                    </w:rPr>
                    <w:t>面源污染治理，严格控制化肥农药使</w:t>
                  </w:r>
                </w:p>
                <w:p>
                  <w:pPr>
                    <w:spacing w:before="23" w:line="230" w:lineRule="auto"/>
                    <w:ind w:left="127"/>
                    <w:rPr>
                      <w:rFonts w:ascii="宋体" w:hAnsi="宋体" w:eastAsia="宋体" w:cs="宋体"/>
                      <w:sz w:val="20"/>
                      <w:szCs w:val="20"/>
                    </w:rPr>
                  </w:pPr>
                  <w:r>
                    <w:rPr>
                      <w:rFonts w:ascii="宋体" w:hAnsi="宋体" w:eastAsia="宋体" w:cs="宋体"/>
                      <w:spacing w:val="15"/>
                      <w:sz w:val="20"/>
                      <w:szCs w:val="20"/>
                    </w:rPr>
                    <w:t>用</w:t>
                  </w:r>
                  <w:r>
                    <w:rPr>
                      <w:rFonts w:ascii="宋体" w:hAnsi="宋体" w:eastAsia="宋体" w:cs="宋体"/>
                      <w:spacing w:val="9"/>
                      <w:sz w:val="20"/>
                      <w:szCs w:val="20"/>
                    </w:rPr>
                    <w:t>量，积极推广畜禽清洁养殖和畜禽粪</w:t>
                  </w:r>
                </w:p>
                <w:p>
                  <w:pPr>
                    <w:spacing w:before="25" w:line="229" w:lineRule="auto"/>
                    <w:ind w:left="154"/>
                    <w:rPr>
                      <w:rFonts w:ascii="宋体" w:hAnsi="宋体" w:eastAsia="宋体" w:cs="宋体"/>
                      <w:sz w:val="20"/>
                      <w:szCs w:val="20"/>
                    </w:rPr>
                  </w:pPr>
                  <w:r>
                    <w:rPr>
                      <w:rFonts w:ascii="宋体" w:hAnsi="宋体" w:eastAsia="宋体" w:cs="宋体"/>
                      <w:spacing w:val="16"/>
                      <w:sz w:val="20"/>
                      <w:szCs w:val="20"/>
                    </w:rPr>
                    <w:t>污</w:t>
                  </w:r>
                  <w:r>
                    <w:rPr>
                      <w:rFonts w:ascii="宋体" w:hAnsi="宋体" w:eastAsia="宋体" w:cs="宋体"/>
                      <w:spacing w:val="12"/>
                      <w:sz w:val="20"/>
                      <w:szCs w:val="20"/>
                    </w:rPr>
                    <w:t>无</w:t>
                  </w:r>
                  <w:r>
                    <w:rPr>
                      <w:rFonts w:ascii="宋体" w:hAnsi="宋体" w:eastAsia="宋体" w:cs="宋体"/>
                      <w:spacing w:val="8"/>
                      <w:sz w:val="20"/>
                      <w:szCs w:val="20"/>
                    </w:rPr>
                    <w:t>害化、资源化利用技术；</w:t>
                  </w:r>
                  <w:r>
                    <w:rPr>
                      <w:rFonts w:ascii="Times New Roman" w:hAnsi="Times New Roman" w:eastAsia="Times New Roman" w:cs="Times New Roman"/>
                      <w:spacing w:val="8"/>
                      <w:sz w:val="20"/>
                      <w:szCs w:val="20"/>
                    </w:rPr>
                    <w:t>4.</w:t>
                  </w:r>
                  <w:r>
                    <w:rPr>
                      <w:rFonts w:ascii="宋体" w:hAnsi="宋体" w:eastAsia="宋体" w:cs="宋体"/>
                      <w:spacing w:val="8"/>
                      <w:sz w:val="20"/>
                      <w:szCs w:val="20"/>
                    </w:rPr>
                    <w:t>加强区</w:t>
                  </w:r>
                </w:p>
                <w:p>
                  <w:pPr>
                    <w:spacing w:before="23" w:line="229" w:lineRule="auto"/>
                    <w:ind w:left="126"/>
                    <w:rPr>
                      <w:rFonts w:ascii="宋体" w:hAnsi="宋体" w:eastAsia="宋体" w:cs="宋体"/>
                      <w:sz w:val="20"/>
                      <w:szCs w:val="20"/>
                    </w:rPr>
                  </w:pPr>
                  <w:r>
                    <w:rPr>
                      <w:rFonts w:ascii="宋体" w:hAnsi="宋体" w:eastAsia="宋体" w:cs="宋体"/>
                      <w:spacing w:val="15"/>
                      <w:sz w:val="20"/>
                      <w:szCs w:val="20"/>
                    </w:rPr>
                    <w:t>域</w:t>
                  </w:r>
                  <w:r>
                    <w:rPr>
                      <w:rFonts w:ascii="宋体" w:hAnsi="宋体" w:eastAsia="宋体" w:cs="宋体"/>
                      <w:spacing w:val="9"/>
                      <w:sz w:val="20"/>
                      <w:szCs w:val="20"/>
                    </w:rPr>
                    <w:t>大气污染治理，推进涉挥发性有机物</w:t>
                  </w:r>
                </w:p>
                <w:p>
                  <w:pPr>
                    <w:spacing w:before="25" w:line="229" w:lineRule="auto"/>
                    <w:ind w:left="125"/>
                    <w:rPr>
                      <w:rFonts w:ascii="宋体" w:hAnsi="宋体" w:eastAsia="宋体" w:cs="宋体"/>
                      <w:sz w:val="20"/>
                      <w:szCs w:val="20"/>
                    </w:rPr>
                  </w:pPr>
                  <w:r>
                    <w:rPr>
                      <w:rFonts w:ascii="宋体" w:hAnsi="宋体" w:eastAsia="宋体" w:cs="宋体"/>
                      <w:spacing w:val="16"/>
                      <w:sz w:val="20"/>
                      <w:szCs w:val="20"/>
                    </w:rPr>
                    <w:t>排</w:t>
                  </w:r>
                  <w:r>
                    <w:rPr>
                      <w:rFonts w:ascii="宋体" w:hAnsi="宋体" w:eastAsia="宋体" w:cs="宋体"/>
                      <w:spacing w:val="9"/>
                      <w:sz w:val="20"/>
                      <w:szCs w:val="20"/>
                    </w:rPr>
                    <w:t>放项目、砖瓦企业深度治理改造；执</w:t>
                  </w:r>
                </w:p>
                <w:p>
                  <w:pPr>
                    <w:spacing w:before="24" w:line="228" w:lineRule="auto"/>
                    <w:ind w:left="155"/>
                    <w:rPr>
                      <w:rFonts w:ascii="宋体" w:hAnsi="宋体" w:eastAsia="宋体" w:cs="宋体"/>
                      <w:sz w:val="20"/>
                      <w:szCs w:val="20"/>
                    </w:rPr>
                  </w:pPr>
                  <w:r>
                    <w:rPr>
                      <w:rFonts w:ascii="宋体" w:hAnsi="宋体" w:eastAsia="宋体" w:cs="宋体"/>
                      <w:spacing w:val="16"/>
                      <w:sz w:val="20"/>
                      <w:szCs w:val="20"/>
                    </w:rPr>
                    <w:t>行</w:t>
                  </w:r>
                  <w:r>
                    <w:rPr>
                      <w:rFonts w:ascii="宋体" w:hAnsi="宋体" w:eastAsia="宋体" w:cs="宋体"/>
                      <w:spacing w:val="10"/>
                      <w:sz w:val="20"/>
                      <w:szCs w:val="20"/>
                    </w:rPr>
                    <w:t>大</w:t>
                  </w:r>
                  <w:r>
                    <w:rPr>
                      <w:rFonts w:ascii="宋体" w:hAnsi="宋体" w:eastAsia="宋体" w:cs="宋体"/>
                      <w:spacing w:val="8"/>
                      <w:sz w:val="20"/>
                      <w:szCs w:val="20"/>
                    </w:rPr>
                    <w:t>气污染物特别排放限值；</w:t>
                  </w:r>
                  <w:r>
                    <w:rPr>
                      <w:rFonts w:ascii="Times New Roman" w:hAnsi="Times New Roman" w:eastAsia="Times New Roman" w:cs="Times New Roman"/>
                      <w:spacing w:val="8"/>
                      <w:sz w:val="20"/>
                      <w:szCs w:val="20"/>
                    </w:rPr>
                    <w:t>5.</w:t>
                  </w:r>
                  <w:r>
                    <w:rPr>
                      <w:rFonts w:ascii="宋体" w:hAnsi="宋体" w:eastAsia="宋体" w:cs="宋体"/>
                      <w:spacing w:val="8"/>
                      <w:sz w:val="20"/>
                      <w:szCs w:val="20"/>
                    </w:rPr>
                    <w:t>加强涉</w:t>
                  </w:r>
                </w:p>
                <w:p>
                  <w:pPr>
                    <w:spacing w:before="26" w:line="265" w:lineRule="auto"/>
                    <w:ind w:left="235" w:right="149" w:hanging="81"/>
                    <w:rPr>
                      <w:rFonts w:ascii="宋体" w:hAnsi="宋体" w:eastAsia="宋体" w:cs="宋体"/>
                      <w:sz w:val="20"/>
                      <w:szCs w:val="20"/>
                    </w:rPr>
                  </w:pPr>
                  <w:r>
                    <w:rPr>
                      <w:rFonts w:ascii="宋体" w:hAnsi="宋体" w:eastAsia="宋体" w:cs="宋体"/>
                      <w:spacing w:val="16"/>
                      <w:sz w:val="20"/>
                      <w:szCs w:val="20"/>
                    </w:rPr>
                    <w:t>危</w:t>
                  </w:r>
                  <w:r>
                    <w:rPr>
                      <w:rFonts w:ascii="宋体" w:hAnsi="宋体" w:eastAsia="宋体" w:cs="宋体"/>
                      <w:spacing w:val="11"/>
                      <w:sz w:val="20"/>
                      <w:szCs w:val="20"/>
                    </w:rPr>
                    <w:t>涉</w:t>
                  </w:r>
                  <w:r>
                    <w:rPr>
                      <w:rFonts w:ascii="宋体" w:hAnsi="宋体" w:eastAsia="宋体" w:cs="宋体"/>
                      <w:spacing w:val="8"/>
                      <w:sz w:val="20"/>
                      <w:szCs w:val="20"/>
                    </w:rPr>
                    <w:t>化企业管控，严控环境风险；</w:t>
                  </w:r>
                  <w:r>
                    <w:rPr>
                      <w:rFonts w:ascii="Times New Roman" w:hAnsi="Times New Roman" w:eastAsia="Times New Roman" w:cs="Times New Roman"/>
                      <w:spacing w:val="8"/>
                      <w:sz w:val="20"/>
                      <w:szCs w:val="20"/>
                    </w:rPr>
                    <w:t>6.</w:t>
                  </w:r>
                  <w:r>
                    <w:rPr>
                      <w:rFonts w:ascii="宋体" w:hAnsi="宋体" w:eastAsia="宋体" w:cs="宋体"/>
                      <w:spacing w:val="8"/>
                      <w:sz w:val="20"/>
                      <w:szCs w:val="20"/>
                    </w:rPr>
                    <w:t>加</w:t>
                  </w:r>
                  <w:r>
                    <w:rPr>
                      <w:rFonts w:ascii="宋体" w:hAnsi="宋体" w:eastAsia="宋体" w:cs="宋体"/>
                      <w:spacing w:val="15"/>
                      <w:sz w:val="20"/>
                      <w:szCs w:val="20"/>
                    </w:rPr>
                    <w:t>强</w:t>
                  </w:r>
                  <w:r>
                    <w:rPr>
                      <w:rFonts w:ascii="宋体" w:hAnsi="宋体" w:eastAsia="宋体" w:cs="宋体"/>
                      <w:spacing w:val="8"/>
                      <w:sz w:val="20"/>
                      <w:szCs w:val="20"/>
                    </w:rPr>
                    <w:t>城乡生态环境保护基础设施建设。</w:t>
                  </w:r>
                </w:p>
              </w:tc>
              <w:tc>
                <w:tcPr>
                  <w:tcW w:w="2259" w:type="dxa"/>
                  <w:noWrap w:val="0"/>
                  <w:vAlign w:val="top"/>
                </w:tcPr>
                <w:p>
                  <w:pPr>
                    <w:spacing w:line="320" w:lineRule="auto"/>
                    <w:rPr>
                      <w:rFonts w:ascii="Arial"/>
                      <w:sz w:val="21"/>
                    </w:rPr>
                  </w:pPr>
                </w:p>
                <w:p>
                  <w:pPr>
                    <w:spacing w:line="321" w:lineRule="auto"/>
                    <w:rPr>
                      <w:rFonts w:ascii="Arial"/>
                      <w:sz w:val="21"/>
                    </w:rPr>
                  </w:pPr>
                </w:p>
                <w:p>
                  <w:pPr>
                    <w:spacing w:before="65" w:line="252" w:lineRule="auto"/>
                    <w:ind w:left="161" w:right="146"/>
                    <w:rPr>
                      <w:rFonts w:ascii="宋体" w:hAnsi="宋体" w:eastAsia="宋体" w:cs="宋体"/>
                      <w:sz w:val="20"/>
                      <w:szCs w:val="20"/>
                    </w:rPr>
                  </w:pPr>
                  <w:r>
                    <w:rPr>
                      <w:rFonts w:ascii="宋体" w:hAnsi="宋体" w:eastAsia="宋体" w:cs="宋体"/>
                      <w:spacing w:val="9"/>
                      <w:sz w:val="20"/>
                      <w:szCs w:val="20"/>
                    </w:rPr>
                    <w:t>本项目为河道</w:t>
                  </w:r>
                  <w:r>
                    <w:rPr>
                      <w:rFonts w:hint="eastAsia" w:ascii="宋体" w:hAnsi="宋体" w:eastAsia="宋体" w:cs="宋体"/>
                      <w:spacing w:val="9"/>
                      <w:sz w:val="20"/>
                      <w:szCs w:val="20"/>
                      <w:lang w:val="en-US" w:eastAsia="zh-CN"/>
                    </w:rPr>
                    <w:t>综合</w:t>
                  </w:r>
                  <w:r>
                    <w:rPr>
                      <w:rFonts w:ascii="宋体" w:hAnsi="宋体" w:eastAsia="宋体" w:cs="宋体"/>
                      <w:spacing w:val="9"/>
                      <w:sz w:val="20"/>
                      <w:szCs w:val="20"/>
                    </w:rPr>
                    <w:t>整治建设项目</w:t>
                  </w:r>
                  <w:r>
                    <w:rPr>
                      <w:rFonts w:ascii="宋体" w:hAnsi="宋体" w:eastAsia="宋体" w:cs="宋体"/>
                      <w:spacing w:val="7"/>
                      <w:sz w:val="20"/>
                      <w:szCs w:val="20"/>
                    </w:rPr>
                    <w:t>，</w:t>
                  </w:r>
                  <w:r>
                    <w:rPr>
                      <w:rFonts w:ascii="宋体" w:hAnsi="宋体" w:eastAsia="宋体" w:cs="宋体"/>
                      <w:spacing w:val="9"/>
                      <w:sz w:val="20"/>
                      <w:szCs w:val="20"/>
                    </w:rPr>
                    <w:t>项目建成后有利于</w:t>
                  </w:r>
                  <w:r>
                    <w:rPr>
                      <w:rFonts w:ascii="宋体" w:hAnsi="宋体" w:eastAsia="宋体" w:cs="宋体"/>
                      <w:spacing w:val="7"/>
                      <w:sz w:val="20"/>
                      <w:szCs w:val="20"/>
                    </w:rPr>
                    <w:t>行</w:t>
                  </w:r>
                  <w:r>
                    <w:rPr>
                      <w:rFonts w:ascii="宋体" w:hAnsi="宋体" w:eastAsia="宋体" w:cs="宋体"/>
                      <w:spacing w:val="12"/>
                      <w:sz w:val="20"/>
                      <w:szCs w:val="20"/>
                    </w:rPr>
                    <w:t>洪</w:t>
                  </w:r>
                  <w:r>
                    <w:rPr>
                      <w:rFonts w:ascii="宋体" w:hAnsi="宋体" w:eastAsia="宋体" w:cs="宋体"/>
                      <w:spacing w:val="7"/>
                      <w:sz w:val="20"/>
                      <w:szCs w:val="20"/>
                    </w:rPr>
                    <w:t>及城市景观改善，</w:t>
                  </w:r>
                  <w:r>
                    <w:rPr>
                      <w:rFonts w:ascii="宋体" w:hAnsi="宋体" w:eastAsia="宋体" w:cs="宋体"/>
                      <w:spacing w:val="9"/>
                      <w:sz w:val="20"/>
                      <w:szCs w:val="20"/>
                    </w:rPr>
                    <w:t>对当地环境有正</w:t>
                  </w:r>
                  <w:r>
                    <w:rPr>
                      <w:rFonts w:ascii="宋体" w:hAnsi="宋体" w:eastAsia="宋体" w:cs="宋体"/>
                      <w:spacing w:val="7"/>
                      <w:sz w:val="20"/>
                      <w:szCs w:val="20"/>
                    </w:rPr>
                    <w:t>效</w:t>
                  </w:r>
                  <w:r>
                    <w:rPr>
                      <w:rFonts w:ascii="宋体" w:hAnsi="宋体" w:eastAsia="宋体" w:cs="宋体"/>
                      <w:spacing w:val="-1"/>
                      <w:sz w:val="20"/>
                      <w:szCs w:val="20"/>
                    </w:rPr>
                    <w:t>益</w:t>
                  </w:r>
                  <w:r>
                    <w:rPr>
                      <w:rFonts w:ascii="宋体" w:hAnsi="宋体" w:eastAsia="宋体" w:cs="宋体"/>
                      <w:sz w:val="20"/>
                      <w:szCs w:val="20"/>
                    </w:rPr>
                    <w:t>。</w:t>
                  </w:r>
                </w:p>
              </w:tc>
              <w:tc>
                <w:tcPr>
                  <w:tcW w:w="821" w:type="dxa"/>
                  <w:tcBorders>
                    <w:right w:val="single" w:color="000000" w:sz="6" w:space="0"/>
                  </w:tcBorders>
                  <w:noWrap w:val="0"/>
                  <w:vAlign w:val="top"/>
                </w:tcPr>
                <w:p>
                  <w:pPr>
                    <w:spacing w:line="246" w:lineRule="auto"/>
                    <w:rPr>
                      <w:rFonts w:ascii="Arial"/>
                      <w:sz w:val="21"/>
                    </w:rPr>
                  </w:pP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before="65" w:line="228" w:lineRule="auto"/>
                    <w:ind w:left="167"/>
                    <w:rPr>
                      <w:rFonts w:ascii="宋体" w:hAnsi="宋体" w:eastAsia="宋体" w:cs="宋体"/>
                      <w:sz w:val="20"/>
                      <w:szCs w:val="20"/>
                    </w:rPr>
                  </w:pPr>
                  <w:r>
                    <w:rPr>
                      <w:rFonts w:ascii="宋体" w:hAnsi="宋体" w:eastAsia="宋体" w:cs="宋体"/>
                      <w:spacing w:val="4"/>
                      <w:sz w:val="20"/>
                      <w:szCs w:val="20"/>
                    </w:rPr>
                    <w:t>符</w:t>
                  </w:r>
                  <w:r>
                    <w:rPr>
                      <w:rFonts w:ascii="宋体" w:hAnsi="宋体" w:eastAsia="宋体" w:cs="宋体"/>
                      <w:spacing w:val="3"/>
                      <w:sz w:val="20"/>
                      <w:szCs w:val="20"/>
                    </w:rPr>
                    <w:t>合</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pacing w:val="0"/>
                <w:sz w:val="24"/>
                <w:szCs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b w:val="0"/>
                <w:bCs w:val="0"/>
                <w:color w:val="auto"/>
                <w:spacing w:val="0"/>
                <w:sz w:val="24"/>
                <w:szCs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cs="Times New Roman"/>
                <w:b w:val="0"/>
                <w:bCs w:val="0"/>
                <w:color w:val="auto"/>
                <w:spacing w:val="0"/>
                <w:sz w:val="24"/>
                <w:szCs w:val="24"/>
                <w:lang w:val="en-US" w:eastAsia="zh-CN"/>
              </w:rPr>
            </w:pPr>
            <w:r>
              <w:rPr>
                <w:sz w:val="21"/>
              </w:rPr>
              <mc:AlternateContent>
                <mc:Choice Requires="wps">
                  <w:drawing>
                    <wp:anchor distT="0" distB="0" distL="114300" distR="114300" simplePos="0" relativeHeight="251662336" behindDoc="0" locked="0" layoutInCell="1" allowOverlap="1">
                      <wp:simplePos x="0" y="0"/>
                      <wp:positionH relativeFrom="column">
                        <wp:posOffset>2124075</wp:posOffset>
                      </wp:positionH>
                      <wp:positionV relativeFrom="paragraph">
                        <wp:posOffset>379730</wp:posOffset>
                      </wp:positionV>
                      <wp:extent cx="718185" cy="366395"/>
                      <wp:effectExtent l="5080" t="5080" r="19685" b="409575"/>
                      <wp:wrapNone/>
                      <wp:docPr id="47" name="矩形标注 47"/>
                      <wp:cNvGraphicFramePr/>
                      <a:graphic xmlns:a="http://schemas.openxmlformats.org/drawingml/2006/main">
                        <a:graphicData uri="http://schemas.microsoft.com/office/word/2010/wordprocessingShape">
                          <wps:wsp>
                            <wps:cNvSpPr/>
                            <wps:spPr>
                              <a:xfrm>
                                <a:off x="0" y="0"/>
                                <a:ext cx="718185" cy="366395"/>
                              </a:xfrm>
                              <a:prstGeom prst="wedgeRectCallout">
                                <a:avLst>
                                  <a:gd name="adj1" fmla="val 28778"/>
                                  <a:gd name="adj2" fmla="val 155894"/>
                                </a:avLst>
                              </a:prstGeom>
                              <a:noFill/>
                              <a:ln w="9525" cap="flat" cmpd="sng">
                                <a:solidFill>
                                  <a:srgbClr val="000000"/>
                                </a:solidFill>
                                <a:prstDash val="solid"/>
                                <a:miter/>
                                <a:headEnd type="none" w="med" len="med"/>
                                <a:tailEnd type="none" w="med" len="med"/>
                              </a:ln>
                            </wps:spPr>
                            <wps:txbx>
                              <w:txbxContent>
                                <w:p>
                                  <w:pPr>
                                    <w:rPr>
                                      <w:rFonts w:hint="eastAsia" w:eastAsia="宋体"/>
                                      <w:b/>
                                      <w:bCs/>
                                      <w:color w:val="000000"/>
                                      <w:lang w:val="en-US" w:eastAsia="zh-CN"/>
                                    </w:rPr>
                                  </w:pPr>
                                  <w:r>
                                    <w:rPr>
                                      <w:rFonts w:hint="eastAsia"/>
                                      <w:b/>
                                      <w:bCs/>
                                      <w:color w:val="000000"/>
                                      <w:lang w:val="en-US" w:eastAsia="zh-CN"/>
                                    </w:rPr>
                                    <w:t>本项目</w:t>
                                  </w:r>
                                </w:p>
                              </w:txbxContent>
                            </wps:txbx>
                            <wps:bodyPr upright="1"/>
                          </wps:wsp>
                        </a:graphicData>
                      </a:graphic>
                    </wp:anchor>
                  </w:drawing>
                </mc:Choice>
                <mc:Fallback>
                  <w:pict>
                    <v:shape id="_x0000_s1026" o:spid="_x0000_s1026" o:spt="61" type="#_x0000_t61" style="position:absolute;left:0pt;margin-left:167.25pt;margin-top:29.9pt;height:28.85pt;width:56.55pt;z-index:251662336;mso-width-relative:page;mso-height-relative:page;" filled="f" stroked="t" coordsize="21600,21600" o:gfxdata="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844Jr2gAAAAoBAAAPAAAAAAAAAAEAIAAAACIAAABkcnMvZG93bnJl&#10;di54bWxQSwECFAAUAAAACACHTuJAhqMavzQCAABlBAAADgAAAAAAAAABACAAAAApAQAAZHJzL2Uy&#10;b0RvYy54bWxQSwUGAAAAAAYABgBZAQAAzwUAAAAA&#10;" adj="17016,44473">
                      <v:path/>
                      <v:fill on="f" focussize="0,0"/>
                      <v:stroke/>
                      <v:imagedata o:title=""/>
                      <o:lock v:ext="edit" aspectratio="f"/>
                      <v:textbox>
                        <w:txbxContent>
                          <w:p>
                            <w:pPr>
                              <w:rPr>
                                <w:rFonts w:hint="eastAsia" w:eastAsia="宋体"/>
                                <w:b/>
                                <w:bCs/>
                                <w:color w:val="000000"/>
                                <w:lang w:val="en-US" w:eastAsia="zh-CN"/>
                              </w:rPr>
                            </w:pPr>
                            <w:r>
                              <w:rPr>
                                <w:rFonts w:hint="eastAsia"/>
                                <w:b/>
                                <w:bCs/>
                                <w:color w:val="000000"/>
                                <w:lang w:val="en-US" w:eastAsia="zh-CN"/>
                              </w:rPr>
                              <w:t>本项目</w:t>
                            </w:r>
                          </w:p>
                        </w:txbxContent>
                      </v:textbox>
                    </v:shape>
                  </w:pict>
                </mc:Fallback>
              </mc:AlternateContent>
            </w:r>
            <w:r>
              <w:drawing>
                <wp:inline distT="0" distB="0" distL="114300" distR="114300">
                  <wp:extent cx="5542280" cy="3914775"/>
                  <wp:effectExtent l="0" t="0" r="1270" b="9525"/>
                  <wp:docPr id="5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8"/>
                          <pic:cNvPicPr>
                            <a:picLocks noChangeAspect="1"/>
                          </pic:cNvPicPr>
                        </pic:nvPicPr>
                        <pic:blipFill>
                          <a:blip r:embed="rId32"/>
                          <a:stretch>
                            <a:fillRect/>
                          </a:stretch>
                        </pic:blipFill>
                        <pic:spPr>
                          <a:xfrm>
                            <a:off x="0" y="0"/>
                            <a:ext cx="5542280" cy="39147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22" w:firstLineChars="200"/>
              <w:jc w:val="center"/>
              <w:textAlignment w:val="auto"/>
              <w:rPr>
                <w:rFonts w:hint="default" w:ascii="Times New Roman" w:hAnsi="Times New Roman" w:cs="Times New Roman"/>
                <w:b/>
                <w:bCs/>
                <w:color w:val="auto"/>
                <w:spacing w:val="0"/>
                <w:sz w:val="21"/>
                <w:szCs w:val="21"/>
                <w:lang w:val="en-US" w:eastAsia="zh-CN"/>
              </w:rPr>
            </w:pPr>
            <w:r>
              <w:rPr>
                <w:rFonts w:hint="eastAsia" w:ascii="Times New Roman" w:hAnsi="Times New Roman" w:cs="Times New Roman"/>
                <w:b/>
                <w:bCs/>
                <w:color w:val="auto"/>
                <w:spacing w:val="0"/>
                <w:sz w:val="21"/>
                <w:szCs w:val="21"/>
                <w:lang w:val="en-US" w:eastAsia="zh-CN"/>
              </w:rPr>
              <w:t>图1-2 乐山市环境管控单元图</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92" w:firstLineChars="200"/>
              <w:textAlignment w:val="auto"/>
              <w:rPr>
                <w:rFonts w:hint="default" w:ascii="Times New Roman" w:hAnsi="Times New Roman" w:cs="Times New Roman"/>
                <w:b w:val="0"/>
                <w:bCs w:val="0"/>
                <w:color w:val="auto"/>
                <w:spacing w:val="0"/>
                <w:sz w:val="24"/>
                <w:szCs w:val="24"/>
                <w:lang w:val="en-US" w:eastAsia="zh-CN"/>
              </w:rPr>
            </w:pPr>
            <w:r>
              <w:rPr>
                <w:rFonts w:ascii="宋体" w:hAnsi="宋体" w:eastAsia="宋体" w:cs="宋体"/>
                <w:spacing w:val="8"/>
                <w:position w:val="1"/>
                <w:sz w:val="23"/>
                <w:szCs w:val="23"/>
              </w:rPr>
              <w:t>项目与管控</w:t>
            </w:r>
            <w:r>
              <w:rPr>
                <w:rFonts w:ascii="宋体" w:hAnsi="宋体" w:eastAsia="宋体" w:cs="宋体"/>
                <w:spacing w:val="5"/>
                <w:position w:val="1"/>
                <w:sz w:val="23"/>
                <w:szCs w:val="23"/>
              </w:rPr>
              <w:t>单</w:t>
            </w:r>
            <w:r>
              <w:rPr>
                <w:rFonts w:ascii="宋体" w:hAnsi="宋体" w:eastAsia="宋体" w:cs="宋体"/>
                <w:spacing w:val="4"/>
                <w:position w:val="1"/>
                <w:sz w:val="23"/>
                <w:szCs w:val="23"/>
              </w:rPr>
              <w:t>元相对位置如下图所示：(图中</w:t>
            </w:r>
            <w:r>
              <w:rPr>
                <w:rFonts w:ascii="Times New Roman" w:hAnsi="Times New Roman" w:eastAsia="Times New Roman" w:cs="Times New Roman"/>
                <w:color w:val="00B0F0"/>
                <w:spacing w:val="4"/>
                <w:position w:val="1"/>
                <w:sz w:val="23"/>
                <w:szCs w:val="23"/>
              </w:rPr>
              <w:t>▼</w:t>
            </w:r>
            <w:r>
              <w:rPr>
                <w:rFonts w:ascii="宋体" w:hAnsi="宋体" w:eastAsia="宋体" w:cs="宋体"/>
                <w:spacing w:val="4"/>
                <w:position w:val="1"/>
                <w:sz w:val="23"/>
                <w:szCs w:val="23"/>
              </w:rPr>
              <w:t>表示项目位置)</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560" w:firstLineChars="200"/>
              <w:textAlignment w:val="auto"/>
              <w:rPr>
                <w:rFonts w:hint="default" w:ascii="Times New Roman" w:hAnsi="Times New Roman" w:cs="Times New Roman"/>
                <w:b w:val="0"/>
                <w:bCs w:val="0"/>
                <w:color w:val="auto"/>
                <w:spacing w:val="0"/>
                <w:sz w:val="24"/>
                <w:szCs w:val="24"/>
                <w:lang w:val="en-US" w:eastAsia="zh-CN"/>
              </w:rPr>
            </w:pPr>
            <w:r>
              <w:rPr>
                <w:rFonts w:hint="default" w:ascii="Helvetica" w:hAnsi="Helvetica" w:eastAsia="Helvetica"/>
                <w:sz w:val="28"/>
                <w:szCs w:val="24"/>
              </w:rPr>
              <w:drawing>
                <wp:inline distT="0" distB="0" distL="114300" distR="114300">
                  <wp:extent cx="5325745" cy="3195955"/>
                  <wp:effectExtent l="9525" t="9525" r="17780" b="13970"/>
                  <wp:docPr id="5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9"/>
                          <pic:cNvPicPr>
                            <a:picLocks noChangeAspect="1"/>
                          </pic:cNvPicPr>
                        </pic:nvPicPr>
                        <pic:blipFill>
                          <a:blip r:embed="rId33"/>
                          <a:stretch>
                            <a:fillRect/>
                          </a:stretch>
                        </pic:blipFill>
                        <pic:spPr>
                          <a:xfrm>
                            <a:off x="0" y="0"/>
                            <a:ext cx="5325745" cy="3195955"/>
                          </a:xfrm>
                          <a:prstGeom prst="rect">
                            <a:avLst/>
                          </a:prstGeom>
                          <a:noFill/>
                          <a:ln w="9525" cap="flat" cmpd="sng">
                            <a:solidFill>
                              <a:srgbClr val="000000"/>
                            </a:solidFill>
                            <a:prstDash val="solid"/>
                            <a:miter/>
                            <a:headEnd type="none" w="med" len="med"/>
                            <a:tailEnd type="none" w="med" len="med"/>
                          </a:ln>
                        </pic:spPr>
                      </pic:pic>
                    </a:graphicData>
                  </a:graphic>
                </wp:inline>
              </w:drawing>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22" w:firstLineChars="200"/>
              <w:jc w:val="center"/>
              <w:textAlignment w:val="auto"/>
              <w:rPr>
                <w:rFonts w:hint="default" w:ascii="Times New Roman" w:hAnsi="Times New Roman" w:cs="Times New Roman"/>
                <w:b/>
                <w:bCs/>
                <w:color w:val="auto"/>
                <w:spacing w:val="0"/>
                <w:sz w:val="21"/>
                <w:szCs w:val="21"/>
                <w:lang w:val="en-US" w:eastAsia="zh-CN"/>
              </w:rPr>
            </w:pPr>
            <w:r>
              <w:rPr>
                <w:rFonts w:hint="eastAsia" w:ascii="Times New Roman" w:hAnsi="Times New Roman" w:cs="Times New Roman"/>
                <w:b/>
                <w:bCs/>
                <w:color w:val="auto"/>
                <w:spacing w:val="0"/>
                <w:sz w:val="21"/>
                <w:szCs w:val="21"/>
                <w:lang w:val="en-US" w:eastAsia="zh-CN"/>
              </w:rPr>
              <w:t>图1-3 项目与管控单元相对位置图</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本项目符合国家产业政策，符合当地规划。因此本项目不属于环境准入负面清单之列。</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综上所述，本项目符合“乐府发〔2021〕7 号”，生态环境准入总体要求。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b w:val="0"/>
                <w:bCs w:val="0"/>
                <w:color w:val="auto"/>
                <w:spacing w:val="0"/>
                <w:sz w:val="24"/>
                <w:szCs w:val="24"/>
                <w:lang w:val="en-US" w:eastAsia="zh-CN"/>
              </w:rPr>
            </w:pPr>
            <w:r>
              <w:rPr>
                <w:rFonts w:hint="default" w:ascii="Times New Roman" w:hAnsi="Times New Roman" w:cs="Times New Roman"/>
                <w:b w:val="0"/>
                <w:bCs w:val="0"/>
                <w:color w:val="auto"/>
                <w:spacing w:val="0"/>
                <w:sz w:val="24"/>
                <w:szCs w:val="24"/>
                <w:lang w:val="en-US" w:eastAsia="zh-CN"/>
              </w:rPr>
              <w:t>为深入贯彻习近平生态文明思想，落实《中共中央国务院关于全面加强生态环境保护坚决打好污染防治攻坚战的意见》《中共中央国务院关于新时代推进西部大开发形成新格局的指导意见》《中共四川省委关于全面推动高质量发展的决定》等文件精神，四川省人民政府就落实生态保护红线、环境质量底线、资源利用上线，制定生态环境准入清单（简称“三线一单”），建立生态环境分区管控体系并监督实施，乐山市人民政府发布了《关于落实生态保护红线、环境质量底线、资源利用上线，制定生态环境准入清单实施生态环境分区管控的通知》。结合四川省生态环境厅办公室关于印发《产业园区规划环评“三线一单”符合性分析技术要点（试行</w:t>
            </w:r>
            <w:r>
              <w:rPr>
                <w:rFonts w:hint="eastAsia" w:ascii="Times New Roman" w:hAnsi="Times New Roman" w:cs="Times New Roman"/>
                <w:b w:val="0"/>
                <w:bCs w:val="0"/>
                <w:color w:val="auto"/>
                <w:spacing w:val="0"/>
                <w:sz w:val="24"/>
                <w:szCs w:val="24"/>
                <w:lang w:val="en-US" w:eastAsia="zh-CN"/>
              </w:rPr>
              <w:t>）</w:t>
            </w:r>
            <w:r>
              <w:rPr>
                <w:rFonts w:hint="default" w:ascii="Times New Roman" w:hAnsi="Times New Roman" w:cs="Times New Roman"/>
                <w:b w:val="0"/>
                <w:bCs w:val="0"/>
                <w:color w:val="auto"/>
                <w:spacing w:val="0"/>
                <w:sz w:val="24"/>
                <w:szCs w:val="24"/>
                <w:lang w:val="en-US" w:eastAsia="zh-CN"/>
              </w:rPr>
              <w:t>》和《项目环评“三线一单”符合性分析技术要点</w:t>
            </w:r>
            <w:r>
              <w:rPr>
                <w:rFonts w:hint="eastAsia" w:ascii="Times New Roman" w:hAnsi="Times New Roman" w:cs="Times New Roman"/>
                <w:b w:val="0"/>
                <w:bCs w:val="0"/>
                <w:color w:val="auto"/>
                <w:spacing w:val="0"/>
                <w:sz w:val="24"/>
                <w:szCs w:val="24"/>
                <w:lang w:val="en-US" w:eastAsia="zh-CN"/>
              </w:rPr>
              <w:t>（</w:t>
            </w:r>
            <w:r>
              <w:rPr>
                <w:rFonts w:hint="default" w:ascii="Times New Roman" w:hAnsi="Times New Roman" w:cs="Times New Roman"/>
                <w:b w:val="0"/>
                <w:bCs w:val="0"/>
                <w:color w:val="auto"/>
                <w:spacing w:val="0"/>
                <w:sz w:val="24"/>
                <w:szCs w:val="24"/>
                <w:lang w:val="en-US" w:eastAsia="zh-CN"/>
              </w:rPr>
              <w:t>试行</w:t>
            </w:r>
            <w:r>
              <w:rPr>
                <w:rFonts w:hint="eastAsia" w:ascii="Times New Roman" w:hAnsi="Times New Roman" w:cs="Times New Roman"/>
                <w:b w:val="0"/>
                <w:bCs w:val="0"/>
                <w:color w:val="auto"/>
                <w:spacing w:val="0"/>
                <w:sz w:val="24"/>
                <w:szCs w:val="24"/>
                <w:lang w:val="en-US" w:eastAsia="zh-CN"/>
              </w:rPr>
              <w:t>）</w:t>
            </w:r>
            <w:r>
              <w:rPr>
                <w:rFonts w:hint="default" w:ascii="Times New Roman" w:hAnsi="Times New Roman" w:cs="Times New Roman"/>
                <w:b w:val="0"/>
                <w:bCs w:val="0"/>
                <w:color w:val="auto"/>
                <w:spacing w:val="0"/>
                <w:sz w:val="24"/>
                <w:szCs w:val="24"/>
                <w:lang w:val="en-US" w:eastAsia="zh-CN"/>
              </w:rPr>
              <w:t>》的通知》（川环办函〔2021〕469号）文件中要求，本项目与“三线一单”符合性详述如下：</w:t>
            </w:r>
          </w:p>
          <w:p>
            <w:pPr>
              <w:keepNext w:val="0"/>
              <w:keepLines w:val="0"/>
              <w:pageBreakBefore w:val="0"/>
              <w:widowControl w:val="0"/>
              <w:kinsoku/>
              <w:wordWrap/>
              <w:overflowPunct/>
              <w:topLinePunct w:val="0"/>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项目起点涉及到环境管控单元5个，涉及到管控单元见下表。</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22" w:firstLineChars="200"/>
              <w:jc w:val="center"/>
              <w:textAlignment w:val="auto"/>
              <w:rPr>
                <w:rFonts w:hint="default" w:ascii="Times New Roman" w:hAnsi="Times New Roman" w:eastAsia="宋体" w:cs="Times New Roman"/>
                <w:b/>
                <w:bCs/>
                <w:color w:val="auto"/>
                <w:spacing w:val="0"/>
                <w:sz w:val="21"/>
                <w:szCs w:val="21"/>
                <w:lang w:val="en-US" w:eastAsia="zh-CN"/>
              </w:rPr>
            </w:pPr>
            <w:r>
              <w:rPr>
                <w:rFonts w:hint="eastAsia" w:ascii="Times New Roman" w:hAnsi="Times New Roman" w:eastAsia="宋体" w:cs="Times New Roman"/>
                <w:b/>
                <w:bCs/>
                <w:color w:val="auto"/>
                <w:spacing w:val="0"/>
                <w:sz w:val="21"/>
                <w:szCs w:val="21"/>
                <w:lang w:val="en-US" w:eastAsia="zh-CN"/>
              </w:rPr>
              <w:t>表1-6 项目涉及环境管控单元一览表</w:t>
            </w:r>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7"/>
              <w:gridCol w:w="2289"/>
              <w:gridCol w:w="1161"/>
              <w:gridCol w:w="739"/>
              <w:gridCol w:w="1150"/>
              <w:gridCol w:w="19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100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lang w:val="en-US" w:eastAsia="zh-CN" w:bidi="ar"/>
                    </w:rPr>
                    <w:t>环境管控单元编码</w:t>
                  </w:r>
                </w:p>
              </w:tc>
              <w:tc>
                <w:tcPr>
                  <w:tcW w:w="12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lang w:val="en-US" w:eastAsia="zh-CN" w:bidi="ar"/>
                    </w:rPr>
                    <w:t>环境管控单元名称</w:t>
                  </w:r>
                </w:p>
              </w:tc>
              <w:tc>
                <w:tcPr>
                  <w:tcW w:w="633" w:type="pct"/>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lang w:val="en-US" w:eastAsia="zh-CN" w:bidi="ar"/>
                    </w:rPr>
                    <w:t>所属市（州）</w:t>
                  </w:r>
                </w:p>
              </w:tc>
              <w:tc>
                <w:tcPr>
                  <w:tcW w:w="403" w:type="pct"/>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lang w:val="en-US" w:eastAsia="zh-CN" w:bidi="ar"/>
                    </w:rPr>
                    <w:t>所属区县</w:t>
                  </w:r>
                </w:p>
              </w:tc>
              <w:tc>
                <w:tcPr>
                  <w:tcW w:w="62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lang w:val="en-US" w:eastAsia="zh-CN" w:bidi="ar"/>
                    </w:rPr>
                    <w:t>准入清单类型</w:t>
                  </w:r>
                </w:p>
              </w:tc>
              <w:tc>
                <w:tcPr>
                  <w:tcW w:w="107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lang w:val="en-US" w:eastAsia="zh-CN" w:bidi="ar"/>
                    </w:rPr>
                    <w:t>管控类型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12" w:hRule="atLeast"/>
              </w:trPr>
              <w:tc>
                <w:tcPr>
                  <w:tcW w:w="1007"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ZH51110220001</w:t>
                  </w:r>
                </w:p>
              </w:tc>
              <w:tc>
                <w:tcPr>
                  <w:tcW w:w="1248"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市中区中心城区</w:t>
                  </w:r>
                </w:p>
              </w:tc>
              <w:tc>
                <w:tcPr>
                  <w:tcW w:w="633" w:type="pct"/>
                  <w:tcBorders>
                    <w:top w:val="single" w:color="auto" w:sz="4" w:space="0"/>
                    <w:left w:val="single" w:color="auto" w:sz="4" w:space="0"/>
                    <w:bottom w:val="single" w:color="auto" w:sz="4" w:space="0"/>
                    <w:right w:val="single" w:color="auto" w:sz="4" w:space="0"/>
                  </w:tcBorders>
                  <w:noWrap w:val="0"/>
                  <w:vAlign w:val="top"/>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乐山市</w:t>
                  </w:r>
                </w:p>
              </w:tc>
              <w:tc>
                <w:tcPr>
                  <w:tcW w:w="403" w:type="pct"/>
                  <w:tcBorders>
                    <w:top w:val="single" w:color="auto" w:sz="4" w:space="0"/>
                    <w:left w:val="single" w:color="auto" w:sz="4" w:space="0"/>
                    <w:bottom w:val="single" w:color="auto" w:sz="4" w:space="0"/>
                    <w:right w:val="single" w:color="auto" w:sz="4" w:space="0"/>
                  </w:tcBorders>
                  <w:noWrap w:val="0"/>
                  <w:vAlign w:val="top"/>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市中区</w:t>
                  </w:r>
                </w:p>
              </w:tc>
              <w:tc>
                <w:tcPr>
                  <w:tcW w:w="627"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环境管控单元</w:t>
                  </w:r>
                </w:p>
              </w:tc>
              <w:tc>
                <w:tcPr>
                  <w:tcW w:w="1079"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环境综合管控单元城镇重点管控单元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1007"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YS5111022220012</w:t>
                  </w:r>
                </w:p>
              </w:tc>
              <w:tc>
                <w:tcPr>
                  <w:tcW w:w="1248"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大渡河市中区李码头控制单元</w:t>
                  </w:r>
                </w:p>
              </w:tc>
              <w:tc>
                <w:tcPr>
                  <w:tcW w:w="633" w:type="pct"/>
                  <w:tcBorders>
                    <w:top w:val="single" w:color="auto" w:sz="4" w:space="0"/>
                    <w:left w:val="single" w:color="auto" w:sz="4" w:space="0"/>
                    <w:bottom w:val="single" w:color="auto" w:sz="4" w:space="0"/>
                    <w:right w:val="single" w:color="auto" w:sz="4" w:space="0"/>
                  </w:tcBorders>
                  <w:noWrap w:val="0"/>
                  <w:vAlign w:val="top"/>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乐山市</w:t>
                  </w:r>
                </w:p>
              </w:tc>
              <w:tc>
                <w:tcPr>
                  <w:tcW w:w="403" w:type="pct"/>
                  <w:tcBorders>
                    <w:top w:val="single" w:color="auto" w:sz="4" w:space="0"/>
                    <w:left w:val="single" w:color="auto" w:sz="4" w:space="0"/>
                    <w:bottom w:val="single" w:color="auto" w:sz="4" w:space="0"/>
                    <w:right w:val="single" w:color="auto" w:sz="4" w:space="0"/>
                  </w:tcBorders>
                  <w:noWrap w:val="0"/>
                  <w:vAlign w:val="top"/>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市中区</w:t>
                  </w:r>
                </w:p>
              </w:tc>
              <w:tc>
                <w:tcPr>
                  <w:tcW w:w="627"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水环境管控分区</w:t>
                  </w:r>
                </w:p>
              </w:tc>
              <w:tc>
                <w:tcPr>
                  <w:tcW w:w="1079"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水环境城镇生活污染重点管控区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1007"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YS5111022340001</w:t>
                  </w:r>
                </w:p>
              </w:tc>
              <w:tc>
                <w:tcPr>
                  <w:tcW w:w="1248"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乐山市市中区大气环境受体敏感重点管控区</w:t>
                  </w:r>
                </w:p>
              </w:tc>
              <w:tc>
                <w:tcPr>
                  <w:tcW w:w="633" w:type="pct"/>
                  <w:tcBorders>
                    <w:top w:val="single" w:color="auto" w:sz="4" w:space="0"/>
                    <w:left w:val="single" w:color="auto" w:sz="4" w:space="0"/>
                    <w:bottom w:val="single" w:color="auto" w:sz="4" w:space="0"/>
                    <w:right w:val="single" w:color="auto" w:sz="4" w:space="0"/>
                  </w:tcBorders>
                  <w:noWrap w:val="0"/>
                  <w:vAlign w:val="top"/>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乐山市</w:t>
                  </w:r>
                </w:p>
              </w:tc>
              <w:tc>
                <w:tcPr>
                  <w:tcW w:w="403" w:type="pct"/>
                  <w:tcBorders>
                    <w:top w:val="single" w:color="auto" w:sz="4" w:space="0"/>
                    <w:left w:val="single" w:color="auto" w:sz="4" w:space="0"/>
                    <w:bottom w:val="single" w:color="auto" w:sz="4" w:space="0"/>
                    <w:right w:val="single" w:color="auto" w:sz="4" w:space="0"/>
                  </w:tcBorders>
                  <w:noWrap w:val="0"/>
                  <w:vAlign w:val="top"/>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市中区</w:t>
                  </w:r>
                </w:p>
              </w:tc>
              <w:tc>
                <w:tcPr>
                  <w:tcW w:w="627"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大气环境管控分区</w:t>
                  </w:r>
                </w:p>
              </w:tc>
              <w:tc>
                <w:tcPr>
                  <w:tcW w:w="1079"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大气环境受体敏感重点管控区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1007"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YS5111022540006</w:t>
                  </w:r>
                </w:p>
              </w:tc>
              <w:tc>
                <w:tcPr>
                  <w:tcW w:w="1248"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市中区禁燃区</w:t>
                  </w:r>
                </w:p>
              </w:tc>
              <w:tc>
                <w:tcPr>
                  <w:tcW w:w="633" w:type="pct"/>
                  <w:tcBorders>
                    <w:top w:val="single" w:color="auto" w:sz="4" w:space="0"/>
                    <w:left w:val="single" w:color="auto" w:sz="4" w:space="0"/>
                    <w:bottom w:val="single" w:color="auto" w:sz="4" w:space="0"/>
                    <w:right w:val="single" w:color="auto" w:sz="4" w:space="0"/>
                  </w:tcBorders>
                  <w:noWrap w:val="0"/>
                  <w:vAlign w:val="top"/>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乐山市</w:t>
                  </w:r>
                </w:p>
              </w:tc>
              <w:tc>
                <w:tcPr>
                  <w:tcW w:w="403" w:type="pct"/>
                  <w:tcBorders>
                    <w:top w:val="single" w:color="auto" w:sz="4" w:space="0"/>
                    <w:left w:val="single" w:color="auto" w:sz="4" w:space="0"/>
                    <w:bottom w:val="single" w:color="auto" w:sz="4" w:space="0"/>
                    <w:right w:val="single" w:color="auto" w:sz="4" w:space="0"/>
                  </w:tcBorders>
                  <w:noWrap w:val="0"/>
                  <w:vAlign w:val="top"/>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市中区</w:t>
                  </w:r>
                </w:p>
              </w:tc>
              <w:tc>
                <w:tcPr>
                  <w:tcW w:w="627"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自然资源管控分区</w:t>
                  </w:r>
                </w:p>
              </w:tc>
              <w:tc>
                <w:tcPr>
                  <w:tcW w:w="1079"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高污染燃料禁燃区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12" w:hRule="atLeast"/>
              </w:trPr>
              <w:tc>
                <w:tcPr>
                  <w:tcW w:w="1007"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YS5111022550001</w:t>
                  </w:r>
                </w:p>
              </w:tc>
              <w:tc>
                <w:tcPr>
                  <w:tcW w:w="1248"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市中区自然资源重点管控区</w:t>
                  </w:r>
                </w:p>
              </w:tc>
              <w:tc>
                <w:tcPr>
                  <w:tcW w:w="633" w:type="pct"/>
                  <w:tcBorders>
                    <w:top w:val="single" w:color="auto" w:sz="4" w:space="0"/>
                    <w:left w:val="single" w:color="auto" w:sz="4" w:space="0"/>
                    <w:bottom w:val="single" w:color="auto" w:sz="4" w:space="0"/>
                    <w:right w:val="single" w:color="auto" w:sz="4" w:space="0"/>
                  </w:tcBorders>
                  <w:noWrap w:val="0"/>
                  <w:vAlign w:val="top"/>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乐山市</w:t>
                  </w:r>
                </w:p>
              </w:tc>
              <w:tc>
                <w:tcPr>
                  <w:tcW w:w="403" w:type="pct"/>
                  <w:tcBorders>
                    <w:top w:val="single" w:color="auto" w:sz="4" w:space="0"/>
                    <w:left w:val="single" w:color="auto" w:sz="4" w:space="0"/>
                    <w:bottom w:val="single" w:color="auto" w:sz="4" w:space="0"/>
                    <w:right w:val="single" w:color="auto" w:sz="4" w:space="0"/>
                  </w:tcBorders>
                  <w:noWrap w:val="0"/>
                  <w:vAlign w:val="top"/>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市中区</w:t>
                  </w:r>
                </w:p>
              </w:tc>
              <w:tc>
                <w:tcPr>
                  <w:tcW w:w="627"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自然资源管控分区</w:t>
                  </w:r>
                </w:p>
              </w:tc>
              <w:tc>
                <w:tcPr>
                  <w:tcW w:w="1079"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rPr>
                  </w:pPr>
                  <w:r>
                    <w:rPr>
                      <w:rStyle w:val="251"/>
                      <w:rFonts w:hint="default" w:ascii="Times New Roman" w:hAnsi="Times New Roman" w:eastAsia="宋体" w:cs="Times New Roman"/>
                      <w:kern w:val="2"/>
                      <w:sz w:val="21"/>
                      <w:szCs w:val="21"/>
                      <w:lang w:val="en-US" w:eastAsia="zh-CN" w:bidi="ar"/>
                    </w:rPr>
                    <w:t>自然资源重点管控区</w:t>
                  </w:r>
                </w:p>
              </w:tc>
            </w:tr>
          </w:tbl>
          <w:p>
            <w:pPr>
              <w:keepNext w:val="0"/>
              <w:keepLines w:val="0"/>
              <w:pageBreakBefore w:val="0"/>
              <w:widowControl w:val="0"/>
              <w:kinsoku/>
              <w:wordWrap/>
              <w:overflowPunct/>
              <w:topLinePunct w:val="0"/>
              <w:autoSpaceDE w:val="0"/>
              <w:autoSpaceDN w:val="0"/>
              <w:bidi w:val="0"/>
              <w:adjustRightInd w:val="0"/>
              <w:snapToGrid w:val="0"/>
              <w:spacing w:line="240" w:lineRule="auto"/>
              <w:ind w:firstLine="422" w:firstLineChars="200"/>
              <w:jc w:val="center"/>
              <w:textAlignment w:val="auto"/>
              <w:rPr>
                <w:rFonts w:hint="default" w:ascii="Times New Roman" w:hAnsi="Times New Roman" w:eastAsia="宋体" w:cs="Times New Roman"/>
                <w:b/>
                <w:bCs/>
                <w:color w:val="auto"/>
                <w:spacing w:val="0"/>
                <w:sz w:val="21"/>
                <w:szCs w:val="21"/>
                <w:lang w:val="en-US" w:eastAsia="zh-CN"/>
              </w:rPr>
            </w:pPr>
            <w:r>
              <w:rPr>
                <w:rFonts w:hint="default" w:ascii="Times New Roman" w:hAnsi="Times New Roman" w:eastAsia="宋体" w:cs="Times New Roman"/>
                <w:b/>
                <w:bCs/>
                <w:color w:val="auto"/>
                <w:spacing w:val="0"/>
                <w:sz w:val="21"/>
                <w:szCs w:val="21"/>
                <w:lang w:val="en-US" w:eastAsia="zh-CN"/>
              </w:rPr>
              <w:t>表1-</w:t>
            </w:r>
            <w:r>
              <w:rPr>
                <w:rFonts w:hint="eastAsia" w:ascii="Times New Roman" w:hAnsi="Times New Roman" w:eastAsia="宋体" w:cs="Times New Roman"/>
                <w:b/>
                <w:bCs/>
                <w:color w:val="auto"/>
                <w:spacing w:val="0"/>
                <w:sz w:val="21"/>
                <w:szCs w:val="21"/>
                <w:lang w:val="en-US" w:eastAsia="zh-CN"/>
              </w:rPr>
              <w:t>7</w:t>
            </w:r>
            <w:r>
              <w:rPr>
                <w:rFonts w:hint="default" w:ascii="Times New Roman" w:hAnsi="Times New Roman" w:eastAsia="宋体" w:cs="Times New Roman"/>
                <w:b/>
                <w:bCs/>
                <w:color w:val="auto"/>
                <w:spacing w:val="0"/>
                <w:sz w:val="21"/>
                <w:szCs w:val="21"/>
                <w:lang w:val="en-US" w:eastAsia="zh-CN"/>
              </w:rPr>
              <w:t xml:space="preserve">  建设项目中点与“三线一单”相关要求的符合性分析要点</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6"/>
              <w:gridCol w:w="441"/>
              <w:gridCol w:w="757"/>
              <w:gridCol w:w="535"/>
              <w:gridCol w:w="652"/>
              <w:gridCol w:w="426"/>
              <w:gridCol w:w="2316"/>
              <w:gridCol w:w="24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Autospacing="0" w:line="240" w:lineRule="auto"/>
                    <w:ind w:left="0" w:right="0" w:firstLine="0" w:firstLineChars="0"/>
                    <w:jc w:val="center"/>
                    <w:textAlignment w:val="baseline"/>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snapToGrid/>
                      <w:color w:val="000000"/>
                      <w:kern w:val="0"/>
                      <w:sz w:val="21"/>
                      <w:szCs w:val="21"/>
                      <w:lang w:val="en-US" w:eastAsia="zh-CN" w:bidi="ar"/>
                    </w:rPr>
                    <w:t>环境管控单元编码</w:t>
                  </w:r>
                </w:p>
              </w:tc>
              <w:tc>
                <w:tcPr>
                  <w:tcW w:w="874"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Autospacing="0" w:line="240" w:lineRule="auto"/>
                    <w:ind w:left="0" w:right="0" w:firstLine="0" w:firstLineChars="0"/>
                    <w:jc w:val="center"/>
                    <w:textAlignment w:val="baseline"/>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snapToGrid/>
                      <w:color w:val="000000"/>
                      <w:kern w:val="0"/>
                      <w:sz w:val="21"/>
                      <w:szCs w:val="21"/>
                      <w:lang w:val="en-US" w:eastAsia="zh-CN" w:bidi="ar"/>
                    </w:rPr>
                    <w:t>环境管控单元名称</w:t>
                  </w:r>
                </w:p>
              </w:tc>
              <w:tc>
                <w:tcPr>
                  <w:tcW w:w="552" w:type="dxa"/>
                  <w:tcBorders>
                    <w:top w:val="single" w:color="auto" w:sz="4" w:space="0"/>
                    <w:left w:val="nil"/>
                    <w:bottom w:val="single" w:color="auto" w:sz="4" w:space="0"/>
                    <w:right w:val="single" w:color="auto" w:sz="4" w:space="0"/>
                  </w:tcBorders>
                  <w:noWrap w:val="0"/>
                  <w:vAlign w:val="top"/>
                </w:tcPr>
                <w:p>
                  <w:pPr>
                    <w:keepNext w:val="0"/>
                    <w:keepLines w:val="0"/>
                    <w:pageBreakBefore w:val="0"/>
                    <w:widowControl w:val="0"/>
                    <w:suppressLineNumbers w:val="0"/>
                    <w:kinsoku w:val="0"/>
                    <w:wordWrap/>
                    <w:overflowPunct/>
                    <w:topLinePunct w:val="0"/>
                    <w:autoSpaceDE w:val="0"/>
                    <w:autoSpaceDN w:val="0"/>
                    <w:bidi w:val="0"/>
                    <w:adjustRightInd w:val="0"/>
                    <w:snapToGrid w:val="0"/>
                    <w:spacing w:beforeAutospacing="0" w:afterAutospacing="0" w:line="240" w:lineRule="auto"/>
                    <w:ind w:left="0" w:right="0" w:firstLine="0" w:firstLineChars="0"/>
                    <w:jc w:val="center"/>
                    <w:textAlignment w:val="baseline"/>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snapToGrid/>
                      <w:color w:val="000000"/>
                      <w:kern w:val="0"/>
                      <w:sz w:val="21"/>
                      <w:szCs w:val="21"/>
                      <w:lang w:val="en-US" w:eastAsia="zh-CN" w:bidi="ar"/>
                    </w:rPr>
                    <w:t>乐山市普适性清单</w:t>
                  </w:r>
                </w:p>
              </w:tc>
              <w:tc>
                <w:tcPr>
                  <w:tcW w:w="722"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Autospacing="0" w:line="240" w:lineRule="auto"/>
                    <w:ind w:left="0" w:right="0" w:firstLine="0" w:firstLineChars="0"/>
                    <w:jc w:val="center"/>
                    <w:textAlignment w:val="baseline"/>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snapToGrid/>
                      <w:color w:val="000000"/>
                      <w:kern w:val="0"/>
                      <w:sz w:val="21"/>
                      <w:szCs w:val="21"/>
                      <w:lang w:val="en-US" w:eastAsia="zh-CN" w:bidi="ar"/>
                    </w:rPr>
                    <w:t>管控类别</w:t>
                  </w:r>
                </w:p>
              </w:tc>
              <w:tc>
                <w:tcPr>
                  <w:tcW w:w="2660" w:type="dxa"/>
                  <w:gridSpan w:val="2"/>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Autospacing="0" w:line="240" w:lineRule="auto"/>
                    <w:ind w:left="0" w:right="0" w:firstLine="0" w:firstLineChars="0"/>
                    <w:jc w:val="center"/>
                    <w:textAlignment w:val="baseline"/>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snapToGrid/>
                      <w:color w:val="000000"/>
                      <w:kern w:val="0"/>
                      <w:sz w:val="21"/>
                      <w:szCs w:val="21"/>
                      <w:lang w:val="en-US" w:eastAsia="zh-CN" w:bidi="ar"/>
                    </w:rPr>
                    <w:t>单元特性管控要求</w:t>
                  </w:r>
                </w:p>
              </w:tc>
              <w:tc>
                <w:tcPr>
                  <w:tcW w:w="2425"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Autospacing="0" w:line="240" w:lineRule="auto"/>
                    <w:ind w:left="0" w:right="0" w:firstLine="0" w:firstLineChars="0"/>
                    <w:jc w:val="center"/>
                    <w:textAlignment w:val="baseline"/>
                    <w:rPr>
                      <w:rFonts w:hint="default" w:ascii="Times New Roman" w:hAnsi="Times New Roman" w:eastAsia="宋体" w:cs="Times New Roman"/>
                      <w:b/>
                      <w:bCs/>
                      <w:snapToGrid/>
                      <w:color w:val="000000"/>
                      <w:kern w:val="0"/>
                      <w:sz w:val="21"/>
                      <w:szCs w:val="21"/>
                      <w:lang w:val="en-US" w:eastAsia="zh-CN" w:bidi="ar"/>
                    </w:rPr>
                  </w:pPr>
                  <w:r>
                    <w:rPr>
                      <w:rFonts w:hint="default" w:ascii="Times New Roman" w:hAnsi="Times New Roman" w:eastAsia="宋体" w:cs="Times New Roman"/>
                      <w:b/>
                      <w:bCs/>
                      <w:snapToGrid/>
                      <w:color w:val="000000"/>
                      <w:kern w:val="0"/>
                      <w:sz w:val="21"/>
                      <w:szCs w:val="21"/>
                      <w:lang w:val="en-US" w:eastAsia="zh-CN" w:bidi="ar"/>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6" w:type="dxa"/>
                  <w:tcBorders>
                    <w:top w:val="nil"/>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ZH51110220001</w:t>
                  </w:r>
                </w:p>
              </w:tc>
              <w:tc>
                <w:tcPr>
                  <w:tcW w:w="449" w:type="dxa"/>
                  <w:tcBorders>
                    <w:top w:val="nil"/>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市中区中心城区</w:t>
                  </w:r>
                </w:p>
              </w:tc>
              <w:tc>
                <w:tcPr>
                  <w:tcW w:w="1933" w:type="dxa"/>
                  <w:gridSpan w:val="3"/>
                  <w:tcBorders>
                    <w:top w:val="nil"/>
                    <w:left w:val="nil"/>
                    <w:bottom w:val="single" w:color="auto" w:sz="4" w:space="0"/>
                    <w:right w:val="single" w:color="auto" w:sz="4" w:space="0"/>
                  </w:tcBorders>
                  <w:noWrap w:val="0"/>
                  <w:vAlign w:val="top"/>
                </w:tcPr>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空间布局约束：</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禁止开发建设活动的要求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（1）原则上禁止新建生产性企业，经论证与周边环境相容的涉及民生的工业企业除外；</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 xml:space="preserve">（2）禁止在长江干支流岸线1公里范围内新建、扩建化工园区和化工项目；禁止在长江重要支流岸线一公里范围内新建、改建、扩建尾矿库（以提升安全、生态环境保护水平为目的的改建除外）； </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（3）禁止在居民区、学校、医疗和养老机构等周边新建有色金属冶炼、焦化、化工、铅蓄电池制造等行业企业。严禁在人口聚集区新建涉及重金属排放的项目；</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（4）禁止在长江流域禁止采砂区和禁止采砂期从事采砂活动。</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限制开发建设活动的要求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（1）现有工业企业（涉及民生的除外）限制发展，允许以提升安全、生态环境保护水平为目的的改建，引导企业搬入产业对口园区；</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（2）严格控制在城镇空间范围内新布设工业园区。若新布局工业园区，应符合乐山市国土空间规划，并结合区域环境特点、三线成果、园区产业类别，充分论证选址的环境合理性；</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（3）长江流域河道采砂应当依法取得国务院水行政主管部门有关流域管理机构或者县级以上地方人民政府水行政主管部门的许可。严格控制采砂区域、采砂总量和采砂区域内的采砂船舶数量。</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不符合空间布局要求活动的退出要求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（1）长江主要支流重点管控岸线：按照长江干线非法码头治理标准和生态保护红线管控等要求，持续开展长江主要支流非法码头整治；</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（2）加快城市建成区重污染企业搬迁改造或关闭退出，推动实施一批重污染企业搬迁工程；大气污染防治重点区域城市钢铁企业要切实采取彻底关停、转型发展、就地改造、域外搬迁等方式转型升级；</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（3）长江干流及主要支流岸线延伸至陆域200米范围内基本消除畜禽养殖场（小区）。</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其他空间布局约束要求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（1）长江干流及主要支流重点管控岸线：加强滨水岸线管控，以生态保护为主基调，加快推进生态修复工作进程；</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（2）加大交通运输结构优化调整力度，推动“公转铁”“公转水”和多式联运，推广节能和新能源车辆。</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污染物排放管控：</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允许排放量要求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（1）上一年度水环境质量未完成目标的，新建排放水污染的建设项目按照总量管控要求进行倍量削减替代；</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（2）对新建排放二氧化硫、氮氧化物、工业烟粉尘和挥发性有机物的项目实施现役源2倍削减替代；</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（3）岷江干流及其支流执行总磷排放减量置换；</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（4）水质超标的水功能区，应当实施更严格的污染物排放总量削减要求。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现有源提标升级改造</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（1）现有及新建处理规模大于1000吨日的城镇生活污水处理厂执行《四川省岷江、沱江流域水污染物排放标准》（DB51 2311-2016）；</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（2）市中区、五通桥区、沙湾区、犍为县、井研县、峨眉山市、夹江县属大气污染重点区域，执行大气污染物排放特别限值和特别管控要求；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（3）全市燃煤锅炉稳定达到超低排放限值要求，烟粉尘低于10毫克立方米，二氧化硫低于35毫克立方米，氮氧化物低于50毫克立方米。</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其他污染物排放管控要求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（1）到2030年，城市污水处理率达到100%；</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（2）加快城市污水处理厂提标改造，推进人工湿地等深度处理设施配套建设，进一步降低人口密集区污染入河负荷；</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3）严格执行《关于实施第六阶段机动车排放标准的通告》、《四川省机动车和非道路移动机械排气污染防治办法》。加快淘汰老旧车辆。严禁排放不达标车辆跨区域转移，鼓励、引导老旧车等高排放车辆提前报废更新。开展非道路移动机械污染整治。推进不达标工程机械清洁化改造和淘汰；</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4）深化扬尘污染治理。建筑施工工地全部做到工地周边围挡、物料堆放覆盖、土方开挖湿法作业、路面硬化、出入车辆清洗、渣土车辆密闭运输“六个百分之百”。施工场地全部安装高空作业雾炮和围挡喷淋装置、在线监测和视频监控设备，监测数据与市、县主管部门联网。严格堆场规范化全封闭管理；</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5）强化挥发性有机物整治。全面淘汰开启式干洗机；推广使用符合环保要求的建筑涂料、油墨、木器涂料、胶黏剂等产品；全面推广汽修行业使用低挥发性涂料，采用高效涂装工艺，完善有机废气收集和处理系统，取缔露天和敞开式汽修喷涂作业；全面推进储油库、油罐车、加油站油气回收改造，回收率提高到80%以上；开展餐饮、食堂、露天烧烤专项整治；</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（6）到2023年底，市级城市污泥无害化处置率达92%、县级城市达85%。到2030年，城市生活垃圾无害化处置率达100%，工业固体废弃物综合利用率达100%，危废处理率100%。</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环境风险防控：</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联防联控要求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暂无</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其他环境风险防控要求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（1）现有涉及五类重金属的企业，严控污染物排放，限时整治或搬迁；</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2）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应按相关要求进行土壤环境状况调查评估，符合相应规划用地土壤环境质量要求的地块，方可进入用地程序。</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资源开发利用效率要求：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水资源利用总量要求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1）城镇园林绿化、河湖景观、环境卫生、消防等市政用水应当优先使用再生水、雨水等非常规水源。鼓励园林绿化采用喷灌、微灌等高效节水灌溉方式。洗浴、洗车、游泳场馆等场所应当采用低耗水、循环用水等节水技术、设备和设施。餐饮、娱乐、宾馆等服务型企业应当优先采用节水型器具和设备，逐步淘汰耗水量高的用水器具和设备；</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（2）鼓励生活污水再生利用设施建设、鼓励经处理符合使用条件的生活污水用于城市杂用、工业生产、景观用水、河道补水等方面，提高生活污水再生利用效率。</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地下水开采要求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暂无</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能源利用总量及效率要求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（1）依据大气污染治理和环境改善的目标，强化区域能源结构优化调整，科学合理地进行分阶段、分区域禁煤；</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（2）实施煤炭消费总量控制：严格控制煤炭消费总量；严格控制新建、改建、扩建耗煤项目，新增耗煤项目实行当年煤炭消耗减量倍量替代。</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禁燃区要求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（1）禁燃区禁止审批（核准、备案）、新建、扩建燃用高污染燃料的锅炉、炉窑等各类燃用高污染燃料的设施；</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（2）禁止在高污染燃料禁燃区销售、燃用各类高污染燃料。</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其他资源利用效率要求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暂无</w:t>
                  </w: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空间布局约束</w:t>
                  </w:r>
                </w:p>
              </w:tc>
              <w:tc>
                <w:tcPr>
                  <w:tcW w:w="2234"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禁止开发建设活动的要求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1、禁止在城镇用地布局规划确定的公共绿地、生态廊道内进行规模化建设开发，只允许必要的公共性园林式景观点状服务休闲设施建设；2、其他执行乐山市城镇重点管控单元普适性总体准入要求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限制开发建设活动的要求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1、西进南拓、中心提升、优化西南、控制东部、完善北部；2、其他执行乐山市城镇重点管控单元普适性总体准入要求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允许开发建设活动的要求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不符合空间布局要求活动的退出要求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1、单元内既有合法手续的、且污染物排放和环境风险满足管控要求的企业可继续保留，不得新增污染物排放，并进一步加强监管；否则限期进行整改，整改后任不能达到要求的，属地政府责令关停退出；2、其他执行乐山市城镇重点管控单元普适性总体准入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其他空间布局约束要求</w:t>
                  </w:r>
                </w:p>
              </w:tc>
              <w:tc>
                <w:tcPr>
                  <w:tcW w:w="2425" w:type="dxa"/>
                  <w:tcBorders>
                    <w:top w:val="single" w:color="auto" w:sz="4" w:space="0"/>
                    <w:left w:val="nil"/>
                    <w:bottom w:val="single" w:color="auto" w:sz="4" w:space="0"/>
                    <w:right w:val="single" w:color="auto" w:sz="4" w:space="0"/>
                  </w:tcBorders>
                  <w:noWrap w:val="0"/>
                  <w:vAlign w:val="center"/>
                </w:tcPr>
                <w:p>
                  <w:pPr>
                    <w:spacing w:before="65" w:line="251" w:lineRule="auto"/>
                    <w:ind w:left="118" w:right="101" w:firstLine="1"/>
                    <w:rPr>
                      <w:rStyle w:val="252"/>
                      <w:rFonts w:hint="default" w:ascii="Times New Roman" w:hAnsi="Times New Roman" w:eastAsia="宋体" w:cs="Times New Roman"/>
                      <w:color w:val="000000"/>
                      <w:kern w:val="2"/>
                      <w:sz w:val="21"/>
                      <w:szCs w:val="21"/>
                      <w:shd w:val="clear" w:color="auto" w:fill="FFFFFF"/>
                      <w:lang w:val="en-US" w:eastAsia="zh-CN" w:bidi="ar"/>
                    </w:rPr>
                  </w:pPr>
                  <w:r>
                    <w:rPr>
                      <w:rFonts w:hint="default" w:ascii="Times New Roman" w:hAnsi="Times New Roman" w:eastAsia="宋体" w:cs="Times New Roman"/>
                      <w:spacing w:val="4"/>
                      <w:sz w:val="20"/>
                      <w:szCs w:val="20"/>
                      <w:lang w:val="en-US" w:eastAsia="zh-CN"/>
                    </w:rPr>
                    <w:t>符合。</w:t>
                  </w:r>
                  <w:r>
                    <w:rPr>
                      <w:rFonts w:hint="default" w:ascii="Times New Roman" w:hAnsi="Times New Roman" w:eastAsia="宋体" w:cs="Times New Roman"/>
                      <w:spacing w:val="4"/>
                      <w:sz w:val="20"/>
                      <w:szCs w:val="20"/>
                    </w:rPr>
                    <w:t>本项</w:t>
                  </w:r>
                  <w:r>
                    <w:rPr>
                      <w:rFonts w:hint="default" w:ascii="Times New Roman" w:hAnsi="Times New Roman" w:eastAsia="宋体" w:cs="Times New Roman"/>
                      <w:spacing w:val="5"/>
                      <w:sz w:val="20"/>
                      <w:szCs w:val="20"/>
                    </w:rPr>
                    <w:t>目为河道</w:t>
                  </w:r>
                  <w:r>
                    <w:rPr>
                      <w:rFonts w:hint="default" w:ascii="Times New Roman" w:hAnsi="Times New Roman" w:eastAsia="宋体" w:cs="Times New Roman"/>
                      <w:sz w:val="20"/>
                      <w:szCs w:val="20"/>
                    </w:rPr>
                    <w:t xml:space="preserve"> </w:t>
                  </w:r>
                  <w:r>
                    <w:rPr>
                      <w:rFonts w:hint="default" w:ascii="Times New Roman" w:hAnsi="Times New Roman" w:eastAsia="宋体" w:cs="Times New Roman"/>
                      <w:sz w:val="20"/>
                      <w:szCs w:val="20"/>
                      <w:lang w:val="en-US" w:eastAsia="zh-CN"/>
                    </w:rPr>
                    <w:t>综合</w:t>
                  </w:r>
                  <w:r>
                    <w:rPr>
                      <w:rFonts w:hint="default" w:ascii="Times New Roman" w:hAnsi="Times New Roman" w:eastAsia="宋体" w:cs="Times New Roman"/>
                      <w:spacing w:val="5"/>
                      <w:sz w:val="20"/>
                      <w:szCs w:val="20"/>
                    </w:rPr>
                    <w:t>整治工程项目，</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5"/>
                      <w:sz w:val="20"/>
                      <w:szCs w:val="20"/>
                    </w:rPr>
                    <w:t>是生态类</w:t>
                  </w:r>
                  <w:r>
                    <w:rPr>
                      <w:rFonts w:hint="default" w:ascii="Times New Roman" w:hAnsi="Times New Roman" w:eastAsia="宋体" w:cs="Times New Roman"/>
                      <w:spacing w:val="-3"/>
                      <w:sz w:val="20"/>
                      <w:szCs w:val="20"/>
                    </w:rPr>
                    <w:t>项</w:t>
                  </w:r>
                  <w:r>
                    <w:rPr>
                      <w:rFonts w:hint="default" w:ascii="Times New Roman" w:hAnsi="Times New Roman" w:eastAsia="宋体" w:cs="Times New Roman"/>
                      <w:spacing w:val="5"/>
                      <w:sz w:val="20"/>
                      <w:szCs w:val="20"/>
                    </w:rPr>
                    <w:t>目，施工期采取措施后能够达标</w:t>
                  </w:r>
                  <w:r>
                    <w:rPr>
                      <w:rFonts w:hint="default" w:ascii="Times New Roman" w:hAnsi="Times New Roman" w:eastAsia="宋体" w:cs="Times New Roman"/>
                      <w:sz w:val="20"/>
                      <w:szCs w:val="20"/>
                    </w:rPr>
                    <w:t>排</w:t>
                  </w:r>
                  <w:r>
                    <w:rPr>
                      <w:rFonts w:hint="default" w:ascii="Times New Roman" w:hAnsi="Times New Roman" w:eastAsia="宋体" w:cs="Times New Roman"/>
                      <w:spacing w:val="5"/>
                      <w:sz w:val="20"/>
                      <w:szCs w:val="20"/>
                    </w:rPr>
                    <w:t>放</w:t>
                  </w:r>
                  <w:r>
                    <w:rPr>
                      <w:rFonts w:hint="default" w:ascii="Times New Roman" w:hAnsi="Times New Roman" w:eastAsia="宋体" w:cs="Times New Roman"/>
                      <w:spacing w:val="4"/>
                      <w:sz w:val="20"/>
                      <w:szCs w:val="20"/>
                    </w:rPr>
                    <w:t>，</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5"/>
                      <w:sz w:val="20"/>
                      <w:szCs w:val="20"/>
                    </w:rPr>
                    <w:t>营</w:t>
                  </w:r>
                  <w:r>
                    <w:rPr>
                      <w:rFonts w:hint="default" w:ascii="Times New Roman" w:hAnsi="Times New Roman" w:eastAsia="宋体" w:cs="Times New Roman"/>
                      <w:spacing w:val="4"/>
                      <w:sz w:val="20"/>
                      <w:szCs w:val="20"/>
                    </w:rPr>
                    <w:t>运</w:t>
                  </w:r>
                  <w:r>
                    <w:rPr>
                      <w:rFonts w:hint="default" w:ascii="Times New Roman" w:hAnsi="Times New Roman" w:eastAsia="宋体" w:cs="Times New Roman"/>
                      <w:spacing w:val="5"/>
                      <w:sz w:val="20"/>
                      <w:szCs w:val="20"/>
                    </w:rPr>
                    <w:t>期</w:t>
                  </w:r>
                  <w:r>
                    <w:rPr>
                      <w:rFonts w:hint="default" w:ascii="Times New Roman" w:hAnsi="Times New Roman" w:eastAsia="宋体" w:cs="Times New Roman"/>
                      <w:spacing w:val="4"/>
                      <w:sz w:val="20"/>
                      <w:szCs w:val="20"/>
                    </w:rPr>
                    <w:t>无</w:t>
                  </w:r>
                  <w:r>
                    <w:rPr>
                      <w:rFonts w:hint="default" w:ascii="Times New Roman" w:hAnsi="Times New Roman" w:eastAsia="宋体" w:cs="Times New Roman"/>
                      <w:spacing w:val="5"/>
                      <w:sz w:val="20"/>
                      <w:szCs w:val="20"/>
                    </w:rPr>
                    <w:t>污</w:t>
                  </w:r>
                  <w:r>
                    <w:rPr>
                      <w:rFonts w:hint="default" w:ascii="Times New Roman" w:hAnsi="Times New Roman" w:eastAsia="宋体" w:cs="Times New Roman"/>
                      <w:spacing w:val="4"/>
                      <w:sz w:val="20"/>
                      <w:szCs w:val="20"/>
                    </w:rPr>
                    <w:t>染</w:t>
                  </w:r>
                  <w:r>
                    <w:rPr>
                      <w:rFonts w:hint="default" w:ascii="Times New Roman" w:hAnsi="Times New Roman" w:eastAsia="宋体" w:cs="Times New Roman"/>
                      <w:sz w:val="20"/>
                      <w:szCs w:val="20"/>
                    </w:rPr>
                    <w:t>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vMerge w:val="restart"/>
                  <w:tcBorders>
                    <w:top w:val="nil"/>
                    <w:left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874" w:type="dxa"/>
                  <w:vMerge w:val="restart"/>
                  <w:tcBorders>
                    <w:top w:val="nil"/>
                    <w:left w:val="nil"/>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1059" w:type="dxa"/>
                  <w:gridSpan w:val="2"/>
                  <w:vMerge w:val="restart"/>
                  <w:tcBorders>
                    <w:top w:val="nil"/>
                    <w:left w:val="nil"/>
                    <w:right w:val="single" w:color="auto" w:sz="4" w:space="0"/>
                  </w:tcBorders>
                  <w:noWrap w:val="0"/>
                  <w:vAlign w:val="top"/>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污染物排放管控</w:t>
                  </w:r>
                </w:p>
              </w:tc>
              <w:tc>
                <w:tcPr>
                  <w:tcW w:w="2234"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现有源提标升级改造</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执行乐山市城镇重点管控单元普适性总体准入要求。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新增源等量或倍量替代</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执行乐山市城镇重点管控单元普适性总体准入要求。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新增源排放标准限值</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污染物排放绩效水平准入要求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执行乐山市城镇重点管控单元普适性总体准入要求。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其他污染物排放管控要求</w:t>
                  </w:r>
                </w:p>
              </w:tc>
              <w:tc>
                <w:tcPr>
                  <w:tcW w:w="2425"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Style w:val="252"/>
                      <w:rFonts w:hint="default" w:ascii="Times New Roman" w:hAnsi="Times New Roman" w:eastAsia="宋体" w:cs="Times New Roman"/>
                      <w:color w:val="000000"/>
                      <w:kern w:val="2"/>
                      <w:sz w:val="21"/>
                      <w:szCs w:val="21"/>
                      <w:shd w:val="clear" w:color="auto" w:fill="FFFFFF"/>
                      <w:lang w:val="en-US" w:eastAsia="zh-CN" w:bidi="ar"/>
                    </w:rPr>
                  </w:pPr>
                  <w:r>
                    <w:rPr>
                      <w:rStyle w:val="252"/>
                      <w:rFonts w:hint="default" w:ascii="Times New Roman" w:hAnsi="Times New Roman" w:eastAsia="宋体" w:cs="Times New Roman"/>
                      <w:color w:val="000000"/>
                      <w:kern w:val="2"/>
                      <w:sz w:val="21"/>
                      <w:szCs w:val="21"/>
                      <w:shd w:val="clear" w:color="auto" w:fill="FFFFFF"/>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874" w:type="dxa"/>
                  <w:vMerge w:val="continue"/>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1059" w:type="dxa"/>
                  <w:gridSpan w:val="2"/>
                  <w:vMerge w:val="continue"/>
                  <w:tcBorders>
                    <w:top w:val="nil"/>
                    <w:left w:val="nil"/>
                    <w:bottom w:val="single" w:color="auto" w:sz="4" w:space="0"/>
                    <w:right w:val="single" w:color="auto" w:sz="4" w:space="0"/>
                  </w:tcBorders>
                  <w:noWrap w:val="0"/>
                  <w:vAlign w:val="top"/>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环境风险防控</w:t>
                  </w:r>
                </w:p>
              </w:tc>
              <w:tc>
                <w:tcPr>
                  <w:tcW w:w="2234"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严格管控类农用地管控要求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安全利用类农用地管控要求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污染地块管控要求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园区环境风险防控要求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企业环境风险防控要求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1、加强涉危涉化企业管控，严控环境风险；2、其他执行乐山市城镇重点管控单元普适性总体准入要求。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其他环境风险防控要求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执行乐山市城镇重点管控单元普适性总体准入要求。</w:t>
                  </w:r>
                </w:p>
              </w:tc>
              <w:tc>
                <w:tcPr>
                  <w:tcW w:w="2425"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Style w:val="252"/>
                      <w:rFonts w:hint="default" w:ascii="Times New Roman" w:hAnsi="Times New Roman" w:eastAsia="宋体" w:cs="Times New Roman"/>
                      <w:color w:val="000000"/>
                      <w:kern w:val="2"/>
                      <w:sz w:val="21"/>
                      <w:szCs w:val="21"/>
                      <w:shd w:val="clear" w:color="auto" w:fill="FFFFFF"/>
                      <w:lang w:val="en-US" w:eastAsia="zh-CN" w:bidi="ar"/>
                    </w:rPr>
                  </w:pPr>
                  <w:r>
                    <w:rPr>
                      <w:rStyle w:val="252"/>
                      <w:rFonts w:hint="default" w:ascii="Times New Roman" w:hAnsi="Times New Roman" w:eastAsia="宋体" w:cs="Times New Roman"/>
                      <w:color w:val="000000"/>
                      <w:kern w:val="2"/>
                      <w:sz w:val="21"/>
                      <w:szCs w:val="21"/>
                      <w:shd w:val="clear" w:color="auto" w:fill="FFFFFF"/>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874" w:type="dxa"/>
                  <w:vMerge w:val="continue"/>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1059" w:type="dxa"/>
                  <w:gridSpan w:val="2"/>
                  <w:vMerge w:val="continue"/>
                  <w:tcBorders>
                    <w:top w:val="nil"/>
                    <w:left w:val="nil"/>
                    <w:bottom w:val="single" w:color="auto" w:sz="4" w:space="0"/>
                    <w:right w:val="single" w:color="auto" w:sz="4" w:space="0"/>
                  </w:tcBorders>
                  <w:noWrap w:val="0"/>
                  <w:vAlign w:val="top"/>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资源开发效率要求</w:t>
                  </w:r>
                </w:p>
              </w:tc>
              <w:tc>
                <w:tcPr>
                  <w:tcW w:w="2234"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水资源利用效率要求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执行乐山市城镇重点管控单元普适性总体准入要求。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地下水开采要求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能源利用效率要求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1、禁燃区内禁止审批（核准、备案）、新建、扩建燃用高污染燃料的锅炉、炉窑等各类燃用高污染燃料的设施；2、其他执行乐山市城镇重点管控单元普适性总体准入要求。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其他资源利用效率要求</w:t>
                  </w:r>
                </w:p>
              </w:tc>
              <w:tc>
                <w:tcPr>
                  <w:tcW w:w="2425"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Style w:val="252"/>
                      <w:rFonts w:hint="default" w:ascii="Times New Roman" w:hAnsi="Times New Roman" w:eastAsia="宋体" w:cs="Times New Roman"/>
                      <w:color w:val="000000"/>
                      <w:kern w:val="2"/>
                      <w:sz w:val="21"/>
                      <w:szCs w:val="21"/>
                      <w:shd w:val="clear" w:color="auto" w:fill="FFFFFF"/>
                      <w:lang w:val="en-US" w:eastAsia="zh-CN" w:bidi="ar"/>
                    </w:rPr>
                  </w:pPr>
                  <w:r>
                    <w:rPr>
                      <w:rStyle w:val="252"/>
                      <w:rFonts w:hint="default" w:ascii="Times New Roman" w:hAnsi="Times New Roman" w:eastAsia="宋体" w:cs="Times New Roman"/>
                      <w:color w:val="000000"/>
                      <w:kern w:val="2"/>
                      <w:sz w:val="21"/>
                      <w:szCs w:val="21"/>
                      <w:shd w:val="clear" w:color="auto" w:fill="FFFFFF"/>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vMerge w:val="restart"/>
                  <w:tcBorders>
                    <w:top w:val="nil"/>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YS5111022220012</w:t>
                  </w:r>
                </w:p>
              </w:tc>
              <w:tc>
                <w:tcPr>
                  <w:tcW w:w="874" w:type="dxa"/>
                  <w:vMerge w:val="restart"/>
                  <w:tcBorders>
                    <w:top w:val="nil"/>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大渡河市中区李码头控制单元</w:t>
                  </w:r>
                </w:p>
              </w:tc>
              <w:tc>
                <w:tcPr>
                  <w:tcW w:w="1059" w:type="dxa"/>
                  <w:gridSpan w:val="2"/>
                  <w:vMerge w:val="restart"/>
                  <w:tcBorders>
                    <w:top w:val="nil"/>
                    <w:left w:val="nil"/>
                    <w:bottom w:val="single" w:color="auto" w:sz="4" w:space="0"/>
                    <w:right w:val="single" w:color="auto" w:sz="4" w:space="0"/>
                  </w:tcBorders>
                  <w:noWrap w:val="0"/>
                  <w:vAlign w:val="top"/>
                </w:tcPr>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空间布局约束：</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禁止开发建设活动的要求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暂无</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限制开发建设活动的要求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暂无</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不符合空间布局要求活动的退出要求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暂无</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其他空间布局约束要求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暂无</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污染物排放管控：</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允许排放量要求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暂无</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现有源提标升级改造</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暂无</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其他污染物排放管控要求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暂无</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环境风险防控：</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联防联控要求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暂无</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其他环境风险防控要求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暂无</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资源开发利用效率要求：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水资源利用总量要求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暂无</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地下水开采要求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暂无</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能源利用总量及效率要求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暂无</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禁燃区要求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暂无</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其他资源利用效率要求</w:t>
                  </w:r>
                </w:p>
                <w:p>
                  <w:pPr>
                    <w:pStyle w:val="34"/>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0"/>
                      <w:sz w:val="21"/>
                      <w:szCs w:val="21"/>
                    </w:rPr>
                  </w:pPr>
                  <w:r>
                    <w:rPr>
                      <w:rStyle w:val="252"/>
                      <w:rFonts w:hint="default" w:ascii="Times New Roman" w:hAnsi="Times New Roman" w:eastAsia="宋体" w:cs="Times New Roman"/>
                      <w:color w:val="000000"/>
                      <w:kern w:val="0"/>
                      <w:sz w:val="21"/>
                      <w:szCs w:val="21"/>
                      <w:lang w:val="en-US" w:eastAsia="zh-CN" w:bidi="ar"/>
                    </w:rPr>
                    <w:t>暂无</w:t>
                  </w: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空间布局约束</w:t>
                  </w:r>
                </w:p>
              </w:tc>
              <w:tc>
                <w:tcPr>
                  <w:tcW w:w="2234"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禁止开发建设活动的要求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限制开发建设活动的要求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允许开发建设活动的要求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不符合空间布局要求活动的退出要求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其他空间布局约束要求</w:t>
                  </w:r>
                </w:p>
              </w:tc>
              <w:tc>
                <w:tcPr>
                  <w:tcW w:w="2425"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Style w:val="252"/>
                      <w:rFonts w:hint="default" w:ascii="Times New Roman" w:hAnsi="Times New Roman" w:eastAsia="宋体" w:cs="Times New Roman"/>
                      <w:color w:val="000000"/>
                      <w:kern w:val="2"/>
                      <w:sz w:val="21"/>
                      <w:szCs w:val="21"/>
                      <w:shd w:val="clear" w:color="auto" w:fill="FFFFFF"/>
                      <w:lang w:val="en-US" w:eastAsia="zh-CN" w:bidi="ar"/>
                    </w:rPr>
                  </w:pPr>
                  <w:r>
                    <w:rPr>
                      <w:rStyle w:val="252"/>
                      <w:rFonts w:hint="default" w:ascii="Times New Roman" w:hAnsi="Times New Roman" w:eastAsia="宋体" w:cs="Times New Roman"/>
                      <w:color w:val="000000"/>
                      <w:kern w:val="2"/>
                      <w:sz w:val="21"/>
                      <w:szCs w:val="21"/>
                      <w:shd w:val="clear" w:color="auto" w:fill="FFFFFF"/>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874" w:type="dxa"/>
                  <w:vMerge w:val="continue"/>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1059" w:type="dxa"/>
                  <w:gridSpan w:val="2"/>
                  <w:vMerge w:val="continue"/>
                  <w:tcBorders>
                    <w:top w:val="nil"/>
                    <w:left w:val="nil"/>
                    <w:bottom w:val="single" w:color="auto" w:sz="4" w:space="0"/>
                    <w:right w:val="single" w:color="auto" w:sz="4" w:space="0"/>
                  </w:tcBorders>
                  <w:noWrap w:val="0"/>
                  <w:vAlign w:val="top"/>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污染物排放管控</w:t>
                  </w:r>
                </w:p>
              </w:tc>
              <w:tc>
                <w:tcPr>
                  <w:tcW w:w="2234"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城镇污水污染控制措施要求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强化生活污水治理。目前乐山市城镇生活污水处理设施基本实现了全覆盖，需进一步加强配套收集管网工程建设，逐步提高城镇生活污水收集能力，确保已建成的城镇生活污水处理设施正常运营。推进城镇生活污水处理提质增效，健全乐山市市政排水管网定期排查检测制度，建立完善市政排水管网地理信息系统，因地制宜开展合流制排水系统雨污分流改造。强化生活垃圾收集处理，推广生活垃圾分类收集处理，从源头减少处理处置量。</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工业废水污染控制措施要求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农业面源水污染控制措施要求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船舶港口水污染控制措施要求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饮用水水源和其它特殊水体保护要求</w:t>
                  </w:r>
                </w:p>
              </w:tc>
              <w:tc>
                <w:tcPr>
                  <w:tcW w:w="2425"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Style w:val="252"/>
                      <w:rFonts w:hint="default" w:ascii="Times New Roman" w:hAnsi="Times New Roman" w:eastAsia="宋体" w:cs="Times New Roman"/>
                      <w:color w:val="000000"/>
                      <w:kern w:val="2"/>
                      <w:sz w:val="21"/>
                      <w:szCs w:val="21"/>
                      <w:shd w:val="clear" w:color="auto" w:fill="FFFFFF"/>
                      <w:lang w:val="en-US" w:eastAsia="zh-CN" w:bidi="ar"/>
                    </w:rPr>
                  </w:pPr>
                  <w:r>
                    <w:rPr>
                      <w:rStyle w:val="252"/>
                      <w:rFonts w:hint="default" w:ascii="Times New Roman" w:hAnsi="Times New Roman" w:eastAsia="宋体" w:cs="Times New Roman"/>
                      <w:color w:val="000000"/>
                      <w:kern w:val="2"/>
                      <w:sz w:val="21"/>
                      <w:szCs w:val="21"/>
                      <w:shd w:val="clear" w:color="auto" w:fill="FFFFFF"/>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874" w:type="dxa"/>
                  <w:vMerge w:val="continue"/>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1059" w:type="dxa"/>
                  <w:gridSpan w:val="2"/>
                  <w:vMerge w:val="continue"/>
                  <w:tcBorders>
                    <w:top w:val="nil"/>
                    <w:left w:val="nil"/>
                    <w:bottom w:val="single" w:color="auto" w:sz="4" w:space="0"/>
                    <w:right w:val="single" w:color="auto" w:sz="4" w:space="0"/>
                  </w:tcBorders>
                  <w:noWrap w:val="0"/>
                  <w:vAlign w:val="top"/>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环境风险防控</w:t>
                  </w:r>
                </w:p>
              </w:tc>
              <w:tc>
                <w:tcPr>
                  <w:tcW w:w="2234" w:type="dxa"/>
                  <w:vMerge w:val="restart"/>
                  <w:tcBorders>
                    <w:top w:val="nil"/>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w:t>
                  </w:r>
                </w:p>
              </w:tc>
              <w:tc>
                <w:tcPr>
                  <w:tcW w:w="2425" w:type="dxa"/>
                  <w:tcBorders>
                    <w:top w:val="nil"/>
                    <w:left w:val="nil"/>
                    <w:bottom w:val="single" w:color="auto" w:sz="4" w:space="0"/>
                    <w:right w:val="single" w:color="auto" w:sz="4" w:space="0"/>
                  </w:tcBorders>
                  <w:noWrap w:val="0"/>
                  <w:vAlign w:val="center"/>
                </w:tcPr>
                <w:p>
                  <w:pPr>
                    <w:spacing w:before="65" w:line="228" w:lineRule="auto"/>
                    <w:ind w:left="119"/>
                    <w:rPr>
                      <w:rStyle w:val="252"/>
                      <w:rFonts w:hint="default" w:ascii="Times New Roman" w:hAnsi="Times New Roman" w:eastAsia="宋体" w:cs="Times New Roman"/>
                      <w:color w:val="000000"/>
                      <w:kern w:val="2"/>
                      <w:sz w:val="21"/>
                      <w:szCs w:val="21"/>
                      <w:shd w:val="clear" w:color="auto" w:fill="FFFFFF"/>
                      <w:lang w:val="en-US" w:eastAsia="zh-CN" w:bidi="ar"/>
                    </w:rPr>
                  </w:pPr>
                  <w:r>
                    <w:rPr>
                      <w:rStyle w:val="252"/>
                      <w:rFonts w:hint="default" w:ascii="Times New Roman" w:hAnsi="Times New Roman" w:eastAsia="宋体" w:cs="Times New Roman"/>
                      <w:color w:val="000000"/>
                      <w:kern w:val="2"/>
                      <w:sz w:val="21"/>
                      <w:szCs w:val="21"/>
                      <w:shd w:val="clear" w:color="auto" w:fill="FFFFFF"/>
                      <w:lang w:val="en-US" w:eastAsia="zh-CN" w:bidi="ar"/>
                    </w:rPr>
                    <w:t>符合。</w:t>
                  </w:r>
                  <w:r>
                    <w:rPr>
                      <w:rFonts w:hint="default" w:ascii="Times New Roman" w:hAnsi="Times New Roman" w:eastAsia="宋体" w:cs="Times New Roman"/>
                      <w:spacing w:val="4"/>
                      <w:sz w:val="20"/>
                      <w:szCs w:val="20"/>
                    </w:rPr>
                    <w:t>本项</w:t>
                  </w:r>
                  <w:r>
                    <w:rPr>
                      <w:rFonts w:hint="default" w:ascii="Times New Roman" w:hAnsi="Times New Roman" w:eastAsia="宋体" w:cs="Times New Roman"/>
                      <w:spacing w:val="-16"/>
                      <w:sz w:val="20"/>
                      <w:szCs w:val="20"/>
                    </w:rPr>
                    <w:t>目</w:t>
                  </w:r>
                  <w:r>
                    <w:rPr>
                      <w:rFonts w:hint="default" w:ascii="Times New Roman" w:hAnsi="Times New Roman" w:eastAsia="宋体" w:cs="Times New Roman"/>
                      <w:spacing w:val="-15"/>
                      <w:sz w:val="20"/>
                      <w:szCs w:val="20"/>
                    </w:rPr>
                    <w:t>不</w:t>
                  </w:r>
                  <w:r>
                    <w:rPr>
                      <w:rFonts w:hint="default" w:ascii="Times New Roman" w:hAnsi="Times New Roman" w:eastAsia="宋体" w:cs="Times New Roman"/>
                      <w:spacing w:val="4"/>
                      <w:sz w:val="20"/>
                      <w:szCs w:val="20"/>
                    </w:rPr>
                    <w:t>涉</w:t>
                  </w:r>
                  <w:r>
                    <w:rPr>
                      <w:rFonts w:hint="default" w:ascii="Times New Roman" w:hAnsi="Times New Roman" w:eastAsia="宋体" w:cs="Times New Roman"/>
                      <w:spacing w:val="3"/>
                      <w:sz w:val="20"/>
                      <w:szCs w:val="20"/>
                    </w:rPr>
                    <w:t>及</w:t>
                  </w:r>
                  <w:r>
                    <w:rPr>
                      <w:rFonts w:hint="default" w:ascii="Times New Roman" w:hAnsi="Times New Roman" w:eastAsia="宋体" w:cs="Times New Roman"/>
                      <w:spacing w:val="4"/>
                      <w:sz w:val="20"/>
                      <w:szCs w:val="20"/>
                    </w:rPr>
                    <w:t>重大风险</w:t>
                  </w:r>
                  <w:r>
                    <w:rPr>
                      <w:rFonts w:hint="default" w:ascii="Times New Roman" w:hAnsi="Times New Roman" w:eastAsia="宋体" w:cs="Times New Roman"/>
                      <w:spacing w:val="1"/>
                      <w:sz w:val="20"/>
                      <w:szCs w:val="20"/>
                    </w:rPr>
                    <w:t>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874" w:type="dxa"/>
                  <w:vMerge w:val="continue"/>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1059" w:type="dxa"/>
                  <w:gridSpan w:val="2"/>
                  <w:vMerge w:val="continue"/>
                  <w:tcBorders>
                    <w:top w:val="nil"/>
                    <w:left w:val="nil"/>
                    <w:bottom w:val="single" w:color="auto" w:sz="4" w:space="0"/>
                    <w:right w:val="single" w:color="auto" w:sz="4" w:space="0"/>
                  </w:tcBorders>
                  <w:noWrap w:val="0"/>
                  <w:vAlign w:val="top"/>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资源开发效率要求</w:t>
                  </w:r>
                </w:p>
              </w:tc>
              <w:tc>
                <w:tcPr>
                  <w:tcW w:w="2234" w:type="dxa"/>
                  <w:vMerge w:val="continue"/>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2425" w:type="dxa"/>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vMerge w:val="restart"/>
                  <w:tcBorders>
                    <w:top w:val="nil"/>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YS5111022340001</w:t>
                  </w:r>
                </w:p>
              </w:tc>
              <w:tc>
                <w:tcPr>
                  <w:tcW w:w="874" w:type="dxa"/>
                  <w:vMerge w:val="restart"/>
                  <w:tcBorders>
                    <w:top w:val="nil"/>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乐山市市中区大气环境受体敏感重点管控区</w:t>
                  </w:r>
                </w:p>
              </w:tc>
              <w:tc>
                <w:tcPr>
                  <w:tcW w:w="1059" w:type="dxa"/>
                  <w:gridSpan w:val="2"/>
                  <w:vMerge w:val="continue"/>
                  <w:tcBorders>
                    <w:top w:val="nil"/>
                    <w:left w:val="nil"/>
                    <w:bottom w:val="single" w:color="auto" w:sz="4" w:space="0"/>
                    <w:right w:val="single" w:color="auto" w:sz="4" w:space="0"/>
                  </w:tcBorders>
                  <w:noWrap w:val="0"/>
                  <w:vAlign w:val="top"/>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空间布局约束</w:t>
                  </w:r>
                </w:p>
              </w:tc>
              <w:tc>
                <w:tcPr>
                  <w:tcW w:w="2234"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禁止开发建设活动的要求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限制开发建设活动的要求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允许开发建设活动的要求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不符合空间布局要求活动的退出要求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其他空间布局约束要求</w:t>
                  </w:r>
                </w:p>
              </w:tc>
              <w:tc>
                <w:tcPr>
                  <w:tcW w:w="2425"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Style w:val="252"/>
                      <w:rFonts w:hint="default" w:ascii="Times New Roman" w:hAnsi="Times New Roman" w:eastAsia="宋体" w:cs="Times New Roman"/>
                      <w:color w:val="000000"/>
                      <w:kern w:val="2"/>
                      <w:sz w:val="21"/>
                      <w:szCs w:val="21"/>
                      <w:shd w:val="clear" w:color="auto" w:fill="FFFFFF"/>
                      <w:lang w:val="en-US" w:eastAsia="zh-CN" w:bidi="ar"/>
                    </w:rPr>
                  </w:pPr>
                  <w:r>
                    <w:rPr>
                      <w:rStyle w:val="252"/>
                      <w:rFonts w:hint="default" w:ascii="Times New Roman" w:hAnsi="Times New Roman" w:eastAsia="宋体" w:cs="Times New Roman"/>
                      <w:color w:val="000000"/>
                      <w:kern w:val="2"/>
                      <w:sz w:val="21"/>
                      <w:szCs w:val="21"/>
                      <w:shd w:val="clear" w:color="auto" w:fill="FFFFFF"/>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874" w:type="dxa"/>
                  <w:vMerge w:val="continue"/>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1059" w:type="dxa"/>
                  <w:gridSpan w:val="2"/>
                  <w:vMerge w:val="continue"/>
                  <w:tcBorders>
                    <w:top w:val="nil"/>
                    <w:left w:val="nil"/>
                    <w:bottom w:val="single" w:color="auto" w:sz="4" w:space="0"/>
                    <w:right w:val="single" w:color="auto" w:sz="4" w:space="0"/>
                  </w:tcBorders>
                  <w:noWrap w:val="0"/>
                  <w:vAlign w:val="top"/>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污染物排放管控</w:t>
                  </w:r>
                </w:p>
              </w:tc>
              <w:tc>
                <w:tcPr>
                  <w:tcW w:w="2234"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大气环境质量执行标准</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《环境空气质量标准》（GB3095-2012）：二级</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区域大气污染物削减/替代要求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新增大气污染物排放的建设项目实施总量削减替代。</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燃煤和其他能源大气污染控制要求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工业废气污染控制要求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机动车船大气污染控制要求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加强城市交通管理。优化城市功能和布局规划，调整城区路网结构。加快建立以快速路和组团间联系主干路为骨架、组团内道路为主体的快捷、安全、衔接合理的城市道路网，缓解城区交通压力。通过错峰上下班、调整停车费、智能交通管理和服务等手段，提高机动车通行效率；大力发展城乡公共交通，形成以公共汽车为主体、出租车为补充的城市公共交通系统，基本实现城市公交线路全覆盖并及时拓展。加快步行和自行车交通系统建设；鼓励燃油机动车驾驶人在不影响道路通行且需停车三分钟以上的情况下熄灭发动机。</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扬尘污染控制要求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强化施工扬尘监管。严格落实《四川省建筑工程扬尘污染防治技术导则（试行）》、《四川省施工场地扬尘排放标准》（DB51/2682-2029）、《建筑工地扬尘治理标准》等文件要求。在进行房屋建筑、市政设施施工、河道整治、建筑物拆除、物料运输和堆放、园林绿化等活动时，应当采取扬尘污染防治措施。所有施工工地落实“六不准”、“六必须”，实现施工现场围挡、工地物料堆放覆盖、施工现场路面硬化、驶出工地车辆冲洗干净、拆迁工地湿法作业、渣土运输车辆密闭“六个百分之百”，并安装降尘除尘设施。控制道路扬尘污染。提升城市精细化管理水平，加强道路清扫保洁，大力推行建成区道路机械化湿式清扫等低尘作业方式。落实环境卫生“门前三包”责任制，提高环境卫生清扫保洁质量，保证城市道路路面及行道树、绿化带无明显浮尘、积土、淤泥，切实改善环境卫生状况。加强城郊结合部扬尘管控。</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农业生产经营活动大气污染控制要求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重点行业企业专项治理要求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强化餐饮服务企业油烟排放整治，城市建成区餐饮企业应安装具有油雾回收功能的抽油烟机和运水烟罩、静电型和等离子型等高效油烟净化设施。中心城区建成区禁止露天烧烤。中心城区建成区内所有餐饮服务经营场所和新、改、扩建有油烟产生的餐饮项目，应当安装油烟净化设施并达到排放标准。定期对油烟净化设施进行维护保养，并保存维护保养记录，确保油烟稳定达标排放，设施正常使用率不低于95%。</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其他大气污染物排放管控要求</w:t>
                  </w:r>
                </w:p>
              </w:tc>
              <w:tc>
                <w:tcPr>
                  <w:tcW w:w="2425" w:type="dxa"/>
                  <w:tcBorders>
                    <w:top w:val="single" w:color="auto" w:sz="4" w:space="0"/>
                    <w:left w:val="nil"/>
                    <w:bottom w:val="single" w:color="auto" w:sz="4" w:space="0"/>
                    <w:right w:val="single" w:color="auto" w:sz="4" w:space="0"/>
                  </w:tcBorders>
                  <w:noWrap w:val="0"/>
                  <w:vAlign w:val="center"/>
                </w:tcPr>
                <w:p>
                  <w:pPr>
                    <w:spacing w:before="65" w:line="251" w:lineRule="auto"/>
                    <w:ind w:left="115" w:right="102" w:firstLine="1"/>
                    <w:rPr>
                      <w:rFonts w:hint="default" w:ascii="Times New Roman" w:hAnsi="Times New Roman" w:eastAsia="宋体" w:cs="Times New Roman"/>
                      <w:sz w:val="20"/>
                      <w:szCs w:val="20"/>
                    </w:rPr>
                  </w:pPr>
                  <w:r>
                    <w:rPr>
                      <w:rStyle w:val="252"/>
                      <w:rFonts w:hint="default" w:ascii="Times New Roman" w:hAnsi="Times New Roman" w:eastAsia="宋体" w:cs="Times New Roman"/>
                      <w:color w:val="000000"/>
                      <w:kern w:val="2"/>
                      <w:sz w:val="21"/>
                      <w:szCs w:val="21"/>
                      <w:shd w:val="clear" w:color="auto" w:fill="FFFFFF"/>
                      <w:lang w:val="en-US" w:eastAsia="zh-CN" w:bidi="ar"/>
                    </w:rPr>
                    <w:t>符合。本项目为河道综合整治工程，</w:t>
                  </w:r>
                  <w:r>
                    <w:rPr>
                      <w:rFonts w:hint="default" w:ascii="Times New Roman" w:hAnsi="Times New Roman" w:eastAsia="宋体" w:cs="Times New Roman"/>
                      <w:spacing w:val="9"/>
                      <w:sz w:val="20"/>
                      <w:szCs w:val="20"/>
                    </w:rPr>
                    <w:t>严格落实</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9"/>
                      <w:sz w:val="20"/>
                      <w:szCs w:val="20"/>
                    </w:rPr>
                    <w:t>《四川省建筑工程扬尘</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10"/>
                      <w:sz w:val="20"/>
                      <w:szCs w:val="20"/>
                    </w:rPr>
                    <w:t>污</w:t>
                  </w:r>
                  <w:r>
                    <w:rPr>
                      <w:rFonts w:hint="default" w:ascii="Times New Roman" w:hAnsi="Times New Roman" w:eastAsia="宋体" w:cs="Times New Roman"/>
                      <w:spacing w:val="8"/>
                      <w:sz w:val="20"/>
                      <w:szCs w:val="20"/>
                    </w:rPr>
                    <w:t>染防治技术导则 (试</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10"/>
                      <w:sz w:val="20"/>
                      <w:szCs w:val="20"/>
                    </w:rPr>
                    <w:t>行</w:t>
                  </w:r>
                  <w:r>
                    <w:rPr>
                      <w:rFonts w:hint="default" w:ascii="Times New Roman" w:hAnsi="Times New Roman" w:eastAsia="宋体" w:cs="Times New Roman"/>
                      <w:spacing w:val="8"/>
                      <w:sz w:val="20"/>
                      <w:szCs w:val="20"/>
                    </w:rPr>
                    <w:t>) 》、《四川省施工</w:t>
                  </w:r>
                </w:p>
                <w:p>
                  <w:pPr>
                    <w:tabs>
                      <w:tab w:val="left" w:pos="226"/>
                    </w:tabs>
                    <w:spacing w:before="1" w:line="251" w:lineRule="auto"/>
                    <w:ind w:left="118" w:right="99" w:firstLine="103"/>
                    <w:rPr>
                      <w:rStyle w:val="252"/>
                      <w:rFonts w:hint="default" w:ascii="Times New Roman" w:hAnsi="Times New Roman" w:eastAsia="宋体" w:cs="Times New Roman"/>
                      <w:color w:val="000000"/>
                      <w:kern w:val="2"/>
                      <w:sz w:val="21"/>
                      <w:szCs w:val="21"/>
                      <w:shd w:val="clear" w:color="auto" w:fill="FFFFFF"/>
                      <w:lang w:val="en-US" w:eastAsia="zh-CN" w:bidi="ar"/>
                    </w:rPr>
                  </w:pPr>
                  <w:r>
                    <w:rPr>
                      <w:rFonts w:hint="default" w:ascii="Times New Roman" w:hAnsi="Times New Roman" w:eastAsia="宋体" w:cs="Times New Roman"/>
                      <w:spacing w:val="12"/>
                      <w:sz w:val="20"/>
                      <w:szCs w:val="20"/>
                    </w:rPr>
                    <w:t>场</w:t>
                  </w:r>
                  <w:r>
                    <w:rPr>
                      <w:rFonts w:hint="default" w:ascii="Times New Roman" w:hAnsi="Times New Roman" w:eastAsia="宋体" w:cs="Times New Roman"/>
                      <w:spacing w:val="7"/>
                      <w:sz w:val="20"/>
                      <w:szCs w:val="20"/>
                    </w:rPr>
                    <w:t>地扬尘排放标准》</w:t>
                  </w:r>
                  <w:r>
                    <w:rPr>
                      <w:rFonts w:hint="default" w:ascii="Times New Roman" w:hAnsi="Times New Roman" w:eastAsia="宋体" w:cs="Times New Roman"/>
                      <w:sz w:val="20"/>
                      <w:szCs w:val="20"/>
                    </w:rPr>
                    <w:t xml:space="preserve"> </w:t>
                  </w:r>
                  <w:r>
                    <w:rPr>
                      <w:rFonts w:hint="default" w:ascii="Times New Roman" w:hAnsi="Times New Roman" w:eastAsia="宋体" w:cs="Times New Roman"/>
                      <w:sz w:val="20"/>
                      <w:szCs w:val="20"/>
                    </w:rPr>
                    <w:tab/>
                  </w:r>
                  <w:r>
                    <w:rPr>
                      <w:rFonts w:hint="default" w:ascii="Times New Roman" w:hAnsi="Times New Roman" w:eastAsia="宋体" w:cs="Times New Roman"/>
                      <w:spacing w:val="7"/>
                      <w:sz w:val="20"/>
                      <w:szCs w:val="20"/>
                    </w:rPr>
                    <w:t>(</w:t>
                  </w:r>
                  <w:r>
                    <w:rPr>
                      <w:rFonts w:hint="default" w:ascii="Times New Roman" w:hAnsi="Times New Roman" w:eastAsia="Times New Roman" w:cs="Times New Roman"/>
                      <w:sz w:val="20"/>
                      <w:szCs w:val="20"/>
                    </w:rPr>
                    <w:t>DB</w:t>
                  </w:r>
                  <w:r>
                    <w:rPr>
                      <w:rFonts w:hint="default" w:ascii="Times New Roman" w:hAnsi="Times New Roman" w:eastAsia="Times New Roman" w:cs="Times New Roman"/>
                      <w:spacing w:val="5"/>
                      <w:sz w:val="20"/>
                      <w:szCs w:val="20"/>
                    </w:rPr>
                    <w:t>51/2682-2020</w:t>
                  </w:r>
                  <w:r>
                    <w:rPr>
                      <w:rFonts w:hint="default" w:ascii="Times New Roman" w:hAnsi="Times New Roman" w:eastAsia="宋体" w:cs="Times New Roman"/>
                      <w:spacing w:val="5"/>
                      <w:sz w:val="20"/>
                      <w:szCs w:val="20"/>
                    </w:rPr>
                    <w:t>) 、</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15"/>
                      <w:sz w:val="20"/>
                      <w:szCs w:val="20"/>
                    </w:rPr>
                    <w:t>《</w:t>
                  </w:r>
                  <w:r>
                    <w:rPr>
                      <w:rFonts w:hint="default" w:ascii="Times New Roman" w:hAnsi="Times New Roman" w:eastAsia="宋体" w:cs="Times New Roman"/>
                      <w:spacing w:val="8"/>
                      <w:sz w:val="20"/>
                      <w:szCs w:val="20"/>
                    </w:rPr>
                    <w:t>建筑工地扬尘治理标</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9"/>
                      <w:sz w:val="20"/>
                      <w:szCs w:val="20"/>
                    </w:rPr>
                    <w:t>准》等文件要求。同时</w:t>
                  </w:r>
                  <w:r>
                    <w:rPr>
                      <w:rFonts w:hint="default" w:ascii="Times New Roman" w:hAnsi="Times New Roman" w:eastAsia="宋体" w:cs="Times New Roman"/>
                      <w:spacing w:val="4"/>
                      <w:sz w:val="20"/>
                      <w:szCs w:val="20"/>
                    </w:rPr>
                    <w:t>落实</w:t>
                  </w:r>
                  <w:r>
                    <w:rPr>
                      <w:rFonts w:hint="default" w:ascii="Times New Roman" w:hAnsi="Times New Roman" w:eastAsia="Times New Roman" w:cs="Times New Roman"/>
                      <w:spacing w:val="4"/>
                      <w:sz w:val="20"/>
                      <w:szCs w:val="20"/>
                    </w:rPr>
                    <w:t>“</w:t>
                  </w:r>
                  <w:r>
                    <w:rPr>
                      <w:rFonts w:hint="default" w:ascii="Times New Roman" w:hAnsi="Times New Roman" w:eastAsia="宋体" w:cs="Times New Roman"/>
                      <w:spacing w:val="4"/>
                      <w:sz w:val="20"/>
                      <w:szCs w:val="20"/>
                    </w:rPr>
                    <w:t>六</w:t>
                  </w:r>
                  <w:r>
                    <w:rPr>
                      <w:rFonts w:hint="default" w:ascii="Times New Roman" w:hAnsi="Times New Roman" w:eastAsia="宋体" w:cs="Times New Roman"/>
                      <w:spacing w:val="2"/>
                      <w:sz w:val="20"/>
                      <w:szCs w:val="20"/>
                    </w:rPr>
                    <w:t>不准</w:t>
                  </w:r>
                  <w:r>
                    <w:rPr>
                      <w:rFonts w:hint="default" w:ascii="Times New Roman" w:hAnsi="Times New Roman" w:eastAsia="Times New Roman" w:cs="Times New Roman"/>
                      <w:spacing w:val="2"/>
                      <w:sz w:val="20"/>
                      <w:szCs w:val="20"/>
                    </w:rPr>
                    <w:t xml:space="preserve">” </w:t>
                  </w:r>
                  <w:r>
                    <w:rPr>
                      <w:rFonts w:hint="default" w:ascii="Times New Roman" w:hAnsi="Times New Roman" w:eastAsia="宋体" w:cs="Times New Roman"/>
                      <w:spacing w:val="2"/>
                      <w:sz w:val="20"/>
                      <w:szCs w:val="20"/>
                    </w:rPr>
                    <w:t>、</w:t>
                  </w:r>
                  <w:r>
                    <w:rPr>
                      <w:rFonts w:hint="default" w:ascii="Times New Roman" w:hAnsi="Times New Roman" w:eastAsia="Times New Roman" w:cs="Times New Roman"/>
                      <w:spacing w:val="2"/>
                      <w:sz w:val="20"/>
                      <w:szCs w:val="20"/>
                    </w:rPr>
                    <w:t>“</w:t>
                  </w:r>
                  <w:r>
                    <w:rPr>
                      <w:rFonts w:hint="default" w:ascii="Times New Roman" w:hAnsi="Times New Roman" w:eastAsia="宋体" w:cs="Times New Roman"/>
                      <w:spacing w:val="2"/>
                      <w:sz w:val="20"/>
                      <w:szCs w:val="20"/>
                    </w:rPr>
                    <w:t>六必</w:t>
                  </w:r>
                  <w:r>
                    <w:rPr>
                      <w:rFonts w:hint="default" w:ascii="Times New Roman" w:hAnsi="Times New Roman" w:eastAsia="宋体" w:cs="Times New Roman"/>
                      <w:spacing w:val="4"/>
                      <w:sz w:val="20"/>
                      <w:szCs w:val="20"/>
                    </w:rPr>
                    <w:t>须</w:t>
                  </w:r>
                  <w:r>
                    <w:rPr>
                      <w:rFonts w:hint="default" w:ascii="Times New Roman" w:hAnsi="Times New Roman" w:eastAsia="Times New Roman" w:cs="Times New Roman"/>
                      <w:spacing w:val="4"/>
                      <w:sz w:val="20"/>
                      <w:szCs w:val="20"/>
                    </w:rPr>
                    <w:t xml:space="preserve">” </w:t>
                  </w:r>
                  <w:r>
                    <w:rPr>
                      <w:rFonts w:hint="default" w:ascii="Times New Roman" w:hAnsi="Times New Roman" w:eastAsia="宋体" w:cs="Times New Roman"/>
                      <w:spacing w:val="3"/>
                      <w:sz w:val="20"/>
                      <w:szCs w:val="20"/>
                    </w:rPr>
                    <w:t>，</w:t>
                  </w:r>
                  <w:r>
                    <w:rPr>
                      <w:rFonts w:hint="default" w:ascii="Times New Roman" w:hAnsi="Times New Roman" w:eastAsia="宋体" w:cs="Times New Roman"/>
                      <w:spacing w:val="2"/>
                      <w:sz w:val="20"/>
                      <w:szCs w:val="20"/>
                    </w:rPr>
                    <w:t>实现施工现场围</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6"/>
                      <w:sz w:val="20"/>
                      <w:szCs w:val="20"/>
                    </w:rPr>
                    <w:t>挡</w:t>
                  </w:r>
                  <w:r>
                    <w:rPr>
                      <w:rFonts w:hint="default" w:ascii="Times New Roman" w:hAnsi="Times New Roman" w:eastAsia="宋体" w:cs="Times New Roman"/>
                      <w:spacing w:val="-4"/>
                      <w:sz w:val="20"/>
                      <w:szCs w:val="20"/>
                    </w:rPr>
                    <w:t>、</w:t>
                  </w:r>
                  <w:r>
                    <w:rPr>
                      <w:rFonts w:hint="default" w:ascii="Times New Roman" w:hAnsi="Times New Roman" w:eastAsia="宋体" w:cs="Times New Roman"/>
                      <w:spacing w:val="-3"/>
                      <w:sz w:val="20"/>
                      <w:szCs w:val="20"/>
                    </w:rPr>
                    <w:t>工地物料堆放覆盖、</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9"/>
                      <w:sz w:val="20"/>
                      <w:szCs w:val="20"/>
                    </w:rPr>
                    <w:t>施工现场路面硬化、驶</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14"/>
                      <w:sz w:val="20"/>
                      <w:szCs w:val="20"/>
                    </w:rPr>
                    <w:t>出</w:t>
                  </w:r>
                  <w:r>
                    <w:rPr>
                      <w:rFonts w:hint="default" w:ascii="Times New Roman" w:hAnsi="Times New Roman" w:eastAsia="宋体" w:cs="Times New Roman"/>
                      <w:spacing w:val="10"/>
                      <w:sz w:val="20"/>
                      <w:szCs w:val="20"/>
                    </w:rPr>
                    <w:t>工地车辆冲洗干净、</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9"/>
                      <w:sz w:val="20"/>
                      <w:szCs w:val="20"/>
                    </w:rPr>
                    <w:t>拆迁工地湿法作业、渣</w:t>
                  </w:r>
                  <w:r>
                    <w:rPr>
                      <w:rFonts w:hint="default" w:ascii="Times New Roman" w:hAnsi="Times New Roman" w:eastAsia="宋体" w:cs="Times New Roman"/>
                      <w:spacing w:val="10"/>
                      <w:sz w:val="20"/>
                      <w:szCs w:val="20"/>
                    </w:rPr>
                    <w:t>土</w:t>
                  </w:r>
                  <w:r>
                    <w:rPr>
                      <w:rFonts w:hint="default" w:ascii="Times New Roman" w:hAnsi="Times New Roman" w:eastAsia="宋体" w:cs="Times New Roman"/>
                      <w:spacing w:val="8"/>
                      <w:sz w:val="20"/>
                      <w:szCs w:val="20"/>
                    </w:rPr>
                    <w:t>运输车辆密闭</w:t>
                  </w:r>
                  <w:r>
                    <w:rPr>
                      <w:rFonts w:hint="default" w:ascii="Times New Roman" w:hAnsi="Times New Roman" w:eastAsia="Times New Roman" w:cs="Times New Roman"/>
                      <w:spacing w:val="8"/>
                      <w:sz w:val="20"/>
                      <w:szCs w:val="20"/>
                    </w:rPr>
                    <w:t>“</w:t>
                  </w:r>
                  <w:r>
                    <w:rPr>
                      <w:rFonts w:hint="default" w:ascii="Times New Roman" w:hAnsi="Times New Roman" w:eastAsia="宋体" w:cs="Times New Roman"/>
                      <w:spacing w:val="8"/>
                      <w:sz w:val="20"/>
                      <w:szCs w:val="20"/>
                    </w:rPr>
                    <w:t>六个</w:t>
                  </w:r>
                  <w:r>
                    <w:rPr>
                      <w:rFonts w:hint="default" w:ascii="Times New Roman" w:hAnsi="Times New Roman" w:eastAsia="宋体" w:cs="Times New Roman"/>
                      <w:sz w:val="20"/>
                      <w:szCs w:val="20"/>
                    </w:rPr>
                    <w:t xml:space="preserve"> </w:t>
                  </w:r>
                  <w:r>
                    <w:rPr>
                      <w:rFonts w:hint="default" w:ascii="Times New Roman" w:hAnsi="Times New Roman" w:eastAsia="宋体" w:cs="Times New Roman"/>
                      <w:spacing w:val="-1"/>
                      <w:sz w:val="20"/>
                      <w:szCs w:val="20"/>
                    </w:rPr>
                    <w:t>百分之百</w:t>
                  </w:r>
                  <w:r>
                    <w:rPr>
                      <w:rFonts w:hint="default" w:ascii="Times New Roman" w:hAnsi="Times New Roman" w:eastAsia="Times New Roman" w:cs="Times New Roman"/>
                      <w:spacing w:val="-1"/>
                      <w:sz w:val="20"/>
                      <w:szCs w:val="20"/>
                    </w:rPr>
                    <w:t>”</w:t>
                  </w:r>
                  <w:r>
                    <w:rPr>
                      <w:rFonts w:hint="default" w:ascii="Times New Roman" w:hAnsi="Times New Roman" w:eastAsia="宋体" w:cs="Times New Roman"/>
                      <w:sz w:val="20"/>
                      <w:szCs w:val="20"/>
                    </w:rPr>
                    <w:t>，并安装降尘</w:t>
                  </w:r>
                  <w:r>
                    <w:rPr>
                      <w:rFonts w:hint="default" w:ascii="Times New Roman" w:hAnsi="Times New Roman" w:eastAsia="宋体" w:cs="Times New Roman"/>
                      <w:spacing w:val="5"/>
                      <w:sz w:val="20"/>
                      <w:szCs w:val="20"/>
                    </w:rPr>
                    <w:t>除</w:t>
                  </w:r>
                  <w:r>
                    <w:rPr>
                      <w:rFonts w:hint="default" w:ascii="Times New Roman" w:hAnsi="Times New Roman" w:eastAsia="宋体" w:cs="Times New Roman"/>
                      <w:spacing w:val="3"/>
                      <w:sz w:val="20"/>
                      <w:szCs w:val="20"/>
                    </w:rPr>
                    <w:t>尘设施。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874" w:type="dxa"/>
                  <w:vMerge w:val="continue"/>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1059" w:type="dxa"/>
                  <w:gridSpan w:val="2"/>
                  <w:vMerge w:val="continue"/>
                  <w:tcBorders>
                    <w:top w:val="nil"/>
                    <w:left w:val="nil"/>
                    <w:bottom w:val="single" w:color="auto" w:sz="4" w:space="0"/>
                    <w:right w:val="single" w:color="auto" w:sz="4" w:space="0"/>
                  </w:tcBorders>
                  <w:noWrap w:val="0"/>
                  <w:vAlign w:val="top"/>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环境风险防控</w:t>
                  </w:r>
                </w:p>
              </w:tc>
              <w:tc>
                <w:tcPr>
                  <w:tcW w:w="2234"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同城镇重点管控单元总体准入要求。</w:t>
                  </w:r>
                </w:p>
              </w:tc>
              <w:tc>
                <w:tcPr>
                  <w:tcW w:w="2425"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Style w:val="252"/>
                      <w:rFonts w:hint="default" w:ascii="Times New Roman" w:hAnsi="Times New Roman" w:eastAsia="宋体" w:cs="Times New Roman"/>
                      <w:color w:val="000000"/>
                      <w:kern w:val="2"/>
                      <w:sz w:val="21"/>
                      <w:szCs w:val="21"/>
                      <w:shd w:val="clear" w:color="auto" w:fill="FFFFFF"/>
                      <w:lang w:val="en-US" w:eastAsia="zh-CN" w:bidi="ar"/>
                    </w:rPr>
                  </w:pPr>
                  <w:r>
                    <w:rPr>
                      <w:rStyle w:val="252"/>
                      <w:rFonts w:hint="default" w:ascii="Times New Roman" w:hAnsi="Times New Roman" w:eastAsia="宋体" w:cs="Times New Roman"/>
                      <w:color w:val="000000"/>
                      <w:kern w:val="2"/>
                      <w:sz w:val="21"/>
                      <w:szCs w:val="21"/>
                      <w:shd w:val="clear" w:color="auto" w:fill="FFFFFF"/>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874" w:type="dxa"/>
                  <w:vMerge w:val="continue"/>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1059" w:type="dxa"/>
                  <w:gridSpan w:val="2"/>
                  <w:vMerge w:val="continue"/>
                  <w:tcBorders>
                    <w:top w:val="nil"/>
                    <w:left w:val="nil"/>
                    <w:bottom w:val="single" w:color="auto" w:sz="4" w:space="0"/>
                    <w:right w:val="single" w:color="auto" w:sz="4" w:space="0"/>
                  </w:tcBorders>
                  <w:noWrap w:val="0"/>
                  <w:vAlign w:val="top"/>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资源开发效率要求</w:t>
                  </w:r>
                </w:p>
              </w:tc>
              <w:tc>
                <w:tcPr>
                  <w:tcW w:w="2234" w:type="dxa"/>
                  <w:vMerge w:val="restart"/>
                  <w:tcBorders>
                    <w:top w:val="nil"/>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w:t>
                  </w:r>
                </w:p>
              </w:tc>
              <w:tc>
                <w:tcPr>
                  <w:tcW w:w="2425" w:type="dxa"/>
                  <w:tcBorders>
                    <w:top w:val="nil"/>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Style w:val="252"/>
                      <w:rFonts w:hint="default" w:ascii="Times New Roman" w:hAnsi="Times New Roman" w:eastAsia="宋体" w:cs="Times New Roman"/>
                      <w:color w:val="000000"/>
                      <w:kern w:val="2"/>
                      <w:sz w:val="21"/>
                      <w:szCs w:val="21"/>
                      <w:shd w:val="clear" w:color="auto" w:fill="FFFFFF"/>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vMerge w:val="restart"/>
                  <w:tcBorders>
                    <w:top w:val="nil"/>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YS5111022540006</w:t>
                  </w:r>
                </w:p>
              </w:tc>
              <w:tc>
                <w:tcPr>
                  <w:tcW w:w="874" w:type="dxa"/>
                  <w:vMerge w:val="restart"/>
                  <w:tcBorders>
                    <w:top w:val="nil"/>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市中区禁燃区</w:t>
                  </w:r>
                </w:p>
              </w:tc>
              <w:tc>
                <w:tcPr>
                  <w:tcW w:w="1059" w:type="dxa"/>
                  <w:gridSpan w:val="2"/>
                  <w:vMerge w:val="continue"/>
                  <w:tcBorders>
                    <w:top w:val="nil"/>
                    <w:left w:val="nil"/>
                    <w:bottom w:val="single" w:color="auto" w:sz="4" w:space="0"/>
                    <w:right w:val="single" w:color="auto" w:sz="4" w:space="0"/>
                  </w:tcBorders>
                  <w:noWrap w:val="0"/>
                  <w:vAlign w:val="top"/>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空间布局约束</w:t>
                  </w:r>
                </w:p>
              </w:tc>
              <w:tc>
                <w:tcPr>
                  <w:tcW w:w="2234" w:type="dxa"/>
                  <w:vMerge w:val="continue"/>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2425" w:type="dxa"/>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874" w:type="dxa"/>
                  <w:vMerge w:val="continue"/>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1059" w:type="dxa"/>
                  <w:gridSpan w:val="2"/>
                  <w:vMerge w:val="continue"/>
                  <w:tcBorders>
                    <w:top w:val="nil"/>
                    <w:left w:val="nil"/>
                    <w:bottom w:val="single" w:color="auto" w:sz="4" w:space="0"/>
                    <w:right w:val="single" w:color="auto" w:sz="4" w:space="0"/>
                  </w:tcBorders>
                  <w:noWrap w:val="0"/>
                  <w:vAlign w:val="top"/>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污染物排放管控</w:t>
                  </w:r>
                </w:p>
              </w:tc>
              <w:tc>
                <w:tcPr>
                  <w:tcW w:w="2234" w:type="dxa"/>
                  <w:vMerge w:val="continue"/>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2425" w:type="dxa"/>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874" w:type="dxa"/>
                  <w:vMerge w:val="continue"/>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1059" w:type="dxa"/>
                  <w:gridSpan w:val="2"/>
                  <w:vMerge w:val="continue"/>
                  <w:tcBorders>
                    <w:top w:val="nil"/>
                    <w:left w:val="nil"/>
                    <w:bottom w:val="single" w:color="auto" w:sz="4" w:space="0"/>
                    <w:right w:val="single" w:color="auto" w:sz="4" w:space="0"/>
                  </w:tcBorders>
                  <w:noWrap w:val="0"/>
                  <w:vAlign w:val="top"/>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环境风险防控</w:t>
                  </w:r>
                </w:p>
              </w:tc>
              <w:tc>
                <w:tcPr>
                  <w:tcW w:w="2234" w:type="dxa"/>
                  <w:vMerge w:val="continue"/>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2425" w:type="dxa"/>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874" w:type="dxa"/>
                  <w:vMerge w:val="continue"/>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1059" w:type="dxa"/>
                  <w:gridSpan w:val="2"/>
                  <w:vMerge w:val="continue"/>
                  <w:tcBorders>
                    <w:top w:val="nil"/>
                    <w:left w:val="nil"/>
                    <w:bottom w:val="single" w:color="auto" w:sz="4" w:space="0"/>
                    <w:right w:val="single" w:color="auto" w:sz="4" w:space="0"/>
                  </w:tcBorders>
                  <w:noWrap w:val="0"/>
                  <w:vAlign w:val="top"/>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资源开发效率要求</w:t>
                  </w:r>
                </w:p>
              </w:tc>
              <w:tc>
                <w:tcPr>
                  <w:tcW w:w="2234"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土地资源开发效率要求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能源资源开发效率要求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能源消耗、污染物排放不得超过能源利用上线控制性指标</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其他资源开发效率要求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实施煤炭消费总量控制：严格控制煤炭消费总量；严格控制新建、改建、扩建耗煤项目，新增耗煤项目实行当年煤炭消耗减量倍量替代。（依据：《乐山市打赢蓝天保卫战实施方案》）</w:t>
                  </w:r>
                </w:p>
              </w:tc>
              <w:tc>
                <w:tcPr>
                  <w:tcW w:w="2425"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Style w:val="252"/>
                      <w:rFonts w:hint="default" w:ascii="Times New Roman" w:hAnsi="Times New Roman" w:eastAsia="宋体" w:cs="Times New Roman"/>
                      <w:color w:val="000000"/>
                      <w:kern w:val="2"/>
                      <w:sz w:val="21"/>
                      <w:szCs w:val="21"/>
                      <w:shd w:val="clear" w:color="auto" w:fill="FFFFFF"/>
                      <w:lang w:val="en-US" w:eastAsia="zh-CN" w:bidi="ar"/>
                    </w:rPr>
                  </w:pPr>
                  <w:r>
                    <w:rPr>
                      <w:rStyle w:val="252"/>
                      <w:rFonts w:hint="default" w:ascii="Times New Roman" w:hAnsi="Times New Roman" w:eastAsia="宋体" w:cs="Times New Roman"/>
                      <w:color w:val="000000"/>
                      <w:kern w:val="2"/>
                      <w:sz w:val="21"/>
                      <w:szCs w:val="21"/>
                      <w:shd w:val="clear" w:color="auto" w:fill="FFFFFF"/>
                      <w:lang w:val="en-US" w:eastAsia="zh-CN" w:bidi="ar"/>
                    </w:rPr>
                    <w:t>主要使用电能及河水，不涉及高污染燃料使用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vMerge w:val="restart"/>
                  <w:tcBorders>
                    <w:top w:val="nil"/>
                    <w:left w:val="single" w:color="auto" w:sz="4" w:space="0"/>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YS5111022550001</w:t>
                  </w:r>
                </w:p>
              </w:tc>
              <w:tc>
                <w:tcPr>
                  <w:tcW w:w="874" w:type="dxa"/>
                  <w:vMerge w:val="restart"/>
                  <w:tcBorders>
                    <w:top w:val="nil"/>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市中区自然资源重点管控区</w:t>
                  </w:r>
                </w:p>
              </w:tc>
              <w:tc>
                <w:tcPr>
                  <w:tcW w:w="1059" w:type="dxa"/>
                  <w:gridSpan w:val="2"/>
                  <w:vMerge w:val="continue"/>
                  <w:tcBorders>
                    <w:top w:val="nil"/>
                    <w:left w:val="nil"/>
                    <w:bottom w:val="single" w:color="auto" w:sz="4" w:space="0"/>
                    <w:right w:val="single" w:color="auto" w:sz="4" w:space="0"/>
                  </w:tcBorders>
                  <w:noWrap w:val="0"/>
                  <w:vAlign w:val="top"/>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空间布局约束</w:t>
                  </w:r>
                </w:p>
              </w:tc>
              <w:tc>
                <w:tcPr>
                  <w:tcW w:w="2234"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合理开发高效利用水资源，建设节水型社会；优化土地利用布局与结构；优化产业空间布局，构建清洁能源体系</w:t>
                  </w:r>
                </w:p>
              </w:tc>
              <w:tc>
                <w:tcPr>
                  <w:tcW w:w="2425"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Style w:val="252"/>
                      <w:rFonts w:hint="default" w:ascii="Times New Roman" w:hAnsi="Times New Roman" w:eastAsia="宋体" w:cs="Times New Roman"/>
                      <w:color w:val="000000"/>
                      <w:kern w:val="2"/>
                      <w:sz w:val="21"/>
                      <w:szCs w:val="21"/>
                      <w:shd w:val="clear" w:color="auto" w:fill="FFFFFF"/>
                      <w:lang w:val="en-US" w:eastAsia="zh-CN" w:bidi="ar"/>
                    </w:rPr>
                  </w:pPr>
                  <w:r>
                    <w:rPr>
                      <w:rStyle w:val="252"/>
                      <w:rFonts w:hint="default" w:ascii="Times New Roman" w:hAnsi="Times New Roman" w:eastAsia="宋体" w:cs="Times New Roman"/>
                      <w:color w:val="000000"/>
                      <w:kern w:val="2"/>
                      <w:sz w:val="21"/>
                      <w:szCs w:val="21"/>
                      <w:shd w:val="clear" w:color="auto" w:fill="FFFFFF"/>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874" w:type="dxa"/>
                  <w:vMerge w:val="continue"/>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1059" w:type="dxa"/>
                  <w:gridSpan w:val="2"/>
                  <w:vMerge w:val="continue"/>
                  <w:tcBorders>
                    <w:top w:val="nil"/>
                    <w:left w:val="nil"/>
                    <w:bottom w:val="single" w:color="auto" w:sz="4" w:space="0"/>
                    <w:right w:val="single" w:color="auto" w:sz="4" w:space="0"/>
                  </w:tcBorders>
                  <w:noWrap w:val="0"/>
                  <w:vAlign w:val="top"/>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污染物排放管控</w:t>
                  </w:r>
                </w:p>
              </w:tc>
              <w:tc>
                <w:tcPr>
                  <w:tcW w:w="2234" w:type="dxa"/>
                  <w:vMerge w:val="restart"/>
                  <w:tcBorders>
                    <w:top w:val="nil"/>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w:t>
                  </w:r>
                </w:p>
              </w:tc>
              <w:tc>
                <w:tcPr>
                  <w:tcW w:w="2425" w:type="dxa"/>
                  <w:tcBorders>
                    <w:top w:val="nil"/>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Style w:val="252"/>
                      <w:rFonts w:hint="default" w:ascii="Times New Roman" w:hAnsi="Times New Roman" w:eastAsia="宋体" w:cs="Times New Roman"/>
                      <w:color w:val="000000"/>
                      <w:kern w:val="2"/>
                      <w:sz w:val="21"/>
                      <w:szCs w:val="21"/>
                      <w:shd w:val="clear" w:color="auto" w:fill="FFFFFF"/>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874" w:type="dxa"/>
                  <w:vMerge w:val="continue"/>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1059" w:type="dxa"/>
                  <w:gridSpan w:val="2"/>
                  <w:vMerge w:val="continue"/>
                  <w:tcBorders>
                    <w:top w:val="nil"/>
                    <w:left w:val="nil"/>
                    <w:bottom w:val="single" w:color="auto" w:sz="4" w:space="0"/>
                    <w:right w:val="single" w:color="auto" w:sz="4" w:space="0"/>
                  </w:tcBorders>
                  <w:noWrap w:val="0"/>
                  <w:vAlign w:val="top"/>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环境风险防控</w:t>
                  </w:r>
                </w:p>
              </w:tc>
              <w:tc>
                <w:tcPr>
                  <w:tcW w:w="2234" w:type="dxa"/>
                  <w:vMerge w:val="continue"/>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2425" w:type="dxa"/>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0" w:type="dxa"/>
                  <w:gridSpan w:val="2"/>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874" w:type="dxa"/>
                  <w:vMerge w:val="continue"/>
                  <w:tcBorders>
                    <w:top w:val="nil"/>
                    <w:left w:val="nil"/>
                    <w:bottom w:val="single" w:color="auto" w:sz="4" w:space="0"/>
                    <w:right w:val="single" w:color="auto" w:sz="4" w:space="0"/>
                  </w:tcBorders>
                  <w:noWrap w:val="0"/>
                  <w:vAlign w:val="center"/>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1059" w:type="dxa"/>
                  <w:gridSpan w:val="2"/>
                  <w:vMerge w:val="continue"/>
                  <w:tcBorders>
                    <w:top w:val="nil"/>
                    <w:left w:val="nil"/>
                    <w:bottom w:val="single" w:color="auto" w:sz="4" w:space="0"/>
                    <w:right w:val="single" w:color="auto" w:sz="4" w:space="0"/>
                  </w:tcBorders>
                  <w:noWrap w:val="0"/>
                  <w:vAlign w:val="top"/>
                </w:tcPr>
                <w:p>
                  <w:pPr>
                    <w:keepNext w:val="0"/>
                    <w:keepLines w:val="0"/>
                    <w:pageBreakBefore w:val="0"/>
                    <w:wordWrap/>
                    <w:overflowPunct/>
                    <w:topLinePunct w:val="0"/>
                    <w:bidi w:val="0"/>
                    <w:spacing w:before="0" w:beforeLines="0" w:after="0" w:afterLines="0" w:line="240" w:lineRule="auto"/>
                    <w:jc w:val="center"/>
                    <w:rPr>
                      <w:rFonts w:hint="default" w:ascii="Times New Roman" w:hAnsi="Times New Roman" w:cs="Times New Roman"/>
                      <w:sz w:val="21"/>
                      <w:szCs w:val="21"/>
                    </w:rPr>
                  </w:pPr>
                </w:p>
              </w:tc>
              <w:tc>
                <w:tcPr>
                  <w:tcW w:w="426"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rPr>
                  </w:pPr>
                  <w:r>
                    <w:rPr>
                      <w:rStyle w:val="252"/>
                      <w:rFonts w:hint="default" w:ascii="Times New Roman" w:hAnsi="Times New Roman" w:eastAsia="宋体" w:cs="Times New Roman"/>
                      <w:color w:val="000000"/>
                      <w:kern w:val="2"/>
                      <w:sz w:val="21"/>
                      <w:szCs w:val="21"/>
                      <w:lang w:val="en-US" w:eastAsia="zh-CN" w:bidi="ar"/>
                    </w:rPr>
                    <w:t>资源开发效率要求</w:t>
                  </w:r>
                </w:p>
              </w:tc>
              <w:tc>
                <w:tcPr>
                  <w:tcW w:w="2234"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土地资源开发效率要求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能源资源开发效率要求</w:t>
                  </w:r>
                </w:p>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000000"/>
                      <w:kern w:val="2"/>
                      <w:sz w:val="21"/>
                      <w:szCs w:val="21"/>
                      <w:shd w:val="clear" w:color="auto" w:fill="FFFFFF"/>
                    </w:rPr>
                  </w:pPr>
                  <w:r>
                    <w:rPr>
                      <w:rStyle w:val="252"/>
                      <w:rFonts w:hint="default" w:ascii="Times New Roman" w:hAnsi="Times New Roman" w:eastAsia="宋体" w:cs="Times New Roman"/>
                      <w:color w:val="000000"/>
                      <w:kern w:val="2"/>
                      <w:sz w:val="21"/>
                      <w:szCs w:val="21"/>
                      <w:shd w:val="clear" w:color="auto" w:fill="FFFFFF"/>
                      <w:lang w:val="en-US" w:eastAsia="zh-CN" w:bidi="ar"/>
                    </w:rPr>
                    <w:t>其他资源开发效率要求</w:t>
                  </w:r>
                </w:p>
              </w:tc>
              <w:tc>
                <w:tcPr>
                  <w:tcW w:w="2425" w:type="dxa"/>
                  <w:tcBorders>
                    <w:top w:val="single" w:color="auto" w:sz="4" w:space="0"/>
                    <w:left w:val="nil"/>
                    <w:bottom w:val="single" w:color="auto" w:sz="4" w:space="0"/>
                    <w:right w:val="single" w:color="auto" w:sz="4" w:space="0"/>
                  </w:tcBorders>
                  <w:noWrap w:val="0"/>
                  <w:vAlign w:val="center"/>
                </w:tcPr>
                <w:p>
                  <w:pPr>
                    <w:pStyle w:val="34"/>
                    <w:keepNext w:val="0"/>
                    <w:keepLines w:val="0"/>
                    <w:pageBreakBefore w:val="0"/>
                    <w:widowControl/>
                    <w:suppressLineNumbers w:val="0"/>
                    <w:shd w:val="clear" w:color="auto" w:fill="FFFFFF"/>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Style w:val="252"/>
                      <w:rFonts w:hint="default" w:ascii="Times New Roman" w:hAnsi="Times New Roman" w:eastAsia="宋体" w:cs="Times New Roman"/>
                      <w:color w:val="000000"/>
                      <w:kern w:val="2"/>
                      <w:sz w:val="21"/>
                      <w:szCs w:val="21"/>
                      <w:shd w:val="clear" w:color="auto" w:fill="FFFFFF"/>
                      <w:lang w:val="en-US" w:eastAsia="zh-CN" w:bidi="ar"/>
                    </w:rPr>
                  </w:pPr>
                  <w:r>
                    <w:rPr>
                      <w:rStyle w:val="252"/>
                      <w:rFonts w:hint="default" w:ascii="Times New Roman" w:hAnsi="Times New Roman" w:eastAsia="宋体" w:cs="Times New Roman"/>
                      <w:color w:val="000000"/>
                      <w:kern w:val="2"/>
                      <w:sz w:val="21"/>
                      <w:szCs w:val="21"/>
                      <w:shd w:val="clear" w:color="auto" w:fill="FFFFFF"/>
                      <w:lang w:val="en-US" w:eastAsia="zh-CN" w:bidi="ar"/>
                    </w:rPr>
                    <w:t>符合</w:t>
                  </w:r>
                </w:p>
              </w:tc>
            </w:tr>
          </w:tbl>
          <w:p>
            <w:pPr>
              <w:pStyle w:val="2"/>
              <w:keepNext w:val="0"/>
              <w:keepLines w:val="0"/>
              <w:pageBreakBefore w:val="0"/>
              <w:kinsoku/>
              <w:wordWrap/>
              <w:overflowPunct/>
              <w:topLinePunct w:val="0"/>
              <w:bidi w:val="0"/>
              <w:adjustRightInd w:val="0"/>
              <w:snapToGrid w:val="0"/>
              <w:spacing w:before="0" w:after="0" w:line="360" w:lineRule="auto"/>
              <w:ind w:right="0" w:firstLine="480" w:firstLineChars="200"/>
              <w:textAlignment w:val="auto"/>
              <w:rPr>
                <w:rFonts w:hint="default" w:ascii="Times New Roman" w:hAnsi="Times New Roman" w:cs="Times New Roman"/>
                <w:sz w:val="24"/>
                <w:szCs w:val="24"/>
              </w:rPr>
            </w:pPr>
            <w:r>
              <w:rPr>
                <w:rFonts w:hint="default" w:ascii="Times New Roman" w:hAnsi="Times New Roman" w:eastAsia="宋体" w:cs="Times New Roman"/>
                <w:b w:val="0"/>
                <w:bCs w:val="0"/>
                <w:color w:val="auto"/>
                <w:spacing w:val="0"/>
                <w:kern w:val="2"/>
                <w:sz w:val="24"/>
                <w:szCs w:val="24"/>
                <w:lang w:val="en-US" w:eastAsia="zh-CN" w:bidi="ar-SA"/>
              </w:rPr>
              <w:t>综上所述，经过与“三线一单”进行对照后，项目不在生态保护红线内、符合环境质量底线要求，未涉及资源利用上线、未列入环境准入负面清单内。故本项目符合“三线一单”要求</w:t>
            </w:r>
            <w:r>
              <w:rPr>
                <w:rFonts w:hint="default" w:ascii="Times New Roman" w:hAnsi="Times New Roman" w:cs="Times New Roman"/>
                <w:color w:val="auto"/>
                <w:sz w:val="24"/>
                <w:szCs w:val="24"/>
              </w:rPr>
              <w:t>。</w:t>
            </w:r>
          </w:p>
          <w:p>
            <w:pPr>
              <w:pStyle w:val="2"/>
              <w:rPr>
                <w:rFonts w:hint="default" w:ascii="Times New Roman" w:hAnsi="Times New Roman" w:cs="Times New Roman"/>
                <w:b w:val="0"/>
                <w:bCs w:val="0"/>
                <w:color w:val="auto"/>
                <w:spacing w:val="0"/>
                <w:sz w:val="24"/>
                <w:szCs w:val="24"/>
                <w:lang w:val="en-US" w:eastAsia="zh-CN"/>
              </w:rPr>
            </w:pPr>
          </w:p>
          <w:p>
            <w:pPr>
              <w:pStyle w:val="2"/>
              <w:rPr>
                <w:rFonts w:hint="default" w:ascii="Times New Roman" w:hAnsi="Times New Roman" w:cs="Times New Roman"/>
                <w:b w:val="0"/>
                <w:bCs w:val="0"/>
                <w:color w:val="auto"/>
                <w:spacing w:val="0"/>
                <w:sz w:val="24"/>
                <w:szCs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color w:val="0000FF"/>
                <w:kern w:val="21"/>
                <w:sz w:val="24"/>
                <w:szCs w:val="24"/>
                <w:lang w:val="en-US" w:eastAsia="zh-CN"/>
              </w:rPr>
            </w:pPr>
          </w:p>
        </w:tc>
      </w:tr>
    </w:tbl>
    <w:p>
      <w:pPr>
        <w:keepNext w:val="0"/>
        <w:keepLines w:val="0"/>
        <w:pageBreakBefore w:val="0"/>
        <w:kinsoku/>
        <w:wordWrap/>
        <w:overflowPunct/>
        <w:topLinePunct w:val="0"/>
        <w:bidi w:val="0"/>
        <w:adjustRightInd w:val="0"/>
        <w:snapToGrid w:val="0"/>
        <w:spacing w:line="360" w:lineRule="auto"/>
        <w:textAlignment w:val="auto"/>
        <w:outlineLvl w:val="0"/>
        <w:rPr>
          <w:rFonts w:hint="default" w:ascii="Times New Roman" w:hAnsi="Times New Roman" w:eastAsia="黑体" w:cs="Times New Roman"/>
          <w:sz w:val="30"/>
        </w:rPr>
        <w:sectPr>
          <w:footerReference r:id="rId7" w:type="default"/>
          <w:pgSz w:w="11906" w:h="16838"/>
          <w:pgMar w:top="1587" w:right="283" w:bottom="1531" w:left="283"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34"/>
        <w:keepNext w:val="0"/>
        <w:keepLines w:val="0"/>
        <w:pageBreakBefore w:val="0"/>
        <w:kinsoku/>
        <w:wordWrap/>
        <w:overflowPunct/>
        <w:topLinePunct w:val="0"/>
        <w:bidi w:val="0"/>
        <w:adjustRightInd w:val="0"/>
        <w:snapToGrid w:val="0"/>
        <w:jc w:val="center"/>
        <w:textAlignment w:val="auto"/>
        <w:outlineLvl w:val="0"/>
        <w:rPr>
          <w:rFonts w:hint="default" w:ascii="Times New Roman" w:hAnsi="Times New Roman" w:eastAsia="黑体" w:cs="Times New Roman"/>
          <w:snapToGrid w:val="0"/>
          <w:sz w:val="30"/>
          <w:szCs w:val="30"/>
        </w:rPr>
      </w:pPr>
      <w:r>
        <w:rPr>
          <w:rFonts w:hint="default" w:ascii="Times New Roman" w:hAnsi="Times New Roman" w:eastAsia="黑体" w:cs="Times New Roman"/>
          <w:snapToGrid w:val="0"/>
          <w:sz w:val="30"/>
          <w:szCs w:val="30"/>
        </w:rPr>
        <w:t>二、建设内容</w:t>
      </w:r>
    </w:p>
    <w:tbl>
      <w:tblPr>
        <w:tblStyle w:val="39"/>
        <w:tblW w:w="850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806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4" w:type="dxa"/>
            <w:noWrap w:val="0"/>
            <w:vAlign w:val="center"/>
          </w:tcPr>
          <w:p>
            <w:pPr>
              <w:keepNext w:val="0"/>
              <w:keepLines w:val="0"/>
              <w:pageBreakBefore w:val="0"/>
              <w:kinsoku/>
              <w:wordWrap/>
              <w:overflowPunct/>
              <w:topLinePunct w:val="0"/>
              <w:bidi w:val="0"/>
              <w:adjustRightInd w:val="0"/>
              <w:snapToGrid w:val="0"/>
              <w:spacing w:line="360" w:lineRule="auto"/>
              <w:jc w:val="center"/>
              <w:textAlignment w:val="auto"/>
              <w:rPr>
                <w:rFonts w:hint="default" w:ascii="Times New Roman" w:hAnsi="Times New Roman" w:cs="Times New Roman"/>
                <w:kern w:val="0"/>
                <w:szCs w:val="21"/>
              </w:rPr>
            </w:pPr>
            <w:r>
              <w:rPr>
                <w:rFonts w:hint="default" w:ascii="Times New Roman" w:hAnsi="Times New Roman" w:cs="Times New Roman"/>
                <w:b/>
                <w:bCs/>
                <w:kern w:val="0"/>
                <w:szCs w:val="21"/>
              </w:rPr>
              <w:t>地理位置</w:t>
            </w:r>
          </w:p>
        </w:tc>
        <w:tc>
          <w:tcPr>
            <w:tcW w:w="767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0000FF"/>
                <w:kern w:val="0"/>
                <w:szCs w:val="21"/>
                <w:lang w:val="en-US" w:eastAsia="zh-CN"/>
              </w:rPr>
            </w:pPr>
            <w:r>
              <w:rPr>
                <w:rFonts w:hint="default" w:ascii="Times New Roman" w:hAnsi="Times New Roman" w:eastAsia="宋体" w:cs="Times New Roman"/>
                <w:b w:val="0"/>
                <w:bCs w:val="0"/>
                <w:color w:val="auto"/>
                <w:spacing w:val="0"/>
                <w:sz w:val="24"/>
                <w:szCs w:val="24"/>
                <w:lang w:val="en-US" w:eastAsia="zh-CN"/>
              </w:rPr>
              <w:t>本项目位于</w:t>
            </w:r>
            <w:r>
              <w:rPr>
                <w:rFonts w:hint="eastAsia" w:ascii="Times New Roman" w:hAnsi="Times New Roman" w:eastAsia="宋体" w:cs="Times New Roman"/>
                <w:b w:val="0"/>
                <w:bCs w:val="0"/>
                <w:color w:val="auto"/>
                <w:spacing w:val="0"/>
                <w:sz w:val="24"/>
                <w:szCs w:val="24"/>
                <w:lang w:val="en-US" w:eastAsia="zh-CN"/>
              </w:rPr>
              <w:t>峨眉河干流下游</w:t>
            </w:r>
            <w:r>
              <w:rPr>
                <w:rFonts w:hint="default" w:ascii="Times New Roman" w:hAnsi="Times New Roman" w:eastAsia="宋体" w:cs="Times New Roman"/>
                <w:b w:val="0"/>
                <w:bCs w:val="0"/>
                <w:color w:val="auto"/>
                <w:spacing w:val="0"/>
                <w:sz w:val="24"/>
                <w:szCs w:val="24"/>
                <w:lang w:val="en-US" w:eastAsia="zh-CN"/>
              </w:rPr>
              <w:t>乐山市市中区</w:t>
            </w:r>
            <w:r>
              <w:rPr>
                <w:rFonts w:hint="eastAsia" w:ascii="Times New Roman" w:hAnsi="Times New Roman" w:eastAsia="宋体" w:cs="Times New Roman"/>
                <w:b w:val="0"/>
                <w:bCs w:val="0"/>
                <w:color w:val="auto"/>
                <w:spacing w:val="0"/>
                <w:sz w:val="24"/>
                <w:szCs w:val="24"/>
                <w:lang w:val="en-US" w:eastAsia="zh-CN"/>
              </w:rPr>
              <w:t>苏稽镇境内，乐峨公路大桥下游510m处，</w:t>
            </w:r>
            <w:r>
              <w:rPr>
                <w:rFonts w:hint="default" w:ascii="Times New Roman" w:hAnsi="Times New Roman" w:eastAsia="宋体" w:cs="Times New Roman"/>
                <w:b w:val="0"/>
                <w:bCs w:val="0"/>
                <w:color w:val="auto"/>
                <w:spacing w:val="0"/>
                <w:sz w:val="24"/>
                <w:szCs w:val="24"/>
                <w:lang w:val="en-US" w:eastAsia="zh-CN"/>
              </w:rPr>
              <w:t>项目地理位置见附图1。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4" w:type="dxa"/>
            <w:noWrap w:val="0"/>
            <w:vAlign w:val="center"/>
          </w:tcPr>
          <w:p>
            <w:pPr>
              <w:keepNext w:val="0"/>
              <w:keepLines w:val="0"/>
              <w:pageBreakBefore w:val="0"/>
              <w:kinsoku/>
              <w:wordWrap/>
              <w:overflowPunct/>
              <w:topLinePunct w:val="0"/>
              <w:bidi w:val="0"/>
              <w:adjustRightInd w:val="0"/>
              <w:snapToGrid w:val="0"/>
              <w:spacing w:line="360" w:lineRule="auto"/>
              <w:jc w:val="center"/>
              <w:textAlignment w:val="auto"/>
              <w:rPr>
                <w:rFonts w:hint="default" w:ascii="Times New Roman" w:hAnsi="Times New Roman" w:cs="Times New Roman"/>
                <w:kern w:val="0"/>
                <w:szCs w:val="21"/>
              </w:rPr>
            </w:pPr>
            <w:r>
              <w:rPr>
                <w:rFonts w:hint="default" w:ascii="Times New Roman" w:hAnsi="Times New Roman" w:cs="Times New Roman"/>
                <w:b/>
                <w:bCs/>
                <w:kern w:val="0"/>
                <w:szCs w:val="21"/>
              </w:rPr>
              <w:t>项目组成及规模</w:t>
            </w:r>
          </w:p>
        </w:tc>
        <w:tc>
          <w:tcPr>
            <w:tcW w:w="7670" w:type="dxa"/>
            <w:noWrap w:val="0"/>
            <w:vAlign w:val="center"/>
          </w:tcPr>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360" w:lineRule="auto"/>
              <w:ind w:left="0" w:leftChars="0" w:right="0" w:firstLine="482" w:firstLineChars="200"/>
              <w:textAlignment w:val="baseline"/>
              <w:rPr>
                <w:rFonts w:hint="default" w:ascii="Times New Roman" w:hAnsi="Times New Roman" w:eastAsia="宋体" w:cs="Times New Roman"/>
                <w:b w:val="0"/>
                <w:bCs w:val="0"/>
                <w:color w:val="auto"/>
                <w:spacing w:val="0"/>
                <w:kern w:val="2"/>
                <w:sz w:val="24"/>
                <w:szCs w:val="24"/>
                <w:lang w:val="en-US" w:eastAsia="zh-CN" w:bidi="ar-SA"/>
              </w:rPr>
            </w:pPr>
            <w:r>
              <w:rPr>
                <w:rFonts w:hint="eastAsia" w:ascii="Times New Roman" w:hAnsi="Times New Roman" w:eastAsia="宋体" w:cs="Times New Roman"/>
                <w:b/>
                <w:bCs/>
                <w:color w:val="auto"/>
                <w:spacing w:val="0"/>
                <w:kern w:val="2"/>
                <w:sz w:val="24"/>
                <w:szCs w:val="24"/>
                <w:lang w:val="en-US" w:eastAsia="zh-CN" w:bidi="ar-SA"/>
              </w:rPr>
              <w:t>1、项目由来</w:t>
            </w:r>
          </w:p>
          <w:p>
            <w:pPr>
              <w:keepNext w:val="0"/>
              <w:keepLines w:val="0"/>
              <w:pageBreakBefore w:val="0"/>
              <w:widowControl w:val="0"/>
              <w:kinsoku/>
              <w:wordWrap/>
              <w:overflowPunct/>
              <w:topLinePunct w:val="0"/>
              <w:bidi w:val="0"/>
              <w:spacing w:line="360" w:lineRule="auto"/>
              <w:ind w:right="0" w:firstLine="480" w:firstLineChars="200"/>
              <w:rPr>
                <w:rFonts w:hint="default" w:ascii="Times New Roman" w:hAnsi="Times New Roman" w:eastAsia="宋体" w:cs="Times New Roman"/>
                <w:b w:val="0"/>
                <w:bCs w:val="0"/>
                <w:color w:val="auto"/>
                <w:spacing w:val="0"/>
                <w:kern w:val="2"/>
                <w:sz w:val="24"/>
                <w:szCs w:val="24"/>
                <w:lang w:val="en-US" w:eastAsia="zh-CN" w:bidi="ar-SA"/>
              </w:rPr>
            </w:pPr>
            <w:r>
              <w:rPr>
                <w:rFonts w:hint="eastAsia" w:ascii="Times New Roman" w:hAnsi="Times New Roman" w:eastAsia="宋体" w:cs="Times New Roman"/>
                <w:b w:val="0"/>
                <w:bCs w:val="0"/>
                <w:color w:val="auto"/>
                <w:spacing w:val="0"/>
                <w:kern w:val="2"/>
                <w:sz w:val="24"/>
                <w:szCs w:val="24"/>
                <w:lang w:val="en-US" w:eastAsia="zh-CN" w:bidi="ar-SA"/>
              </w:rPr>
              <w:t>安福堰建于解放前，位于</w:t>
            </w:r>
            <w:r>
              <w:rPr>
                <w:rFonts w:hint="eastAsia" w:ascii="Times New Roman" w:hAnsi="Times New Roman" w:eastAsia="宋体" w:cs="Times New Roman"/>
                <w:b w:val="0"/>
                <w:bCs w:val="0"/>
                <w:color w:val="auto"/>
                <w:spacing w:val="0"/>
                <w:sz w:val="24"/>
                <w:szCs w:val="24"/>
                <w:lang w:val="en-US" w:eastAsia="zh-CN"/>
              </w:rPr>
              <w:t>峨眉河干流下游</w:t>
            </w:r>
            <w:r>
              <w:rPr>
                <w:rFonts w:hint="default" w:ascii="Times New Roman" w:hAnsi="Times New Roman" w:eastAsia="宋体" w:cs="Times New Roman"/>
                <w:b w:val="0"/>
                <w:bCs w:val="0"/>
                <w:color w:val="auto"/>
                <w:spacing w:val="0"/>
                <w:sz w:val="24"/>
                <w:szCs w:val="24"/>
                <w:lang w:val="en-US" w:eastAsia="zh-CN"/>
              </w:rPr>
              <w:t>乐山市市中区</w:t>
            </w:r>
            <w:r>
              <w:rPr>
                <w:rFonts w:hint="eastAsia" w:ascii="Times New Roman" w:hAnsi="Times New Roman" w:eastAsia="宋体" w:cs="Times New Roman"/>
                <w:b w:val="0"/>
                <w:bCs w:val="0"/>
                <w:color w:val="auto"/>
                <w:spacing w:val="0"/>
                <w:sz w:val="24"/>
                <w:szCs w:val="24"/>
                <w:lang w:val="en-US" w:eastAsia="zh-CN"/>
              </w:rPr>
              <w:t>苏稽镇境内，在峨眉河筑坝取水，设计流量0.6m</w:t>
            </w:r>
            <w:r>
              <w:rPr>
                <w:rFonts w:hint="eastAsia" w:ascii="Times New Roman" w:hAnsi="Times New Roman" w:eastAsia="宋体" w:cs="Times New Roman"/>
                <w:b w:val="0"/>
                <w:bCs w:val="0"/>
                <w:color w:val="auto"/>
                <w:spacing w:val="0"/>
                <w:sz w:val="24"/>
                <w:szCs w:val="24"/>
                <w:vertAlign w:val="superscript"/>
                <w:lang w:val="en-US" w:eastAsia="zh-CN"/>
              </w:rPr>
              <w:t>3</w:t>
            </w:r>
            <w:r>
              <w:rPr>
                <w:rFonts w:hint="eastAsia" w:ascii="Times New Roman" w:hAnsi="Times New Roman" w:eastAsia="宋体" w:cs="Times New Roman"/>
                <w:b w:val="0"/>
                <w:bCs w:val="0"/>
                <w:color w:val="auto"/>
                <w:spacing w:val="0"/>
                <w:sz w:val="24"/>
                <w:szCs w:val="24"/>
                <w:lang w:val="en-US" w:eastAsia="zh-CN"/>
              </w:rPr>
              <w:t>/s，</w:t>
            </w:r>
            <w:r>
              <w:rPr>
                <w:rFonts w:hint="eastAsia" w:ascii="Times New Roman" w:hAnsi="Times New Roman" w:eastAsia="宋体" w:cs="Times New Roman"/>
                <w:b w:val="0"/>
                <w:bCs w:val="0"/>
                <w:color w:val="auto"/>
                <w:spacing w:val="0"/>
                <w:kern w:val="2"/>
                <w:sz w:val="24"/>
                <w:szCs w:val="24"/>
                <w:lang w:val="en-US" w:eastAsia="zh-CN" w:bidi="ar-SA"/>
              </w:rPr>
              <w:t>设计灌面4800亩，现状实际灌面3600亩，</w:t>
            </w:r>
            <w:r>
              <w:rPr>
                <w:rFonts w:hint="eastAsia" w:ascii="Times New Roman" w:hAnsi="Times New Roman" w:eastAsia="宋体" w:cs="Times New Roman"/>
                <w:b w:val="0"/>
                <w:bCs w:val="0"/>
                <w:color w:val="auto"/>
                <w:spacing w:val="0"/>
                <w:sz w:val="24"/>
                <w:szCs w:val="24"/>
                <w:lang w:val="en-US" w:eastAsia="zh-CN"/>
              </w:rPr>
              <w:t>经明渠输水进行自流灌溉，灌面覆盖苏稽镇新联村、石鼓寺村、雷坝村及水口场社区，是苏稽镇及水口镇重要的灌溉工程。现由于安福堰浆砌条石坝已经损毁，取水困难，需要对安福堰取水枢纽进行全面综合治理。</w:t>
            </w:r>
          </w:p>
          <w:p>
            <w:pPr>
              <w:keepNext w:val="0"/>
              <w:keepLines w:val="0"/>
              <w:pageBreakBefore w:val="0"/>
              <w:widowControl w:val="0"/>
              <w:kinsoku/>
              <w:wordWrap/>
              <w:overflowPunct/>
              <w:topLinePunct w:val="0"/>
              <w:bidi w:val="0"/>
              <w:spacing w:line="360" w:lineRule="auto"/>
              <w:ind w:right="0" w:firstLine="480" w:firstLineChars="200"/>
              <w:rPr>
                <w:rFonts w:hint="eastAsia" w:ascii="Times New Roman" w:hAnsi="Times New Roman" w:eastAsia="宋体" w:cs="Times New Roman"/>
                <w:b w:val="0"/>
                <w:bCs w:val="0"/>
                <w:color w:val="auto"/>
                <w:spacing w:val="0"/>
                <w:kern w:val="2"/>
                <w:sz w:val="24"/>
                <w:szCs w:val="24"/>
                <w:lang w:val="en-US" w:eastAsia="zh-CN" w:bidi="ar-SA"/>
              </w:rPr>
            </w:pPr>
            <w:r>
              <w:rPr>
                <w:rFonts w:hint="eastAsia" w:ascii="Times New Roman" w:hAnsi="Times New Roman" w:eastAsia="宋体" w:cs="Times New Roman"/>
                <w:b w:val="0"/>
                <w:bCs w:val="0"/>
                <w:color w:val="auto"/>
                <w:spacing w:val="0"/>
                <w:kern w:val="2"/>
                <w:sz w:val="24"/>
                <w:szCs w:val="24"/>
                <w:lang w:val="en-US" w:eastAsia="zh-CN" w:bidi="ar-SA"/>
              </w:rPr>
              <w:t>主要整治内容为将原安福堰条石低坝改造为拦河气盾升坝（以下简称气盾坝），改造取水口，整治引水渠，修建多级跌水消能，加固工程段两岸护岸。本次拟建的安福堰气盾坝，在原安福堰处，坝址区控制峨眉河流域面积484km</w:t>
            </w:r>
            <w:r>
              <w:rPr>
                <w:rFonts w:hint="eastAsia" w:ascii="Times New Roman" w:hAnsi="Times New Roman" w:eastAsia="宋体" w:cs="Times New Roman"/>
                <w:b w:val="0"/>
                <w:bCs w:val="0"/>
                <w:color w:val="auto"/>
                <w:spacing w:val="0"/>
                <w:kern w:val="2"/>
                <w:sz w:val="24"/>
                <w:szCs w:val="24"/>
                <w:vertAlign w:val="superscript"/>
                <w:lang w:val="en-US" w:eastAsia="zh-CN" w:bidi="ar-SA"/>
              </w:rPr>
              <w:t>2</w:t>
            </w:r>
            <w:r>
              <w:rPr>
                <w:rFonts w:hint="eastAsia" w:ascii="Times New Roman" w:hAnsi="Times New Roman" w:eastAsia="宋体" w:cs="Times New Roman"/>
                <w:b w:val="0"/>
                <w:bCs w:val="0"/>
                <w:color w:val="auto"/>
                <w:spacing w:val="0"/>
                <w:kern w:val="2"/>
                <w:sz w:val="24"/>
                <w:szCs w:val="24"/>
                <w:lang w:val="en-US" w:eastAsia="zh-CN" w:bidi="ar-SA"/>
              </w:rPr>
              <w:t>，水量充沛。根据乐山市峨眉河旅游综合开发规划，峨眉河开发已列入乐山市近期重点实施的工程，实施安福堰综合整治工程，不仅可以确保灌溉工程发挥正常作用，也改善了景观效果，提升了峨眉河旅游价值。</w:t>
            </w:r>
          </w:p>
          <w:p>
            <w:pPr>
              <w:keepNext w:val="0"/>
              <w:keepLines w:val="0"/>
              <w:pageBreakBefore w:val="0"/>
              <w:widowControl w:val="0"/>
              <w:kinsoku/>
              <w:wordWrap/>
              <w:overflowPunct/>
              <w:topLinePunct w:val="0"/>
              <w:bidi w:val="0"/>
              <w:spacing w:line="360" w:lineRule="auto"/>
              <w:ind w:right="0" w:firstLine="480" w:firstLineChars="200"/>
              <w:rPr>
                <w:rFonts w:hint="default" w:ascii="Times New Roman" w:hAnsi="Times New Roman" w:cs="Times New Roman"/>
                <w:color w:val="auto"/>
                <w:spacing w:val="0"/>
                <w:sz w:val="24"/>
                <w:szCs w:val="24"/>
                <w:lang w:val="en-US"/>
              </w:rPr>
            </w:pPr>
            <w:r>
              <w:rPr>
                <w:rFonts w:hint="eastAsia" w:ascii="Times New Roman" w:hAnsi="Times New Roman" w:eastAsia="宋体" w:cs="Times New Roman"/>
                <w:b w:val="0"/>
                <w:bCs w:val="0"/>
                <w:color w:val="auto"/>
                <w:spacing w:val="0"/>
                <w:kern w:val="2"/>
                <w:sz w:val="24"/>
                <w:szCs w:val="24"/>
                <w:lang w:val="en-US" w:eastAsia="zh-CN" w:bidi="ar-SA"/>
              </w:rPr>
              <w:t>综上，乐山嘉和投资有限责任公司拟投资3438万元建设苏稽峨眉河安福堰综合整治工程。</w:t>
            </w:r>
            <w:r>
              <w:rPr>
                <w:rFonts w:hint="default" w:ascii="Times New Roman" w:hAnsi="Times New Roman" w:cs="Times New Roman"/>
                <w:color w:val="auto"/>
                <w:spacing w:val="0"/>
                <w:sz w:val="24"/>
                <w:szCs w:val="24"/>
              </w:rPr>
              <w:t>202</w:t>
            </w:r>
            <w:r>
              <w:rPr>
                <w:rFonts w:hint="eastAsia" w:ascii="Times New Roman" w:hAnsi="Times New Roman" w:cs="Times New Roman"/>
                <w:color w:val="auto"/>
                <w:spacing w:val="0"/>
                <w:sz w:val="24"/>
                <w:szCs w:val="24"/>
                <w:lang w:val="en-US" w:eastAsia="zh-CN"/>
              </w:rPr>
              <w:t>2</w:t>
            </w:r>
            <w:r>
              <w:rPr>
                <w:rFonts w:hint="default" w:ascii="Times New Roman" w:hAnsi="Times New Roman" w:cs="Times New Roman"/>
                <w:color w:val="auto"/>
                <w:spacing w:val="0"/>
                <w:sz w:val="24"/>
                <w:szCs w:val="24"/>
              </w:rPr>
              <w:t>年</w:t>
            </w:r>
            <w:r>
              <w:rPr>
                <w:rFonts w:hint="default" w:ascii="Times New Roman" w:hAnsi="Times New Roman" w:cs="Times New Roman"/>
                <w:color w:val="auto"/>
                <w:spacing w:val="0"/>
                <w:sz w:val="24"/>
                <w:szCs w:val="24"/>
                <w:lang w:val="en-US" w:eastAsia="zh-CN"/>
              </w:rPr>
              <w:t>2</w:t>
            </w:r>
            <w:r>
              <w:rPr>
                <w:rFonts w:hint="default" w:ascii="Times New Roman" w:hAnsi="Times New Roman" w:cs="Times New Roman"/>
                <w:color w:val="auto"/>
                <w:spacing w:val="0"/>
                <w:sz w:val="24"/>
                <w:szCs w:val="24"/>
              </w:rPr>
              <w:t>月</w:t>
            </w:r>
            <w:r>
              <w:rPr>
                <w:rFonts w:hint="eastAsia" w:ascii="Times New Roman" w:hAnsi="Times New Roman" w:cs="Times New Roman"/>
                <w:color w:val="auto"/>
                <w:spacing w:val="0"/>
                <w:sz w:val="24"/>
                <w:szCs w:val="24"/>
                <w:lang w:val="en-US" w:eastAsia="zh-CN"/>
              </w:rPr>
              <w:t>23</w:t>
            </w:r>
            <w:r>
              <w:rPr>
                <w:rFonts w:hint="default" w:ascii="Times New Roman" w:hAnsi="Times New Roman" w:cs="Times New Roman"/>
                <w:color w:val="auto"/>
                <w:spacing w:val="0"/>
                <w:sz w:val="24"/>
                <w:szCs w:val="24"/>
              </w:rPr>
              <w:t>日，</w:t>
            </w:r>
            <w:r>
              <w:rPr>
                <w:rFonts w:hint="default" w:ascii="Times New Roman" w:hAnsi="Times New Roman" w:cs="Times New Roman"/>
                <w:color w:val="auto"/>
                <w:spacing w:val="0"/>
                <w:sz w:val="24"/>
                <w:szCs w:val="24"/>
                <w:lang w:eastAsia="zh-CN"/>
              </w:rPr>
              <w:t>乐山市</w:t>
            </w:r>
            <w:r>
              <w:rPr>
                <w:rFonts w:hint="eastAsia" w:ascii="Times New Roman" w:hAnsi="Times New Roman" w:cs="Times New Roman"/>
                <w:color w:val="auto"/>
                <w:spacing w:val="0"/>
                <w:sz w:val="24"/>
                <w:szCs w:val="24"/>
                <w:lang w:val="en-US" w:eastAsia="zh-CN"/>
              </w:rPr>
              <w:t>中区</w:t>
            </w:r>
            <w:r>
              <w:rPr>
                <w:rFonts w:hint="default" w:ascii="Times New Roman" w:hAnsi="Times New Roman" w:cs="Times New Roman"/>
                <w:color w:val="auto"/>
                <w:spacing w:val="0"/>
                <w:sz w:val="24"/>
                <w:szCs w:val="24"/>
                <w:lang w:eastAsia="zh-CN"/>
              </w:rPr>
              <w:t>发展和改革</w:t>
            </w:r>
            <w:r>
              <w:rPr>
                <w:rFonts w:hint="eastAsia" w:ascii="Times New Roman" w:hAnsi="Times New Roman" w:cs="Times New Roman"/>
                <w:color w:val="auto"/>
                <w:spacing w:val="0"/>
                <w:sz w:val="24"/>
                <w:szCs w:val="24"/>
                <w:lang w:val="en-US" w:eastAsia="zh-CN"/>
              </w:rPr>
              <w:t>局</w:t>
            </w:r>
            <w:r>
              <w:rPr>
                <w:rFonts w:hint="default" w:ascii="Times New Roman" w:hAnsi="Times New Roman" w:cs="Times New Roman"/>
                <w:color w:val="auto"/>
                <w:spacing w:val="0"/>
                <w:sz w:val="24"/>
                <w:szCs w:val="24"/>
              </w:rPr>
              <w:t>出具了</w:t>
            </w:r>
            <w:r>
              <w:rPr>
                <w:rFonts w:hint="eastAsia" w:ascii="Times New Roman" w:hAnsi="Times New Roman" w:cs="Times New Roman"/>
                <w:color w:val="auto"/>
                <w:spacing w:val="0"/>
                <w:sz w:val="24"/>
                <w:szCs w:val="24"/>
                <w:lang w:val="en-US" w:eastAsia="zh-CN"/>
              </w:rPr>
              <w:t>该项目备案表</w:t>
            </w:r>
            <w:r>
              <w:rPr>
                <w:rFonts w:hint="default" w:ascii="Times New Roman" w:hAnsi="Times New Roman" w:eastAsia="宋体" w:cs="Times New Roman"/>
                <w:color w:val="auto"/>
                <w:spacing w:val="0"/>
                <w:sz w:val="24"/>
                <w:szCs w:val="24"/>
                <w:highlight w:val="none"/>
                <w:lang w:eastAsia="zh-CN"/>
              </w:rPr>
              <w:t>，</w:t>
            </w:r>
            <w:r>
              <w:rPr>
                <w:rFonts w:hint="eastAsia" w:ascii="Times New Roman" w:hAnsi="Times New Roman" w:eastAsia="宋体" w:cs="Times New Roman"/>
                <w:color w:val="auto"/>
                <w:spacing w:val="0"/>
                <w:sz w:val="24"/>
                <w:szCs w:val="24"/>
                <w:highlight w:val="none"/>
                <w:lang w:val="en-US" w:eastAsia="zh-CN"/>
              </w:rPr>
              <w:t>备案号</w:t>
            </w:r>
            <w:r>
              <w:rPr>
                <w:rFonts w:hint="default" w:ascii="Times New Roman" w:hAnsi="Times New Roman" w:eastAsia="宋体" w:cs="Times New Roman"/>
                <w:color w:val="auto"/>
                <w:spacing w:val="0"/>
                <w:sz w:val="24"/>
                <w:szCs w:val="24"/>
                <w:highlight w:val="none"/>
                <w:lang w:eastAsia="zh-CN"/>
              </w:rPr>
              <w:t>为“</w:t>
            </w:r>
            <w:r>
              <w:rPr>
                <w:rFonts w:hint="eastAsia" w:ascii="Times New Roman" w:hAnsi="Times New Roman" w:eastAsia="宋体" w:cs="Times New Roman"/>
                <w:color w:val="auto"/>
                <w:spacing w:val="0"/>
                <w:sz w:val="24"/>
                <w:szCs w:val="24"/>
                <w:highlight w:val="none"/>
                <w:lang w:val="en-US" w:eastAsia="zh-CN"/>
              </w:rPr>
              <w:t>川投资备</w:t>
            </w:r>
            <w:r>
              <w:rPr>
                <w:rFonts w:hint="eastAsia" w:ascii="Times New Roman" w:hAnsi="Times New Roman" w:eastAsia="宋体" w:cs="Times New Roman"/>
                <w:kern w:val="21"/>
                <w:sz w:val="24"/>
                <w:szCs w:val="24"/>
                <w:lang w:val="en-US" w:eastAsia="zh-CN"/>
              </w:rPr>
              <w:t>【2202</w:t>
            </w:r>
            <w:r>
              <w:rPr>
                <w:rFonts w:hint="default" w:ascii="Times New Roman" w:hAnsi="Times New Roman" w:eastAsia="Calibri" w:cs="Times New Roman"/>
                <w:kern w:val="21"/>
                <w:sz w:val="24"/>
                <w:szCs w:val="24"/>
              </w:rPr>
              <w:t>-5111</w:t>
            </w:r>
            <w:r>
              <w:rPr>
                <w:rFonts w:hint="eastAsia" w:ascii="Times New Roman" w:hAnsi="Times New Roman" w:eastAsia="宋体" w:cs="Times New Roman"/>
                <w:kern w:val="21"/>
                <w:sz w:val="24"/>
                <w:szCs w:val="24"/>
                <w:lang w:val="en-US" w:eastAsia="zh-CN"/>
              </w:rPr>
              <w:t>02</w:t>
            </w:r>
            <w:r>
              <w:rPr>
                <w:rFonts w:hint="default" w:ascii="Times New Roman" w:hAnsi="Times New Roman" w:eastAsia="Calibri" w:cs="Times New Roman"/>
                <w:kern w:val="21"/>
                <w:sz w:val="24"/>
                <w:szCs w:val="24"/>
              </w:rPr>
              <w:t>-</w:t>
            </w:r>
            <w:r>
              <w:rPr>
                <w:rFonts w:hint="eastAsia" w:ascii="Times New Roman" w:hAnsi="Times New Roman" w:eastAsia="宋体" w:cs="Times New Roman"/>
                <w:kern w:val="21"/>
                <w:sz w:val="24"/>
                <w:szCs w:val="24"/>
                <w:lang w:val="en-US" w:eastAsia="zh-CN"/>
              </w:rPr>
              <w:t>04</w:t>
            </w:r>
            <w:r>
              <w:rPr>
                <w:rFonts w:hint="default" w:ascii="Times New Roman" w:hAnsi="Times New Roman" w:eastAsia="Calibri" w:cs="Times New Roman"/>
                <w:kern w:val="21"/>
                <w:sz w:val="24"/>
                <w:szCs w:val="24"/>
              </w:rPr>
              <w:t>-01-</w:t>
            </w:r>
            <w:r>
              <w:rPr>
                <w:rFonts w:hint="eastAsia" w:ascii="Times New Roman" w:hAnsi="Times New Roman" w:eastAsia="宋体" w:cs="Times New Roman"/>
                <w:kern w:val="21"/>
                <w:sz w:val="24"/>
                <w:szCs w:val="24"/>
                <w:lang w:val="en-US" w:eastAsia="zh-CN"/>
              </w:rPr>
              <w:t>468223】FGQB-0032号</w:t>
            </w:r>
            <w:r>
              <w:rPr>
                <w:rFonts w:hint="default" w:ascii="Times New Roman" w:hAnsi="Times New Roman" w:eastAsia="宋体" w:cs="Times New Roman"/>
                <w:color w:val="auto"/>
                <w:spacing w:val="0"/>
                <w:sz w:val="24"/>
                <w:szCs w:val="24"/>
                <w:highlight w:val="none"/>
                <w:lang w:eastAsia="zh-CN"/>
              </w:rPr>
              <w:t>”，同意本项目的建设。</w:t>
            </w:r>
            <w:r>
              <w:rPr>
                <w:rFonts w:hint="eastAsia" w:ascii="Times New Roman" w:hAnsi="Times New Roman" w:eastAsia="宋体" w:cs="Times New Roman"/>
                <w:color w:val="auto"/>
                <w:spacing w:val="0"/>
                <w:sz w:val="24"/>
                <w:szCs w:val="24"/>
                <w:highlight w:val="none"/>
                <w:lang w:val="en-US" w:eastAsia="zh-CN"/>
              </w:rPr>
              <w:t>2022年4月20日，</w:t>
            </w:r>
            <w:r>
              <w:rPr>
                <w:rFonts w:hint="eastAsia" w:ascii="Times New Roman" w:hAnsi="Times New Roman" w:eastAsia="宋体" w:cs="Times New Roman"/>
                <w:b w:val="0"/>
                <w:bCs w:val="0"/>
                <w:color w:val="auto"/>
                <w:spacing w:val="0"/>
                <w:kern w:val="2"/>
                <w:sz w:val="24"/>
                <w:szCs w:val="24"/>
                <w:lang w:val="en-US" w:eastAsia="zh-CN" w:bidi="ar-SA"/>
              </w:rPr>
              <w:t>苏稽峨眉河安福堰综合整治工程初步设计报告通过专家审查；</w:t>
            </w:r>
            <w:r>
              <w:rPr>
                <w:rFonts w:hint="eastAsia" w:ascii="Times New Roman" w:hAnsi="Times New Roman" w:eastAsia="宋体" w:cs="Times New Roman"/>
                <w:color w:val="auto"/>
                <w:spacing w:val="0"/>
                <w:sz w:val="24"/>
                <w:szCs w:val="24"/>
                <w:highlight w:val="none"/>
                <w:lang w:val="en-US" w:eastAsia="zh-CN"/>
              </w:rPr>
              <w:t>2022年5月6日，乐山市水务局出具了该工程行洪论证与河势稳定评价报告的批复。</w:t>
            </w:r>
          </w:p>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360" w:lineRule="auto"/>
              <w:ind w:left="0" w:leftChars="0" w:right="0" w:firstLine="482" w:firstLineChars="200"/>
              <w:textAlignment w:val="baseline"/>
              <w:outlineLvl w:val="1"/>
              <w:rPr>
                <w:rFonts w:hint="default" w:ascii="Times New Roman" w:hAnsi="Times New Roman" w:eastAsia="宋体" w:cs="Times New Roman"/>
                <w:b/>
                <w:bCs/>
                <w:color w:val="auto"/>
                <w:spacing w:val="0"/>
                <w:kern w:val="2"/>
                <w:sz w:val="24"/>
                <w:szCs w:val="24"/>
                <w:lang w:val="en-US" w:eastAsia="zh-CN" w:bidi="ar-SA"/>
              </w:rPr>
            </w:pPr>
            <w:bookmarkStart w:id="8" w:name="_Toc23537"/>
            <w:r>
              <w:rPr>
                <w:rFonts w:hint="default" w:ascii="Times New Roman" w:hAnsi="Times New Roman" w:eastAsia="宋体" w:cs="Times New Roman"/>
                <w:b/>
                <w:bCs/>
                <w:color w:val="auto"/>
                <w:spacing w:val="0"/>
                <w:kern w:val="2"/>
                <w:sz w:val="24"/>
                <w:szCs w:val="24"/>
                <w:lang w:val="en-US" w:eastAsia="zh-CN" w:bidi="ar-SA"/>
              </w:rPr>
              <w:t>2、项目建设必要性</w:t>
            </w:r>
            <w:bookmarkEnd w:id="8"/>
          </w:p>
          <w:p>
            <w:pPr>
              <w:keepNext w:val="0"/>
              <w:keepLines w:val="0"/>
              <w:pageBreakBefore w:val="0"/>
              <w:widowControl w:val="0"/>
              <w:kinsoku/>
              <w:wordWrap/>
              <w:overflowPunct/>
              <w:topLinePunct w:val="0"/>
              <w:autoSpaceDE/>
              <w:autoSpaceDN/>
              <w:bidi w:val="0"/>
              <w:adjustRightInd/>
              <w:snapToGrid/>
              <w:spacing w:line="360" w:lineRule="auto"/>
              <w:ind w:right="0" w:firstLine="482"/>
              <w:textAlignment w:val="auto"/>
              <w:rPr>
                <w:rFonts w:hint="eastAsia" w:ascii="Times New Roman" w:hAnsi="Times New Roman" w:eastAsia="宋体" w:cs="Times New Roman"/>
                <w:b/>
                <w:bCs/>
                <w:color w:val="auto"/>
                <w:spacing w:val="0"/>
                <w:kern w:val="2"/>
                <w:sz w:val="24"/>
                <w:szCs w:val="24"/>
                <w:lang w:val="en-US" w:eastAsia="zh-CN" w:bidi="ar-SA"/>
              </w:rPr>
            </w:pPr>
            <w:r>
              <w:rPr>
                <w:rFonts w:hint="eastAsia" w:ascii="Times New Roman" w:hAnsi="Times New Roman" w:eastAsia="宋体" w:cs="Times New Roman"/>
                <w:b/>
                <w:bCs/>
                <w:color w:val="auto"/>
                <w:spacing w:val="0"/>
                <w:kern w:val="2"/>
                <w:sz w:val="24"/>
                <w:szCs w:val="24"/>
                <w:lang w:val="en-US" w:eastAsia="zh-CN" w:bidi="ar-SA"/>
              </w:rPr>
              <w:t>（1）安福堰综合整治工程</w:t>
            </w:r>
            <w:r>
              <w:rPr>
                <w:rFonts w:hint="default" w:ascii="Times New Roman" w:hAnsi="Times New Roman" w:eastAsia="宋体" w:cs="Times New Roman"/>
                <w:b/>
                <w:bCs/>
                <w:color w:val="auto"/>
                <w:spacing w:val="0"/>
                <w:kern w:val="2"/>
                <w:sz w:val="24"/>
                <w:szCs w:val="24"/>
                <w:lang w:val="en-US" w:eastAsia="zh-CN" w:bidi="ar-SA"/>
              </w:rPr>
              <w:t>是建设骨干水利工程</w:t>
            </w:r>
            <w:r>
              <w:rPr>
                <w:rFonts w:hint="eastAsia" w:ascii="Times New Roman" w:hAnsi="Times New Roman" w:eastAsia="宋体" w:cs="Times New Roman"/>
                <w:b/>
                <w:bCs/>
                <w:color w:val="auto"/>
                <w:spacing w:val="0"/>
                <w:kern w:val="2"/>
                <w:sz w:val="24"/>
                <w:szCs w:val="24"/>
                <w:lang w:val="en-US" w:eastAsia="zh-CN" w:bidi="ar-SA"/>
              </w:rPr>
              <w:t>，保障水源，</w:t>
            </w:r>
            <w:r>
              <w:rPr>
                <w:rFonts w:hint="default" w:ascii="Times New Roman" w:hAnsi="Times New Roman" w:eastAsia="宋体" w:cs="Times New Roman"/>
                <w:b/>
                <w:bCs/>
                <w:color w:val="auto"/>
                <w:spacing w:val="0"/>
                <w:kern w:val="2"/>
                <w:sz w:val="24"/>
                <w:szCs w:val="24"/>
                <w:lang w:val="en-US" w:eastAsia="zh-CN" w:bidi="ar-SA"/>
              </w:rPr>
              <w:t>提高粮食综合生产能力的需要</w:t>
            </w:r>
            <w:r>
              <w:rPr>
                <w:rFonts w:hint="eastAsia" w:ascii="Times New Roman" w:hAnsi="Times New Roman" w:eastAsia="宋体" w:cs="Times New Roman"/>
                <w:b/>
                <w:bCs/>
                <w:color w:val="auto"/>
                <w:spacing w:val="0"/>
                <w:kern w:val="2"/>
                <w:sz w:val="24"/>
                <w:szCs w:val="24"/>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eastAsia" w:ascii="Times New Roman" w:hAnsi="Times New Roman" w:eastAsia="宋体" w:cs="Times New Roman"/>
                <w:b w:val="0"/>
                <w:bCs w:val="0"/>
                <w:color w:val="auto"/>
                <w:spacing w:val="0"/>
                <w:kern w:val="2"/>
                <w:sz w:val="24"/>
                <w:szCs w:val="24"/>
                <w:lang w:val="en-US" w:eastAsia="zh-CN" w:bidi="ar-SA"/>
              </w:rPr>
            </w:pPr>
            <w:r>
              <w:rPr>
                <w:rFonts w:hint="eastAsia" w:ascii="Times New Roman" w:hAnsi="Times New Roman" w:eastAsia="宋体" w:cs="Times New Roman"/>
                <w:b w:val="0"/>
                <w:bCs w:val="0"/>
                <w:color w:val="auto"/>
                <w:spacing w:val="0"/>
                <w:kern w:val="2"/>
                <w:sz w:val="24"/>
                <w:szCs w:val="24"/>
                <w:lang w:val="en-US" w:eastAsia="zh-CN" w:bidi="ar-SA"/>
              </w:rPr>
              <w:t>安福堰灌区所在的苏稽镇是市中区社会</w:t>
            </w:r>
            <w:r>
              <w:rPr>
                <w:rFonts w:hint="default" w:ascii="Times New Roman" w:hAnsi="Times New Roman" w:eastAsia="宋体" w:cs="Times New Roman"/>
                <w:b w:val="0"/>
                <w:bCs w:val="0"/>
                <w:color w:val="auto"/>
                <w:spacing w:val="0"/>
                <w:kern w:val="2"/>
                <w:sz w:val="24"/>
                <w:szCs w:val="24"/>
                <w:lang w:val="en-US" w:eastAsia="zh-CN" w:bidi="ar-SA"/>
              </w:rPr>
              <w:t>经济条件</w:t>
            </w:r>
            <w:r>
              <w:rPr>
                <w:rFonts w:hint="eastAsia" w:ascii="Times New Roman" w:hAnsi="Times New Roman" w:eastAsia="宋体" w:cs="Times New Roman"/>
                <w:b w:val="0"/>
                <w:bCs w:val="0"/>
                <w:color w:val="auto"/>
                <w:spacing w:val="0"/>
                <w:kern w:val="2"/>
                <w:sz w:val="24"/>
                <w:szCs w:val="24"/>
                <w:lang w:val="en-US" w:eastAsia="zh-CN" w:bidi="ar-SA"/>
              </w:rPr>
              <w:t>和农业生产条件</w:t>
            </w:r>
            <w:r>
              <w:rPr>
                <w:rFonts w:hint="default" w:ascii="Times New Roman" w:hAnsi="Times New Roman" w:eastAsia="宋体" w:cs="Times New Roman"/>
                <w:b w:val="0"/>
                <w:bCs w:val="0"/>
                <w:color w:val="auto"/>
                <w:spacing w:val="0"/>
                <w:kern w:val="2"/>
                <w:sz w:val="24"/>
                <w:szCs w:val="24"/>
                <w:lang w:val="en-US" w:eastAsia="zh-CN" w:bidi="ar-SA"/>
              </w:rPr>
              <w:t>较好的地区，资源丰富，交通便利，经济发展较快。</w:t>
            </w:r>
            <w:r>
              <w:rPr>
                <w:rFonts w:hint="eastAsia" w:ascii="Times New Roman" w:hAnsi="Times New Roman" w:eastAsia="宋体" w:cs="Times New Roman"/>
                <w:b w:val="0"/>
                <w:bCs w:val="0"/>
                <w:color w:val="auto"/>
                <w:spacing w:val="0"/>
                <w:kern w:val="2"/>
                <w:sz w:val="24"/>
                <w:szCs w:val="24"/>
                <w:lang w:val="en-US" w:eastAsia="zh-CN" w:bidi="ar-SA"/>
              </w:rPr>
              <w:t>安福堰是灌区农业生产的用水需求。但安福堰建于解放前，取水口为浆砌条石低坝，目前堰体局部遭破坏，取水水位降低使灌区取水量无法得到保证，灌溉取水水源保证率低。本次安福堰综合整治</w:t>
            </w:r>
            <w:r>
              <w:rPr>
                <w:rFonts w:hint="default" w:ascii="Times New Roman" w:hAnsi="Times New Roman" w:eastAsia="宋体" w:cs="Times New Roman"/>
                <w:b w:val="0"/>
                <w:bCs w:val="0"/>
                <w:color w:val="auto"/>
                <w:spacing w:val="0"/>
                <w:kern w:val="2"/>
                <w:sz w:val="24"/>
                <w:szCs w:val="24"/>
                <w:lang w:val="en-US" w:eastAsia="zh-CN" w:bidi="ar-SA"/>
              </w:rPr>
              <w:t>任务以</w:t>
            </w:r>
            <w:r>
              <w:rPr>
                <w:rFonts w:hint="eastAsia" w:ascii="Times New Roman" w:hAnsi="Times New Roman" w:eastAsia="宋体" w:cs="Times New Roman"/>
                <w:b w:val="0"/>
                <w:bCs w:val="0"/>
                <w:color w:val="auto"/>
                <w:spacing w:val="0"/>
                <w:kern w:val="2"/>
                <w:sz w:val="24"/>
                <w:szCs w:val="24"/>
                <w:lang w:val="en-US" w:eastAsia="zh-CN" w:bidi="ar-SA"/>
              </w:rPr>
              <w:t>农田</w:t>
            </w:r>
            <w:r>
              <w:rPr>
                <w:rFonts w:hint="default" w:ascii="Times New Roman" w:hAnsi="Times New Roman" w:eastAsia="宋体" w:cs="Times New Roman"/>
                <w:b w:val="0"/>
                <w:bCs w:val="0"/>
                <w:color w:val="auto"/>
                <w:spacing w:val="0"/>
                <w:kern w:val="2"/>
                <w:sz w:val="24"/>
                <w:szCs w:val="24"/>
                <w:lang w:val="en-US" w:eastAsia="zh-CN" w:bidi="ar-SA"/>
              </w:rPr>
              <w:t>灌溉为主，兼顾</w:t>
            </w:r>
            <w:r>
              <w:rPr>
                <w:rFonts w:hint="eastAsia" w:ascii="Times New Roman" w:hAnsi="Times New Roman" w:eastAsia="宋体" w:cs="Times New Roman"/>
                <w:b w:val="0"/>
                <w:bCs w:val="0"/>
                <w:color w:val="auto"/>
                <w:spacing w:val="0"/>
                <w:kern w:val="2"/>
                <w:sz w:val="24"/>
                <w:szCs w:val="24"/>
                <w:lang w:val="en-US" w:eastAsia="zh-CN" w:bidi="ar-SA"/>
              </w:rPr>
              <w:t>河湖生态治理及打造峨眉河苏稽段水景观</w:t>
            </w:r>
            <w:r>
              <w:rPr>
                <w:rFonts w:hint="default" w:ascii="Times New Roman" w:hAnsi="Times New Roman" w:eastAsia="宋体" w:cs="Times New Roman"/>
                <w:b w:val="0"/>
                <w:bCs w:val="0"/>
                <w:color w:val="auto"/>
                <w:spacing w:val="0"/>
                <w:kern w:val="2"/>
                <w:sz w:val="24"/>
                <w:szCs w:val="24"/>
                <w:lang w:val="en-US" w:eastAsia="zh-CN" w:bidi="ar-SA"/>
              </w:rPr>
              <w:t>等综合利用。</w:t>
            </w:r>
            <w:r>
              <w:rPr>
                <w:rFonts w:hint="eastAsia" w:ascii="Times New Roman" w:hAnsi="Times New Roman" w:eastAsia="宋体" w:cs="Times New Roman"/>
                <w:b w:val="0"/>
                <w:bCs w:val="0"/>
                <w:color w:val="auto"/>
                <w:spacing w:val="0"/>
                <w:kern w:val="2"/>
                <w:sz w:val="24"/>
                <w:szCs w:val="24"/>
                <w:lang w:val="en-US" w:eastAsia="zh-CN" w:bidi="ar-SA"/>
              </w:rPr>
              <w:t>安福堰综合整治工程从根本上解决水源问题，发展节水农业，提高农业特别是粮食综合生产能力，为保障国家粮食安全做出贡献。</w:t>
            </w:r>
          </w:p>
          <w:p>
            <w:pPr>
              <w:keepNext w:val="0"/>
              <w:keepLines w:val="0"/>
              <w:pageBreakBefore w:val="0"/>
              <w:widowControl w:val="0"/>
              <w:kinsoku/>
              <w:wordWrap/>
              <w:overflowPunct/>
              <w:topLinePunct w:val="0"/>
              <w:autoSpaceDE/>
              <w:autoSpaceDN/>
              <w:bidi w:val="0"/>
              <w:adjustRightInd/>
              <w:snapToGrid/>
              <w:spacing w:line="360" w:lineRule="auto"/>
              <w:ind w:right="0" w:firstLine="482" w:firstLineChars="200"/>
              <w:textAlignment w:val="auto"/>
              <w:rPr>
                <w:rFonts w:hint="eastAsia" w:ascii="Times New Roman" w:hAnsi="Times New Roman" w:eastAsia="宋体" w:cs="Times New Roman"/>
                <w:b/>
                <w:bCs/>
                <w:color w:val="auto"/>
                <w:spacing w:val="0"/>
                <w:kern w:val="2"/>
                <w:sz w:val="24"/>
                <w:szCs w:val="24"/>
                <w:lang w:val="en-US" w:eastAsia="zh-CN" w:bidi="ar-SA"/>
              </w:rPr>
            </w:pPr>
            <w:r>
              <w:rPr>
                <w:rFonts w:hint="eastAsia" w:ascii="Times New Roman" w:hAnsi="Times New Roman" w:eastAsia="宋体" w:cs="Times New Roman"/>
                <w:b/>
                <w:bCs/>
                <w:color w:val="auto"/>
                <w:spacing w:val="0"/>
                <w:kern w:val="2"/>
                <w:sz w:val="24"/>
                <w:szCs w:val="24"/>
                <w:lang w:val="en-US" w:eastAsia="zh-CN" w:bidi="ar-SA"/>
              </w:rPr>
              <w:t>（2）安福堰综合整治工程是提高防洪能力，确保人民群众生命安全的需要</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eastAsia" w:ascii="Times New Roman" w:hAnsi="Times New Roman" w:eastAsia="宋体" w:cs="Times New Roman"/>
                <w:b w:val="0"/>
                <w:bCs w:val="0"/>
                <w:color w:val="auto"/>
                <w:spacing w:val="0"/>
                <w:kern w:val="2"/>
                <w:sz w:val="24"/>
                <w:szCs w:val="24"/>
                <w:lang w:val="en-US" w:eastAsia="zh-CN" w:bidi="ar-SA"/>
              </w:rPr>
            </w:pPr>
            <w:r>
              <w:rPr>
                <w:rFonts w:hint="eastAsia" w:ascii="Times New Roman" w:hAnsi="Times New Roman" w:eastAsia="宋体" w:cs="Times New Roman"/>
                <w:b w:val="0"/>
                <w:bCs w:val="0"/>
                <w:color w:val="auto"/>
                <w:spacing w:val="0"/>
                <w:kern w:val="2"/>
                <w:sz w:val="24"/>
                <w:szCs w:val="24"/>
                <w:lang w:val="en-US" w:eastAsia="zh-CN" w:bidi="ar-SA"/>
              </w:rPr>
              <w:t>安福堰上游及下游均建有挡河挡水低堰，坝体的拦挡原因使河床淤积抬升2~3m，受安福堰取水坝局部破坏及下游淤积的影响，致使两岸遭遇1~2年的洪水即淹没右岸滩地，破坏当地的农田及水利设施，造成取水困难，给当地群众生产生活带来困扰及极大的隐患，给沿线居民身体健康和城镇形象造成严重的影响。通过对该段河槽进行疏浚，降低洪水对两岸居民影响。</w:t>
            </w:r>
          </w:p>
          <w:p>
            <w:pPr>
              <w:keepNext w:val="0"/>
              <w:keepLines w:val="0"/>
              <w:pageBreakBefore w:val="0"/>
              <w:widowControl w:val="0"/>
              <w:kinsoku/>
              <w:wordWrap/>
              <w:overflowPunct/>
              <w:topLinePunct w:val="0"/>
              <w:autoSpaceDE/>
              <w:autoSpaceDN/>
              <w:bidi w:val="0"/>
              <w:adjustRightInd/>
              <w:snapToGrid/>
              <w:spacing w:line="360" w:lineRule="auto"/>
              <w:ind w:right="0" w:firstLine="482" w:firstLineChars="200"/>
              <w:textAlignment w:val="auto"/>
              <w:rPr>
                <w:rFonts w:hint="eastAsia" w:ascii="Times New Roman" w:hAnsi="Times New Roman" w:eastAsia="宋体" w:cs="Times New Roman"/>
                <w:b w:val="0"/>
                <w:bCs w:val="0"/>
                <w:color w:val="auto"/>
                <w:spacing w:val="0"/>
                <w:kern w:val="2"/>
                <w:sz w:val="24"/>
                <w:szCs w:val="24"/>
                <w:lang w:val="en-US" w:eastAsia="zh-CN" w:bidi="ar-SA"/>
              </w:rPr>
            </w:pPr>
            <w:r>
              <w:rPr>
                <w:rFonts w:hint="eastAsia" w:ascii="Times New Roman" w:hAnsi="Times New Roman" w:eastAsia="宋体" w:cs="Times New Roman"/>
                <w:b/>
                <w:bCs/>
                <w:color w:val="auto"/>
                <w:spacing w:val="0"/>
                <w:kern w:val="2"/>
                <w:sz w:val="24"/>
                <w:szCs w:val="24"/>
                <w:lang w:val="en-US" w:eastAsia="zh-CN" w:bidi="ar-SA"/>
              </w:rPr>
              <w:t>（3）安福堰综合整治工程是优化农业产业结构，推进社会主义新农村建设的需要</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eastAsia" w:ascii="Times New Roman" w:hAnsi="Times New Roman" w:eastAsia="宋体" w:cs="Times New Roman"/>
                <w:b w:val="0"/>
                <w:bCs w:val="0"/>
                <w:color w:val="auto"/>
                <w:spacing w:val="0"/>
                <w:kern w:val="2"/>
                <w:sz w:val="24"/>
                <w:szCs w:val="24"/>
                <w:lang w:val="en-US" w:eastAsia="zh-CN" w:bidi="ar-SA"/>
              </w:rPr>
            </w:pPr>
            <w:r>
              <w:rPr>
                <w:rFonts w:hint="eastAsia" w:ascii="Times New Roman" w:hAnsi="Times New Roman" w:eastAsia="宋体" w:cs="Times New Roman"/>
                <w:b w:val="0"/>
                <w:bCs w:val="0"/>
                <w:color w:val="auto"/>
                <w:spacing w:val="0"/>
                <w:kern w:val="2"/>
                <w:sz w:val="24"/>
                <w:szCs w:val="24"/>
                <w:lang w:val="en-US" w:eastAsia="zh-CN" w:bidi="ar-SA"/>
              </w:rPr>
              <w:t>安福堰综合整治工程</w:t>
            </w:r>
            <w:r>
              <w:rPr>
                <w:rFonts w:hint="default" w:ascii="Times New Roman" w:hAnsi="Times New Roman" w:eastAsia="宋体" w:cs="Times New Roman"/>
                <w:b w:val="0"/>
                <w:bCs w:val="0"/>
                <w:color w:val="auto"/>
                <w:spacing w:val="0"/>
                <w:kern w:val="2"/>
                <w:sz w:val="24"/>
                <w:szCs w:val="24"/>
                <w:lang w:val="en-US" w:eastAsia="zh-CN" w:bidi="ar-SA"/>
              </w:rPr>
              <w:t>使农业生产水源有了保障，为促进</w:t>
            </w:r>
            <w:r>
              <w:rPr>
                <w:rFonts w:hint="eastAsia" w:ascii="Times New Roman" w:hAnsi="Times New Roman" w:eastAsia="宋体" w:cs="Times New Roman"/>
                <w:b w:val="0"/>
                <w:bCs w:val="0"/>
                <w:color w:val="auto"/>
                <w:spacing w:val="0"/>
                <w:kern w:val="2"/>
                <w:sz w:val="24"/>
                <w:szCs w:val="24"/>
                <w:lang w:val="en-US" w:eastAsia="zh-CN" w:bidi="ar-SA"/>
              </w:rPr>
              <w:t>灌区</w:t>
            </w:r>
            <w:r>
              <w:rPr>
                <w:rFonts w:hint="default" w:ascii="Times New Roman" w:hAnsi="Times New Roman" w:eastAsia="宋体" w:cs="Times New Roman"/>
                <w:b w:val="0"/>
                <w:bCs w:val="0"/>
                <w:color w:val="auto"/>
                <w:spacing w:val="0"/>
                <w:kern w:val="2"/>
                <w:sz w:val="24"/>
                <w:szCs w:val="24"/>
                <w:lang w:val="en-US" w:eastAsia="zh-CN" w:bidi="ar-SA"/>
              </w:rPr>
              <w:t>农业产业结构的调整提供了有利条件，可使间种、套种等农业新技术得到普及和推广，随着农业产业化的快速发展，作为其基础设施的水利灌溉工程，必须提高科技含量，充分利用水资源，为</w:t>
            </w:r>
            <w:r>
              <w:rPr>
                <w:rFonts w:hint="eastAsia" w:ascii="Times New Roman" w:hAnsi="Times New Roman" w:eastAsia="宋体" w:cs="Times New Roman"/>
                <w:b w:val="0"/>
                <w:bCs w:val="0"/>
                <w:color w:val="auto"/>
                <w:spacing w:val="0"/>
                <w:kern w:val="2"/>
                <w:sz w:val="24"/>
                <w:szCs w:val="24"/>
                <w:lang w:val="en-US" w:eastAsia="zh-CN" w:bidi="ar-SA"/>
              </w:rPr>
              <w:t>农业</w:t>
            </w:r>
            <w:r>
              <w:rPr>
                <w:rFonts w:hint="default" w:ascii="Times New Roman" w:hAnsi="Times New Roman" w:eastAsia="宋体" w:cs="Times New Roman"/>
                <w:b w:val="0"/>
                <w:bCs w:val="0"/>
                <w:color w:val="auto"/>
                <w:spacing w:val="0"/>
                <w:kern w:val="2"/>
                <w:sz w:val="24"/>
                <w:szCs w:val="24"/>
                <w:lang w:val="en-US" w:eastAsia="zh-CN" w:bidi="ar-SA"/>
              </w:rPr>
              <w:t>经济建设服务。同时，对进一步加强农业和农村基础设施建设及改善</w:t>
            </w:r>
            <w:r>
              <w:rPr>
                <w:rFonts w:hint="eastAsia" w:ascii="Times New Roman" w:hAnsi="Times New Roman" w:eastAsia="宋体" w:cs="Times New Roman"/>
                <w:b w:val="0"/>
                <w:bCs w:val="0"/>
                <w:color w:val="auto"/>
                <w:spacing w:val="0"/>
                <w:kern w:val="2"/>
                <w:sz w:val="24"/>
                <w:szCs w:val="24"/>
                <w:lang w:val="en-US" w:eastAsia="zh-CN" w:bidi="ar-SA"/>
              </w:rPr>
              <w:t>灌区</w:t>
            </w:r>
            <w:r>
              <w:rPr>
                <w:rFonts w:hint="default" w:ascii="Times New Roman" w:hAnsi="Times New Roman" w:eastAsia="宋体" w:cs="Times New Roman"/>
                <w:b w:val="0"/>
                <w:bCs w:val="0"/>
                <w:color w:val="auto"/>
                <w:spacing w:val="0"/>
                <w:kern w:val="2"/>
                <w:sz w:val="24"/>
                <w:szCs w:val="24"/>
                <w:lang w:val="en-US" w:eastAsia="zh-CN" w:bidi="ar-SA"/>
              </w:rPr>
              <w:t>农民生产生活条件、增加农民收入发挥积极作用</w:t>
            </w:r>
            <w:r>
              <w:rPr>
                <w:rFonts w:hint="eastAsia" w:ascii="Times New Roman" w:hAnsi="Times New Roman" w:eastAsia="宋体" w:cs="Times New Roman"/>
                <w:b w:val="0"/>
                <w:bCs w:val="0"/>
                <w:color w:val="auto"/>
                <w:spacing w:val="0"/>
                <w:kern w:val="2"/>
                <w:sz w:val="24"/>
                <w:szCs w:val="24"/>
                <w:lang w:val="en-US" w:eastAsia="zh-CN" w:bidi="ar-SA"/>
              </w:rPr>
              <w:t>，同时也是推进社会主义新农村建设的重要内容</w:t>
            </w:r>
            <w:r>
              <w:rPr>
                <w:rFonts w:hint="default" w:ascii="Times New Roman" w:hAnsi="Times New Roman" w:eastAsia="宋体" w:cs="Times New Roman"/>
                <w:b w:val="0"/>
                <w:bCs w:val="0"/>
                <w:color w:val="auto"/>
                <w:spacing w:val="0"/>
                <w:kern w:val="2"/>
                <w:sz w:val="24"/>
                <w:szCs w:val="24"/>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right="0" w:firstLine="482" w:firstLineChars="200"/>
              <w:textAlignment w:val="auto"/>
              <w:rPr>
                <w:rFonts w:hint="eastAsia" w:ascii="Times New Roman" w:hAnsi="Times New Roman" w:eastAsia="宋体" w:cs="Times New Roman"/>
                <w:b/>
                <w:bCs/>
                <w:color w:val="auto"/>
                <w:spacing w:val="0"/>
                <w:kern w:val="2"/>
                <w:sz w:val="24"/>
                <w:szCs w:val="24"/>
                <w:lang w:val="en-US" w:eastAsia="zh-CN" w:bidi="ar-SA"/>
              </w:rPr>
            </w:pPr>
            <w:r>
              <w:rPr>
                <w:rFonts w:hint="eastAsia" w:ascii="Times New Roman" w:hAnsi="Times New Roman" w:eastAsia="宋体" w:cs="Times New Roman"/>
                <w:b/>
                <w:bCs/>
                <w:color w:val="auto"/>
                <w:spacing w:val="0"/>
                <w:kern w:val="2"/>
                <w:sz w:val="24"/>
                <w:szCs w:val="24"/>
                <w:lang w:val="en-US" w:eastAsia="zh-CN" w:bidi="ar-SA"/>
              </w:rPr>
              <w:t>（4）安福堰综合整治工程</w:t>
            </w:r>
            <w:r>
              <w:rPr>
                <w:rFonts w:hint="default" w:ascii="Times New Roman" w:hAnsi="Times New Roman" w:eastAsia="宋体" w:cs="Times New Roman"/>
                <w:b/>
                <w:bCs/>
                <w:color w:val="auto"/>
                <w:spacing w:val="0"/>
                <w:kern w:val="2"/>
                <w:sz w:val="24"/>
                <w:szCs w:val="24"/>
                <w:lang w:val="en-US" w:eastAsia="zh-CN" w:bidi="ar-SA"/>
              </w:rPr>
              <w:t>是</w:t>
            </w:r>
            <w:r>
              <w:rPr>
                <w:rFonts w:hint="eastAsia" w:ascii="Times New Roman" w:hAnsi="Times New Roman" w:eastAsia="宋体" w:cs="Times New Roman"/>
                <w:b/>
                <w:bCs/>
                <w:color w:val="auto"/>
                <w:spacing w:val="0"/>
                <w:kern w:val="2"/>
                <w:sz w:val="24"/>
                <w:szCs w:val="24"/>
                <w:lang w:val="en-US" w:eastAsia="zh-CN" w:bidi="ar-SA"/>
              </w:rPr>
              <w:t>改善安福堰水生态环境，提升苏稽镇品质的</w:t>
            </w:r>
            <w:r>
              <w:rPr>
                <w:rFonts w:hint="default" w:ascii="Times New Roman" w:hAnsi="Times New Roman" w:eastAsia="宋体" w:cs="Times New Roman"/>
                <w:b/>
                <w:bCs/>
                <w:color w:val="auto"/>
                <w:spacing w:val="0"/>
                <w:kern w:val="2"/>
                <w:sz w:val="24"/>
                <w:szCs w:val="24"/>
                <w:lang w:val="en-US" w:eastAsia="zh-CN" w:bidi="ar-SA"/>
              </w:rPr>
              <w:t>需要</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b w:val="0"/>
                <w:bCs w:val="0"/>
                <w:color w:val="auto"/>
                <w:spacing w:val="0"/>
                <w:kern w:val="2"/>
                <w:sz w:val="24"/>
                <w:szCs w:val="24"/>
                <w:lang w:val="en-US" w:eastAsia="zh-CN" w:bidi="ar-SA"/>
              </w:rPr>
            </w:pPr>
            <w:r>
              <w:rPr>
                <w:rFonts w:hint="eastAsia" w:ascii="Times New Roman" w:hAnsi="Times New Roman" w:eastAsia="宋体" w:cs="Times New Roman"/>
                <w:b w:val="0"/>
                <w:bCs w:val="0"/>
                <w:color w:val="auto"/>
                <w:spacing w:val="0"/>
                <w:kern w:val="2"/>
                <w:sz w:val="24"/>
                <w:szCs w:val="24"/>
                <w:lang w:val="en-US" w:eastAsia="zh-CN" w:bidi="ar-SA"/>
              </w:rPr>
              <w:t>本次安福堰综合整治工程建成后，可在保证灌溉水源保证率的同时引入富余水量作为生态流，促进水体交换和水生态修复。将极大地改善当地的水生态环境，提升城镇形象。</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right="0" w:rightChars="0" w:firstLine="482" w:firstLineChars="200"/>
              <w:jc w:val="both"/>
              <w:textAlignment w:val="auto"/>
              <w:rPr>
                <w:rFonts w:hint="default" w:ascii="Times New Roman" w:hAnsi="Times New Roman" w:eastAsia="宋体" w:cs="Times New Roman"/>
                <w:b/>
                <w:bCs/>
                <w:color w:val="auto"/>
                <w:spacing w:val="0"/>
                <w:kern w:val="2"/>
                <w:sz w:val="24"/>
                <w:szCs w:val="24"/>
                <w:lang w:val="en-US" w:eastAsia="zh-CN" w:bidi="ar-SA"/>
              </w:rPr>
            </w:pPr>
            <w:r>
              <w:rPr>
                <w:rFonts w:hint="default" w:ascii="Times New Roman" w:hAnsi="Times New Roman" w:eastAsia="宋体" w:cs="Times New Roman"/>
                <w:b/>
                <w:bCs/>
                <w:color w:val="auto"/>
                <w:spacing w:val="0"/>
                <w:kern w:val="2"/>
                <w:sz w:val="24"/>
                <w:szCs w:val="24"/>
                <w:lang w:val="en-US" w:eastAsia="zh-CN" w:bidi="ar-SA"/>
              </w:rPr>
              <w:t>3、项目基本情况</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right="0" w:rightChars="0" w:firstLine="482"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b/>
                <w:bCs/>
                <w:color w:val="auto"/>
                <w:sz w:val="24"/>
                <w:szCs w:val="24"/>
                <w:lang w:val="en-US" w:eastAsia="zh-CN"/>
              </w:rPr>
              <w:t>项目名称：</w:t>
            </w:r>
            <w:r>
              <w:rPr>
                <w:rFonts w:hint="default" w:ascii="Times New Roman" w:hAnsi="Times New Roman" w:eastAsia="宋体" w:cs="Times New Roman"/>
                <w:kern w:val="21"/>
                <w:sz w:val="24"/>
                <w:szCs w:val="24"/>
                <w:lang w:eastAsia="zh-CN"/>
              </w:rPr>
              <w:t>乐山市市中区苏稽峨眉河安福堰综合整治工程</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right="0" w:rightChars="0" w:firstLine="482" w:firstLineChars="200"/>
              <w:jc w:val="both"/>
              <w:textAlignment w:val="auto"/>
              <w:rPr>
                <w:rFonts w:hint="default" w:ascii="Times New Roman" w:hAnsi="Times New Roman" w:eastAsia="宋体" w:cs="Times New Roman"/>
                <w:kern w:val="21"/>
                <w:sz w:val="24"/>
                <w:szCs w:val="24"/>
                <w:lang w:val="en-US" w:eastAsia="zh-CN"/>
              </w:rPr>
            </w:pPr>
            <w:r>
              <w:rPr>
                <w:rFonts w:hint="default" w:ascii="Times New Roman" w:hAnsi="Times New Roman" w:cs="Times New Roman"/>
                <w:b/>
                <w:bCs/>
                <w:color w:val="auto"/>
                <w:sz w:val="24"/>
                <w:szCs w:val="24"/>
                <w:lang w:val="en-US" w:eastAsia="zh-CN"/>
              </w:rPr>
              <w:t>建设单位：</w:t>
            </w:r>
            <w:r>
              <w:rPr>
                <w:rFonts w:hint="default" w:ascii="Times New Roman" w:hAnsi="Times New Roman" w:eastAsia="宋体" w:cs="Times New Roman"/>
                <w:kern w:val="21"/>
                <w:sz w:val="24"/>
                <w:szCs w:val="24"/>
                <w:lang w:eastAsia="zh-CN"/>
              </w:rPr>
              <w:t>乐山</w:t>
            </w:r>
            <w:r>
              <w:rPr>
                <w:rFonts w:hint="eastAsia" w:ascii="Times New Roman" w:hAnsi="Times New Roman" w:eastAsia="宋体" w:cs="Times New Roman"/>
                <w:kern w:val="21"/>
                <w:sz w:val="24"/>
                <w:szCs w:val="24"/>
                <w:lang w:val="en-US" w:eastAsia="zh-CN"/>
              </w:rPr>
              <w:t>嘉和投资有限责任公司</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right="0" w:rightChars="0" w:firstLine="482"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b/>
                <w:bCs/>
                <w:color w:val="auto"/>
                <w:sz w:val="24"/>
                <w:szCs w:val="24"/>
                <w:lang w:val="en-US" w:eastAsia="zh-CN"/>
              </w:rPr>
              <w:t>建设性质：</w:t>
            </w:r>
            <w:r>
              <w:rPr>
                <w:rFonts w:hint="eastAsia" w:ascii="Times New Roman" w:hAnsi="Times New Roman" w:cs="Times New Roman"/>
                <w:b w:val="0"/>
                <w:bCs w:val="0"/>
                <w:color w:val="auto"/>
                <w:sz w:val="24"/>
                <w:szCs w:val="24"/>
                <w:lang w:val="en-US" w:eastAsia="zh-CN"/>
              </w:rPr>
              <w:t>改</w:t>
            </w:r>
            <w:r>
              <w:rPr>
                <w:rFonts w:hint="default" w:ascii="Times New Roman" w:hAnsi="Times New Roman" w:cs="Times New Roman"/>
                <w:b w:val="0"/>
                <w:bCs w:val="0"/>
                <w:color w:val="auto"/>
                <w:sz w:val="24"/>
                <w:szCs w:val="24"/>
                <w:lang w:val="en-US" w:eastAsia="zh-CN"/>
              </w:rPr>
              <w:t>建</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right="0" w:rightChars="0" w:firstLine="482" w:firstLineChars="200"/>
              <w:jc w:val="both"/>
              <w:textAlignment w:val="auto"/>
              <w:rPr>
                <w:rFonts w:hint="default" w:ascii="Times New Roman" w:hAnsi="Times New Roman" w:eastAsia="宋体" w:cs="Times New Roman"/>
                <w:color w:val="auto"/>
                <w:spacing w:val="0"/>
                <w:kern w:val="0"/>
                <w:sz w:val="24"/>
                <w:szCs w:val="24"/>
                <w:lang w:val="en-US" w:eastAsia="zh-CN" w:bidi="ar-SA"/>
              </w:rPr>
            </w:pPr>
            <w:r>
              <w:rPr>
                <w:rFonts w:hint="default" w:ascii="Times New Roman" w:hAnsi="Times New Roman" w:cs="Times New Roman"/>
                <w:b/>
                <w:bCs/>
                <w:color w:val="auto"/>
                <w:sz w:val="24"/>
                <w:szCs w:val="24"/>
                <w:lang w:val="en-US" w:eastAsia="zh-CN"/>
              </w:rPr>
              <w:t>建设地点：</w:t>
            </w:r>
            <w:r>
              <w:rPr>
                <w:rFonts w:hint="default" w:ascii="Times New Roman" w:hAnsi="Times New Roman" w:eastAsia="宋体" w:cs="Times New Roman"/>
                <w:kern w:val="21"/>
                <w:sz w:val="24"/>
                <w:szCs w:val="24"/>
                <w:lang w:eastAsia="zh-CN"/>
              </w:rPr>
              <w:t>乐山市</w:t>
            </w:r>
            <w:r>
              <w:rPr>
                <w:rFonts w:hint="eastAsia" w:ascii="Times New Roman" w:hAnsi="Times New Roman" w:eastAsia="宋体" w:cs="Times New Roman"/>
                <w:kern w:val="21"/>
                <w:sz w:val="24"/>
                <w:szCs w:val="24"/>
                <w:lang w:val="en-US" w:eastAsia="zh-CN"/>
              </w:rPr>
              <w:t>苏稽镇</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0" w:right="0" w:rightChars="0" w:firstLine="482" w:firstLineChars="200"/>
              <w:jc w:val="both"/>
              <w:textAlignment w:val="auto"/>
              <w:rPr>
                <w:rFonts w:hint="default" w:ascii="Times New Roman" w:hAnsi="Times New Roman" w:eastAsia="宋体" w:cs="Times New Roman"/>
                <w:color w:val="auto"/>
                <w:spacing w:val="0"/>
                <w:kern w:val="0"/>
                <w:sz w:val="24"/>
                <w:szCs w:val="24"/>
                <w:lang w:val="en-US" w:eastAsia="zh-CN" w:bidi="ar-SA"/>
              </w:rPr>
            </w:pPr>
            <w:r>
              <w:rPr>
                <w:rFonts w:hint="default" w:ascii="Times New Roman" w:hAnsi="Times New Roman" w:cs="Times New Roman"/>
                <w:b/>
                <w:bCs/>
                <w:color w:val="auto"/>
                <w:sz w:val="24"/>
                <w:szCs w:val="24"/>
                <w:lang w:val="en-US" w:eastAsia="zh-CN"/>
              </w:rPr>
              <w:t>项目投资：</w:t>
            </w:r>
            <w:r>
              <w:rPr>
                <w:rFonts w:hint="eastAsia" w:ascii="Times New Roman" w:hAnsi="Times New Roman" w:eastAsia="宋体" w:cs="Times New Roman"/>
                <w:color w:val="auto"/>
                <w:spacing w:val="0"/>
                <w:kern w:val="0"/>
                <w:sz w:val="24"/>
                <w:szCs w:val="24"/>
                <w:lang w:val="en-US" w:eastAsia="zh-CN" w:bidi="ar-SA"/>
              </w:rPr>
              <w:t>3438</w:t>
            </w:r>
            <w:r>
              <w:rPr>
                <w:rFonts w:hint="default" w:ascii="Times New Roman" w:hAnsi="Times New Roman" w:cs="Times New Roman"/>
                <w:color w:val="auto"/>
                <w:sz w:val="24"/>
                <w:szCs w:val="24"/>
                <w:lang w:val="en-US" w:eastAsia="zh-CN"/>
              </w:rPr>
              <w:t>万元</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2" w:firstLineChars="200"/>
              <w:jc w:val="both"/>
              <w:textAlignment w:val="auto"/>
              <w:rPr>
                <w:rFonts w:hint="default"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4、建设任务和治理标准</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eastAsia"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安福堰综合整治工程设计水平年为2030年，灌溉设计保证率为75%，供水范围为峨眉河苏稽段右岸的4800亩灌溉面积，灌溉净需水量为130万m</w:t>
            </w:r>
            <w:r>
              <w:rPr>
                <w:rFonts w:hint="eastAsia" w:ascii="Times New Roman" w:hAnsi="Times New Roman" w:cs="Times New Roman"/>
                <w:b w:val="0"/>
                <w:bCs w:val="0"/>
                <w:color w:val="auto"/>
                <w:sz w:val="24"/>
                <w:szCs w:val="24"/>
                <w:vertAlign w:val="superscript"/>
                <w:lang w:val="en-US" w:eastAsia="zh-CN"/>
              </w:rPr>
              <w:t>3</w:t>
            </w:r>
            <w:r>
              <w:rPr>
                <w:rFonts w:hint="eastAsia" w:ascii="Times New Roman" w:hAnsi="Times New Roman" w:cs="Times New Roman"/>
                <w:b w:val="0"/>
                <w:bCs w:val="0"/>
                <w:color w:val="auto"/>
                <w:sz w:val="24"/>
                <w:szCs w:val="24"/>
                <w:lang w:val="en-US" w:eastAsia="zh-CN"/>
              </w:rPr>
              <w:t>，灌溉毛需水量为232.1万m</w:t>
            </w:r>
            <w:r>
              <w:rPr>
                <w:rFonts w:hint="eastAsia" w:ascii="Times New Roman" w:hAnsi="Times New Roman" w:cs="Times New Roman"/>
                <w:b w:val="0"/>
                <w:bCs w:val="0"/>
                <w:color w:val="auto"/>
                <w:sz w:val="24"/>
                <w:szCs w:val="24"/>
                <w:vertAlign w:val="superscript"/>
                <w:lang w:val="en-US" w:eastAsia="zh-CN"/>
              </w:rPr>
              <w:t>3</w:t>
            </w:r>
            <w:r>
              <w:rPr>
                <w:rFonts w:hint="eastAsia" w:ascii="Times New Roman" w:hAnsi="Times New Roman" w:cs="Times New Roman"/>
                <w:b w:val="0"/>
                <w:bCs w:val="0"/>
                <w:color w:val="auto"/>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eastAsia"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本工程设计洪水标准采用20年一遇，消能设计洪水标准采用10年一遇，排涝标准为10年一遇。安福堰枢纽永久主要建筑物按5级设计，取水口及引水渠枢纽永久次要建筑物按5级设计，临时建筑物按5级设计。堤防工程级别为4级。</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1" w:type="dxa"/>
                  <w:noWrap w:val="0"/>
                  <w:vAlign w:val="top"/>
                </w:tcPr>
                <w:p>
                  <w:pPr>
                    <w:pStyle w:val="2"/>
                  </w:pPr>
                  <w:r>
                    <w:drawing>
                      <wp:inline distT="0" distB="0" distL="114300" distR="114300">
                        <wp:extent cx="4912995" cy="3531235"/>
                        <wp:effectExtent l="0" t="0" r="1905" b="12065"/>
                        <wp:docPr id="4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0"/>
                                <pic:cNvPicPr>
                                  <a:picLocks noChangeAspect="1"/>
                                </pic:cNvPicPr>
                              </pic:nvPicPr>
                              <pic:blipFill>
                                <a:blip r:embed="rId34"/>
                                <a:stretch>
                                  <a:fillRect/>
                                </a:stretch>
                              </pic:blipFill>
                              <pic:spPr>
                                <a:xfrm>
                                  <a:off x="0" y="0"/>
                                  <a:ext cx="4912995" cy="3531235"/>
                                </a:xfrm>
                                <a:prstGeom prst="rect">
                                  <a:avLst/>
                                </a:prstGeom>
                                <a:noFill/>
                                <a:ln>
                                  <a:noFill/>
                                </a:ln>
                              </pic:spPr>
                            </pic:pic>
                          </a:graphicData>
                        </a:graphic>
                      </wp:inline>
                    </w:drawing>
                  </w:r>
                </w:p>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lang w:val="en-US" w:eastAsia="zh-CN"/>
                    </w:rPr>
                  </w:pPr>
                  <w:r>
                    <w:rPr>
                      <w:rFonts w:hint="default" w:ascii="Times New Roman" w:hAnsi="Times New Roman" w:cs="Times New Roman"/>
                      <w:b/>
                      <w:bCs/>
                      <w:sz w:val="21"/>
                      <w:szCs w:val="21"/>
                      <w:lang w:val="en-US" w:eastAsia="zh-CN"/>
                    </w:rPr>
                    <w:t>图</w:t>
                  </w:r>
                  <w:r>
                    <w:rPr>
                      <w:rFonts w:hint="eastAsia" w:ascii="Times New Roman" w:hAnsi="Times New Roman" w:cs="Times New Roman"/>
                      <w:b/>
                      <w:bCs/>
                      <w:sz w:val="21"/>
                      <w:szCs w:val="21"/>
                      <w:lang w:val="en-US" w:eastAsia="zh-CN"/>
                    </w:rPr>
                    <w:t>2-1</w:t>
                  </w:r>
                  <w:r>
                    <w:rPr>
                      <w:rFonts w:hint="default" w:ascii="Times New Roman" w:hAnsi="Times New Roman" w:cs="Times New Roman"/>
                      <w:b/>
                      <w:bCs/>
                      <w:sz w:val="21"/>
                      <w:szCs w:val="21"/>
                      <w:lang w:val="en-US" w:eastAsia="zh-CN"/>
                    </w:rPr>
                    <w:t xml:space="preserve">  安福堰综合整治后效果图</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2" w:firstLineChars="200"/>
              <w:jc w:val="both"/>
              <w:textAlignment w:val="auto"/>
              <w:rPr>
                <w:rFonts w:hint="default"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5、</w:t>
            </w:r>
            <w:r>
              <w:rPr>
                <w:rFonts w:hint="default" w:ascii="Times New Roman" w:hAnsi="Times New Roman" w:cs="Times New Roman"/>
                <w:b/>
                <w:bCs/>
                <w:color w:val="auto"/>
                <w:sz w:val="24"/>
                <w:szCs w:val="24"/>
                <w:lang w:val="en-US" w:eastAsia="zh-CN"/>
              </w:rPr>
              <w:t>建设内容及规模：</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本次安福堰综合整治任务以农田灌溉为主，兼顾河湖生态治理及打造峨眉河苏稽段水景观等综合利用。安福堰枢纽区包括新建拦河气盾坝、新建安福堰取水口、整治安福堰输水渠进口段、拦河坝段护岸工程及河道疏浚等建筑物。拦河气盾坝含钢筋砼坝体、钢盾板、气䑋、大坝上游铺盖、大坝下游护坦及海漫。</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拦河气盾坝布置于原安福堰位置，采用拆除原安福堰大坝进行重建，拦河气盾坝采用钢筋砼闸墩及底坐，通过气盾坝溢流及泄洪，最大坝高4.7m，最大坝体底部宽度9.5m，坝顶轴线总长130.828m。坝后设置护坦及海漫。</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新建安福堰取水口位于大坝右段，进口宽度8.75m，采用气盾坝控制。</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整治安福堰输水渠进口段位于峨眉河右岸大坝下游，从取水口至下游650m为沿河道布置的引水渠道，其中310.6m由于冲毁严重，本次对其进行拆除重建，原渠道侧墙部分浆砌条石衬砌，底部为土渠，目前有多处冲毁及垮塌段，本次将过水面整治为砼衬砌，上部采用砼框格植草护坡。</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拦河坝段护岸工程位于大坝两岸河道护岸，护岸马道以下为重力式挡墙结构，马道以上为护坡。大坝上游河道疏浚100m，下游河道疏浚300m。海漫下游按0.12%坡比进行疏浚。</w:t>
            </w:r>
          </w:p>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240" w:lineRule="auto"/>
              <w:ind w:left="0" w:leftChars="0" w:right="0" w:firstLine="0" w:firstLineChars="0"/>
              <w:jc w:val="center"/>
              <w:textAlignment w:val="baseline"/>
              <w:rPr>
                <w:rFonts w:hint="default" w:ascii="Times New Roman" w:hAnsi="Times New Roman" w:eastAsia="宋体" w:cs="Times New Roman"/>
                <w:b/>
                <w:bCs/>
                <w:color w:val="auto"/>
                <w:spacing w:val="0"/>
                <w:sz w:val="21"/>
                <w:szCs w:val="21"/>
                <w:lang w:val="en-US" w:eastAsia="zh-CN"/>
              </w:rPr>
            </w:pPr>
            <w:r>
              <w:rPr>
                <w:rFonts w:hint="default" w:ascii="Times New Roman" w:hAnsi="Times New Roman" w:eastAsia="宋体" w:cs="Times New Roman"/>
                <w:b/>
                <w:bCs/>
                <w:color w:val="auto"/>
                <w:spacing w:val="0"/>
                <w:sz w:val="21"/>
                <w:szCs w:val="21"/>
                <w:lang w:val="en-US" w:eastAsia="zh-CN"/>
              </w:rPr>
              <w:t>表2-</w:t>
            </w:r>
            <w:r>
              <w:rPr>
                <w:rFonts w:hint="eastAsia" w:ascii="Times New Roman" w:hAnsi="Times New Roman" w:eastAsia="宋体" w:cs="Times New Roman"/>
                <w:b/>
                <w:bCs/>
                <w:color w:val="auto"/>
                <w:spacing w:val="0"/>
                <w:sz w:val="21"/>
                <w:szCs w:val="21"/>
                <w:lang w:val="en-US" w:eastAsia="zh-CN"/>
              </w:rPr>
              <w:t>1</w:t>
            </w:r>
            <w:r>
              <w:rPr>
                <w:rFonts w:hint="default" w:ascii="Times New Roman" w:hAnsi="Times New Roman" w:eastAsia="宋体" w:cs="Times New Roman"/>
                <w:b/>
                <w:bCs/>
                <w:color w:val="auto"/>
                <w:spacing w:val="0"/>
                <w:sz w:val="21"/>
                <w:szCs w:val="21"/>
                <w:lang w:val="en-US" w:eastAsia="zh-CN"/>
              </w:rPr>
              <w:t xml:space="preserve">  主要工程特性表</w:t>
            </w:r>
          </w:p>
          <w:tbl>
            <w:tblPr>
              <w:tblStyle w:val="39"/>
              <w:tblW w:w="0" w:type="auto"/>
              <w:tblInd w:w="1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694"/>
              <w:gridCol w:w="3611"/>
              <w:gridCol w:w="966"/>
              <w:gridCol w:w="1275"/>
              <w:gridCol w:w="1286"/>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序号</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名        称</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单位</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数量</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一</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水文</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624"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坝址以上</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km</w:t>
                  </w:r>
                  <w:r>
                    <w:rPr>
                      <w:rFonts w:hint="default" w:ascii="Times New Roman" w:hAnsi="Times New Roman" w:eastAsia="宋体" w:cs="Times New Roman"/>
                      <w:kern w:val="2"/>
                      <w:sz w:val="21"/>
                      <w:szCs w:val="21"/>
                      <w:vertAlign w:val="superscript"/>
                      <w:lang w:val="en-US" w:eastAsia="zh-CN" w:bidi="ar"/>
                    </w:rPr>
                    <w:t>2</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484</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利用的水文资料年限</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年</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32</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多年平均年径流深</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mm</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1060</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shd w:val="clear" w:color="auto" w:fill="FFFFFF"/>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4</w:t>
                  </w:r>
                </w:p>
              </w:tc>
              <w:tc>
                <w:tcPr>
                  <w:tcW w:w="3611" w:type="dxa"/>
                  <w:tcBorders>
                    <w:tl2br w:val="nil"/>
                    <w:tr2bl w:val="nil"/>
                  </w:tcBorders>
                  <w:shd w:val="clear" w:color="auto" w:fill="FFFFFF"/>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多年平均天然径流总量</w:t>
                  </w:r>
                </w:p>
              </w:tc>
              <w:tc>
                <w:tcPr>
                  <w:tcW w:w="966" w:type="dxa"/>
                  <w:tcBorders>
                    <w:tl2br w:val="nil"/>
                    <w:tr2bl w:val="nil"/>
                  </w:tcBorders>
                  <w:shd w:val="clear" w:color="auto" w:fill="FFFFFF"/>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万m³</w:t>
                  </w:r>
                </w:p>
              </w:tc>
              <w:tc>
                <w:tcPr>
                  <w:tcW w:w="0" w:type="auto"/>
                  <w:tcBorders>
                    <w:tl2br w:val="nil"/>
                    <w:tr2bl w:val="nil"/>
                  </w:tcBorders>
                  <w:shd w:val="clear" w:color="auto" w:fill="FFFFFF"/>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51300</w:t>
                  </w:r>
                </w:p>
              </w:tc>
              <w:tc>
                <w:tcPr>
                  <w:tcW w:w="0" w:type="auto"/>
                  <w:tcBorders>
                    <w:tl2br w:val="nil"/>
                    <w:tr2bl w:val="nil"/>
                  </w:tcBorders>
                  <w:shd w:val="clear" w:color="auto" w:fill="FFFFFF"/>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5</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代表性流量</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天然多年平均流量</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m³</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18.17</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设计洪水标准及流量</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m³/s</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1830</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P=5%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消能防冲洪水标准及流量</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m³/ s</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1380</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P=10%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6</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泥沙</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多年平均悬移质输沙量</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万t</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24.2</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多年平均推移质输沙量</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万t</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2.42</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二</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安福堰</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水位</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正常蓄水位</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371.70</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气盾坝初始启动水位</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731.90</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设计洪水位</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373.98</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4）</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校核洪水位</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374.62</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5）</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死水位</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370.70</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库容</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正常蓄水位对应库容</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万m³</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18.3</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兴利库容</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万m³</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17</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死库容</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万m³</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1.3</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三</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工程效益指标</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灌溉效益</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灌溉面积</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亩</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4800</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供水保证率（P）</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75</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灌溉用水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多年平均供水量</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万m³</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231.1</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灌溉、生态需水量</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四</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淹没及工程占地</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建设征地</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亩</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48.91</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拆迁房屋</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w:t>
                  </w:r>
                  <w:r>
                    <w:rPr>
                      <w:rFonts w:hint="default" w:ascii="Times New Roman" w:hAnsi="Times New Roman" w:eastAsia="宋体" w:cs="Times New Roman"/>
                      <w:kern w:val="2"/>
                      <w:sz w:val="21"/>
                      <w:szCs w:val="21"/>
                      <w:vertAlign w:val="superscript"/>
                      <w:lang w:val="en-US" w:eastAsia="zh-CN" w:bidi="ar"/>
                    </w:rPr>
                    <w:t>2</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无</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搬迁人口</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人</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无</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五</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主要建筑物</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挡水建筑物</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型式</w:t>
                  </w:r>
                </w:p>
              </w:tc>
              <w:tc>
                <w:tcPr>
                  <w:tcW w:w="3559" w:type="dxa"/>
                  <w:gridSpan w:val="3"/>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拦河气盾升坝</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地基特性</w:t>
                  </w:r>
                </w:p>
              </w:tc>
              <w:tc>
                <w:tcPr>
                  <w:tcW w:w="3559" w:type="dxa"/>
                  <w:gridSpan w:val="3"/>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砂卵石、砂质泥岩</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地震动峰值加速度</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g</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0.1</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4）</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动反应谱特征周期</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s</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0.40</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4）</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坝顶高程</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372.4</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90"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5）</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最大坝高</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4.7</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6）</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坝顶长度</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130.828</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泄洪道</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型式</w:t>
                  </w:r>
                </w:p>
              </w:tc>
              <w:tc>
                <w:tcPr>
                  <w:tcW w:w="3559" w:type="dxa"/>
                  <w:gridSpan w:val="3"/>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气盾闸控制表孔泄洪道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堰顶高程</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370.70</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泄槽宽度</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105</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4）</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最大下泄流量</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m³/s</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1830</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5）</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消能方式</w:t>
                  </w:r>
                </w:p>
              </w:tc>
              <w:tc>
                <w:tcPr>
                  <w:tcW w:w="3559" w:type="dxa"/>
                  <w:gridSpan w:val="3"/>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底流消能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取水建筑物</w:t>
                  </w:r>
                </w:p>
              </w:tc>
              <w:tc>
                <w:tcPr>
                  <w:tcW w:w="3559" w:type="dxa"/>
                  <w:gridSpan w:val="3"/>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闸门取水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77"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型式</w:t>
                  </w:r>
                </w:p>
              </w:tc>
              <w:tc>
                <w:tcPr>
                  <w:tcW w:w="3559" w:type="dxa"/>
                  <w:gridSpan w:val="3"/>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薄壁堰</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w:t>
                  </w:r>
                </w:p>
              </w:tc>
              <w:tc>
                <w:tcPr>
                  <w:tcW w:w="3611"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进口宽度</w:t>
                  </w:r>
                </w:p>
              </w:tc>
              <w:tc>
                <w:tcPr>
                  <w:tcW w:w="966"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w:t>
                  </w:r>
                </w:p>
              </w:tc>
              <w:tc>
                <w:tcPr>
                  <w:tcW w:w="0" w:type="auto"/>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8.75</w:t>
                  </w:r>
                </w:p>
              </w:tc>
              <w:tc>
                <w:tcPr>
                  <w:tcW w:w="0" w:type="auto"/>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w:t>
                  </w:r>
                </w:p>
              </w:tc>
              <w:tc>
                <w:tcPr>
                  <w:tcW w:w="3611"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堰顶高程</w:t>
                  </w:r>
                </w:p>
              </w:tc>
              <w:tc>
                <w:tcPr>
                  <w:tcW w:w="966"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w:t>
                  </w:r>
                </w:p>
              </w:tc>
              <w:tc>
                <w:tcPr>
                  <w:tcW w:w="0" w:type="auto"/>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370.7</w:t>
                  </w:r>
                </w:p>
              </w:tc>
              <w:tc>
                <w:tcPr>
                  <w:tcW w:w="0" w:type="auto"/>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4</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生态放水</w:t>
                  </w:r>
                </w:p>
              </w:tc>
              <w:tc>
                <w:tcPr>
                  <w:tcW w:w="3559" w:type="dxa"/>
                  <w:gridSpan w:val="3"/>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气盾坝顶</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c>
                <w:tcPr>
                  <w:tcW w:w="3611"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型式</w:t>
                  </w:r>
                </w:p>
              </w:tc>
              <w:tc>
                <w:tcPr>
                  <w:tcW w:w="966"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薄壁堰</w:t>
                  </w:r>
                </w:p>
              </w:tc>
              <w:tc>
                <w:tcPr>
                  <w:tcW w:w="0" w:type="auto"/>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w:t>
                  </w:r>
                </w:p>
              </w:tc>
              <w:tc>
                <w:tcPr>
                  <w:tcW w:w="3611"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进口宽度</w:t>
                  </w:r>
                </w:p>
              </w:tc>
              <w:tc>
                <w:tcPr>
                  <w:tcW w:w="966"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w:t>
                  </w:r>
                </w:p>
              </w:tc>
              <w:tc>
                <w:tcPr>
                  <w:tcW w:w="0" w:type="auto"/>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105</w:t>
                  </w:r>
                </w:p>
              </w:tc>
              <w:tc>
                <w:tcPr>
                  <w:tcW w:w="0" w:type="auto"/>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w:t>
                  </w:r>
                </w:p>
              </w:tc>
              <w:tc>
                <w:tcPr>
                  <w:tcW w:w="3611"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闸顶高程</w:t>
                  </w:r>
                </w:p>
              </w:tc>
              <w:tc>
                <w:tcPr>
                  <w:tcW w:w="966"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m</w:t>
                  </w:r>
                </w:p>
              </w:tc>
              <w:tc>
                <w:tcPr>
                  <w:tcW w:w="0" w:type="auto"/>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370.7~371.7</w:t>
                  </w:r>
                </w:p>
              </w:tc>
              <w:tc>
                <w:tcPr>
                  <w:tcW w:w="0" w:type="auto"/>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六</w:t>
                  </w:r>
                </w:p>
              </w:tc>
              <w:tc>
                <w:tcPr>
                  <w:tcW w:w="3611"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主要机电设备</w:t>
                  </w:r>
                </w:p>
              </w:tc>
              <w:tc>
                <w:tcPr>
                  <w:tcW w:w="966"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c>
                <w:tcPr>
                  <w:tcW w:w="3611" w:type="dxa"/>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盾板（Q345B，热喷锌、封闭漆、8.7m×2.1m×14mm）</w:t>
                  </w:r>
                </w:p>
              </w:tc>
              <w:tc>
                <w:tcPr>
                  <w:tcW w:w="9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0"/>
                      <w:sz w:val="21"/>
                      <w:szCs w:val="21"/>
                      <w:lang w:val="en-US" w:eastAsia="zh-CN" w:bidi="ar"/>
                    </w:rPr>
                    <w:t>块</w:t>
                  </w:r>
                </w:p>
              </w:tc>
              <w:tc>
                <w:tcPr>
                  <w:tcW w:w="0" w:type="auto"/>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0"/>
                      <w:sz w:val="21"/>
                      <w:szCs w:val="21"/>
                      <w:lang w:val="en-US" w:eastAsia="zh-CN" w:bidi="ar"/>
                    </w:rPr>
                    <w:t>12</w:t>
                  </w:r>
                </w:p>
              </w:tc>
              <w:tc>
                <w:tcPr>
                  <w:tcW w:w="0" w:type="auto"/>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w:t>
                  </w:r>
                </w:p>
              </w:tc>
              <w:tc>
                <w:tcPr>
                  <w:tcW w:w="36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0"/>
                      <w:sz w:val="21"/>
                      <w:szCs w:val="21"/>
                      <w:lang w:val="en-US" w:eastAsia="zh-CN" w:bidi="ar"/>
                    </w:rPr>
                    <w:t>气囊（外胶EPDM材料，平板硫化，一次定型，8.175m×1.6m×30mm）</w:t>
                  </w:r>
                </w:p>
              </w:tc>
              <w:tc>
                <w:tcPr>
                  <w:tcW w:w="9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0"/>
                      <w:sz w:val="21"/>
                      <w:szCs w:val="21"/>
                      <w:lang w:val="en-US" w:eastAsia="zh-CN" w:bidi="ar"/>
                    </w:rPr>
                    <w:t>块</w:t>
                  </w:r>
                </w:p>
              </w:tc>
              <w:tc>
                <w:tcPr>
                  <w:tcW w:w="0" w:type="auto"/>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0"/>
                      <w:sz w:val="21"/>
                      <w:szCs w:val="21"/>
                      <w:lang w:val="en-US" w:eastAsia="zh-CN" w:bidi="ar"/>
                    </w:rPr>
                    <w:t>12</w:t>
                  </w:r>
                </w:p>
              </w:tc>
              <w:tc>
                <w:tcPr>
                  <w:tcW w:w="0" w:type="auto"/>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w:t>
                  </w:r>
                </w:p>
              </w:tc>
              <w:tc>
                <w:tcPr>
                  <w:tcW w:w="36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0"/>
                      <w:sz w:val="21"/>
                      <w:szCs w:val="21"/>
                      <w:lang w:val="en-US" w:eastAsia="zh-CN" w:bidi="ar"/>
                    </w:rPr>
                    <w:t>风机 11KW</w:t>
                  </w:r>
                </w:p>
              </w:tc>
              <w:tc>
                <w:tcPr>
                  <w:tcW w:w="9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0"/>
                      <w:sz w:val="21"/>
                      <w:szCs w:val="21"/>
                      <w:lang w:val="en-US" w:eastAsia="zh-CN" w:bidi="ar"/>
                    </w:rPr>
                    <w:t>台</w:t>
                  </w:r>
                </w:p>
              </w:tc>
              <w:tc>
                <w:tcPr>
                  <w:tcW w:w="0" w:type="auto"/>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0"/>
                      <w:sz w:val="21"/>
                      <w:szCs w:val="21"/>
                      <w:lang w:val="en-US" w:eastAsia="zh-CN" w:bidi="ar"/>
                    </w:rPr>
                    <w:t>1</w:t>
                  </w:r>
                </w:p>
              </w:tc>
              <w:tc>
                <w:tcPr>
                  <w:tcW w:w="0" w:type="auto"/>
                  <w:tcBorders>
                    <w:tl2br w:val="nil"/>
                    <w:tr2bl w:val="nil"/>
                  </w:tcBorders>
                  <w:noWrap w:val="0"/>
                  <w:vAlign w:val="center"/>
                </w:tcPr>
                <w:p>
                  <w:pPr>
                    <w:pStyle w:val="3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七</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施工</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总工期</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月</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8</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施工高峰人数</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人</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80</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施工劳动总工日</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万工日</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3.66</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4</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施工强度</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土石方开挖</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万m³</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lang w:val="en-US"/>
                    </w:rPr>
                  </w:pPr>
                  <w:r>
                    <w:rPr>
                      <w:rFonts w:hint="eastAsia" w:ascii="Times New Roman" w:hAnsi="Times New Roman" w:eastAsia="宋体" w:cs="Times New Roman"/>
                      <w:kern w:val="2"/>
                      <w:sz w:val="21"/>
                      <w:szCs w:val="21"/>
                      <w:lang w:val="en-US" w:eastAsia="zh-CN" w:bidi="ar"/>
                    </w:rPr>
                    <w:t>4.32</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6</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土石方回填</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万m³</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lang w:val="en-US"/>
                    </w:rPr>
                  </w:pPr>
                  <w:r>
                    <w:rPr>
                      <w:rFonts w:hint="eastAsia" w:ascii="Times New Roman" w:hAnsi="Times New Roman" w:eastAsia="宋体" w:cs="Times New Roman"/>
                      <w:kern w:val="2"/>
                      <w:sz w:val="21"/>
                      <w:szCs w:val="21"/>
                      <w:lang w:val="en-US" w:eastAsia="zh-CN" w:bidi="ar"/>
                    </w:rPr>
                    <w:t>1.47</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3" w:hRule="atLeast"/>
              </w:trPr>
              <w:tc>
                <w:tcPr>
                  <w:tcW w:w="694"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7</w:t>
                  </w:r>
                </w:p>
              </w:tc>
              <w:tc>
                <w:tcPr>
                  <w:tcW w:w="3611"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砼浇筑</w:t>
                  </w:r>
                </w:p>
              </w:tc>
              <w:tc>
                <w:tcPr>
                  <w:tcW w:w="966" w:type="dxa"/>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万m³/月</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0.60</w:t>
                  </w:r>
                </w:p>
              </w:tc>
              <w:tc>
                <w:tcPr>
                  <w:tcW w:w="0" w:type="auto"/>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kern w:val="2"/>
                      <w:sz w:val="21"/>
                      <w:szCs w:val="21"/>
                    </w:rPr>
                  </w:pP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本项目组成及规模见下表。</w:t>
            </w:r>
          </w:p>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240" w:lineRule="auto"/>
              <w:ind w:left="0" w:leftChars="0" w:right="0" w:firstLine="0" w:firstLineChars="0"/>
              <w:jc w:val="center"/>
              <w:textAlignment w:val="baseline"/>
              <w:rPr>
                <w:rFonts w:hint="default" w:ascii="Times New Roman" w:hAnsi="Times New Roman" w:eastAsia="宋体" w:cs="Times New Roman"/>
                <w:b/>
                <w:bCs/>
                <w:color w:val="auto"/>
                <w:spacing w:val="0"/>
                <w:sz w:val="21"/>
                <w:szCs w:val="21"/>
                <w:lang w:val="en-US" w:eastAsia="zh-CN"/>
              </w:rPr>
            </w:pPr>
          </w:p>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240" w:lineRule="auto"/>
              <w:ind w:left="0" w:leftChars="0" w:right="0" w:firstLine="0" w:firstLineChars="0"/>
              <w:jc w:val="center"/>
              <w:textAlignment w:val="baseline"/>
              <w:rPr>
                <w:rFonts w:hint="default" w:ascii="Times New Roman" w:hAnsi="Times New Roman" w:eastAsia="宋体" w:cs="Times New Roman"/>
                <w:b/>
                <w:bCs/>
                <w:color w:val="auto"/>
                <w:spacing w:val="0"/>
                <w:sz w:val="21"/>
                <w:szCs w:val="21"/>
                <w:lang w:val="en-US" w:eastAsia="zh-CN"/>
              </w:rPr>
            </w:pPr>
          </w:p>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240" w:lineRule="auto"/>
              <w:ind w:left="0" w:leftChars="0" w:right="0" w:firstLine="0" w:firstLineChars="0"/>
              <w:jc w:val="center"/>
              <w:textAlignment w:val="baseline"/>
              <w:rPr>
                <w:rFonts w:hint="default" w:ascii="Times New Roman" w:hAnsi="Times New Roman" w:eastAsia="宋体" w:cs="Times New Roman"/>
                <w:b/>
                <w:bCs/>
                <w:color w:val="auto"/>
                <w:spacing w:val="0"/>
                <w:sz w:val="21"/>
                <w:szCs w:val="21"/>
                <w:lang w:val="en-US" w:eastAsia="zh-CN"/>
              </w:rPr>
            </w:pPr>
            <w:r>
              <w:rPr>
                <w:rFonts w:hint="default" w:ascii="Times New Roman" w:hAnsi="Times New Roman" w:eastAsia="宋体" w:cs="Times New Roman"/>
                <w:b/>
                <w:bCs/>
                <w:color w:val="auto"/>
                <w:spacing w:val="0"/>
                <w:sz w:val="21"/>
                <w:szCs w:val="21"/>
                <w:lang w:val="en-US" w:eastAsia="zh-CN"/>
              </w:rPr>
              <w:t>表2-</w:t>
            </w:r>
            <w:r>
              <w:rPr>
                <w:rFonts w:hint="eastAsia" w:ascii="Times New Roman" w:hAnsi="Times New Roman" w:eastAsia="宋体" w:cs="Times New Roman"/>
                <w:b/>
                <w:bCs/>
                <w:color w:val="auto"/>
                <w:spacing w:val="0"/>
                <w:sz w:val="21"/>
                <w:szCs w:val="21"/>
                <w:lang w:val="en-US" w:eastAsia="zh-CN"/>
              </w:rPr>
              <w:t>2</w:t>
            </w:r>
            <w:r>
              <w:rPr>
                <w:rFonts w:hint="default" w:ascii="Times New Roman" w:hAnsi="Times New Roman" w:eastAsia="宋体" w:cs="Times New Roman"/>
                <w:b/>
                <w:bCs/>
                <w:color w:val="auto"/>
                <w:spacing w:val="0"/>
                <w:sz w:val="21"/>
                <w:szCs w:val="21"/>
                <w:lang w:val="en-US" w:eastAsia="zh-CN"/>
              </w:rPr>
              <w:t xml:space="preserve">  项目组成及主要环境问题一览表</w:t>
            </w:r>
          </w:p>
          <w:tbl>
            <w:tblPr>
              <w:tblStyle w:val="3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4"/>
              <w:gridCol w:w="568"/>
              <w:gridCol w:w="4857"/>
              <w:gridCol w:w="1015"/>
              <w:gridCol w:w="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color w:val="auto"/>
                      <w:spacing w:val="0"/>
                      <w:sz w:val="21"/>
                      <w:szCs w:val="21"/>
                      <w:highlight w:val="none"/>
                    </w:rPr>
                  </w:pPr>
                  <w:r>
                    <w:rPr>
                      <w:rFonts w:hint="default" w:ascii="Times New Roman" w:hAnsi="Times New Roman" w:eastAsia="宋体" w:cs="Times New Roman"/>
                      <w:b/>
                      <w:color w:val="auto"/>
                      <w:spacing w:val="0"/>
                      <w:sz w:val="21"/>
                      <w:szCs w:val="21"/>
                      <w:highlight w:val="none"/>
                      <w:lang w:bidi="ar"/>
                    </w:rPr>
                    <w:t>工程分类</w:t>
                  </w:r>
                </w:p>
              </w:tc>
              <w:tc>
                <w:tcPr>
                  <w:tcW w:w="362"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color w:val="auto"/>
                      <w:spacing w:val="0"/>
                      <w:sz w:val="21"/>
                      <w:szCs w:val="21"/>
                      <w:highlight w:val="none"/>
                    </w:rPr>
                  </w:pPr>
                  <w:r>
                    <w:rPr>
                      <w:rFonts w:hint="default" w:ascii="Times New Roman" w:hAnsi="Times New Roman" w:eastAsia="宋体" w:cs="Times New Roman"/>
                      <w:b/>
                      <w:color w:val="auto"/>
                      <w:spacing w:val="0"/>
                      <w:sz w:val="21"/>
                      <w:szCs w:val="21"/>
                      <w:highlight w:val="none"/>
                      <w:lang w:bidi="ar"/>
                    </w:rPr>
                    <w:t>项目名称</w:t>
                  </w:r>
                </w:p>
              </w:tc>
              <w:tc>
                <w:tcPr>
                  <w:tcW w:w="3097"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color w:val="auto"/>
                      <w:spacing w:val="0"/>
                      <w:sz w:val="21"/>
                      <w:szCs w:val="21"/>
                      <w:highlight w:val="none"/>
                      <w:lang w:val="en-US" w:eastAsia="zh-CN"/>
                    </w:rPr>
                  </w:pPr>
                  <w:r>
                    <w:rPr>
                      <w:rFonts w:hint="default" w:ascii="Times New Roman" w:hAnsi="Times New Roman" w:eastAsia="宋体" w:cs="Times New Roman"/>
                      <w:b/>
                      <w:color w:val="auto"/>
                      <w:spacing w:val="0"/>
                      <w:sz w:val="21"/>
                      <w:szCs w:val="21"/>
                      <w:highlight w:val="none"/>
                      <w:lang w:val="en-US" w:eastAsia="zh-CN" w:bidi="ar"/>
                    </w:rPr>
                    <w:t>工程组成</w:t>
                  </w:r>
                </w:p>
              </w:tc>
              <w:tc>
                <w:tcPr>
                  <w:tcW w:w="1173" w:type="pct"/>
                  <w:gridSpan w:val="2"/>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color w:val="auto"/>
                      <w:spacing w:val="0"/>
                      <w:sz w:val="21"/>
                      <w:szCs w:val="21"/>
                      <w:highlight w:val="none"/>
                    </w:rPr>
                  </w:pPr>
                  <w:r>
                    <w:rPr>
                      <w:rFonts w:hint="default" w:ascii="Times New Roman" w:hAnsi="Times New Roman" w:eastAsia="宋体" w:cs="Times New Roman"/>
                      <w:b/>
                      <w:color w:val="auto"/>
                      <w:spacing w:val="0"/>
                      <w:sz w:val="21"/>
                      <w:szCs w:val="21"/>
                      <w:highlight w:val="none"/>
                      <w:lang w:val="en-US" w:eastAsia="zh-CN" w:bidi="ar"/>
                    </w:rPr>
                    <w:t>可能存在的</w:t>
                  </w:r>
                  <w:r>
                    <w:rPr>
                      <w:rFonts w:hint="default" w:ascii="Times New Roman" w:hAnsi="Times New Roman" w:eastAsia="宋体" w:cs="Times New Roman"/>
                      <w:b/>
                      <w:color w:val="auto"/>
                      <w:spacing w:val="0"/>
                      <w:sz w:val="21"/>
                      <w:szCs w:val="21"/>
                      <w:highlight w:val="none"/>
                      <w:lang w:bidi="ar"/>
                    </w:rPr>
                    <w:t>环境问题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color w:val="auto"/>
                      <w:spacing w:val="0"/>
                      <w:sz w:val="21"/>
                      <w:szCs w:val="21"/>
                      <w:highlight w:val="none"/>
                    </w:rPr>
                  </w:pPr>
                </w:p>
              </w:tc>
              <w:tc>
                <w:tcPr>
                  <w:tcW w:w="362"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color w:val="auto"/>
                      <w:spacing w:val="0"/>
                      <w:sz w:val="21"/>
                      <w:szCs w:val="21"/>
                      <w:highlight w:val="none"/>
                    </w:rPr>
                  </w:pPr>
                </w:p>
              </w:tc>
              <w:tc>
                <w:tcPr>
                  <w:tcW w:w="309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color w:val="auto"/>
                      <w:spacing w:val="0"/>
                      <w:sz w:val="21"/>
                      <w:szCs w:val="21"/>
                      <w:highlight w:val="none"/>
                    </w:rPr>
                  </w:pPr>
                </w:p>
              </w:tc>
              <w:tc>
                <w:tcPr>
                  <w:tcW w:w="64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color w:val="auto"/>
                      <w:spacing w:val="0"/>
                      <w:sz w:val="21"/>
                      <w:szCs w:val="21"/>
                      <w:highlight w:val="none"/>
                    </w:rPr>
                  </w:pPr>
                  <w:r>
                    <w:rPr>
                      <w:rFonts w:hint="default" w:ascii="Times New Roman" w:hAnsi="Times New Roman" w:eastAsia="宋体" w:cs="Times New Roman"/>
                      <w:b/>
                      <w:color w:val="auto"/>
                      <w:spacing w:val="0"/>
                      <w:sz w:val="21"/>
                      <w:szCs w:val="21"/>
                      <w:highlight w:val="none"/>
                      <w:lang w:bidi="ar"/>
                    </w:rPr>
                    <w:t>施工期</w:t>
                  </w:r>
                </w:p>
              </w:tc>
              <w:tc>
                <w:tcPr>
                  <w:tcW w:w="52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color w:val="auto"/>
                      <w:spacing w:val="0"/>
                      <w:sz w:val="21"/>
                      <w:szCs w:val="21"/>
                      <w:highlight w:val="none"/>
                    </w:rPr>
                  </w:pPr>
                  <w:r>
                    <w:rPr>
                      <w:rFonts w:hint="default" w:ascii="Times New Roman" w:hAnsi="Times New Roman" w:eastAsia="宋体" w:cs="Times New Roman"/>
                      <w:b/>
                      <w:color w:val="auto"/>
                      <w:spacing w:val="0"/>
                      <w:sz w:val="21"/>
                      <w:szCs w:val="21"/>
                      <w:highlight w:val="none"/>
                      <w:lang w:bidi="ar"/>
                    </w:rPr>
                    <w:t>营运期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bidi="ar"/>
                    </w:rPr>
                    <w:t>主体工程</w:t>
                  </w:r>
                </w:p>
              </w:tc>
              <w:tc>
                <w:tcPr>
                  <w:tcW w:w="36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气盾坝工程</w:t>
                  </w:r>
                </w:p>
              </w:tc>
              <w:tc>
                <w:tcPr>
                  <w:tcW w:w="309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kern w:val="2"/>
                      <w:sz w:val="21"/>
                      <w:szCs w:val="21"/>
                      <w:highlight w:val="none"/>
                      <w:lang w:val="en-US" w:eastAsia="zh-CN" w:bidi="ar"/>
                    </w:rPr>
                  </w:pPr>
                  <w:r>
                    <w:rPr>
                      <w:rFonts w:hint="default" w:ascii="Times New Roman" w:hAnsi="Times New Roman" w:eastAsia="宋体" w:cs="Times New Roman"/>
                      <w:color w:val="auto"/>
                      <w:spacing w:val="0"/>
                      <w:kern w:val="2"/>
                      <w:sz w:val="21"/>
                      <w:szCs w:val="21"/>
                      <w:highlight w:val="none"/>
                      <w:lang w:val="en-US" w:eastAsia="zh-CN" w:bidi="ar"/>
                    </w:rPr>
                    <w:t>安福堰正常蓄水位371.7m，设计洪水位373.98m，校核洪水位374.62m，死水位370.7m。大坝枢纽推荐方案为混凝土基础气盾坝，坝体采用C25砼进行浇筑，面层70cm采用C40钢筋HF砼浇筑，大坝从左到右依次为左坝肩、12孔有闸门控制的泄水坝段、闸墩、1孔取水泄水闸段、右坝肩。坝顶轴线总长130.828m，各坝段总长依次为8.125m、105m、1.704m、8.75m、7.25m。大坝坝顶高程372.4m，最大坝高4.7m，坝顶宽度不考虑今后的交通要求，最大坝体底部宽度9.5m。溢流坝段位于河槽中心位置，本工程大坝为气盾坝，大坝即为泄洪建筑。</w:t>
                  </w:r>
                </w:p>
              </w:tc>
              <w:tc>
                <w:tcPr>
                  <w:tcW w:w="647" w:type="pct"/>
                  <w:vMerge w:val="restart"/>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jc w:val="center"/>
                    <w:rPr>
                      <w:rFonts w:hint="default" w:ascii="Times New Roman" w:hAnsi="Times New Roman" w:eastAsia="宋体" w:cs="Times New Roman"/>
                      <w:sz w:val="21"/>
                      <w:szCs w:val="21"/>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spacing w:val="2"/>
                      <w:sz w:val="21"/>
                      <w:szCs w:val="21"/>
                    </w:rPr>
                    <w:t>施工废水</w:t>
                  </w:r>
                  <w:r>
                    <w:rPr>
                      <w:rFonts w:hint="default" w:ascii="Times New Roman" w:hAnsi="Times New Roman" w:eastAsia="宋体" w:cs="Times New Roman"/>
                      <w:spacing w:val="1"/>
                      <w:sz w:val="21"/>
                      <w:szCs w:val="21"/>
                    </w:rPr>
                    <w:t>、</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2"/>
                      <w:sz w:val="21"/>
                      <w:szCs w:val="21"/>
                    </w:rPr>
                    <w:t>施工噪声</w:t>
                  </w:r>
                  <w:r>
                    <w:rPr>
                      <w:rFonts w:hint="default" w:ascii="Times New Roman" w:hAnsi="Times New Roman" w:eastAsia="宋体" w:cs="Times New Roman"/>
                      <w:spacing w:val="1"/>
                      <w:sz w:val="21"/>
                      <w:szCs w:val="21"/>
                    </w:rPr>
                    <w:t>、</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2"/>
                      <w:sz w:val="21"/>
                      <w:szCs w:val="21"/>
                    </w:rPr>
                    <w:t>土石方、</w:t>
                  </w:r>
                  <w:r>
                    <w:rPr>
                      <w:rFonts w:hint="default" w:ascii="Times New Roman" w:hAnsi="Times New Roman" w:eastAsia="宋体" w:cs="Times New Roman"/>
                      <w:spacing w:val="1"/>
                      <w:sz w:val="21"/>
                      <w:szCs w:val="21"/>
                    </w:rPr>
                    <w:t>淤</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2"/>
                      <w:sz w:val="21"/>
                      <w:szCs w:val="21"/>
                    </w:rPr>
                    <w:t>泥、施工</w:t>
                  </w:r>
                  <w:r>
                    <w:rPr>
                      <w:rFonts w:hint="default" w:ascii="Times New Roman" w:hAnsi="Times New Roman" w:eastAsia="宋体" w:cs="Times New Roman"/>
                      <w:spacing w:val="1"/>
                      <w:sz w:val="21"/>
                      <w:szCs w:val="21"/>
                    </w:rPr>
                    <w:t>扬</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2"/>
                      <w:sz w:val="21"/>
                      <w:szCs w:val="21"/>
                    </w:rPr>
                    <w:t>尘、生活</w:t>
                  </w:r>
                  <w:r>
                    <w:rPr>
                      <w:rFonts w:hint="default" w:ascii="Times New Roman" w:hAnsi="Times New Roman" w:eastAsia="宋体" w:cs="Times New Roman"/>
                      <w:spacing w:val="1"/>
                      <w:sz w:val="21"/>
                      <w:szCs w:val="21"/>
                    </w:rPr>
                    <w:t>污</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2"/>
                      <w:sz w:val="21"/>
                      <w:szCs w:val="21"/>
                    </w:rPr>
                    <w:t>水、生活</w:t>
                  </w:r>
                  <w:r>
                    <w:rPr>
                      <w:rFonts w:hint="default" w:ascii="Times New Roman" w:hAnsi="Times New Roman" w:eastAsia="宋体" w:cs="Times New Roman"/>
                      <w:spacing w:val="1"/>
                      <w:sz w:val="21"/>
                      <w:szCs w:val="21"/>
                    </w:rPr>
                    <w:t>垃</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2"/>
                      <w:sz w:val="21"/>
                      <w:szCs w:val="21"/>
                    </w:rPr>
                    <w:t>圾、植被</w:t>
                  </w:r>
                  <w:r>
                    <w:rPr>
                      <w:rFonts w:hint="default" w:ascii="Times New Roman" w:hAnsi="Times New Roman" w:eastAsia="宋体" w:cs="Times New Roman"/>
                      <w:spacing w:val="1"/>
                      <w:sz w:val="21"/>
                      <w:szCs w:val="21"/>
                    </w:rPr>
                    <w:t>破</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13"/>
                      <w:sz w:val="21"/>
                      <w:szCs w:val="21"/>
                    </w:rPr>
                    <w:t>坏 水 土 流</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2"/>
                      <w:sz w:val="21"/>
                      <w:szCs w:val="21"/>
                    </w:rPr>
                    <w:t>失、生态</w:t>
                  </w:r>
                  <w:r>
                    <w:rPr>
                      <w:rFonts w:hint="default" w:ascii="Times New Roman" w:hAnsi="Times New Roman" w:eastAsia="宋体" w:cs="Times New Roman"/>
                      <w:spacing w:val="1"/>
                      <w:sz w:val="21"/>
                      <w:szCs w:val="21"/>
                    </w:rPr>
                    <w:t>影</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1"/>
                      <w:sz w:val="21"/>
                      <w:szCs w:val="21"/>
                    </w:rPr>
                    <w:t>响</w:t>
                  </w:r>
                </w:p>
              </w:tc>
              <w:tc>
                <w:tcPr>
                  <w:tcW w:w="52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bidi="ar"/>
                    </w:rPr>
                  </w:pPr>
                </w:p>
              </w:tc>
              <w:tc>
                <w:tcPr>
                  <w:tcW w:w="36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lang w:val="en-US" w:eastAsia="zh-CN"/>
                    </w:rPr>
                    <w:t>取水工程</w:t>
                  </w:r>
                </w:p>
              </w:tc>
              <w:tc>
                <w:tcPr>
                  <w:tcW w:w="309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kern w:val="2"/>
                      <w:sz w:val="21"/>
                      <w:szCs w:val="21"/>
                      <w:highlight w:val="none"/>
                      <w:lang w:val="en-US" w:eastAsia="zh-CN" w:bidi="ar"/>
                    </w:rPr>
                  </w:pPr>
                  <w:r>
                    <w:rPr>
                      <w:rFonts w:hint="default" w:ascii="Times New Roman" w:hAnsi="Times New Roman" w:eastAsia="宋体" w:cs="Times New Roman"/>
                      <w:color w:val="auto"/>
                      <w:spacing w:val="0"/>
                      <w:kern w:val="2"/>
                      <w:sz w:val="21"/>
                      <w:szCs w:val="21"/>
                      <w:highlight w:val="none"/>
                      <w:lang w:val="en-US" w:eastAsia="zh-CN" w:bidi="ar"/>
                    </w:rPr>
                    <w:t>取水口位于大坝右段，采用开敞式实用堰溢流，堰顶高程与气盾坝设计顶高程相同，进口宽度8.75m，采用气盾坝控制。</w:t>
                  </w:r>
                </w:p>
              </w:tc>
              <w:tc>
                <w:tcPr>
                  <w:tcW w:w="64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p>
              </w:tc>
              <w:tc>
                <w:tcPr>
                  <w:tcW w:w="52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bidi="ar"/>
                    </w:rPr>
                  </w:pPr>
                </w:p>
              </w:tc>
              <w:tc>
                <w:tcPr>
                  <w:tcW w:w="36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引水渠整治工程</w:t>
                  </w:r>
                </w:p>
              </w:tc>
              <w:tc>
                <w:tcPr>
                  <w:tcW w:w="3097" w:type="pct"/>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jc w:val="both"/>
                    <w:rPr>
                      <w:rFonts w:hint="default" w:ascii="Times New Roman" w:hAnsi="Times New Roman" w:eastAsia="宋体" w:cs="Times New Roman"/>
                      <w:color w:val="auto"/>
                      <w:spacing w:val="0"/>
                      <w:kern w:val="2"/>
                      <w:sz w:val="21"/>
                      <w:szCs w:val="21"/>
                      <w:highlight w:val="none"/>
                      <w:lang w:val="en-US" w:eastAsia="zh-CN" w:bidi="ar"/>
                    </w:rPr>
                  </w:pPr>
                  <w:r>
                    <w:rPr>
                      <w:rFonts w:hint="default" w:ascii="Times New Roman" w:hAnsi="Times New Roman" w:eastAsia="宋体" w:cs="Times New Roman"/>
                      <w:color w:val="auto"/>
                      <w:spacing w:val="0"/>
                      <w:kern w:val="2"/>
                      <w:sz w:val="21"/>
                      <w:szCs w:val="21"/>
                      <w:highlight w:val="none"/>
                      <w:lang w:val="en-US" w:eastAsia="zh-CN" w:bidi="ar"/>
                    </w:rPr>
                    <w:t>整治安福堰输水渠进口段位于峨眉河右岸大坝下游，从取水口至下游650m为沿河道布置的引水渠道，其中310.6m由于冲毁严重，本次对其进行拆除重建，拆建的渠道采用C25砼进行衬砌，渠道采用梯形渠道，渠底宽4m，渠底板厚度20cm，渠道边坡系数1：2，厚度25cm，渠道纵向坡度根据原有渠道纵坡布置，坡比为13/10000。渠道靠岸一侧在过水断面以上采用钢筋砼框格内植草护坡。</w:t>
                  </w:r>
                </w:p>
              </w:tc>
              <w:tc>
                <w:tcPr>
                  <w:tcW w:w="64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p>
              </w:tc>
              <w:tc>
                <w:tcPr>
                  <w:tcW w:w="52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bidi="ar"/>
                    </w:rPr>
                  </w:pPr>
                </w:p>
              </w:tc>
              <w:tc>
                <w:tcPr>
                  <w:tcW w:w="36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消能工程</w:t>
                  </w:r>
                </w:p>
              </w:tc>
              <w:tc>
                <w:tcPr>
                  <w:tcW w:w="309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kern w:val="2"/>
                      <w:sz w:val="21"/>
                      <w:szCs w:val="21"/>
                      <w:highlight w:val="none"/>
                      <w:lang w:val="en-US" w:eastAsia="zh-CN" w:bidi="ar"/>
                    </w:rPr>
                  </w:pPr>
                  <w:r>
                    <w:rPr>
                      <w:rFonts w:hint="default" w:ascii="Times New Roman" w:hAnsi="Times New Roman" w:eastAsia="宋体" w:cs="Times New Roman"/>
                      <w:color w:val="auto"/>
                      <w:spacing w:val="0"/>
                      <w:kern w:val="2"/>
                      <w:sz w:val="21"/>
                      <w:szCs w:val="21"/>
                      <w:highlight w:val="none"/>
                      <w:lang w:val="en-US" w:eastAsia="zh-CN" w:bidi="ar"/>
                    </w:rPr>
                    <w:t>大坝下游设护坦，护坦后接跌水、底流消能设施及海漫。护坦长15.5m，高程370.2m，末端设消力坎（兼做过河超墩步），坎顶高程370.3m；鱼鳞跌水长度38m（含过河墩步），总宽105m；跌水后接消力池，宽105m，长23m；消力池后为43m海漫，海漫厚度0.7m，采用大块卵石砌筑。</w:t>
                  </w:r>
                </w:p>
              </w:tc>
              <w:tc>
                <w:tcPr>
                  <w:tcW w:w="64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p>
              </w:tc>
              <w:tc>
                <w:tcPr>
                  <w:tcW w:w="52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bidi="ar"/>
                    </w:rPr>
                  </w:pPr>
                </w:p>
              </w:tc>
              <w:tc>
                <w:tcPr>
                  <w:tcW w:w="36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护岸工程</w:t>
                  </w:r>
                </w:p>
              </w:tc>
              <w:tc>
                <w:tcPr>
                  <w:tcW w:w="309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kern w:val="2"/>
                      <w:sz w:val="21"/>
                      <w:szCs w:val="21"/>
                      <w:highlight w:val="none"/>
                      <w:lang w:val="en-US" w:eastAsia="zh-CN" w:bidi="ar"/>
                    </w:rPr>
                  </w:pPr>
                  <w:r>
                    <w:rPr>
                      <w:rFonts w:hint="default" w:ascii="Times New Roman" w:hAnsi="Times New Roman" w:eastAsia="宋体" w:cs="Times New Roman"/>
                      <w:color w:val="auto"/>
                      <w:spacing w:val="0"/>
                      <w:kern w:val="2"/>
                      <w:sz w:val="21"/>
                      <w:szCs w:val="21"/>
                      <w:highlight w:val="none"/>
                      <w:lang w:val="en-US" w:eastAsia="zh-CN" w:bidi="ar"/>
                    </w:rPr>
                    <w:t>护岸岸脚为衡重式挡墙护脚，挡墙建于基岩或中密砂卵石层上。跌水、消力池及海漫两侧设护岸，护岸岸脚为重力式挡墙护脚，挡墙建于基岩或中密砂卵石层上，挡墙迎水面为直墙，背坡采用土石回填。</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kern w:val="2"/>
                      <w:sz w:val="21"/>
                      <w:szCs w:val="21"/>
                      <w:highlight w:val="none"/>
                      <w:lang w:val="en-US" w:eastAsia="zh-CN" w:bidi="ar"/>
                    </w:rPr>
                  </w:pPr>
                  <w:r>
                    <w:rPr>
                      <w:rFonts w:hint="default" w:ascii="Times New Roman" w:hAnsi="Times New Roman" w:eastAsia="宋体" w:cs="Times New Roman"/>
                      <w:color w:val="auto"/>
                      <w:spacing w:val="0"/>
                      <w:kern w:val="2"/>
                      <w:sz w:val="21"/>
                      <w:szCs w:val="21"/>
                      <w:highlight w:val="none"/>
                      <w:lang w:val="en-US" w:eastAsia="zh-CN" w:bidi="ar"/>
                    </w:rPr>
                    <w:t>挡墙墙脚防冲齿墙深度1.4m，采用C25砼浇筑。</w:t>
                  </w:r>
                </w:p>
              </w:tc>
              <w:tc>
                <w:tcPr>
                  <w:tcW w:w="64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p>
              </w:tc>
              <w:tc>
                <w:tcPr>
                  <w:tcW w:w="52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bidi="ar"/>
                    </w:rPr>
                  </w:pPr>
                </w:p>
              </w:tc>
              <w:tc>
                <w:tcPr>
                  <w:tcW w:w="36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kern w:val="2"/>
                      <w:sz w:val="21"/>
                      <w:szCs w:val="21"/>
                      <w:highlight w:val="none"/>
                      <w:lang w:val="en-US" w:eastAsia="zh-CN" w:bidi="ar"/>
                    </w:rPr>
                  </w:pPr>
                  <w:r>
                    <w:rPr>
                      <w:rFonts w:hint="default" w:ascii="Times New Roman" w:hAnsi="Times New Roman" w:eastAsia="宋体" w:cs="Times New Roman"/>
                      <w:color w:val="auto"/>
                      <w:spacing w:val="0"/>
                      <w:kern w:val="2"/>
                      <w:sz w:val="21"/>
                      <w:szCs w:val="21"/>
                      <w:highlight w:val="none"/>
                      <w:lang w:val="en-US" w:eastAsia="zh-CN" w:bidi="ar"/>
                    </w:rPr>
                    <w:t>疏浚</w:t>
                  </w:r>
                  <w:r>
                    <w:rPr>
                      <w:rFonts w:hint="eastAsia" w:ascii="Times New Roman" w:hAnsi="Times New Roman" w:eastAsia="宋体" w:cs="Times New Roman"/>
                      <w:color w:val="auto"/>
                      <w:spacing w:val="0"/>
                      <w:kern w:val="2"/>
                      <w:sz w:val="21"/>
                      <w:szCs w:val="21"/>
                      <w:highlight w:val="none"/>
                      <w:lang w:val="en-US" w:eastAsia="zh-CN" w:bidi="ar"/>
                    </w:rPr>
                    <w:t>工程</w:t>
                  </w:r>
                </w:p>
              </w:tc>
              <w:tc>
                <w:tcPr>
                  <w:tcW w:w="309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kern w:val="2"/>
                      <w:sz w:val="21"/>
                      <w:szCs w:val="21"/>
                      <w:highlight w:val="none"/>
                      <w:lang w:val="en-US" w:eastAsia="zh-CN" w:bidi="ar"/>
                    </w:rPr>
                  </w:pPr>
                  <w:r>
                    <w:rPr>
                      <w:rFonts w:hint="default" w:ascii="Times New Roman" w:hAnsi="Times New Roman" w:eastAsia="宋体" w:cs="Times New Roman"/>
                      <w:color w:val="auto"/>
                      <w:spacing w:val="0"/>
                      <w:kern w:val="2"/>
                      <w:sz w:val="21"/>
                      <w:szCs w:val="21"/>
                      <w:highlight w:val="none"/>
                      <w:lang w:val="en-US" w:eastAsia="zh-CN" w:bidi="ar"/>
                    </w:rPr>
                    <w:t>本次拟疏浚长度约0.5km，疏浚范围从坝轴线上游200m至坝轴线下游300m，疏浚范围内主要为河道及漫滩，疏浚宽36~200m，疏浚高程366.0m~371m，平均厚度约4.5m，疏浚量2.97万m</w:t>
                  </w:r>
                  <w:r>
                    <w:rPr>
                      <w:rFonts w:hint="default" w:ascii="Times New Roman" w:hAnsi="Times New Roman" w:eastAsia="宋体" w:cs="Times New Roman"/>
                      <w:color w:val="auto"/>
                      <w:spacing w:val="0"/>
                      <w:kern w:val="2"/>
                      <w:sz w:val="21"/>
                      <w:szCs w:val="21"/>
                      <w:highlight w:val="none"/>
                      <w:vertAlign w:val="superscript"/>
                      <w:lang w:val="en-US" w:eastAsia="zh-CN" w:bidi="ar"/>
                    </w:rPr>
                    <w:t>3</w:t>
                  </w:r>
                  <w:r>
                    <w:rPr>
                      <w:rFonts w:hint="default" w:ascii="Times New Roman" w:hAnsi="Times New Roman" w:eastAsia="宋体" w:cs="Times New Roman"/>
                      <w:color w:val="auto"/>
                      <w:spacing w:val="0"/>
                      <w:kern w:val="2"/>
                      <w:sz w:val="21"/>
                      <w:szCs w:val="21"/>
                      <w:highlight w:val="none"/>
                      <w:lang w:val="en-US" w:eastAsia="zh-CN" w:bidi="ar"/>
                    </w:rPr>
                    <w:t>；</w:t>
                  </w:r>
                </w:p>
              </w:tc>
              <w:tc>
                <w:tcPr>
                  <w:tcW w:w="64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p>
              </w:tc>
              <w:tc>
                <w:tcPr>
                  <w:tcW w:w="52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bidi="ar"/>
                    </w:rPr>
                    <w:t>辅助工程</w:t>
                  </w:r>
                </w:p>
              </w:tc>
              <w:tc>
                <w:tcPr>
                  <w:tcW w:w="36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kern w:val="2"/>
                      <w:sz w:val="21"/>
                      <w:szCs w:val="21"/>
                      <w:highlight w:val="none"/>
                      <w:lang w:val="en-US" w:eastAsia="zh-CN" w:bidi="ar"/>
                    </w:rPr>
                  </w:pPr>
                  <w:r>
                    <w:rPr>
                      <w:rFonts w:hint="default" w:ascii="Times New Roman" w:hAnsi="Times New Roman" w:eastAsia="宋体" w:cs="Times New Roman"/>
                      <w:color w:val="auto"/>
                      <w:spacing w:val="0"/>
                      <w:kern w:val="2"/>
                      <w:sz w:val="21"/>
                      <w:szCs w:val="21"/>
                      <w:highlight w:val="none"/>
                      <w:lang w:val="en-US" w:eastAsia="zh-CN" w:bidi="ar"/>
                    </w:rPr>
                    <w:t>施工道路</w:t>
                  </w:r>
                </w:p>
              </w:tc>
              <w:tc>
                <w:tcPr>
                  <w:tcW w:w="309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kern w:val="2"/>
                      <w:sz w:val="21"/>
                      <w:szCs w:val="21"/>
                      <w:highlight w:val="none"/>
                      <w:lang w:val="en-US" w:eastAsia="zh-CN" w:bidi="ar"/>
                    </w:rPr>
                  </w:pPr>
                  <w:r>
                    <w:rPr>
                      <w:rFonts w:hint="default" w:ascii="Times New Roman" w:hAnsi="Times New Roman" w:eastAsia="宋体" w:cs="Times New Roman"/>
                      <w:color w:val="auto"/>
                      <w:spacing w:val="0"/>
                      <w:kern w:val="2"/>
                      <w:sz w:val="21"/>
                      <w:szCs w:val="21"/>
                      <w:highlight w:val="none"/>
                      <w:lang w:val="en-US" w:eastAsia="zh-CN" w:bidi="ar"/>
                    </w:rPr>
                    <w:t>利用周边已有道路，未新增施工道路</w:t>
                  </w:r>
                </w:p>
              </w:tc>
              <w:tc>
                <w:tcPr>
                  <w:tcW w:w="647"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c>
                <w:tcPr>
                  <w:tcW w:w="52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bidi="ar"/>
                    </w:rPr>
                  </w:pPr>
                </w:p>
              </w:tc>
              <w:tc>
                <w:tcPr>
                  <w:tcW w:w="36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kern w:val="2"/>
                      <w:sz w:val="21"/>
                      <w:szCs w:val="21"/>
                      <w:highlight w:val="none"/>
                      <w:lang w:val="en-US" w:eastAsia="zh-CN" w:bidi="ar"/>
                    </w:rPr>
                  </w:pPr>
                  <w:r>
                    <w:rPr>
                      <w:rFonts w:hint="eastAsia" w:ascii="Times New Roman" w:hAnsi="Times New Roman" w:eastAsia="宋体" w:cs="Times New Roman"/>
                      <w:color w:val="auto"/>
                      <w:spacing w:val="0"/>
                      <w:kern w:val="2"/>
                      <w:sz w:val="21"/>
                      <w:szCs w:val="21"/>
                      <w:highlight w:val="none"/>
                      <w:lang w:val="en-US" w:eastAsia="zh-CN" w:bidi="ar"/>
                    </w:rPr>
                    <w:t>施工导流</w:t>
                  </w:r>
                </w:p>
              </w:tc>
              <w:tc>
                <w:tcPr>
                  <w:tcW w:w="309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kern w:val="2"/>
                      <w:sz w:val="21"/>
                      <w:szCs w:val="21"/>
                      <w:highlight w:val="none"/>
                      <w:lang w:val="en-US" w:eastAsia="zh-CN" w:bidi="ar"/>
                    </w:rPr>
                  </w:pPr>
                  <w:r>
                    <w:rPr>
                      <w:rFonts w:hint="default" w:ascii="Times New Roman" w:hAnsi="Times New Roman" w:eastAsia="宋体" w:cs="Times New Roman"/>
                      <w:color w:val="auto"/>
                      <w:spacing w:val="0"/>
                      <w:kern w:val="2"/>
                      <w:sz w:val="21"/>
                      <w:szCs w:val="21"/>
                      <w:highlight w:val="none"/>
                      <w:lang w:val="en-US" w:eastAsia="zh-CN" w:bidi="ar"/>
                    </w:rPr>
                    <w:t>施工安排在枯期第一年11月至第二年3月分两期施工</w:t>
                  </w:r>
                  <w:r>
                    <w:rPr>
                      <w:rFonts w:hint="eastAsia" w:ascii="Times New Roman" w:hAnsi="Times New Roman" w:eastAsia="宋体" w:cs="Times New Roman"/>
                      <w:color w:val="auto"/>
                      <w:spacing w:val="0"/>
                      <w:kern w:val="2"/>
                      <w:sz w:val="21"/>
                      <w:szCs w:val="21"/>
                      <w:highlight w:val="none"/>
                      <w:lang w:val="en-US" w:eastAsia="zh-CN" w:bidi="ar"/>
                    </w:rPr>
                    <w:t>：</w:t>
                  </w:r>
                  <w:r>
                    <w:rPr>
                      <w:rFonts w:hint="default" w:ascii="Times New Roman" w:hAnsi="Times New Roman" w:eastAsia="宋体" w:cs="Times New Roman"/>
                      <w:color w:val="auto"/>
                      <w:spacing w:val="0"/>
                      <w:kern w:val="2"/>
                      <w:sz w:val="21"/>
                      <w:szCs w:val="21"/>
                      <w:highlight w:val="none"/>
                      <w:lang w:val="en-US" w:eastAsia="zh-CN" w:bidi="ar"/>
                    </w:rPr>
                    <w:t>一期围堰围主体工程右岸，围堰长319.74m，堰顶宽3m</w:t>
                  </w:r>
                  <w:r>
                    <w:rPr>
                      <w:rFonts w:hint="eastAsia" w:ascii="Times New Roman" w:hAnsi="Times New Roman" w:eastAsia="宋体" w:cs="Times New Roman"/>
                      <w:color w:val="auto"/>
                      <w:spacing w:val="0"/>
                      <w:kern w:val="2"/>
                      <w:sz w:val="21"/>
                      <w:szCs w:val="21"/>
                      <w:highlight w:val="none"/>
                      <w:lang w:val="en-US" w:eastAsia="zh-CN" w:bidi="ar"/>
                    </w:rPr>
                    <w:t>，</w:t>
                  </w:r>
                  <w:r>
                    <w:rPr>
                      <w:rFonts w:hint="default" w:ascii="Times New Roman" w:hAnsi="Times New Roman" w:eastAsia="宋体" w:cs="Times New Roman"/>
                      <w:color w:val="auto"/>
                      <w:spacing w:val="0"/>
                      <w:kern w:val="2"/>
                      <w:sz w:val="21"/>
                      <w:szCs w:val="21"/>
                      <w:highlight w:val="none"/>
                      <w:lang w:val="en-US" w:eastAsia="zh-CN" w:bidi="ar"/>
                    </w:rPr>
                    <w:t>堰体结构型式采用砂卵石填筑，迎水面采用编织袋装土方防冲，土工膜防渗</w:t>
                  </w:r>
                  <w:r>
                    <w:rPr>
                      <w:rFonts w:hint="eastAsia" w:ascii="Times New Roman" w:hAnsi="Times New Roman" w:eastAsia="宋体" w:cs="Times New Roman"/>
                      <w:color w:val="auto"/>
                      <w:spacing w:val="0"/>
                      <w:kern w:val="2"/>
                      <w:sz w:val="21"/>
                      <w:szCs w:val="21"/>
                      <w:highlight w:val="none"/>
                      <w:lang w:val="en-US" w:eastAsia="zh-CN" w:bidi="ar"/>
                    </w:rPr>
                    <w:t>；</w:t>
                  </w:r>
                  <w:r>
                    <w:rPr>
                      <w:rFonts w:hint="default" w:ascii="Times New Roman" w:hAnsi="Times New Roman" w:eastAsia="宋体" w:cs="Times New Roman"/>
                      <w:color w:val="auto"/>
                      <w:spacing w:val="0"/>
                      <w:kern w:val="2"/>
                      <w:sz w:val="21"/>
                      <w:szCs w:val="21"/>
                      <w:highlight w:val="none"/>
                      <w:lang w:val="en-US" w:eastAsia="zh-CN" w:bidi="ar"/>
                    </w:rPr>
                    <w:t>二期导墙在一期基坑内完成，导墙堰顶长</w:t>
                  </w:r>
                  <w:r>
                    <w:rPr>
                      <w:rFonts w:hint="eastAsia" w:ascii="Times New Roman" w:hAnsi="Times New Roman" w:eastAsia="宋体" w:cs="Times New Roman"/>
                      <w:color w:val="auto"/>
                      <w:spacing w:val="0"/>
                      <w:kern w:val="2"/>
                      <w:sz w:val="21"/>
                      <w:szCs w:val="21"/>
                      <w:highlight w:val="none"/>
                      <w:lang w:val="en-US" w:eastAsia="zh-CN" w:bidi="ar"/>
                    </w:rPr>
                    <w:t>228</w:t>
                  </w:r>
                  <w:r>
                    <w:rPr>
                      <w:rFonts w:hint="default" w:ascii="Times New Roman" w:hAnsi="Times New Roman" w:eastAsia="宋体" w:cs="Times New Roman"/>
                      <w:color w:val="auto"/>
                      <w:spacing w:val="0"/>
                      <w:kern w:val="2"/>
                      <w:sz w:val="21"/>
                      <w:szCs w:val="21"/>
                      <w:highlight w:val="none"/>
                      <w:lang w:val="en-US" w:eastAsia="zh-CN" w:bidi="ar"/>
                    </w:rPr>
                    <w:t>m，堰顶宽0.5m</w:t>
                  </w:r>
                  <w:r>
                    <w:rPr>
                      <w:rFonts w:hint="eastAsia" w:ascii="Times New Roman" w:hAnsi="Times New Roman" w:eastAsia="宋体" w:cs="Times New Roman"/>
                      <w:color w:val="auto"/>
                      <w:spacing w:val="0"/>
                      <w:kern w:val="2"/>
                      <w:sz w:val="21"/>
                      <w:szCs w:val="21"/>
                      <w:highlight w:val="none"/>
                      <w:lang w:val="en-US" w:eastAsia="zh-CN" w:bidi="ar"/>
                    </w:rPr>
                    <w:t>，</w:t>
                  </w:r>
                  <w:r>
                    <w:rPr>
                      <w:rFonts w:hint="default" w:ascii="Times New Roman" w:hAnsi="Times New Roman" w:eastAsia="宋体" w:cs="Times New Roman"/>
                      <w:color w:val="auto"/>
                      <w:spacing w:val="0"/>
                      <w:kern w:val="2"/>
                      <w:sz w:val="21"/>
                      <w:szCs w:val="21"/>
                      <w:highlight w:val="none"/>
                      <w:lang w:val="en-US" w:eastAsia="zh-CN" w:bidi="ar"/>
                    </w:rPr>
                    <w:t>堰体结构型式采用M7.5浆砌卵石</w:t>
                  </w:r>
                  <w:r>
                    <w:rPr>
                      <w:rFonts w:hint="eastAsia" w:ascii="Times New Roman" w:hAnsi="Times New Roman" w:eastAsia="宋体" w:cs="Times New Roman"/>
                      <w:color w:val="auto"/>
                      <w:spacing w:val="0"/>
                      <w:kern w:val="2"/>
                      <w:sz w:val="21"/>
                      <w:szCs w:val="21"/>
                      <w:highlight w:val="none"/>
                      <w:lang w:val="en-US" w:eastAsia="zh-CN" w:bidi="ar"/>
                    </w:rPr>
                    <w:t>；</w:t>
                  </w:r>
                  <w:r>
                    <w:rPr>
                      <w:rFonts w:hint="default" w:ascii="Times New Roman" w:hAnsi="Times New Roman" w:eastAsia="宋体" w:cs="Times New Roman"/>
                      <w:color w:val="auto"/>
                      <w:spacing w:val="0"/>
                      <w:kern w:val="2"/>
                      <w:sz w:val="21"/>
                      <w:szCs w:val="21"/>
                      <w:highlight w:val="none"/>
                      <w:lang w:val="en-US" w:eastAsia="zh-CN" w:bidi="ar"/>
                    </w:rPr>
                    <w:t>二期上游围堰长约</w:t>
                  </w:r>
                  <w:r>
                    <w:rPr>
                      <w:rFonts w:hint="eastAsia" w:ascii="Times New Roman" w:hAnsi="Times New Roman" w:eastAsia="宋体" w:cs="Times New Roman"/>
                      <w:color w:val="auto"/>
                      <w:spacing w:val="0"/>
                      <w:kern w:val="2"/>
                      <w:sz w:val="21"/>
                      <w:szCs w:val="21"/>
                      <w:highlight w:val="none"/>
                      <w:lang w:val="en-US" w:eastAsia="zh-CN" w:bidi="ar"/>
                    </w:rPr>
                    <w:t>224.05</w:t>
                  </w:r>
                  <w:r>
                    <w:rPr>
                      <w:rFonts w:hint="default" w:ascii="Times New Roman" w:hAnsi="Times New Roman" w:eastAsia="宋体" w:cs="Times New Roman"/>
                      <w:color w:val="auto"/>
                      <w:spacing w:val="0"/>
                      <w:kern w:val="2"/>
                      <w:sz w:val="21"/>
                      <w:szCs w:val="21"/>
                      <w:highlight w:val="none"/>
                      <w:lang w:val="en-US" w:eastAsia="zh-CN" w:bidi="ar"/>
                    </w:rPr>
                    <w:t>m，堰顶宽</w:t>
                  </w:r>
                  <w:r>
                    <w:rPr>
                      <w:rFonts w:hint="eastAsia" w:ascii="Times New Roman" w:hAnsi="Times New Roman" w:eastAsia="宋体" w:cs="Times New Roman"/>
                      <w:color w:val="auto"/>
                      <w:spacing w:val="0"/>
                      <w:kern w:val="2"/>
                      <w:sz w:val="21"/>
                      <w:szCs w:val="21"/>
                      <w:highlight w:val="none"/>
                      <w:lang w:val="en-US" w:eastAsia="zh-CN" w:bidi="ar"/>
                    </w:rPr>
                    <w:t>3</w:t>
                  </w:r>
                  <w:r>
                    <w:rPr>
                      <w:rFonts w:hint="default" w:ascii="Times New Roman" w:hAnsi="Times New Roman" w:eastAsia="宋体" w:cs="Times New Roman"/>
                      <w:color w:val="auto"/>
                      <w:spacing w:val="0"/>
                      <w:kern w:val="2"/>
                      <w:sz w:val="21"/>
                      <w:szCs w:val="21"/>
                      <w:highlight w:val="none"/>
                      <w:lang w:val="en-US" w:eastAsia="zh-CN" w:bidi="ar"/>
                    </w:rPr>
                    <w:t>m，二期下游围堰长约</w:t>
                  </w:r>
                  <w:r>
                    <w:rPr>
                      <w:rFonts w:hint="eastAsia" w:ascii="Times New Roman" w:hAnsi="Times New Roman" w:eastAsia="宋体" w:cs="Times New Roman"/>
                      <w:color w:val="auto"/>
                      <w:spacing w:val="0"/>
                      <w:kern w:val="2"/>
                      <w:sz w:val="21"/>
                      <w:szCs w:val="21"/>
                      <w:highlight w:val="none"/>
                      <w:lang w:val="en-US" w:eastAsia="zh-CN" w:bidi="ar"/>
                    </w:rPr>
                    <w:t>75.62</w:t>
                  </w:r>
                  <w:r>
                    <w:rPr>
                      <w:rFonts w:hint="default" w:ascii="Times New Roman" w:hAnsi="Times New Roman" w:eastAsia="宋体" w:cs="Times New Roman"/>
                      <w:color w:val="auto"/>
                      <w:spacing w:val="0"/>
                      <w:kern w:val="2"/>
                      <w:sz w:val="21"/>
                      <w:szCs w:val="21"/>
                      <w:highlight w:val="none"/>
                      <w:lang w:val="en-US" w:eastAsia="zh-CN" w:bidi="ar"/>
                    </w:rPr>
                    <w:t>m，堰顶宽</w:t>
                  </w:r>
                  <w:r>
                    <w:rPr>
                      <w:rFonts w:hint="eastAsia" w:ascii="Times New Roman" w:hAnsi="Times New Roman" w:eastAsia="宋体" w:cs="Times New Roman"/>
                      <w:color w:val="auto"/>
                      <w:spacing w:val="0"/>
                      <w:kern w:val="2"/>
                      <w:sz w:val="21"/>
                      <w:szCs w:val="21"/>
                      <w:highlight w:val="none"/>
                      <w:lang w:val="en-US" w:eastAsia="zh-CN" w:bidi="ar"/>
                    </w:rPr>
                    <w:t>3</w:t>
                  </w:r>
                  <w:r>
                    <w:rPr>
                      <w:rFonts w:hint="default" w:ascii="Times New Roman" w:hAnsi="Times New Roman" w:eastAsia="宋体" w:cs="Times New Roman"/>
                      <w:color w:val="auto"/>
                      <w:spacing w:val="0"/>
                      <w:kern w:val="2"/>
                      <w:sz w:val="21"/>
                      <w:szCs w:val="21"/>
                      <w:highlight w:val="none"/>
                      <w:lang w:val="en-US" w:eastAsia="zh-CN" w:bidi="ar"/>
                    </w:rPr>
                    <w:t>m</w:t>
                  </w:r>
                  <w:r>
                    <w:rPr>
                      <w:rFonts w:hint="eastAsia" w:ascii="Times New Roman" w:hAnsi="Times New Roman" w:eastAsia="宋体" w:cs="Times New Roman"/>
                      <w:color w:val="auto"/>
                      <w:spacing w:val="0"/>
                      <w:kern w:val="2"/>
                      <w:sz w:val="21"/>
                      <w:szCs w:val="21"/>
                      <w:highlight w:val="none"/>
                      <w:lang w:val="en-US" w:eastAsia="zh-CN" w:bidi="ar"/>
                    </w:rPr>
                    <w:t>，</w:t>
                  </w:r>
                  <w:r>
                    <w:rPr>
                      <w:rFonts w:hint="default" w:ascii="Times New Roman" w:hAnsi="Times New Roman" w:eastAsia="宋体" w:cs="Times New Roman"/>
                      <w:color w:val="auto"/>
                      <w:spacing w:val="0"/>
                      <w:kern w:val="2"/>
                      <w:sz w:val="21"/>
                      <w:szCs w:val="21"/>
                      <w:highlight w:val="none"/>
                      <w:lang w:val="en-US" w:eastAsia="zh-CN" w:bidi="ar"/>
                    </w:rPr>
                    <w:t>堰体结构型式采用砂卵石填筑，迎水面采用编织袋装土方防冲，土工膜防渗。</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kern w:val="2"/>
                      <w:sz w:val="21"/>
                      <w:szCs w:val="21"/>
                      <w:highlight w:val="none"/>
                      <w:lang w:val="en-US" w:eastAsia="zh-CN" w:bidi="ar"/>
                    </w:rPr>
                  </w:pPr>
                  <w:r>
                    <w:rPr>
                      <w:rFonts w:hint="eastAsia" w:ascii="Times New Roman" w:hAnsi="Times New Roman" w:eastAsia="宋体" w:cs="Times New Roman"/>
                      <w:color w:val="auto"/>
                      <w:spacing w:val="0"/>
                      <w:kern w:val="2"/>
                      <w:sz w:val="21"/>
                      <w:szCs w:val="21"/>
                      <w:highlight w:val="none"/>
                      <w:lang w:val="en-US" w:eastAsia="zh-CN" w:bidi="ar"/>
                    </w:rPr>
                    <w:t>河道内施工完毕后，拆除所有围堰。</w:t>
                  </w:r>
                </w:p>
              </w:tc>
              <w:tc>
                <w:tcPr>
                  <w:tcW w:w="64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p>
              </w:tc>
              <w:tc>
                <w:tcPr>
                  <w:tcW w:w="52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rPr>
                  </w:pPr>
                </w:p>
              </w:tc>
              <w:tc>
                <w:tcPr>
                  <w:tcW w:w="36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供水供电及通信</w:t>
                  </w:r>
                </w:p>
              </w:tc>
              <w:tc>
                <w:tcPr>
                  <w:tcW w:w="309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spacing w:val="9"/>
                      <w:sz w:val="21"/>
                      <w:szCs w:val="21"/>
                    </w:rPr>
                    <w:t>工程区附近已有的降压站能满足施工</w:t>
                  </w:r>
                  <w:r>
                    <w:rPr>
                      <w:rFonts w:hint="default" w:ascii="Times New Roman" w:hAnsi="Times New Roman" w:eastAsia="宋体" w:cs="Times New Roman"/>
                      <w:spacing w:val="9"/>
                      <w:sz w:val="21"/>
                      <w:szCs w:val="21"/>
                      <w:lang w:val="en-US" w:eastAsia="zh-CN"/>
                    </w:rPr>
                    <w:t>用电</w:t>
                  </w:r>
                  <w:r>
                    <w:rPr>
                      <w:rFonts w:hint="default" w:ascii="Times New Roman" w:hAnsi="Times New Roman" w:eastAsia="宋体" w:cs="Times New Roman"/>
                      <w:spacing w:val="9"/>
                      <w:sz w:val="21"/>
                      <w:szCs w:val="21"/>
                    </w:rPr>
                    <w:t>需要</w:t>
                  </w:r>
                  <w:r>
                    <w:rPr>
                      <w:rFonts w:hint="default" w:ascii="Times New Roman" w:hAnsi="Times New Roman" w:eastAsia="宋体" w:cs="Times New Roman"/>
                      <w:spacing w:val="9"/>
                      <w:sz w:val="21"/>
                      <w:szCs w:val="21"/>
                      <w:lang w:eastAsia="zh-CN"/>
                    </w:rPr>
                    <w:t>；</w:t>
                  </w:r>
                  <w:r>
                    <w:rPr>
                      <w:rFonts w:hint="default" w:ascii="Times New Roman" w:hAnsi="Times New Roman" w:eastAsia="宋体" w:cs="Times New Roman"/>
                      <w:spacing w:val="9"/>
                      <w:sz w:val="21"/>
                      <w:szCs w:val="21"/>
                    </w:rPr>
                    <w:t>利用水泵，抽取河水解决</w:t>
                  </w:r>
                </w:p>
              </w:tc>
              <w:tc>
                <w:tcPr>
                  <w:tcW w:w="64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rPr>
                  </w:pPr>
                </w:p>
              </w:tc>
              <w:tc>
                <w:tcPr>
                  <w:tcW w:w="52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6"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临时工程</w:t>
                  </w:r>
                </w:p>
              </w:tc>
              <w:tc>
                <w:tcPr>
                  <w:tcW w:w="36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施工场地</w:t>
                  </w:r>
                </w:p>
              </w:tc>
              <w:tc>
                <w:tcPr>
                  <w:tcW w:w="3097" w:type="pct"/>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right="0"/>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lang w:val="en-US" w:eastAsia="zh-CN"/>
                    </w:rPr>
                    <w:t>项目设置2个施工场地，均为河滩地，占地面积约1500m</w:t>
                  </w:r>
                  <w:r>
                    <w:rPr>
                      <w:rFonts w:hint="default" w:ascii="Times New Roman" w:hAnsi="Times New Roman" w:eastAsia="宋体" w:cs="Times New Roman"/>
                      <w:color w:val="auto"/>
                      <w:spacing w:val="0"/>
                      <w:sz w:val="21"/>
                      <w:szCs w:val="21"/>
                      <w:highlight w:val="none"/>
                      <w:vertAlign w:val="superscript"/>
                      <w:lang w:val="en-US" w:eastAsia="zh-CN"/>
                    </w:rPr>
                    <w:t>2</w:t>
                  </w:r>
                  <w:r>
                    <w:rPr>
                      <w:rFonts w:hint="default" w:ascii="Times New Roman" w:hAnsi="Times New Roman" w:eastAsia="宋体" w:cs="Times New Roman"/>
                      <w:color w:val="auto"/>
                      <w:spacing w:val="0"/>
                      <w:sz w:val="21"/>
                      <w:szCs w:val="21"/>
                      <w:highlight w:val="none"/>
                      <w:lang w:val="en-US" w:eastAsia="zh-CN"/>
                    </w:rPr>
                    <w:t>，左岸工区占地面积500m</w:t>
                  </w:r>
                  <w:r>
                    <w:rPr>
                      <w:rFonts w:hint="default" w:ascii="Times New Roman" w:hAnsi="Times New Roman" w:eastAsia="宋体" w:cs="Times New Roman"/>
                      <w:color w:val="auto"/>
                      <w:spacing w:val="0"/>
                      <w:sz w:val="21"/>
                      <w:szCs w:val="21"/>
                      <w:highlight w:val="none"/>
                      <w:vertAlign w:val="superscript"/>
                      <w:lang w:val="en-US" w:eastAsia="zh-CN"/>
                    </w:rPr>
                    <w:t>2</w:t>
                  </w:r>
                  <w:r>
                    <w:rPr>
                      <w:rFonts w:hint="default" w:ascii="Times New Roman" w:hAnsi="Times New Roman" w:eastAsia="宋体" w:cs="Times New Roman"/>
                      <w:color w:val="auto"/>
                      <w:spacing w:val="0"/>
                      <w:sz w:val="21"/>
                      <w:szCs w:val="21"/>
                      <w:highlight w:val="none"/>
                      <w:lang w:val="en-US" w:eastAsia="zh-CN"/>
                    </w:rPr>
                    <w:t>，右岸工区占地面积1000m</w:t>
                  </w:r>
                  <w:r>
                    <w:rPr>
                      <w:rFonts w:hint="default" w:ascii="Times New Roman" w:hAnsi="Times New Roman" w:eastAsia="宋体" w:cs="Times New Roman"/>
                      <w:color w:val="auto"/>
                      <w:spacing w:val="0"/>
                      <w:sz w:val="21"/>
                      <w:szCs w:val="21"/>
                      <w:highlight w:val="none"/>
                      <w:vertAlign w:val="superscript"/>
                      <w:lang w:val="en-US" w:eastAsia="zh-CN"/>
                    </w:rPr>
                    <w:t>2</w:t>
                  </w:r>
                  <w:r>
                    <w:rPr>
                      <w:rFonts w:hint="default" w:ascii="Times New Roman" w:hAnsi="Times New Roman" w:eastAsia="宋体" w:cs="Times New Roman"/>
                      <w:color w:val="auto"/>
                      <w:spacing w:val="0"/>
                      <w:sz w:val="21"/>
                      <w:szCs w:val="21"/>
                      <w:highlight w:val="none"/>
                      <w:lang w:val="en-US" w:eastAsia="zh-CN"/>
                    </w:rPr>
                    <w:t>，施工区不设置砂石加工及商混站，仅作为砼结构制造场地、机械堆放场地</w:t>
                  </w:r>
                  <w:r>
                    <w:rPr>
                      <w:rFonts w:hint="eastAsia" w:ascii="Times New Roman" w:hAnsi="Times New Roman" w:eastAsia="宋体" w:cs="Times New Roman"/>
                      <w:color w:val="auto"/>
                      <w:spacing w:val="0"/>
                      <w:sz w:val="21"/>
                      <w:szCs w:val="21"/>
                      <w:highlight w:val="none"/>
                      <w:lang w:val="en-US" w:eastAsia="zh-CN"/>
                    </w:rPr>
                    <w:t>、疏浚料等临时堆场</w:t>
                  </w:r>
                </w:p>
              </w:tc>
              <w:tc>
                <w:tcPr>
                  <w:tcW w:w="64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噪声、扬尘、汽车尾气</w:t>
                  </w:r>
                  <w:r>
                    <w:rPr>
                      <w:rFonts w:hint="eastAsia" w:ascii="Times New Roman" w:hAnsi="Times New Roman" w:eastAsia="宋体" w:cs="Times New Roman"/>
                      <w:color w:val="auto"/>
                      <w:spacing w:val="0"/>
                      <w:sz w:val="21"/>
                      <w:szCs w:val="21"/>
                      <w:highlight w:val="none"/>
                      <w:lang w:val="en-US" w:eastAsia="zh-CN"/>
                    </w:rPr>
                    <w:t>、淤泥恶臭</w:t>
                  </w:r>
                </w:p>
              </w:tc>
              <w:tc>
                <w:tcPr>
                  <w:tcW w:w="52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eastAsia="zh-CN"/>
                    </w:rPr>
                  </w:pPr>
                </w:p>
              </w:tc>
              <w:tc>
                <w:tcPr>
                  <w:tcW w:w="36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z w:val="21"/>
                      <w:szCs w:val="21"/>
                      <w:lang w:val="en-US" w:eastAsia="zh-CN"/>
                    </w:rPr>
                    <w:t>施工营地</w:t>
                  </w:r>
                </w:p>
              </w:tc>
              <w:tc>
                <w:tcPr>
                  <w:tcW w:w="309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项目不设置施工营地，施工人员就近租用民房</w:t>
                  </w:r>
                </w:p>
              </w:tc>
              <w:tc>
                <w:tcPr>
                  <w:tcW w:w="64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生活污水</w:t>
                  </w:r>
                </w:p>
              </w:tc>
              <w:tc>
                <w:tcPr>
                  <w:tcW w:w="52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eastAsia="zh-CN"/>
                    </w:rPr>
                  </w:pPr>
                </w:p>
              </w:tc>
              <w:tc>
                <w:tcPr>
                  <w:tcW w:w="36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弃土场</w:t>
                  </w:r>
                </w:p>
              </w:tc>
              <w:tc>
                <w:tcPr>
                  <w:tcW w:w="3097" w:type="pct"/>
                  <w:tcBorders>
                    <w:tl2br w:val="nil"/>
                    <w:tr2bl w:val="nil"/>
                  </w:tcBorders>
                  <w:noWrap w:val="0"/>
                  <w:vAlign w:val="center"/>
                </w:tcPr>
                <w:p>
                  <w:pPr>
                    <w:snapToGrid w:val="0"/>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本工程主体土石开挖总量</w:t>
                  </w:r>
                  <w:r>
                    <w:rPr>
                      <w:rFonts w:hint="eastAsia" w:ascii="Times New Roman" w:hAnsi="Times New Roman" w:eastAsia="宋体" w:cs="Times New Roman"/>
                      <w:color w:val="auto"/>
                      <w:spacing w:val="0"/>
                      <w:sz w:val="21"/>
                      <w:szCs w:val="21"/>
                      <w:highlight w:val="none"/>
                      <w:lang w:val="en-US" w:eastAsia="zh-CN"/>
                    </w:rPr>
                    <w:t>4.32</w:t>
                  </w:r>
                  <w:r>
                    <w:rPr>
                      <w:rFonts w:hint="default" w:ascii="Times New Roman" w:hAnsi="Times New Roman" w:eastAsia="宋体" w:cs="Times New Roman"/>
                      <w:color w:val="auto"/>
                      <w:spacing w:val="0"/>
                      <w:sz w:val="21"/>
                      <w:szCs w:val="21"/>
                      <w:highlight w:val="none"/>
                      <w:lang w:val="en-US" w:eastAsia="zh-CN"/>
                    </w:rPr>
                    <w:t>万m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lang w:val="en-US" w:eastAsia="zh-CN"/>
                    </w:rPr>
                    <w:t>（自然方，含</w:t>
                  </w:r>
                  <w:r>
                    <w:rPr>
                      <w:rFonts w:hint="eastAsia" w:ascii="Times New Roman" w:hAnsi="Times New Roman" w:eastAsia="宋体" w:cs="Times New Roman"/>
                      <w:color w:val="auto"/>
                      <w:spacing w:val="0"/>
                      <w:sz w:val="21"/>
                      <w:szCs w:val="21"/>
                      <w:highlight w:val="none"/>
                      <w:lang w:val="en-US" w:eastAsia="zh-CN"/>
                    </w:rPr>
                    <w:t>表土剥离量0.14万</w:t>
                  </w:r>
                  <w:r>
                    <w:rPr>
                      <w:rFonts w:hint="default" w:ascii="Times New Roman" w:hAnsi="Times New Roman" w:eastAsia="宋体" w:cs="Times New Roman"/>
                      <w:color w:val="auto"/>
                      <w:spacing w:val="0"/>
                      <w:sz w:val="21"/>
                      <w:szCs w:val="21"/>
                      <w:highlight w:val="none"/>
                      <w:lang w:val="en-US" w:eastAsia="zh-CN"/>
                    </w:rPr>
                    <w:t>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lang w:val="en-US" w:eastAsia="zh-CN"/>
                    </w:rPr>
                    <w:t>），</w:t>
                  </w:r>
                  <w:r>
                    <w:rPr>
                      <w:rFonts w:hint="eastAsia" w:ascii="Times New Roman" w:hAnsi="Times New Roman" w:eastAsia="宋体" w:cs="Times New Roman"/>
                      <w:color w:val="auto"/>
                      <w:spacing w:val="0"/>
                      <w:sz w:val="21"/>
                      <w:szCs w:val="21"/>
                      <w:highlight w:val="none"/>
                      <w:lang w:val="en-US" w:eastAsia="zh-CN"/>
                    </w:rPr>
                    <w:t>总回填量1.47</w:t>
                  </w:r>
                  <w:r>
                    <w:rPr>
                      <w:rFonts w:hint="default" w:ascii="Times New Roman" w:hAnsi="Times New Roman" w:eastAsia="宋体" w:cs="Times New Roman"/>
                      <w:color w:val="auto"/>
                      <w:spacing w:val="0"/>
                      <w:sz w:val="21"/>
                      <w:szCs w:val="21"/>
                      <w:highlight w:val="none"/>
                      <w:lang w:val="en-US" w:eastAsia="zh-CN"/>
                    </w:rPr>
                    <w:t>万m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eastAsia" w:ascii="Times New Roman" w:hAnsi="Times New Roman" w:eastAsia="宋体" w:cs="Times New Roman"/>
                      <w:color w:val="auto"/>
                      <w:spacing w:val="0"/>
                      <w:sz w:val="21"/>
                      <w:szCs w:val="21"/>
                      <w:highlight w:val="none"/>
                      <w:lang w:val="en-US" w:eastAsia="zh-CN"/>
                    </w:rPr>
                    <w:t>（其中</w:t>
                  </w:r>
                  <w:r>
                    <w:rPr>
                      <w:rFonts w:hint="default" w:ascii="Times New Roman" w:hAnsi="Times New Roman" w:eastAsia="宋体" w:cs="Times New Roman"/>
                      <w:color w:val="auto"/>
                      <w:spacing w:val="0"/>
                      <w:sz w:val="21"/>
                      <w:szCs w:val="21"/>
                      <w:highlight w:val="none"/>
                      <w:lang w:val="en-US" w:eastAsia="zh-CN"/>
                    </w:rPr>
                    <w:t>用于主体工程</w:t>
                  </w:r>
                  <w:r>
                    <w:rPr>
                      <w:rFonts w:hint="eastAsia" w:ascii="Times New Roman" w:hAnsi="Times New Roman" w:eastAsia="宋体" w:cs="Times New Roman"/>
                      <w:color w:val="auto"/>
                      <w:spacing w:val="0"/>
                      <w:sz w:val="21"/>
                      <w:szCs w:val="21"/>
                      <w:highlight w:val="none"/>
                      <w:lang w:val="en-US" w:eastAsia="zh-CN"/>
                    </w:rPr>
                    <w:t>土石方回</w:t>
                  </w:r>
                  <w:r>
                    <w:rPr>
                      <w:rFonts w:hint="default" w:ascii="Times New Roman" w:hAnsi="Times New Roman" w:eastAsia="宋体" w:cs="Times New Roman"/>
                      <w:color w:val="auto"/>
                      <w:spacing w:val="0"/>
                      <w:sz w:val="21"/>
                      <w:szCs w:val="21"/>
                      <w:highlight w:val="none"/>
                      <w:lang w:val="en-US" w:eastAsia="zh-CN"/>
                    </w:rPr>
                    <w:t>填</w:t>
                  </w:r>
                  <w:r>
                    <w:rPr>
                      <w:rFonts w:hint="eastAsia" w:ascii="Times New Roman" w:hAnsi="Times New Roman" w:eastAsia="宋体" w:cs="Times New Roman"/>
                      <w:color w:val="auto"/>
                      <w:spacing w:val="0"/>
                      <w:sz w:val="21"/>
                      <w:szCs w:val="21"/>
                      <w:highlight w:val="none"/>
                      <w:lang w:val="en-US" w:eastAsia="zh-CN"/>
                    </w:rPr>
                    <w:t>0.93</w:t>
                  </w:r>
                  <w:r>
                    <w:rPr>
                      <w:rFonts w:hint="default" w:ascii="Times New Roman" w:hAnsi="Times New Roman" w:eastAsia="宋体" w:cs="Times New Roman"/>
                      <w:color w:val="auto"/>
                      <w:spacing w:val="0"/>
                      <w:sz w:val="21"/>
                      <w:szCs w:val="21"/>
                      <w:highlight w:val="none"/>
                      <w:lang w:val="en-US" w:eastAsia="zh-CN"/>
                    </w:rPr>
                    <w:t>万m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lang w:val="en-US" w:eastAsia="zh-CN"/>
                    </w:rPr>
                    <w:t>，用于</w:t>
                  </w:r>
                  <w:r>
                    <w:rPr>
                      <w:rFonts w:hint="eastAsia" w:ascii="Times New Roman" w:hAnsi="Times New Roman" w:eastAsia="宋体" w:cs="Times New Roman"/>
                      <w:color w:val="auto"/>
                      <w:spacing w:val="0"/>
                      <w:sz w:val="21"/>
                      <w:szCs w:val="21"/>
                      <w:highlight w:val="none"/>
                      <w:lang w:val="en-US" w:eastAsia="zh-CN"/>
                    </w:rPr>
                    <w:t>大卵石海漫0.40</w:t>
                  </w:r>
                  <w:r>
                    <w:rPr>
                      <w:rFonts w:hint="default" w:ascii="Times New Roman" w:hAnsi="Times New Roman" w:eastAsia="宋体" w:cs="Times New Roman"/>
                      <w:color w:val="auto"/>
                      <w:spacing w:val="0"/>
                      <w:sz w:val="21"/>
                      <w:szCs w:val="21"/>
                      <w:highlight w:val="none"/>
                      <w:lang w:val="en-US" w:eastAsia="zh-CN"/>
                    </w:rPr>
                    <w:t>万m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default" w:ascii="Times New Roman" w:hAnsi="Times New Roman" w:eastAsia="宋体" w:cs="Times New Roman"/>
                      <w:color w:val="auto"/>
                      <w:spacing w:val="0"/>
                      <w:sz w:val="21"/>
                      <w:szCs w:val="21"/>
                      <w:highlight w:val="none"/>
                      <w:lang w:val="en-US" w:eastAsia="zh-CN"/>
                    </w:rPr>
                    <w:t>，</w:t>
                  </w:r>
                  <w:r>
                    <w:rPr>
                      <w:rFonts w:hint="eastAsia" w:ascii="Times New Roman" w:hAnsi="Times New Roman" w:eastAsia="宋体" w:cs="Times New Roman"/>
                      <w:color w:val="auto"/>
                      <w:spacing w:val="0"/>
                      <w:sz w:val="21"/>
                      <w:szCs w:val="21"/>
                      <w:highlight w:val="none"/>
                      <w:lang w:val="en-US" w:eastAsia="zh-CN"/>
                    </w:rPr>
                    <w:t>覆土0.14</w:t>
                  </w:r>
                  <w:r>
                    <w:rPr>
                      <w:rFonts w:hint="default" w:ascii="Times New Roman" w:hAnsi="Times New Roman" w:eastAsia="宋体" w:cs="Times New Roman"/>
                      <w:color w:val="auto"/>
                      <w:spacing w:val="0"/>
                      <w:sz w:val="21"/>
                      <w:szCs w:val="21"/>
                      <w:highlight w:val="none"/>
                      <w:lang w:val="en-US" w:eastAsia="zh-CN"/>
                    </w:rPr>
                    <w:t>万m</w:t>
                  </w:r>
                  <w:r>
                    <w:rPr>
                      <w:rFonts w:hint="default" w:ascii="Times New Roman" w:hAnsi="Times New Roman" w:eastAsia="宋体" w:cs="Times New Roman"/>
                      <w:color w:val="auto"/>
                      <w:spacing w:val="0"/>
                      <w:sz w:val="21"/>
                      <w:szCs w:val="21"/>
                      <w:highlight w:val="none"/>
                      <w:vertAlign w:val="superscript"/>
                      <w:lang w:val="en-US" w:eastAsia="zh-CN"/>
                    </w:rPr>
                    <w:t>3</w:t>
                  </w:r>
                  <w:r>
                    <w:rPr>
                      <w:rFonts w:hint="eastAsia" w:ascii="Times New Roman" w:hAnsi="Times New Roman" w:eastAsia="宋体" w:cs="Times New Roman"/>
                      <w:color w:val="auto"/>
                      <w:spacing w:val="0"/>
                      <w:sz w:val="21"/>
                      <w:szCs w:val="21"/>
                      <w:highlight w:val="none"/>
                      <w:lang w:val="en-US" w:eastAsia="zh-CN"/>
                    </w:rPr>
                    <w:t>），余方2.85万m</w:t>
                  </w:r>
                  <w:r>
                    <w:rPr>
                      <w:rFonts w:hint="eastAsia" w:ascii="Times New Roman" w:hAnsi="Times New Roman" w:eastAsia="宋体" w:cs="Times New Roman"/>
                      <w:color w:val="auto"/>
                      <w:spacing w:val="0"/>
                      <w:sz w:val="21"/>
                      <w:szCs w:val="21"/>
                      <w:highlight w:val="none"/>
                      <w:vertAlign w:val="superscript"/>
                      <w:lang w:val="en-US" w:eastAsia="zh-CN"/>
                    </w:rPr>
                    <w:t>3</w:t>
                  </w:r>
                  <w:r>
                    <w:rPr>
                      <w:rFonts w:hint="eastAsia" w:ascii="Times New Roman" w:hAnsi="Times New Roman" w:eastAsia="宋体" w:cs="Times New Roman"/>
                      <w:color w:val="auto"/>
                      <w:spacing w:val="0"/>
                      <w:sz w:val="21"/>
                      <w:szCs w:val="21"/>
                      <w:highlight w:val="none"/>
                      <w:lang w:val="en-US" w:eastAsia="zh-CN"/>
                    </w:rPr>
                    <w:t>砂卵石</w:t>
                  </w:r>
                  <w:r>
                    <w:rPr>
                      <w:rFonts w:hint="default" w:ascii="Times New Roman" w:hAnsi="Times New Roman" w:eastAsia="宋体" w:cs="Times New Roman"/>
                      <w:color w:val="auto"/>
                      <w:spacing w:val="0"/>
                      <w:sz w:val="21"/>
                      <w:szCs w:val="21"/>
                      <w:highlight w:val="none"/>
                      <w:lang w:val="en-US" w:eastAsia="zh-CN"/>
                    </w:rPr>
                    <w:t>，</w:t>
                  </w:r>
                  <w:r>
                    <w:rPr>
                      <w:rFonts w:hint="eastAsia" w:ascii="Times New Roman" w:hAnsi="Times New Roman" w:eastAsia="宋体" w:cs="Times New Roman"/>
                      <w:color w:val="auto"/>
                      <w:spacing w:val="0"/>
                      <w:sz w:val="21"/>
                      <w:szCs w:val="21"/>
                      <w:highlight w:val="none"/>
                      <w:lang w:val="en-US" w:eastAsia="zh-CN"/>
                    </w:rPr>
                    <w:t>运往苏稽镇石鼓寺村老鸦滩堆料场堆放，后期由乐山市市中区国有资产监督管理局统一拍卖或利用</w:t>
                  </w:r>
                  <w:r>
                    <w:rPr>
                      <w:rFonts w:hint="default" w:ascii="Times New Roman" w:hAnsi="Times New Roman" w:eastAsia="宋体" w:cs="Times New Roman"/>
                      <w:color w:val="auto"/>
                      <w:spacing w:val="0"/>
                      <w:sz w:val="21"/>
                      <w:szCs w:val="21"/>
                      <w:highlight w:val="none"/>
                      <w:lang w:val="en-US" w:eastAsia="zh-CN"/>
                    </w:rPr>
                    <w:t>。</w:t>
                  </w:r>
                  <w:r>
                    <w:rPr>
                      <w:rFonts w:hint="default" w:ascii="Times New Roman" w:hAnsi="Times New Roman" w:eastAsia="宋体" w:cs="Times New Roman"/>
                      <w:color w:val="auto"/>
                      <w:sz w:val="21"/>
                      <w:szCs w:val="21"/>
                      <w:lang w:val="en-US" w:eastAsia="zh-CN"/>
                    </w:rPr>
                    <w:t>不再单独设置弃渣场。</w:t>
                  </w:r>
                </w:p>
              </w:tc>
              <w:tc>
                <w:tcPr>
                  <w:tcW w:w="64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噪声、扬尘、汽车尾气</w:t>
                  </w:r>
                </w:p>
              </w:tc>
              <w:tc>
                <w:tcPr>
                  <w:tcW w:w="52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rPr>
                  </w:pPr>
                </w:p>
              </w:tc>
              <w:tc>
                <w:tcPr>
                  <w:tcW w:w="36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料场</w:t>
                  </w:r>
                </w:p>
              </w:tc>
              <w:tc>
                <w:tcPr>
                  <w:tcW w:w="309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本项目不设置料场，采用商品混凝土</w:t>
                  </w:r>
                </w:p>
              </w:tc>
              <w:tc>
                <w:tcPr>
                  <w:tcW w:w="64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val="en-US" w:eastAsia="zh-CN"/>
                    </w:rPr>
                    <w:t>/</w:t>
                  </w:r>
                </w:p>
              </w:tc>
              <w:tc>
                <w:tcPr>
                  <w:tcW w:w="52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bidi="ar"/>
                    </w:rPr>
                  </w:pPr>
                  <w:r>
                    <w:rPr>
                      <w:rFonts w:hint="default" w:ascii="Times New Roman" w:hAnsi="Times New Roman" w:eastAsia="宋体" w:cs="Times New Roman"/>
                      <w:color w:val="auto"/>
                      <w:spacing w:val="0"/>
                      <w:sz w:val="21"/>
                      <w:szCs w:val="21"/>
                      <w:highlight w:val="none"/>
                      <w:lang w:bidi="ar"/>
                    </w:rPr>
                    <w:t>环保工程</w:t>
                  </w:r>
                </w:p>
              </w:tc>
              <w:tc>
                <w:tcPr>
                  <w:tcW w:w="36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bidi="ar"/>
                    </w:rPr>
                  </w:pPr>
                  <w:r>
                    <w:rPr>
                      <w:rFonts w:hint="default" w:ascii="Times New Roman" w:hAnsi="Times New Roman" w:eastAsia="宋体" w:cs="Times New Roman"/>
                      <w:color w:val="auto"/>
                      <w:spacing w:val="0"/>
                      <w:sz w:val="21"/>
                      <w:szCs w:val="21"/>
                      <w:highlight w:val="none"/>
                      <w:lang w:val="en-US" w:eastAsia="zh-CN" w:bidi="ar"/>
                    </w:rPr>
                    <w:t>废水治理</w:t>
                  </w:r>
                </w:p>
              </w:tc>
              <w:tc>
                <w:tcPr>
                  <w:tcW w:w="309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bCs/>
                      <w:color w:val="auto"/>
                      <w:sz w:val="21"/>
                      <w:szCs w:val="21"/>
                      <w:lang w:eastAsia="zh-CN"/>
                    </w:rPr>
                    <w:t>车辆设备冲洗废水</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施工</w:t>
                  </w:r>
                  <w:r>
                    <w:rPr>
                      <w:rFonts w:hint="default" w:ascii="Times New Roman" w:hAnsi="Times New Roman" w:eastAsia="宋体" w:cs="Times New Roman"/>
                      <w:color w:val="auto"/>
                      <w:sz w:val="21"/>
                      <w:szCs w:val="21"/>
                      <w:lang w:eastAsia="zh-CN"/>
                    </w:rPr>
                    <w:t>场地</w:t>
                  </w:r>
                  <w:r>
                    <w:rPr>
                      <w:rFonts w:hint="default" w:ascii="Times New Roman" w:hAnsi="Times New Roman" w:eastAsia="宋体" w:cs="Times New Roman"/>
                      <w:color w:val="auto"/>
                      <w:sz w:val="21"/>
                      <w:szCs w:val="21"/>
                    </w:rPr>
                    <w:t>修建1</w:t>
                  </w:r>
                  <w:r>
                    <w:rPr>
                      <w:rFonts w:hint="default" w:ascii="Times New Roman" w:hAnsi="Times New Roman" w:eastAsia="宋体" w:cs="Times New Roman"/>
                      <w:color w:val="auto"/>
                      <w:sz w:val="21"/>
                      <w:szCs w:val="21"/>
                      <w:lang w:val="en-US" w:eastAsia="zh-CN"/>
                    </w:rPr>
                    <w:t>个隔油</w:t>
                  </w:r>
                  <w:r>
                    <w:rPr>
                      <w:rFonts w:hint="default" w:ascii="Times New Roman" w:hAnsi="Times New Roman" w:eastAsia="宋体" w:cs="Times New Roman"/>
                      <w:color w:val="auto"/>
                      <w:sz w:val="21"/>
                      <w:szCs w:val="21"/>
                    </w:rPr>
                    <w:t>沉淀池（</w:t>
                  </w:r>
                  <w:r>
                    <w:rPr>
                      <w:rFonts w:hint="default" w:ascii="Times New Roman" w:hAnsi="Times New Roman" w:eastAsia="宋体" w:cs="Times New Roman"/>
                      <w:color w:val="auto"/>
                      <w:sz w:val="21"/>
                      <w:szCs w:val="21"/>
                      <w:lang w:val="en-US" w:eastAsia="zh-CN"/>
                    </w:rPr>
                    <w:t>10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，车辆设备冲洗废水</w:t>
                  </w:r>
                  <w:r>
                    <w:rPr>
                      <w:rFonts w:hint="default" w:ascii="Times New Roman" w:hAnsi="Times New Roman" w:eastAsia="宋体" w:cs="Times New Roman"/>
                      <w:color w:val="auto"/>
                      <w:sz w:val="21"/>
                      <w:szCs w:val="21"/>
                    </w:rPr>
                    <w:t>经沉淀池处理后回用</w:t>
                  </w: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bCs/>
                      <w:color w:val="auto"/>
                      <w:sz w:val="21"/>
                      <w:szCs w:val="21"/>
                      <w:lang w:val="en-US" w:eastAsia="zh-CN"/>
                    </w:rPr>
                    <w:t>施工</w:t>
                  </w:r>
                  <w:r>
                    <w:rPr>
                      <w:rFonts w:hint="default" w:ascii="Times New Roman" w:hAnsi="Times New Roman" w:eastAsia="宋体" w:cs="Times New Roman"/>
                      <w:b/>
                      <w:bCs/>
                      <w:color w:val="auto"/>
                      <w:sz w:val="21"/>
                      <w:szCs w:val="21"/>
                    </w:rPr>
                    <w:t>生活污水</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color w:val="auto"/>
                      <w:sz w:val="21"/>
                      <w:szCs w:val="21"/>
                      <w:lang w:eastAsia="zh-CN"/>
                    </w:rPr>
                    <w:t>施工人员生活污水依托租用周边民房内已有的生活污水处理设施处理</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bCs/>
                      <w:spacing w:val="9"/>
                      <w:sz w:val="21"/>
                      <w:szCs w:val="21"/>
                    </w:rPr>
                  </w:pPr>
                  <w:r>
                    <w:rPr>
                      <w:rFonts w:hint="default" w:ascii="Times New Roman" w:hAnsi="Times New Roman" w:eastAsia="宋体" w:cs="Times New Roman"/>
                      <w:b/>
                      <w:bCs/>
                      <w:spacing w:val="18"/>
                      <w:sz w:val="21"/>
                      <w:szCs w:val="21"/>
                    </w:rPr>
                    <w:t>施</w:t>
                  </w:r>
                  <w:r>
                    <w:rPr>
                      <w:rFonts w:hint="default" w:ascii="Times New Roman" w:hAnsi="Times New Roman" w:eastAsia="宋体" w:cs="Times New Roman"/>
                      <w:b/>
                      <w:bCs/>
                      <w:spacing w:val="16"/>
                      <w:sz w:val="21"/>
                      <w:szCs w:val="21"/>
                    </w:rPr>
                    <w:t>工</w:t>
                  </w:r>
                  <w:r>
                    <w:rPr>
                      <w:rFonts w:hint="default" w:ascii="Times New Roman" w:hAnsi="Times New Roman" w:eastAsia="宋体" w:cs="Times New Roman"/>
                      <w:b/>
                      <w:bCs/>
                      <w:spacing w:val="9"/>
                      <w:sz w:val="21"/>
                      <w:szCs w:val="21"/>
                    </w:rPr>
                    <w:t>期基坑废水</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bCs/>
                      <w:spacing w:val="9"/>
                      <w:sz w:val="21"/>
                      <w:szCs w:val="21"/>
                      <w:lang w:val="en-US" w:eastAsia="zh-CN"/>
                    </w:rPr>
                  </w:pPr>
                  <w:r>
                    <w:rPr>
                      <w:rFonts w:hint="default" w:ascii="Times New Roman" w:hAnsi="Times New Roman" w:eastAsia="宋体" w:cs="Times New Roman"/>
                      <w:spacing w:val="9"/>
                      <w:sz w:val="21"/>
                      <w:szCs w:val="21"/>
                    </w:rPr>
                    <w:t>通过在基坑内静置一段时</w:t>
                  </w:r>
                  <w:r>
                    <w:rPr>
                      <w:rFonts w:hint="default" w:ascii="Times New Roman" w:hAnsi="Times New Roman" w:eastAsia="宋体" w:cs="Times New Roman"/>
                      <w:spacing w:val="10"/>
                      <w:sz w:val="21"/>
                      <w:szCs w:val="21"/>
                    </w:rPr>
                    <w:t>间</w:t>
                  </w:r>
                  <w:r>
                    <w:rPr>
                      <w:rFonts w:hint="default" w:ascii="Times New Roman" w:hAnsi="Times New Roman" w:eastAsia="宋体" w:cs="Times New Roman"/>
                      <w:spacing w:val="7"/>
                      <w:sz w:val="21"/>
                      <w:szCs w:val="21"/>
                    </w:rPr>
                    <w:t>，沉淀后用水泵排</w:t>
                  </w:r>
                  <w:r>
                    <w:rPr>
                      <w:rFonts w:hint="eastAsia" w:ascii="Times New Roman" w:hAnsi="Times New Roman" w:eastAsia="宋体" w:cs="Times New Roman"/>
                      <w:spacing w:val="7"/>
                      <w:sz w:val="21"/>
                      <w:szCs w:val="21"/>
                      <w:lang w:val="en-US" w:eastAsia="zh-CN"/>
                    </w:rPr>
                    <w:t>至下游</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bidi="ar"/>
                    </w:rPr>
                  </w:pPr>
                  <w:r>
                    <w:rPr>
                      <w:rFonts w:hint="default" w:ascii="Times New Roman" w:hAnsi="Times New Roman" w:eastAsia="宋体" w:cs="Times New Roman"/>
                      <w:b/>
                      <w:bCs/>
                      <w:spacing w:val="9"/>
                      <w:sz w:val="21"/>
                      <w:szCs w:val="21"/>
                    </w:rPr>
                    <w:t>淤泥渗滤液</w:t>
                  </w:r>
                  <w:r>
                    <w:rPr>
                      <w:rFonts w:hint="default" w:ascii="Times New Roman" w:hAnsi="Times New Roman" w:eastAsia="宋体" w:cs="Times New Roman"/>
                      <w:spacing w:val="9"/>
                      <w:sz w:val="21"/>
                      <w:szCs w:val="21"/>
                      <w:lang w:eastAsia="zh-CN"/>
                    </w:rPr>
                    <w:t>：</w:t>
                  </w:r>
                  <w:r>
                    <w:rPr>
                      <w:rFonts w:hint="default" w:ascii="Times New Roman" w:hAnsi="Times New Roman" w:eastAsia="宋体" w:cs="Times New Roman"/>
                      <w:spacing w:val="9"/>
                      <w:sz w:val="21"/>
                      <w:szCs w:val="21"/>
                      <w:lang w:val="en-US" w:eastAsia="zh-CN"/>
                    </w:rPr>
                    <w:t>经收集后排入三级沉淀池进行自然沉淀，澄清水回用于疏浚料运输线路洒水降尘、工程车辆冲洗等</w:t>
                  </w:r>
                  <w:r>
                    <w:rPr>
                      <w:rFonts w:hint="eastAsia" w:ascii="Times New Roman" w:hAnsi="Times New Roman" w:eastAsia="宋体" w:cs="Times New Roman"/>
                      <w:spacing w:val="9"/>
                      <w:sz w:val="21"/>
                      <w:szCs w:val="21"/>
                      <w:lang w:val="en-US" w:eastAsia="zh-CN"/>
                    </w:rPr>
                    <w:t>，不外排</w:t>
                  </w:r>
                  <w:r>
                    <w:rPr>
                      <w:rFonts w:hint="default" w:ascii="Times New Roman" w:hAnsi="Times New Roman" w:eastAsia="宋体" w:cs="Times New Roman"/>
                      <w:spacing w:val="9"/>
                      <w:sz w:val="21"/>
                      <w:szCs w:val="21"/>
                      <w:lang w:val="en-US" w:eastAsia="zh-CN"/>
                    </w:rPr>
                    <w:t>。</w:t>
                  </w:r>
                </w:p>
              </w:tc>
              <w:tc>
                <w:tcPr>
                  <w:tcW w:w="64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eastAsia="zh-CN" w:bidi="ar"/>
                    </w:rPr>
                  </w:pPr>
                  <w:r>
                    <w:rPr>
                      <w:rFonts w:hint="default" w:ascii="Times New Roman" w:hAnsi="Times New Roman" w:eastAsia="宋体" w:cs="Times New Roman"/>
                      <w:color w:val="auto"/>
                      <w:spacing w:val="0"/>
                      <w:sz w:val="21"/>
                      <w:szCs w:val="21"/>
                      <w:highlight w:val="none"/>
                      <w:lang w:eastAsia="zh-CN" w:bidi="ar"/>
                    </w:rPr>
                    <w:t>水污染</w:t>
                  </w:r>
                </w:p>
              </w:tc>
              <w:tc>
                <w:tcPr>
                  <w:tcW w:w="526"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bidi="ar"/>
                    </w:rPr>
                  </w:pPr>
                  <w:r>
                    <w:rPr>
                      <w:rFonts w:hint="default" w:ascii="Times New Roman" w:hAnsi="Times New Roman" w:eastAsia="宋体" w:cs="Times New Roman"/>
                      <w:color w:val="auto"/>
                      <w:spacing w:val="0"/>
                      <w:sz w:val="21"/>
                      <w:szCs w:val="21"/>
                      <w:highlight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bidi="ar"/>
                    </w:rPr>
                  </w:pPr>
                </w:p>
              </w:tc>
              <w:tc>
                <w:tcPr>
                  <w:tcW w:w="36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bidi="ar"/>
                    </w:rPr>
                  </w:pPr>
                  <w:r>
                    <w:rPr>
                      <w:rFonts w:hint="default" w:ascii="Times New Roman" w:hAnsi="Times New Roman" w:eastAsia="宋体" w:cs="Times New Roman"/>
                      <w:color w:val="auto"/>
                      <w:spacing w:val="0"/>
                      <w:sz w:val="21"/>
                      <w:szCs w:val="21"/>
                      <w:highlight w:val="none"/>
                      <w:lang w:val="en-US" w:eastAsia="zh-CN" w:bidi="ar"/>
                    </w:rPr>
                    <w:t>废气治理</w:t>
                  </w:r>
                </w:p>
              </w:tc>
              <w:tc>
                <w:tcPr>
                  <w:tcW w:w="3097" w:type="pct"/>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jc w:val="center"/>
                    <w:rPr>
                      <w:rFonts w:hint="default" w:ascii="Times New Roman" w:hAnsi="Times New Roman" w:eastAsia="宋体" w:cs="Times New Roman"/>
                      <w:color w:val="auto"/>
                      <w:spacing w:val="0"/>
                      <w:sz w:val="21"/>
                      <w:szCs w:val="21"/>
                      <w:highlight w:val="none"/>
                      <w:lang w:eastAsia="zh-CN" w:bidi="ar"/>
                    </w:rPr>
                  </w:pPr>
                  <w:r>
                    <w:rPr>
                      <w:rFonts w:hint="default" w:ascii="Times New Roman" w:hAnsi="Times New Roman" w:eastAsia="宋体" w:cs="Times New Roman"/>
                      <w:spacing w:val="18"/>
                      <w:sz w:val="21"/>
                      <w:szCs w:val="21"/>
                    </w:rPr>
                    <w:t>施</w:t>
                  </w:r>
                  <w:r>
                    <w:rPr>
                      <w:rFonts w:hint="default" w:ascii="Times New Roman" w:hAnsi="Times New Roman" w:eastAsia="宋体" w:cs="Times New Roman"/>
                      <w:spacing w:val="16"/>
                      <w:sz w:val="21"/>
                      <w:szCs w:val="21"/>
                    </w:rPr>
                    <w:t>工</w:t>
                  </w:r>
                  <w:r>
                    <w:rPr>
                      <w:rFonts w:hint="default" w:ascii="Times New Roman" w:hAnsi="Times New Roman" w:eastAsia="宋体" w:cs="Times New Roman"/>
                      <w:spacing w:val="9"/>
                      <w:sz w:val="21"/>
                      <w:szCs w:val="21"/>
                    </w:rPr>
                    <w:t>期设立隔离围栏，建筑材料覆盖，及时回填，运输</w:t>
                  </w:r>
                  <w:r>
                    <w:rPr>
                      <w:rFonts w:hint="default" w:ascii="Times New Roman" w:hAnsi="Times New Roman" w:eastAsia="宋体" w:cs="Times New Roman"/>
                      <w:spacing w:val="18"/>
                      <w:sz w:val="21"/>
                      <w:szCs w:val="21"/>
                    </w:rPr>
                    <w:t>机</w:t>
                  </w:r>
                  <w:r>
                    <w:rPr>
                      <w:rFonts w:hint="default" w:ascii="Times New Roman" w:hAnsi="Times New Roman" w:eastAsia="宋体" w:cs="Times New Roman"/>
                      <w:spacing w:val="14"/>
                      <w:sz w:val="21"/>
                      <w:szCs w:val="21"/>
                    </w:rPr>
                    <w:t>械</w:t>
                  </w:r>
                  <w:r>
                    <w:rPr>
                      <w:rFonts w:hint="default" w:ascii="Times New Roman" w:hAnsi="Times New Roman" w:eastAsia="宋体" w:cs="Times New Roman"/>
                      <w:spacing w:val="9"/>
                      <w:sz w:val="21"/>
                      <w:szCs w:val="21"/>
                    </w:rPr>
                    <w:t>和施工现场定期洒水，设置雾炮机，运输车辆采取</w:t>
                  </w:r>
                  <w:r>
                    <w:rPr>
                      <w:rFonts w:hint="default" w:ascii="Times New Roman" w:hAnsi="Times New Roman" w:eastAsia="宋体" w:cs="Times New Roman"/>
                      <w:spacing w:val="11"/>
                      <w:sz w:val="21"/>
                      <w:szCs w:val="21"/>
                    </w:rPr>
                    <w:t>覆</w:t>
                  </w:r>
                  <w:r>
                    <w:rPr>
                      <w:rFonts w:hint="default" w:ascii="Times New Roman" w:hAnsi="Times New Roman" w:eastAsia="宋体" w:cs="Times New Roman"/>
                      <w:spacing w:val="9"/>
                      <w:sz w:val="21"/>
                      <w:szCs w:val="21"/>
                    </w:rPr>
                    <w:t>盖措施，疏浚淤泥喷洒除臭剂</w:t>
                  </w:r>
                </w:p>
              </w:tc>
              <w:tc>
                <w:tcPr>
                  <w:tcW w:w="64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eastAsia="zh-CN" w:bidi="ar"/>
                    </w:rPr>
                  </w:pPr>
                  <w:r>
                    <w:rPr>
                      <w:rFonts w:hint="default" w:ascii="Times New Roman" w:hAnsi="Times New Roman" w:eastAsia="宋体" w:cs="Times New Roman"/>
                      <w:color w:val="auto"/>
                      <w:spacing w:val="0"/>
                      <w:sz w:val="21"/>
                      <w:szCs w:val="21"/>
                      <w:highlight w:val="none"/>
                      <w:lang w:eastAsia="zh-CN" w:bidi="ar"/>
                    </w:rPr>
                    <w:t>废气</w:t>
                  </w:r>
                </w:p>
              </w:tc>
              <w:tc>
                <w:tcPr>
                  <w:tcW w:w="52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bidi="ar"/>
                    </w:rPr>
                  </w:pPr>
                </w:p>
              </w:tc>
              <w:tc>
                <w:tcPr>
                  <w:tcW w:w="36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bidi="ar"/>
                    </w:rPr>
                  </w:pPr>
                  <w:r>
                    <w:rPr>
                      <w:rFonts w:hint="default" w:ascii="Times New Roman" w:hAnsi="Times New Roman" w:eastAsia="宋体" w:cs="Times New Roman"/>
                      <w:color w:val="auto"/>
                      <w:sz w:val="21"/>
                      <w:szCs w:val="21"/>
                    </w:rPr>
                    <w:t>噪声治理</w:t>
                  </w:r>
                </w:p>
              </w:tc>
              <w:tc>
                <w:tcPr>
                  <w:tcW w:w="309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eastAsia="zh-CN" w:bidi="ar"/>
                    </w:rPr>
                  </w:pPr>
                  <w:r>
                    <w:rPr>
                      <w:rFonts w:hint="default" w:ascii="Times New Roman" w:hAnsi="Times New Roman" w:eastAsia="宋体" w:cs="Times New Roman"/>
                      <w:color w:val="auto"/>
                      <w:spacing w:val="0"/>
                      <w:sz w:val="21"/>
                      <w:szCs w:val="21"/>
                      <w:highlight w:val="none"/>
                      <w:lang w:eastAsia="zh-CN" w:bidi="ar"/>
                    </w:rPr>
                    <w:t>选用低噪声机械、合理安排作业时间，定期对施工机械进行维护，防止高噪声运行</w:t>
                  </w:r>
                </w:p>
              </w:tc>
              <w:tc>
                <w:tcPr>
                  <w:tcW w:w="64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eastAsia="zh-CN" w:bidi="ar"/>
                    </w:rPr>
                  </w:pPr>
                  <w:r>
                    <w:rPr>
                      <w:rFonts w:hint="default" w:ascii="Times New Roman" w:hAnsi="Times New Roman" w:eastAsia="宋体" w:cs="Times New Roman"/>
                      <w:color w:val="auto"/>
                      <w:spacing w:val="0"/>
                      <w:sz w:val="21"/>
                      <w:szCs w:val="21"/>
                      <w:highlight w:val="none"/>
                      <w:lang w:eastAsia="zh-CN" w:bidi="ar"/>
                    </w:rPr>
                    <w:t>噪声</w:t>
                  </w:r>
                </w:p>
              </w:tc>
              <w:tc>
                <w:tcPr>
                  <w:tcW w:w="52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rPr>
                  </w:pPr>
                </w:p>
              </w:tc>
              <w:tc>
                <w:tcPr>
                  <w:tcW w:w="36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eastAsia="zh-CN" w:bidi="ar"/>
                    </w:rPr>
                  </w:pPr>
                  <w:r>
                    <w:rPr>
                      <w:rFonts w:hint="default" w:ascii="Times New Roman" w:hAnsi="Times New Roman" w:eastAsia="宋体" w:cs="Times New Roman"/>
                      <w:color w:val="auto"/>
                      <w:sz w:val="21"/>
                      <w:szCs w:val="21"/>
                    </w:rPr>
                    <w:t>固废治理</w:t>
                  </w:r>
                </w:p>
              </w:tc>
              <w:tc>
                <w:tcPr>
                  <w:tcW w:w="309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bCs/>
                      <w:color w:val="auto"/>
                      <w:spacing w:val="0"/>
                      <w:sz w:val="21"/>
                      <w:szCs w:val="21"/>
                      <w:highlight w:val="none"/>
                      <w:lang w:eastAsia="zh-CN" w:bidi="ar"/>
                    </w:rPr>
                  </w:pPr>
                  <w:r>
                    <w:rPr>
                      <w:rFonts w:hint="default" w:ascii="Times New Roman" w:hAnsi="Times New Roman" w:eastAsia="宋体" w:cs="Times New Roman"/>
                      <w:b/>
                      <w:bCs/>
                      <w:color w:val="auto"/>
                      <w:spacing w:val="0"/>
                      <w:sz w:val="21"/>
                      <w:szCs w:val="21"/>
                      <w:highlight w:val="none"/>
                      <w:lang w:eastAsia="zh-CN" w:bidi="ar"/>
                    </w:rPr>
                    <w:t>项目施工区不设置机械维修点。</w:t>
                  </w:r>
                </w:p>
                <w:p>
                  <w:pPr>
                    <w:keepNext w:val="0"/>
                    <w:keepLines w:val="0"/>
                    <w:pageBreakBefore w:val="0"/>
                    <w:widowControl w:val="0"/>
                    <w:kinsoku/>
                    <w:wordWrap/>
                    <w:overflowPunct/>
                    <w:topLinePunct w:val="0"/>
                    <w:bidi w:val="0"/>
                    <w:spacing w:line="240" w:lineRule="auto"/>
                    <w:ind w:lef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bCs/>
                      <w:color w:val="auto"/>
                      <w:spacing w:val="0"/>
                      <w:sz w:val="21"/>
                      <w:szCs w:val="21"/>
                      <w:highlight w:val="none"/>
                      <w:lang w:eastAsia="zh-CN" w:bidi="ar"/>
                    </w:rPr>
                    <w:t>生活垃圾：</w:t>
                  </w:r>
                  <w:r>
                    <w:rPr>
                      <w:rFonts w:hint="default" w:ascii="Times New Roman" w:hAnsi="Times New Roman" w:eastAsia="宋体" w:cs="Times New Roman"/>
                      <w:spacing w:val="9"/>
                      <w:sz w:val="21"/>
                      <w:szCs w:val="21"/>
                    </w:rPr>
                    <w:t>设置临时垃圾桶，垃圾由环卫部门清运。</w:t>
                  </w:r>
                  <w:r>
                    <w:rPr>
                      <w:rFonts w:hint="default" w:ascii="Times New Roman" w:hAnsi="Times New Roman" w:eastAsia="宋体" w:cs="Times New Roman"/>
                      <w:b/>
                      <w:bCs/>
                      <w:color w:val="000000"/>
                      <w:sz w:val="21"/>
                      <w:szCs w:val="21"/>
                      <w:highlight w:val="none"/>
                      <w:lang w:eastAsia="zh-CN" w:bidi="ar"/>
                    </w:rPr>
                    <w:t>疏浚料</w:t>
                  </w:r>
                  <w:r>
                    <w:rPr>
                      <w:rFonts w:hint="eastAsia" w:ascii="Times New Roman" w:hAnsi="Times New Roman" w:eastAsia="宋体" w:cs="Times New Roman"/>
                      <w:b/>
                      <w:bCs/>
                      <w:color w:val="000000"/>
                      <w:sz w:val="21"/>
                      <w:szCs w:val="21"/>
                      <w:highlight w:val="none"/>
                      <w:lang w:val="en-US" w:eastAsia="zh-CN" w:bidi="ar"/>
                    </w:rPr>
                    <w:t>和沉淀池底泥</w:t>
                  </w:r>
                  <w:r>
                    <w:rPr>
                      <w:rFonts w:hint="default" w:ascii="Times New Roman" w:hAnsi="Times New Roman" w:eastAsia="宋体" w:cs="Times New Roman"/>
                      <w:b/>
                      <w:bCs/>
                      <w:color w:val="000000"/>
                      <w:sz w:val="21"/>
                      <w:szCs w:val="21"/>
                      <w:highlight w:val="none"/>
                      <w:lang w:eastAsia="zh-CN" w:bidi="ar"/>
                    </w:rPr>
                    <w:t>：</w:t>
                  </w:r>
                  <w:r>
                    <w:rPr>
                      <w:rFonts w:hint="eastAsia" w:ascii="Times New Roman" w:hAnsi="Times New Roman" w:eastAsia="宋体" w:cs="Times New Roman"/>
                      <w:color w:val="auto"/>
                      <w:sz w:val="21"/>
                      <w:szCs w:val="21"/>
                      <w:lang w:val="en-US" w:eastAsia="zh-CN"/>
                    </w:rPr>
                    <w:t>运往苏稽镇石鼓寺村老鸦滩堆料场堆放。</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bCs/>
                      <w:color w:val="auto"/>
                      <w:spacing w:val="0"/>
                      <w:sz w:val="21"/>
                      <w:szCs w:val="21"/>
                      <w:highlight w:val="none"/>
                      <w:vertAlign w:val="baseline"/>
                      <w:lang w:val="en-US" w:eastAsia="zh-CN"/>
                    </w:rPr>
                    <w:t>建筑垃圾：</w:t>
                  </w:r>
                  <w:r>
                    <w:rPr>
                      <w:rFonts w:hint="default" w:ascii="Times New Roman" w:hAnsi="Times New Roman" w:eastAsia="宋体" w:cs="Times New Roman"/>
                      <w:color w:val="auto"/>
                      <w:spacing w:val="0"/>
                      <w:sz w:val="21"/>
                      <w:szCs w:val="21"/>
                      <w:highlight w:val="none"/>
                      <w:vertAlign w:val="baseline"/>
                      <w:lang w:val="en-US" w:eastAsia="zh-CN"/>
                    </w:rPr>
                    <w:t>能</w:t>
                  </w:r>
                  <w:r>
                    <w:rPr>
                      <w:rFonts w:hint="default" w:ascii="Times New Roman" w:hAnsi="Times New Roman" w:eastAsia="宋体" w:cs="Times New Roman"/>
                      <w:color w:val="auto"/>
                      <w:sz w:val="21"/>
                      <w:szCs w:val="21"/>
                      <w:lang w:eastAsia="zh-CN"/>
                    </w:rPr>
                    <w:t>回收利用的回收利用，不能回收的运至政府指定建筑垃圾堆场填埋</w:t>
                  </w:r>
                  <w:r>
                    <w:rPr>
                      <w:rFonts w:hint="eastAsia" w:ascii="Times New Roman" w:hAnsi="Times New Roman" w:eastAsia="宋体" w:cs="Times New Roman"/>
                      <w:color w:val="auto"/>
                      <w:sz w:val="21"/>
                      <w:szCs w:val="21"/>
                      <w:lang w:eastAsia="zh-CN"/>
                    </w:rPr>
                    <w:t>。</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eastAsia="zh-CN" w:bidi="ar"/>
                    </w:rPr>
                  </w:pPr>
                  <w:r>
                    <w:rPr>
                      <w:rFonts w:hint="default" w:ascii="Times New Roman" w:hAnsi="Times New Roman" w:eastAsia="宋体" w:cs="Times New Roman"/>
                      <w:b/>
                      <w:bCs/>
                      <w:color w:val="auto"/>
                      <w:sz w:val="21"/>
                      <w:szCs w:val="21"/>
                      <w:lang w:val="en-US" w:eastAsia="zh-CN"/>
                    </w:rPr>
                    <w:t>弃土：</w:t>
                  </w:r>
                  <w:r>
                    <w:rPr>
                      <w:rFonts w:hint="eastAsia" w:ascii="Times New Roman" w:hAnsi="Times New Roman" w:eastAsia="宋体" w:cs="Times New Roman"/>
                      <w:color w:val="auto"/>
                      <w:sz w:val="21"/>
                      <w:szCs w:val="21"/>
                      <w:lang w:val="en-US" w:eastAsia="zh-CN"/>
                    </w:rPr>
                    <w:t>及时往苏稽镇石鼓寺村老鸦滩堆料场堆放。</w:t>
                  </w:r>
                </w:p>
              </w:tc>
              <w:tc>
                <w:tcPr>
                  <w:tcW w:w="64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eastAsia="zh-CN" w:bidi="ar"/>
                    </w:rPr>
                  </w:pPr>
                  <w:r>
                    <w:rPr>
                      <w:rFonts w:hint="default" w:ascii="Times New Roman" w:hAnsi="Times New Roman" w:eastAsia="宋体" w:cs="Times New Roman"/>
                      <w:color w:val="auto"/>
                      <w:spacing w:val="0"/>
                      <w:sz w:val="21"/>
                      <w:szCs w:val="21"/>
                      <w:highlight w:val="none"/>
                      <w:lang w:eastAsia="zh-CN" w:bidi="ar"/>
                    </w:rPr>
                    <w:t>固体废物</w:t>
                  </w:r>
                </w:p>
              </w:tc>
              <w:tc>
                <w:tcPr>
                  <w:tcW w:w="52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vMerge w:val="continue"/>
                  <w:tcBorders>
                    <w:bottom w:val="single" w:color="000000" w:sz="4" w:space="0"/>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rPr>
                  </w:pPr>
                </w:p>
              </w:tc>
              <w:tc>
                <w:tcPr>
                  <w:tcW w:w="362" w:type="pct"/>
                  <w:tcBorders>
                    <w:bottom w:val="single" w:color="000000"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生态环境保护</w:t>
                  </w:r>
                </w:p>
              </w:tc>
              <w:tc>
                <w:tcPr>
                  <w:tcW w:w="309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严禁</w:t>
                  </w:r>
                  <w:r>
                    <w:rPr>
                      <w:rFonts w:hint="default" w:ascii="Times New Roman" w:hAnsi="Times New Roman" w:eastAsia="宋体" w:cs="Times New Roman"/>
                      <w:color w:val="auto"/>
                      <w:sz w:val="21"/>
                      <w:szCs w:val="21"/>
                      <w:lang w:eastAsia="zh-CN"/>
                    </w:rPr>
                    <w:t>地表裸露，加强建设过程中的文明施工管理，禁止野蛮施工，做好施工现场的防尘和水土保持措施，优化施工工序，缩短材料堆放及施工时间。涉水工程的实施应避开水生生物繁殖季节，加强宣传，设置水生生物保护警示牌，增强施工人员的环保意识。工程施工结束后，对施工场地、堆料区沉淀池及导水渠进行填埋，压实平整，进行迹地恢复</w:t>
                  </w:r>
                </w:p>
              </w:tc>
              <w:tc>
                <w:tcPr>
                  <w:tcW w:w="64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eastAsia="zh-CN" w:bidi="ar"/>
                    </w:rPr>
                  </w:pPr>
                  <w:r>
                    <w:rPr>
                      <w:rFonts w:hint="default" w:ascii="Times New Roman" w:hAnsi="Times New Roman" w:eastAsia="宋体" w:cs="Times New Roman"/>
                      <w:color w:val="auto"/>
                      <w:spacing w:val="0"/>
                      <w:sz w:val="21"/>
                      <w:szCs w:val="21"/>
                      <w:highlight w:val="none"/>
                      <w:lang w:eastAsia="zh-CN" w:bidi="ar"/>
                    </w:rPr>
                    <w:t>生态环境</w:t>
                  </w:r>
                </w:p>
              </w:tc>
              <w:tc>
                <w:tcPr>
                  <w:tcW w:w="52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66" w:type="pct"/>
                  <w:tcBorders>
                    <w:top w:val="single" w:color="000000" w:sz="4" w:space="0"/>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bidi="ar"/>
                    </w:rPr>
                  </w:pPr>
                  <w:r>
                    <w:rPr>
                      <w:rFonts w:hint="default" w:ascii="Times New Roman" w:hAnsi="Times New Roman" w:eastAsia="宋体" w:cs="Times New Roman"/>
                      <w:color w:val="auto"/>
                      <w:spacing w:val="0"/>
                      <w:sz w:val="21"/>
                      <w:szCs w:val="21"/>
                      <w:highlight w:val="none"/>
                      <w:lang w:val="en-US" w:eastAsia="zh-CN" w:bidi="ar"/>
                    </w:rPr>
                    <w:t>其他</w:t>
                  </w:r>
                </w:p>
              </w:tc>
              <w:tc>
                <w:tcPr>
                  <w:tcW w:w="362" w:type="pct"/>
                  <w:tcBorders>
                    <w:top w:val="single" w:color="000000" w:sz="4" w:space="0"/>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val="en-US" w:eastAsia="zh-CN" w:bidi="ar"/>
                    </w:rPr>
                  </w:pPr>
                  <w:r>
                    <w:rPr>
                      <w:rFonts w:hint="default" w:ascii="Times New Roman" w:hAnsi="Times New Roman" w:eastAsia="宋体" w:cs="Times New Roman"/>
                      <w:color w:val="auto"/>
                      <w:spacing w:val="0"/>
                      <w:sz w:val="21"/>
                      <w:szCs w:val="21"/>
                      <w:highlight w:val="none"/>
                      <w:lang w:val="en-US" w:eastAsia="zh-CN" w:bidi="ar"/>
                    </w:rPr>
                    <w:t>搬迁安置</w:t>
                  </w:r>
                </w:p>
              </w:tc>
              <w:tc>
                <w:tcPr>
                  <w:tcW w:w="309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eastAsia="zh-CN" w:bidi="ar"/>
                    </w:rPr>
                  </w:pPr>
                  <w:r>
                    <w:rPr>
                      <w:rFonts w:hint="default" w:ascii="Times New Roman" w:hAnsi="Times New Roman" w:eastAsia="宋体" w:cs="Times New Roman"/>
                      <w:spacing w:val="18"/>
                      <w:sz w:val="21"/>
                      <w:szCs w:val="21"/>
                    </w:rPr>
                    <w:t>本</w:t>
                  </w:r>
                  <w:r>
                    <w:rPr>
                      <w:rFonts w:hint="default" w:ascii="Times New Roman" w:hAnsi="Times New Roman" w:eastAsia="宋体" w:cs="Times New Roman"/>
                      <w:spacing w:val="12"/>
                      <w:sz w:val="21"/>
                      <w:szCs w:val="21"/>
                    </w:rPr>
                    <w:t>工</w:t>
                  </w:r>
                  <w:r>
                    <w:rPr>
                      <w:rFonts w:hint="default" w:ascii="Times New Roman" w:hAnsi="Times New Roman" w:eastAsia="宋体" w:cs="Times New Roman"/>
                      <w:spacing w:val="9"/>
                      <w:sz w:val="21"/>
                      <w:szCs w:val="21"/>
                    </w:rPr>
                    <w:t>程征地范围内不涉及人口和房屋拆迁，因此无搬迁</w:t>
                  </w:r>
                  <w:r>
                    <w:rPr>
                      <w:rFonts w:hint="default" w:ascii="Times New Roman" w:hAnsi="Times New Roman" w:eastAsia="宋体" w:cs="Times New Roman"/>
                      <w:sz w:val="21"/>
                      <w:szCs w:val="21"/>
                    </w:rPr>
                    <w:t xml:space="preserve"> </w:t>
                  </w:r>
                  <w:r>
                    <w:rPr>
                      <w:rFonts w:hint="default" w:ascii="Times New Roman" w:hAnsi="Times New Roman" w:eastAsia="宋体" w:cs="Times New Roman"/>
                      <w:spacing w:val="7"/>
                      <w:sz w:val="21"/>
                      <w:szCs w:val="21"/>
                    </w:rPr>
                    <w:t>安</w:t>
                  </w:r>
                  <w:r>
                    <w:rPr>
                      <w:rFonts w:hint="default" w:ascii="Times New Roman" w:hAnsi="Times New Roman" w:eastAsia="宋体" w:cs="Times New Roman"/>
                      <w:spacing w:val="6"/>
                      <w:sz w:val="21"/>
                      <w:szCs w:val="21"/>
                    </w:rPr>
                    <w:t>置人口</w:t>
                  </w:r>
                </w:p>
              </w:tc>
              <w:tc>
                <w:tcPr>
                  <w:tcW w:w="64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eastAsia="zh-CN" w:bidi="ar"/>
                    </w:rPr>
                  </w:pPr>
                  <w:r>
                    <w:rPr>
                      <w:rFonts w:hint="default" w:ascii="Times New Roman" w:hAnsi="Times New Roman" w:eastAsia="宋体" w:cs="Times New Roman"/>
                      <w:color w:val="auto"/>
                      <w:spacing w:val="0"/>
                      <w:sz w:val="21"/>
                      <w:szCs w:val="21"/>
                      <w:highlight w:val="none"/>
                      <w:lang w:val="en-US" w:eastAsia="zh-CN" w:bidi="ar"/>
                    </w:rPr>
                    <w:t>/</w:t>
                  </w:r>
                </w:p>
              </w:tc>
              <w:tc>
                <w:tcPr>
                  <w:tcW w:w="52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highlight w:val="none"/>
                      <w:lang w:bidi="ar"/>
                    </w:rPr>
                  </w:pPr>
                </w:p>
              </w:tc>
            </w:tr>
          </w:tbl>
          <w:p>
            <w:pPr>
              <w:spacing w:line="303" w:lineRule="exact"/>
              <w:ind w:left="648"/>
              <w:rPr>
                <w:rFonts w:ascii="宋体" w:hAnsi="宋体" w:eastAsia="宋体" w:cs="宋体"/>
                <w:b/>
                <w:bCs/>
                <w:sz w:val="23"/>
                <w:szCs w:val="23"/>
              </w:rPr>
            </w:pPr>
            <w:r>
              <w:rPr>
                <w:rFonts w:hint="eastAsia" w:ascii="Times New Roman" w:hAnsi="Times New Roman" w:eastAsia="宋体" w:cs="Times New Roman"/>
                <w:b/>
                <w:bCs/>
                <w:color w:val="auto"/>
                <w:spacing w:val="0"/>
                <w:sz w:val="24"/>
                <w:szCs w:val="24"/>
                <w:lang w:val="en-US" w:eastAsia="zh-CN"/>
              </w:rPr>
              <w:t>6、</w:t>
            </w:r>
            <w:r>
              <w:rPr>
                <w:rFonts w:ascii="宋体" w:hAnsi="宋体" w:eastAsia="宋体" w:cs="宋体"/>
                <w:b/>
                <w:bCs/>
                <w:spacing w:val="5"/>
                <w:position w:val="2"/>
                <w:sz w:val="23"/>
                <w:szCs w:val="23"/>
              </w:rPr>
              <w:t>主要原辅材料及能源消</w:t>
            </w:r>
            <w:r>
              <w:rPr>
                <w:rFonts w:ascii="宋体" w:hAnsi="宋体" w:eastAsia="宋体" w:cs="宋体"/>
                <w:b/>
                <w:bCs/>
                <w:spacing w:val="3"/>
                <w:position w:val="2"/>
                <w:sz w:val="23"/>
                <w:szCs w:val="23"/>
              </w:rPr>
              <w:t>耗</w:t>
            </w:r>
          </w:p>
          <w:p>
            <w:pPr>
              <w:spacing w:before="162" w:line="227" w:lineRule="auto"/>
              <w:ind w:left="588"/>
              <w:rPr>
                <w:rFonts w:ascii="Times New Roman" w:hAnsi="Times New Roman" w:eastAsia="Times New Roman" w:cs="Times New Roman"/>
                <w:spacing w:val="5"/>
                <w:sz w:val="23"/>
                <w:szCs w:val="23"/>
              </w:rPr>
            </w:pPr>
            <w:r>
              <w:rPr>
                <w:rFonts w:ascii="宋体" w:hAnsi="宋体" w:eastAsia="宋体" w:cs="宋体"/>
                <w:spacing w:val="7"/>
                <w:sz w:val="23"/>
                <w:szCs w:val="23"/>
              </w:rPr>
              <w:t>本</w:t>
            </w:r>
            <w:r>
              <w:rPr>
                <w:rFonts w:ascii="宋体" w:hAnsi="宋体" w:eastAsia="宋体" w:cs="宋体"/>
                <w:spacing w:val="5"/>
                <w:sz w:val="23"/>
                <w:szCs w:val="23"/>
              </w:rPr>
              <w:t>项目主要原辅材料及能源消耗见表</w:t>
            </w:r>
            <w:r>
              <w:rPr>
                <w:rFonts w:hint="eastAsia" w:ascii="Times New Roman" w:hAnsi="Times New Roman" w:eastAsia="Times New Roman" w:cs="Times New Roman"/>
                <w:spacing w:val="5"/>
                <w:sz w:val="23"/>
                <w:szCs w:val="23"/>
                <w:lang w:val="en-US" w:eastAsia="zh-CN"/>
              </w:rPr>
              <w:t>2-3</w:t>
            </w:r>
            <w:r>
              <w:rPr>
                <w:rFonts w:ascii="Times New Roman" w:hAnsi="Times New Roman" w:eastAsia="Times New Roman" w:cs="Times New Roman"/>
                <w:spacing w:val="5"/>
                <w:sz w:val="23"/>
                <w:szCs w:val="23"/>
              </w:rPr>
              <w:t>。</w:t>
            </w:r>
          </w:p>
          <w:p>
            <w:pPr>
              <w:spacing w:before="180" w:line="222" w:lineRule="auto"/>
              <w:ind w:firstLine="1349" w:firstLineChars="600"/>
              <w:jc w:val="both"/>
              <w:rPr>
                <w:rFonts w:ascii="宋体" w:hAnsi="宋体" w:eastAsia="宋体" w:cs="宋体"/>
                <w:b/>
                <w:bCs/>
                <w:sz w:val="21"/>
                <w:szCs w:val="21"/>
              </w:rPr>
            </w:pPr>
            <w:r>
              <w:rPr>
                <w:rFonts w:ascii="宋体" w:hAnsi="宋体" w:eastAsia="宋体" w:cs="宋体"/>
                <w:b/>
                <w:bCs/>
                <w:spacing w:val="7"/>
                <w:sz w:val="21"/>
                <w:szCs w:val="21"/>
              </w:rPr>
              <w:t>表</w:t>
            </w:r>
            <w:r>
              <w:rPr>
                <w:rFonts w:hint="eastAsia" w:ascii="Times New Roman" w:hAnsi="Times New Roman" w:eastAsia="宋体" w:cs="Times New Roman"/>
                <w:b/>
                <w:bCs/>
                <w:spacing w:val="6"/>
                <w:sz w:val="21"/>
                <w:szCs w:val="21"/>
                <w:lang w:val="en-US" w:eastAsia="zh-CN"/>
              </w:rPr>
              <w:t>2</w:t>
            </w:r>
            <w:r>
              <w:rPr>
                <w:rFonts w:ascii="Times New Roman" w:hAnsi="Times New Roman" w:eastAsia="Times New Roman" w:cs="Times New Roman"/>
                <w:b/>
                <w:bCs/>
                <w:spacing w:val="6"/>
                <w:sz w:val="21"/>
                <w:szCs w:val="21"/>
              </w:rPr>
              <w:t>-</w:t>
            </w:r>
            <w:r>
              <w:rPr>
                <w:rFonts w:hint="eastAsia" w:ascii="Times New Roman" w:hAnsi="Times New Roman" w:eastAsia="宋体" w:cs="Times New Roman"/>
                <w:b/>
                <w:bCs/>
                <w:spacing w:val="6"/>
                <w:sz w:val="21"/>
                <w:szCs w:val="21"/>
                <w:lang w:val="en-US" w:eastAsia="zh-CN"/>
              </w:rPr>
              <w:t>3</w:t>
            </w:r>
            <w:r>
              <w:rPr>
                <w:rFonts w:ascii="Times New Roman" w:hAnsi="Times New Roman" w:eastAsia="Times New Roman" w:cs="Times New Roman"/>
                <w:b/>
                <w:bCs/>
                <w:spacing w:val="6"/>
                <w:sz w:val="21"/>
                <w:szCs w:val="21"/>
              </w:rPr>
              <w:t xml:space="preserve">  </w:t>
            </w:r>
            <w:r>
              <w:rPr>
                <w:rFonts w:ascii="宋体" w:hAnsi="宋体" w:eastAsia="宋体" w:cs="宋体"/>
                <w:b/>
                <w:bCs/>
                <w:spacing w:val="6"/>
                <w:sz w:val="21"/>
                <w:szCs w:val="21"/>
              </w:rPr>
              <w:t>项目主要原辅材料及能源消耗一览表</w:t>
            </w:r>
          </w:p>
          <w:tbl>
            <w:tblPr>
              <w:tblStyle w:val="250"/>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530"/>
              <w:gridCol w:w="1791"/>
              <w:gridCol w:w="2029"/>
              <w:gridCol w:w="149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1612" w:type="pc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eastAsia" w:ascii="宋体" w:hAnsi="宋体" w:eastAsia="宋体" w:cs="宋体"/>
                      <w:color w:val="000000"/>
                      <w:kern w:val="0"/>
                      <w:sz w:val="20"/>
                      <w:szCs w:val="20"/>
                    </w:rPr>
                  </w:pPr>
                  <w:r>
                    <w:rPr>
                      <w:rFonts w:hint="eastAsia" w:ascii="宋体" w:hAnsi="宋体" w:eastAsia="宋体" w:cs="宋体"/>
                      <w:snapToGrid/>
                      <w:color w:val="000000"/>
                      <w:spacing w:val="5"/>
                      <w:kern w:val="0"/>
                      <w:sz w:val="20"/>
                      <w:szCs w:val="20"/>
                      <w:lang w:val="en-US" w:eastAsia="zh-CN" w:bidi="ar"/>
                    </w:rPr>
                    <w:t>料</w:t>
                  </w:r>
                  <w:r>
                    <w:rPr>
                      <w:rFonts w:hint="eastAsia" w:ascii="宋体" w:hAnsi="宋体" w:eastAsia="宋体" w:cs="宋体"/>
                      <w:snapToGrid/>
                      <w:color w:val="000000"/>
                      <w:spacing w:val="4"/>
                      <w:kern w:val="0"/>
                      <w:sz w:val="20"/>
                      <w:szCs w:val="20"/>
                      <w:lang w:val="en-US" w:eastAsia="zh-CN" w:bidi="ar"/>
                    </w:rPr>
                    <w:t>名</w:t>
                  </w:r>
                </w:p>
              </w:tc>
              <w:tc>
                <w:tcPr>
                  <w:tcW w:w="1141" w:type="pc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eastAsia" w:ascii="宋体" w:hAnsi="宋体" w:eastAsia="宋体" w:cs="宋体"/>
                      <w:color w:val="000000"/>
                      <w:kern w:val="0"/>
                      <w:sz w:val="20"/>
                      <w:szCs w:val="20"/>
                    </w:rPr>
                  </w:pPr>
                  <w:r>
                    <w:rPr>
                      <w:rFonts w:hint="eastAsia" w:ascii="宋体" w:hAnsi="宋体" w:eastAsia="宋体" w:cs="宋体"/>
                      <w:snapToGrid/>
                      <w:color w:val="000000"/>
                      <w:spacing w:val="8"/>
                      <w:kern w:val="0"/>
                      <w:sz w:val="20"/>
                      <w:szCs w:val="20"/>
                      <w:lang w:val="en-US" w:eastAsia="zh-CN" w:bidi="ar"/>
                    </w:rPr>
                    <w:t>获</w:t>
                  </w:r>
                  <w:r>
                    <w:rPr>
                      <w:rFonts w:hint="eastAsia" w:ascii="宋体" w:hAnsi="宋体" w:eastAsia="宋体" w:cs="宋体"/>
                      <w:snapToGrid/>
                      <w:color w:val="000000"/>
                      <w:spacing w:val="6"/>
                      <w:kern w:val="0"/>
                      <w:sz w:val="20"/>
                      <w:szCs w:val="20"/>
                      <w:lang w:val="en-US" w:eastAsia="zh-CN" w:bidi="ar"/>
                    </w:rPr>
                    <w:t>取方式</w:t>
                  </w:r>
                </w:p>
              </w:tc>
              <w:tc>
                <w:tcPr>
                  <w:tcW w:w="1293" w:type="pc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eastAsia" w:ascii="宋体" w:hAnsi="宋体" w:eastAsia="宋体" w:cs="宋体"/>
                      <w:color w:val="000000"/>
                      <w:kern w:val="0"/>
                      <w:sz w:val="20"/>
                      <w:szCs w:val="20"/>
                    </w:rPr>
                  </w:pPr>
                  <w:r>
                    <w:rPr>
                      <w:rFonts w:hint="eastAsia" w:ascii="宋体" w:hAnsi="宋体" w:eastAsia="宋体" w:cs="宋体"/>
                      <w:snapToGrid/>
                      <w:color w:val="000000"/>
                      <w:spacing w:val="9"/>
                      <w:kern w:val="0"/>
                      <w:sz w:val="20"/>
                      <w:szCs w:val="20"/>
                      <w:lang w:val="en-US" w:eastAsia="zh-CN" w:bidi="ar"/>
                    </w:rPr>
                    <w:t>设</w:t>
                  </w:r>
                  <w:r>
                    <w:rPr>
                      <w:rFonts w:hint="eastAsia" w:ascii="宋体" w:hAnsi="宋体" w:eastAsia="宋体" w:cs="宋体"/>
                      <w:snapToGrid/>
                      <w:color w:val="000000"/>
                      <w:spacing w:val="7"/>
                      <w:kern w:val="0"/>
                      <w:sz w:val="20"/>
                      <w:szCs w:val="20"/>
                      <w:lang w:val="en-US" w:eastAsia="zh-CN" w:bidi="ar"/>
                    </w:rPr>
                    <w:t>计需用量</w:t>
                  </w:r>
                </w:p>
              </w:tc>
              <w:tc>
                <w:tcPr>
                  <w:tcW w:w="952" w:type="pc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eastAsia" w:ascii="宋体" w:hAnsi="宋体" w:eastAsia="宋体" w:cs="宋体"/>
                      <w:color w:val="000000"/>
                      <w:kern w:val="0"/>
                      <w:sz w:val="20"/>
                      <w:szCs w:val="20"/>
                    </w:rPr>
                  </w:pPr>
                  <w:r>
                    <w:rPr>
                      <w:rFonts w:hint="eastAsia" w:ascii="宋体" w:hAnsi="宋体" w:eastAsia="宋体" w:cs="宋体"/>
                      <w:snapToGrid/>
                      <w:color w:val="000000"/>
                      <w:spacing w:val="4"/>
                      <w:kern w:val="0"/>
                      <w:sz w:val="20"/>
                      <w:szCs w:val="20"/>
                      <w:lang w:val="en-US" w:eastAsia="zh-CN" w:bidi="ar"/>
                    </w:rPr>
                    <w:t>备</w:t>
                  </w:r>
                  <w:r>
                    <w:rPr>
                      <w:rFonts w:hint="eastAsia" w:ascii="宋体" w:hAnsi="宋体" w:eastAsia="宋体" w:cs="宋体"/>
                      <w:snapToGrid/>
                      <w:color w:val="000000"/>
                      <w:spacing w:val="3"/>
                      <w:kern w:val="0"/>
                      <w:sz w:val="20"/>
                      <w:szCs w:val="20"/>
                      <w:lang w:val="en-US" w:eastAsia="zh-CN" w:bidi="ar"/>
                    </w:rPr>
                    <w:t>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612" w:type="pc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eastAsia" w:ascii="宋体" w:hAnsi="宋体" w:eastAsia="宋体" w:cs="宋体"/>
                      <w:color w:val="000000"/>
                      <w:kern w:val="0"/>
                      <w:sz w:val="20"/>
                      <w:szCs w:val="20"/>
                    </w:rPr>
                  </w:pPr>
                  <w:r>
                    <w:rPr>
                      <w:rFonts w:hint="eastAsia" w:ascii="宋体" w:hAnsi="宋体" w:eastAsia="宋体" w:cs="宋体"/>
                      <w:snapToGrid/>
                      <w:color w:val="000000"/>
                      <w:spacing w:val="6"/>
                      <w:kern w:val="0"/>
                      <w:sz w:val="20"/>
                      <w:szCs w:val="20"/>
                      <w:lang w:val="en-US" w:eastAsia="zh-CN" w:bidi="ar"/>
                    </w:rPr>
                    <w:t>商</w:t>
                  </w:r>
                  <w:r>
                    <w:rPr>
                      <w:rFonts w:hint="eastAsia" w:ascii="宋体" w:hAnsi="宋体" w:eastAsia="宋体" w:cs="宋体"/>
                      <w:snapToGrid/>
                      <w:color w:val="000000"/>
                      <w:spacing w:val="5"/>
                      <w:kern w:val="0"/>
                      <w:sz w:val="20"/>
                      <w:szCs w:val="20"/>
                      <w:lang w:val="en-US" w:eastAsia="zh-CN" w:bidi="ar"/>
                    </w:rPr>
                    <w:t>品砼</w:t>
                  </w:r>
                </w:p>
              </w:tc>
              <w:tc>
                <w:tcPr>
                  <w:tcW w:w="1141" w:type="pc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eastAsia" w:ascii="宋体" w:hAnsi="宋体" w:eastAsia="宋体" w:cs="宋体"/>
                      <w:color w:val="000000"/>
                      <w:kern w:val="0"/>
                      <w:sz w:val="20"/>
                      <w:szCs w:val="20"/>
                    </w:rPr>
                  </w:pPr>
                  <w:r>
                    <w:rPr>
                      <w:rFonts w:hint="eastAsia" w:ascii="宋体" w:hAnsi="宋体" w:eastAsia="宋体" w:cs="宋体"/>
                      <w:snapToGrid/>
                      <w:color w:val="000000"/>
                      <w:spacing w:val="3"/>
                      <w:kern w:val="0"/>
                      <w:sz w:val="20"/>
                      <w:szCs w:val="20"/>
                      <w:lang w:val="en-US" w:eastAsia="zh-CN" w:bidi="ar"/>
                    </w:rPr>
                    <w:t>外</w:t>
                  </w:r>
                  <w:r>
                    <w:rPr>
                      <w:rFonts w:hint="eastAsia" w:ascii="宋体" w:hAnsi="宋体" w:eastAsia="宋体" w:cs="宋体"/>
                      <w:snapToGrid/>
                      <w:color w:val="000000"/>
                      <w:spacing w:val="2"/>
                      <w:kern w:val="0"/>
                      <w:sz w:val="20"/>
                      <w:szCs w:val="20"/>
                      <w:lang w:val="en-US" w:eastAsia="zh-CN" w:bidi="ar"/>
                    </w:rPr>
                    <w:t>购</w:t>
                  </w:r>
                </w:p>
              </w:tc>
              <w:tc>
                <w:tcPr>
                  <w:tcW w:w="1293" w:type="pc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default" w:ascii="Times New Roman" w:hAnsi="Times New Roman" w:cs="Times New Roman"/>
                      <w:color w:val="000000"/>
                      <w:kern w:val="0"/>
                      <w:sz w:val="13"/>
                      <w:szCs w:val="13"/>
                    </w:rPr>
                  </w:pPr>
                  <w:r>
                    <w:rPr>
                      <w:rFonts w:hint="eastAsia" w:ascii="Times New Roman" w:hAnsi="Times New Roman" w:cs="Times New Roman"/>
                      <w:snapToGrid/>
                      <w:color w:val="000000"/>
                      <w:spacing w:val="1"/>
                      <w:kern w:val="0"/>
                      <w:sz w:val="20"/>
                      <w:szCs w:val="20"/>
                      <w:lang w:val="en-US" w:eastAsia="zh-CN" w:bidi="ar"/>
                    </w:rPr>
                    <w:t>21855</w:t>
                  </w:r>
                  <w:r>
                    <w:rPr>
                      <w:rFonts w:hint="default" w:ascii="Times New Roman" w:hAnsi="Times New Roman" w:cs="Times New Roman"/>
                      <w:snapToGrid/>
                      <w:color w:val="000000"/>
                      <w:kern w:val="0"/>
                      <w:sz w:val="20"/>
                      <w:szCs w:val="20"/>
                      <w:lang w:val="en-US" w:eastAsia="zh-CN" w:bidi="ar"/>
                    </w:rPr>
                    <w:t>m</w:t>
                  </w:r>
                  <w:r>
                    <w:rPr>
                      <w:rFonts w:hint="default" w:ascii="Times New Roman" w:hAnsi="Times New Roman" w:cs="Times New Roman"/>
                      <w:snapToGrid/>
                      <w:color w:val="000000"/>
                      <w:kern w:val="0"/>
                      <w:position w:val="6"/>
                      <w:sz w:val="13"/>
                      <w:szCs w:val="13"/>
                      <w:lang w:val="en-US" w:eastAsia="zh-CN" w:bidi="ar"/>
                    </w:rPr>
                    <w:t>3</w:t>
                  </w:r>
                </w:p>
              </w:tc>
              <w:tc>
                <w:tcPr>
                  <w:tcW w:w="952" w:type="pct"/>
                  <w:vMerge w:val="restar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default" w:ascii="Arial" w:hAnsi="Arial" w:cs="Arial"/>
                      <w:color w:val="000000"/>
                      <w:kern w:val="0"/>
                      <w:sz w:val="21"/>
                      <w:szCs w:val="21"/>
                    </w:rPr>
                  </w:pPr>
                </w:p>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eastAsia" w:ascii="宋体" w:hAnsi="宋体" w:eastAsia="宋体" w:cs="宋体"/>
                      <w:color w:val="000000"/>
                      <w:kern w:val="0"/>
                      <w:sz w:val="20"/>
                      <w:szCs w:val="20"/>
                    </w:rPr>
                  </w:pPr>
                  <w:r>
                    <w:rPr>
                      <w:rFonts w:hint="eastAsia" w:ascii="宋体" w:hAnsi="宋体" w:eastAsia="宋体" w:cs="宋体"/>
                      <w:snapToGrid/>
                      <w:color w:val="000000"/>
                      <w:spacing w:val="8"/>
                      <w:kern w:val="0"/>
                      <w:sz w:val="20"/>
                      <w:szCs w:val="20"/>
                      <w:lang w:val="en-US" w:eastAsia="zh-CN" w:bidi="ar"/>
                    </w:rPr>
                    <w:t>质量及储</w:t>
                  </w:r>
                  <w:r>
                    <w:rPr>
                      <w:rFonts w:hint="eastAsia" w:ascii="宋体" w:hAnsi="宋体" w:eastAsia="宋体" w:cs="宋体"/>
                      <w:snapToGrid/>
                      <w:color w:val="000000"/>
                      <w:spacing w:val="7"/>
                      <w:kern w:val="0"/>
                      <w:sz w:val="20"/>
                      <w:szCs w:val="20"/>
                      <w:lang w:val="en-US" w:eastAsia="zh-CN" w:bidi="ar"/>
                    </w:rPr>
                    <w:t>量</w:t>
                  </w:r>
                </w:p>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eastAsia" w:ascii="宋体" w:hAnsi="宋体" w:eastAsia="宋体" w:cs="宋体"/>
                      <w:color w:val="000000"/>
                      <w:kern w:val="0"/>
                      <w:sz w:val="20"/>
                      <w:szCs w:val="20"/>
                    </w:rPr>
                  </w:pPr>
                  <w:r>
                    <w:rPr>
                      <w:rFonts w:hint="eastAsia" w:ascii="宋体" w:hAnsi="宋体" w:eastAsia="宋体" w:cs="宋体"/>
                      <w:snapToGrid/>
                      <w:color w:val="000000"/>
                      <w:spacing w:val="8"/>
                      <w:kern w:val="0"/>
                      <w:sz w:val="20"/>
                      <w:szCs w:val="20"/>
                      <w:lang w:val="en-US" w:eastAsia="zh-CN" w:bidi="ar"/>
                    </w:rPr>
                    <w:t>基本满足工</w:t>
                  </w:r>
                </w:p>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eastAsia" w:ascii="宋体" w:hAnsi="宋体" w:eastAsia="宋体" w:cs="宋体"/>
                      <w:color w:val="000000"/>
                      <w:kern w:val="0"/>
                      <w:sz w:val="20"/>
                      <w:szCs w:val="20"/>
                    </w:rPr>
                  </w:pPr>
                  <w:r>
                    <w:rPr>
                      <w:rFonts w:hint="eastAsia" w:ascii="宋体" w:hAnsi="宋体" w:eastAsia="宋体" w:cs="宋体"/>
                      <w:snapToGrid/>
                      <w:color w:val="000000"/>
                      <w:spacing w:val="7"/>
                      <w:kern w:val="0"/>
                      <w:sz w:val="20"/>
                      <w:szCs w:val="20"/>
                      <w:lang w:val="en-US" w:eastAsia="zh-CN" w:bidi="ar"/>
                    </w:rPr>
                    <w:t>程需要</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612" w:type="pc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eastAsia" w:ascii="宋体" w:hAnsi="宋体" w:eastAsia="宋体" w:cs="宋体"/>
                      <w:color w:val="000000"/>
                      <w:kern w:val="0"/>
                      <w:sz w:val="20"/>
                      <w:szCs w:val="20"/>
                    </w:rPr>
                  </w:pPr>
                  <w:r>
                    <w:rPr>
                      <w:rFonts w:hint="eastAsia" w:ascii="宋体" w:hAnsi="宋体" w:eastAsia="宋体" w:cs="宋体"/>
                      <w:snapToGrid/>
                      <w:color w:val="000000"/>
                      <w:spacing w:val="7"/>
                      <w:kern w:val="0"/>
                      <w:sz w:val="20"/>
                      <w:szCs w:val="20"/>
                      <w:lang w:val="en-US" w:eastAsia="zh-CN" w:bidi="ar"/>
                    </w:rPr>
                    <w:t>砂卵石</w:t>
                  </w:r>
                </w:p>
              </w:tc>
              <w:tc>
                <w:tcPr>
                  <w:tcW w:w="1141" w:type="pc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eastAsia" w:ascii="宋体" w:hAnsi="宋体" w:eastAsia="宋体" w:cs="宋体"/>
                      <w:color w:val="000000"/>
                      <w:kern w:val="0"/>
                      <w:sz w:val="20"/>
                      <w:szCs w:val="20"/>
                    </w:rPr>
                  </w:pPr>
                  <w:r>
                    <w:rPr>
                      <w:rFonts w:hint="eastAsia" w:ascii="宋体" w:hAnsi="宋体" w:eastAsia="宋体" w:cs="宋体"/>
                      <w:snapToGrid/>
                      <w:color w:val="000000"/>
                      <w:spacing w:val="3"/>
                      <w:kern w:val="0"/>
                      <w:sz w:val="20"/>
                      <w:szCs w:val="20"/>
                      <w:lang w:val="en-US" w:eastAsia="zh-CN" w:bidi="ar"/>
                    </w:rPr>
                    <w:t>外</w:t>
                  </w:r>
                  <w:r>
                    <w:rPr>
                      <w:rFonts w:hint="eastAsia" w:ascii="宋体" w:hAnsi="宋体" w:eastAsia="宋体" w:cs="宋体"/>
                      <w:snapToGrid/>
                      <w:color w:val="000000"/>
                      <w:spacing w:val="2"/>
                      <w:kern w:val="0"/>
                      <w:sz w:val="20"/>
                      <w:szCs w:val="20"/>
                      <w:lang w:val="en-US" w:eastAsia="zh-CN" w:bidi="ar"/>
                    </w:rPr>
                    <w:t>购</w:t>
                  </w:r>
                </w:p>
              </w:tc>
              <w:tc>
                <w:tcPr>
                  <w:tcW w:w="1293" w:type="pc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default" w:ascii="Times New Roman" w:hAnsi="Times New Roman" w:cs="Times New Roman"/>
                      <w:color w:val="000000"/>
                      <w:kern w:val="0"/>
                      <w:sz w:val="13"/>
                      <w:szCs w:val="13"/>
                    </w:rPr>
                  </w:pPr>
                  <w:r>
                    <w:rPr>
                      <w:rFonts w:hint="eastAsia" w:ascii="Times New Roman" w:hAnsi="Times New Roman" w:cs="Times New Roman"/>
                      <w:snapToGrid/>
                      <w:color w:val="000000"/>
                      <w:spacing w:val="7"/>
                      <w:kern w:val="0"/>
                      <w:sz w:val="20"/>
                      <w:szCs w:val="20"/>
                      <w:lang w:val="en-US" w:eastAsia="zh-CN" w:bidi="ar"/>
                    </w:rPr>
                    <w:t>10528</w:t>
                  </w:r>
                  <w:r>
                    <w:rPr>
                      <w:rFonts w:hint="default" w:ascii="Times New Roman" w:hAnsi="Times New Roman" w:cs="Times New Roman"/>
                      <w:snapToGrid/>
                      <w:color w:val="000000"/>
                      <w:kern w:val="0"/>
                      <w:sz w:val="20"/>
                      <w:szCs w:val="20"/>
                      <w:lang w:val="en-US" w:eastAsia="zh-CN" w:bidi="ar"/>
                    </w:rPr>
                    <w:t>m</w:t>
                  </w:r>
                  <w:r>
                    <w:rPr>
                      <w:rFonts w:hint="default" w:ascii="Times New Roman" w:hAnsi="Times New Roman" w:cs="Times New Roman"/>
                      <w:snapToGrid/>
                      <w:color w:val="000000"/>
                      <w:spacing w:val="4"/>
                      <w:kern w:val="0"/>
                      <w:position w:val="6"/>
                      <w:sz w:val="13"/>
                      <w:szCs w:val="13"/>
                      <w:lang w:val="en-US" w:eastAsia="zh-CN" w:bidi="ar"/>
                    </w:rPr>
                    <w:t>3</w:t>
                  </w:r>
                </w:p>
              </w:tc>
              <w:tc>
                <w:tcPr>
                  <w:tcW w:w="952" w:type="pct"/>
                  <w:vMerge w:val="continue"/>
                  <w:tcBorders>
                    <w:tl2br w:val="nil"/>
                    <w:tr2bl w:val="nil"/>
                  </w:tcBorders>
                  <w:noWrap w:val="0"/>
                  <w:vAlign w:val="top"/>
                </w:tcPr>
                <w:p>
                  <w:pPr>
                    <w:keepNext w:val="0"/>
                    <w:keepLines w:val="0"/>
                    <w:pageBreakBefore w:val="0"/>
                    <w:widowControl/>
                    <w:wordWrap/>
                    <w:overflowPunct/>
                    <w:topLinePunct w:val="0"/>
                    <w:bidi w:val="0"/>
                    <w:spacing w:before="0" w:line="240" w:lineRule="auto"/>
                    <w:ind w:left="0"/>
                    <w:jc w:val="center"/>
                    <w:rPr>
                      <w:rFonts w:hint="default" w:ascii="Times New Roman" w:hAnsi="Times New Roman" w:cs="Times New Roman"/>
                      <w:sz w:val="20"/>
                      <w:szCs w:val="20"/>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1" w:hRule="atLeast"/>
              </w:trPr>
              <w:tc>
                <w:tcPr>
                  <w:tcW w:w="1612" w:type="pc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eastAsia" w:ascii="宋体" w:hAnsi="宋体" w:eastAsia="宋体" w:cs="宋体"/>
                      <w:color w:val="000000"/>
                      <w:kern w:val="0"/>
                      <w:sz w:val="20"/>
                      <w:szCs w:val="20"/>
                    </w:rPr>
                  </w:pPr>
                  <w:r>
                    <w:rPr>
                      <w:rFonts w:hint="eastAsia" w:ascii="宋体" w:hAnsi="宋体" w:eastAsia="宋体" w:cs="宋体"/>
                      <w:snapToGrid/>
                      <w:color w:val="000000"/>
                      <w:spacing w:val="5"/>
                      <w:kern w:val="0"/>
                      <w:sz w:val="20"/>
                      <w:szCs w:val="20"/>
                      <w:lang w:val="en-US" w:eastAsia="zh-CN" w:bidi="ar"/>
                    </w:rPr>
                    <w:t>柴</w:t>
                  </w:r>
                  <w:r>
                    <w:rPr>
                      <w:rFonts w:hint="eastAsia" w:ascii="宋体" w:hAnsi="宋体" w:eastAsia="宋体" w:cs="宋体"/>
                      <w:snapToGrid/>
                      <w:color w:val="000000"/>
                      <w:spacing w:val="4"/>
                      <w:kern w:val="0"/>
                      <w:sz w:val="20"/>
                      <w:szCs w:val="20"/>
                      <w:lang w:val="en-US" w:eastAsia="zh-CN" w:bidi="ar"/>
                    </w:rPr>
                    <w:t>油</w:t>
                  </w:r>
                </w:p>
              </w:tc>
              <w:tc>
                <w:tcPr>
                  <w:tcW w:w="1141" w:type="pc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eastAsia" w:ascii="宋体" w:hAnsi="宋体" w:eastAsia="宋体" w:cs="宋体"/>
                      <w:color w:val="000000"/>
                      <w:kern w:val="0"/>
                      <w:sz w:val="20"/>
                      <w:szCs w:val="20"/>
                    </w:rPr>
                  </w:pPr>
                  <w:r>
                    <w:rPr>
                      <w:rFonts w:hint="eastAsia" w:ascii="宋体" w:hAnsi="宋体" w:eastAsia="宋体" w:cs="宋体"/>
                      <w:snapToGrid/>
                      <w:color w:val="000000"/>
                      <w:spacing w:val="3"/>
                      <w:kern w:val="0"/>
                      <w:sz w:val="20"/>
                      <w:szCs w:val="20"/>
                      <w:lang w:val="en-US" w:eastAsia="zh-CN" w:bidi="ar"/>
                    </w:rPr>
                    <w:t>外</w:t>
                  </w:r>
                  <w:r>
                    <w:rPr>
                      <w:rFonts w:hint="eastAsia" w:ascii="宋体" w:hAnsi="宋体" w:eastAsia="宋体" w:cs="宋体"/>
                      <w:snapToGrid/>
                      <w:color w:val="000000"/>
                      <w:spacing w:val="2"/>
                      <w:kern w:val="0"/>
                      <w:sz w:val="20"/>
                      <w:szCs w:val="20"/>
                      <w:lang w:val="en-US" w:eastAsia="zh-CN" w:bidi="ar"/>
                    </w:rPr>
                    <w:t>购</w:t>
                  </w:r>
                </w:p>
              </w:tc>
              <w:tc>
                <w:tcPr>
                  <w:tcW w:w="1293" w:type="pc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default" w:ascii="Times New Roman" w:hAnsi="Times New Roman" w:cs="Times New Roman"/>
                      <w:color w:val="000000"/>
                      <w:kern w:val="0"/>
                      <w:sz w:val="20"/>
                      <w:szCs w:val="20"/>
                    </w:rPr>
                  </w:pPr>
                  <w:r>
                    <w:rPr>
                      <w:rFonts w:hint="eastAsia" w:ascii="Times New Roman" w:hAnsi="Times New Roman" w:cs="Times New Roman"/>
                      <w:snapToGrid/>
                      <w:color w:val="000000"/>
                      <w:spacing w:val="-1"/>
                      <w:kern w:val="0"/>
                      <w:position w:val="2"/>
                      <w:sz w:val="20"/>
                      <w:szCs w:val="20"/>
                      <w:lang w:val="en-US" w:eastAsia="zh-CN" w:bidi="ar"/>
                    </w:rPr>
                    <w:t>107.71</w:t>
                  </w:r>
                  <w:r>
                    <w:rPr>
                      <w:rFonts w:hint="default" w:ascii="Times New Roman" w:hAnsi="Times New Roman" w:cs="Times New Roman"/>
                      <w:snapToGrid/>
                      <w:color w:val="000000"/>
                      <w:spacing w:val="-1"/>
                      <w:kern w:val="0"/>
                      <w:position w:val="2"/>
                      <w:sz w:val="20"/>
                      <w:szCs w:val="20"/>
                      <w:lang w:val="en-US" w:eastAsia="zh-CN" w:bidi="ar"/>
                    </w:rPr>
                    <w:t>t</w:t>
                  </w:r>
                </w:p>
              </w:tc>
              <w:tc>
                <w:tcPr>
                  <w:tcW w:w="952" w:type="pct"/>
                  <w:vMerge w:val="continue"/>
                  <w:tcBorders>
                    <w:tl2br w:val="nil"/>
                    <w:tr2bl w:val="nil"/>
                  </w:tcBorders>
                  <w:noWrap w:val="0"/>
                  <w:vAlign w:val="top"/>
                </w:tcPr>
                <w:p>
                  <w:pPr>
                    <w:keepNext w:val="0"/>
                    <w:keepLines w:val="0"/>
                    <w:pageBreakBefore w:val="0"/>
                    <w:widowControl/>
                    <w:wordWrap/>
                    <w:overflowPunct/>
                    <w:topLinePunct w:val="0"/>
                    <w:bidi w:val="0"/>
                    <w:spacing w:before="0" w:line="240" w:lineRule="auto"/>
                    <w:ind w:left="0"/>
                    <w:jc w:val="center"/>
                    <w:rPr>
                      <w:rFonts w:hint="default" w:ascii="Times New Roman" w:hAnsi="Times New Roman" w:cs="Times New Roman"/>
                      <w:sz w:val="20"/>
                      <w:szCs w:val="20"/>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2" w:hRule="atLeast"/>
              </w:trPr>
              <w:tc>
                <w:tcPr>
                  <w:tcW w:w="1612" w:type="pc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eastAsia" w:ascii="宋体" w:hAnsi="宋体" w:eastAsia="宋体" w:cs="宋体"/>
                      <w:color w:val="000000"/>
                      <w:kern w:val="0"/>
                      <w:sz w:val="20"/>
                      <w:szCs w:val="20"/>
                      <w:lang w:val="en-US" w:eastAsia="zh-CN"/>
                    </w:rPr>
                  </w:pPr>
                  <w:r>
                    <w:rPr>
                      <w:rFonts w:hint="eastAsia" w:ascii="宋体" w:hAnsi="宋体" w:eastAsia="宋体" w:cs="宋体"/>
                      <w:color w:val="000000"/>
                      <w:kern w:val="0"/>
                      <w:sz w:val="20"/>
                      <w:szCs w:val="20"/>
                      <w:lang w:val="en-US" w:eastAsia="zh-CN"/>
                    </w:rPr>
                    <w:t>钢筋</w:t>
                  </w:r>
                </w:p>
              </w:tc>
              <w:tc>
                <w:tcPr>
                  <w:tcW w:w="1141" w:type="pc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eastAsia" w:ascii="宋体" w:hAnsi="宋体" w:eastAsia="宋体" w:cs="宋体"/>
                      <w:color w:val="000000"/>
                      <w:kern w:val="0"/>
                      <w:sz w:val="20"/>
                      <w:szCs w:val="20"/>
                    </w:rPr>
                  </w:pPr>
                  <w:r>
                    <w:rPr>
                      <w:rFonts w:hint="eastAsia" w:ascii="宋体" w:hAnsi="宋体" w:eastAsia="宋体" w:cs="宋体"/>
                      <w:snapToGrid/>
                      <w:color w:val="000000"/>
                      <w:spacing w:val="3"/>
                      <w:kern w:val="0"/>
                      <w:sz w:val="20"/>
                      <w:szCs w:val="20"/>
                      <w:lang w:val="en-US" w:eastAsia="zh-CN" w:bidi="ar"/>
                    </w:rPr>
                    <w:t>外</w:t>
                  </w:r>
                  <w:r>
                    <w:rPr>
                      <w:rFonts w:hint="eastAsia" w:ascii="宋体" w:hAnsi="宋体" w:eastAsia="宋体" w:cs="宋体"/>
                      <w:snapToGrid/>
                      <w:color w:val="000000"/>
                      <w:spacing w:val="2"/>
                      <w:kern w:val="0"/>
                      <w:sz w:val="20"/>
                      <w:szCs w:val="20"/>
                      <w:lang w:val="en-US" w:eastAsia="zh-CN" w:bidi="ar"/>
                    </w:rPr>
                    <w:t>购</w:t>
                  </w:r>
                </w:p>
              </w:tc>
              <w:tc>
                <w:tcPr>
                  <w:tcW w:w="1293" w:type="pc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default" w:ascii="Times New Roman" w:hAnsi="Times New Roman" w:cs="Times New Roman"/>
                      <w:color w:val="000000"/>
                      <w:kern w:val="0"/>
                      <w:sz w:val="20"/>
                      <w:szCs w:val="20"/>
                    </w:rPr>
                  </w:pPr>
                  <w:r>
                    <w:rPr>
                      <w:rFonts w:hint="eastAsia" w:ascii="Times New Roman" w:hAnsi="Times New Roman" w:cs="Times New Roman"/>
                      <w:snapToGrid/>
                      <w:color w:val="000000"/>
                      <w:spacing w:val="3"/>
                      <w:kern w:val="0"/>
                      <w:position w:val="2"/>
                      <w:sz w:val="20"/>
                      <w:szCs w:val="20"/>
                      <w:lang w:val="en-US" w:eastAsia="zh-CN" w:bidi="ar"/>
                    </w:rPr>
                    <w:t>477.77</w:t>
                  </w:r>
                  <w:r>
                    <w:rPr>
                      <w:rFonts w:hint="default" w:ascii="Times New Roman" w:hAnsi="Times New Roman" w:cs="Times New Roman"/>
                      <w:snapToGrid/>
                      <w:color w:val="000000"/>
                      <w:kern w:val="0"/>
                      <w:position w:val="2"/>
                      <w:sz w:val="20"/>
                      <w:szCs w:val="20"/>
                      <w:lang w:val="en-US" w:eastAsia="zh-CN" w:bidi="ar"/>
                    </w:rPr>
                    <w:t>t</w:t>
                  </w:r>
                </w:p>
              </w:tc>
              <w:tc>
                <w:tcPr>
                  <w:tcW w:w="952" w:type="pct"/>
                  <w:vMerge w:val="continue"/>
                  <w:tcBorders>
                    <w:tl2br w:val="nil"/>
                    <w:tr2bl w:val="nil"/>
                  </w:tcBorders>
                  <w:noWrap w:val="0"/>
                  <w:vAlign w:val="top"/>
                </w:tcPr>
                <w:p>
                  <w:pPr>
                    <w:keepNext w:val="0"/>
                    <w:keepLines w:val="0"/>
                    <w:pageBreakBefore w:val="0"/>
                    <w:widowControl/>
                    <w:wordWrap/>
                    <w:overflowPunct/>
                    <w:topLinePunct w:val="0"/>
                    <w:bidi w:val="0"/>
                    <w:spacing w:before="0" w:line="240" w:lineRule="auto"/>
                    <w:ind w:left="0"/>
                    <w:jc w:val="center"/>
                    <w:rPr>
                      <w:rFonts w:hint="default" w:ascii="Times New Roman" w:hAnsi="Times New Roman" w:cs="Times New Roman"/>
                      <w:sz w:val="20"/>
                      <w:szCs w:val="20"/>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22" w:hRule="atLeast"/>
              </w:trPr>
              <w:tc>
                <w:tcPr>
                  <w:tcW w:w="1612" w:type="pc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eastAsia" w:ascii="宋体" w:hAnsi="宋体" w:eastAsia="宋体" w:cs="宋体"/>
                      <w:color w:val="000000"/>
                      <w:kern w:val="0"/>
                      <w:sz w:val="20"/>
                      <w:szCs w:val="20"/>
                    </w:rPr>
                  </w:pPr>
                  <w:r>
                    <w:rPr>
                      <w:rFonts w:hint="eastAsia" w:ascii="Times New Roman" w:hAnsi="Times New Roman" w:cs="Times New Roman"/>
                      <w:snapToGrid/>
                      <w:color w:val="000000"/>
                      <w:kern w:val="0"/>
                      <w:sz w:val="20"/>
                      <w:szCs w:val="20"/>
                      <w:lang w:val="en-US" w:eastAsia="zh-CN" w:bidi="ar"/>
                    </w:rPr>
                    <w:t>锯材</w:t>
                  </w:r>
                </w:p>
              </w:tc>
              <w:tc>
                <w:tcPr>
                  <w:tcW w:w="1141" w:type="pc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eastAsia" w:ascii="宋体" w:hAnsi="宋体" w:eastAsia="宋体" w:cs="宋体"/>
                      <w:color w:val="000000"/>
                      <w:kern w:val="0"/>
                      <w:sz w:val="20"/>
                      <w:szCs w:val="20"/>
                    </w:rPr>
                  </w:pPr>
                  <w:r>
                    <w:rPr>
                      <w:rFonts w:hint="eastAsia" w:ascii="宋体" w:hAnsi="宋体" w:eastAsia="宋体" w:cs="宋体"/>
                      <w:snapToGrid/>
                      <w:color w:val="000000"/>
                      <w:spacing w:val="3"/>
                      <w:kern w:val="0"/>
                      <w:sz w:val="20"/>
                      <w:szCs w:val="20"/>
                      <w:lang w:val="en-US" w:eastAsia="zh-CN" w:bidi="ar"/>
                    </w:rPr>
                    <w:t>外</w:t>
                  </w:r>
                  <w:r>
                    <w:rPr>
                      <w:rFonts w:hint="eastAsia" w:ascii="宋体" w:hAnsi="宋体" w:eastAsia="宋体" w:cs="宋体"/>
                      <w:snapToGrid/>
                      <w:color w:val="000000"/>
                      <w:spacing w:val="2"/>
                      <w:kern w:val="0"/>
                      <w:sz w:val="20"/>
                      <w:szCs w:val="20"/>
                      <w:lang w:val="en-US" w:eastAsia="zh-CN" w:bidi="ar"/>
                    </w:rPr>
                    <w:t>购</w:t>
                  </w:r>
                </w:p>
              </w:tc>
              <w:tc>
                <w:tcPr>
                  <w:tcW w:w="1293" w:type="pct"/>
                  <w:tcBorders>
                    <w:tl2br w:val="nil"/>
                    <w:tr2bl w:val="nil"/>
                  </w:tcBorders>
                  <w:noWrap w:val="0"/>
                  <w:vAlign w:val="top"/>
                </w:tcPr>
                <w:p>
                  <w:pPr>
                    <w:keepNext w:val="0"/>
                    <w:keepLines w:val="0"/>
                    <w:pageBreakBefore w:val="0"/>
                    <w:widowControl/>
                    <w:suppressLineNumbers w:val="0"/>
                    <w:kinsoku w:val="0"/>
                    <w:wordWrap/>
                    <w:overflowPunct/>
                    <w:topLinePunct w:val="0"/>
                    <w:autoSpaceDE w:val="0"/>
                    <w:autoSpaceDN w:val="0"/>
                    <w:bidi w:val="0"/>
                    <w:adjustRightInd w:val="0"/>
                    <w:snapToGrid w:val="0"/>
                    <w:spacing w:beforeAutospacing="0" w:after="0" w:afterAutospacing="0" w:line="240" w:lineRule="auto"/>
                    <w:ind w:left="0" w:right="0"/>
                    <w:jc w:val="center"/>
                    <w:textAlignment w:val="baseline"/>
                    <w:rPr>
                      <w:rFonts w:hint="default" w:ascii="Times New Roman" w:hAnsi="Times New Roman" w:cs="Times New Roman"/>
                      <w:color w:val="000000"/>
                      <w:kern w:val="0"/>
                      <w:sz w:val="20"/>
                      <w:szCs w:val="20"/>
                    </w:rPr>
                  </w:pPr>
                  <w:r>
                    <w:rPr>
                      <w:rFonts w:hint="eastAsia" w:ascii="Times New Roman" w:hAnsi="Times New Roman" w:cs="Times New Roman"/>
                      <w:snapToGrid/>
                      <w:color w:val="000000"/>
                      <w:spacing w:val="7"/>
                      <w:kern w:val="0"/>
                      <w:sz w:val="20"/>
                      <w:szCs w:val="20"/>
                      <w:lang w:val="en-US" w:eastAsia="zh-CN" w:bidi="ar"/>
                    </w:rPr>
                    <w:t>9.03</w:t>
                  </w:r>
                  <w:r>
                    <w:rPr>
                      <w:rFonts w:hint="default" w:ascii="Times New Roman" w:hAnsi="Times New Roman" w:cs="Times New Roman"/>
                      <w:snapToGrid/>
                      <w:color w:val="000000"/>
                      <w:kern w:val="0"/>
                      <w:sz w:val="20"/>
                      <w:szCs w:val="20"/>
                      <w:lang w:val="en-US" w:eastAsia="zh-CN" w:bidi="ar"/>
                    </w:rPr>
                    <w:t>m</w:t>
                  </w:r>
                  <w:r>
                    <w:rPr>
                      <w:rFonts w:hint="default" w:ascii="Times New Roman" w:hAnsi="Times New Roman" w:cs="Times New Roman"/>
                      <w:snapToGrid/>
                      <w:color w:val="000000"/>
                      <w:spacing w:val="4"/>
                      <w:kern w:val="0"/>
                      <w:position w:val="6"/>
                      <w:sz w:val="13"/>
                      <w:szCs w:val="13"/>
                      <w:lang w:val="en-US" w:eastAsia="zh-CN" w:bidi="ar"/>
                    </w:rPr>
                    <w:t>3</w:t>
                  </w:r>
                </w:p>
              </w:tc>
              <w:tc>
                <w:tcPr>
                  <w:tcW w:w="952" w:type="pct"/>
                  <w:vMerge w:val="continue"/>
                  <w:tcBorders>
                    <w:tl2br w:val="nil"/>
                    <w:tr2bl w:val="nil"/>
                  </w:tcBorders>
                  <w:noWrap w:val="0"/>
                  <w:vAlign w:val="top"/>
                </w:tcPr>
                <w:p>
                  <w:pPr>
                    <w:keepNext w:val="0"/>
                    <w:keepLines w:val="0"/>
                    <w:pageBreakBefore w:val="0"/>
                    <w:widowControl/>
                    <w:wordWrap/>
                    <w:overflowPunct/>
                    <w:topLinePunct w:val="0"/>
                    <w:bidi w:val="0"/>
                    <w:spacing w:before="0" w:line="240" w:lineRule="auto"/>
                    <w:ind w:left="0"/>
                    <w:jc w:val="center"/>
                    <w:rPr>
                      <w:rFonts w:hint="default" w:ascii="Times New Roman" w:hAnsi="Times New Roman" w:cs="Times New Roman"/>
                      <w:sz w:val="20"/>
                      <w:szCs w:val="20"/>
                    </w:rPr>
                  </w:pPr>
                </w:p>
              </w:tc>
            </w:tr>
          </w:tbl>
          <w:p>
            <w:pPr>
              <w:keepNext w:val="0"/>
              <w:keepLines w:val="0"/>
              <w:pageBreakBefore w:val="0"/>
              <w:widowControl w:val="0"/>
              <w:kinsoku/>
              <w:wordWrap/>
              <w:overflowPunct/>
              <w:topLinePunct w:val="0"/>
              <w:autoSpaceDE/>
              <w:autoSpaceDN/>
              <w:bidi w:val="0"/>
              <w:adjustRightInd/>
              <w:snapToGrid/>
              <w:spacing w:line="360" w:lineRule="auto"/>
              <w:ind w:left="0" w:right="0" w:firstLine="482"/>
              <w:textAlignment w:val="auto"/>
              <w:rPr>
                <w:rFonts w:ascii="宋体" w:hAnsi="宋体" w:eastAsia="宋体" w:cs="宋体"/>
                <w:b/>
                <w:bCs/>
                <w:sz w:val="21"/>
                <w:szCs w:val="21"/>
              </w:rPr>
            </w:pPr>
            <w:r>
              <w:rPr>
                <w:rFonts w:ascii="宋体" w:hAnsi="宋体" w:eastAsia="宋体" w:cs="宋体"/>
                <w:b/>
                <w:bCs/>
                <w:spacing w:val="16"/>
                <w:sz w:val="21"/>
                <w:szCs w:val="21"/>
              </w:rPr>
              <w:t>注</w:t>
            </w:r>
            <w:r>
              <w:rPr>
                <w:rFonts w:ascii="宋体" w:hAnsi="宋体" w:eastAsia="宋体" w:cs="宋体"/>
                <w:b/>
                <w:bCs/>
                <w:spacing w:val="14"/>
                <w:sz w:val="21"/>
                <w:szCs w:val="21"/>
              </w:rPr>
              <w:t>：</w:t>
            </w:r>
            <w:r>
              <w:rPr>
                <w:rFonts w:ascii="宋体" w:hAnsi="宋体" w:eastAsia="宋体" w:cs="宋体"/>
                <w:b/>
                <w:bCs/>
                <w:spacing w:val="8"/>
                <w:sz w:val="21"/>
                <w:szCs w:val="21"/>
              </w:rPr>
              <w:t>本项目商品砼采用罐车运输到现场直接使用，不设置储存设施，汽油、柴油通过当地加</w:t>
            </w:r>
            <w:r>
              <w:rPr>
                <w:rFonts w:ascii="宋体" w:hAnsi="宋体" w:eastAsia="宋体" w:cs="宋体"/>
                <w:b/>
                <w:bCs/>
                <w:spacing w:val="11"/>
                <w:sz w:val="21"/>
                <w:szCs w:val="21"/>
              </w:rPr>
              <w:t>油</w:t>
            </w:r>
            <w:r>
              <w:rPr>
                <w:rFonts w:ascii="宋体" w:hAnsi="宋体" w:eastAsia="宋体" w:cs="宋体"/>
                <w:b/>
                <w:bCs/>
                <w:spacing w:val="10"/>
                <w:sz w:val="21"/>
                <w:szCs w:val="21"/>
              </w:rPr>
              <w:t>站直接购买，不设置储存设施，仅少量砂卵石堆存在施工场地内。</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textAlignment w:val="auto"/>
              <w:rPr>
                <w:rFonts w:hint="default"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7、主要设备</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rFonts w:hint="eastAsia" w:ascii="Times New Roman" w:hAnsi="Times New Roman" w:eastAsia="宋体" w:cs="Times New Roman"/>
                <w:b w:val="0"/>
                <w:bCs w:val="0"/>
                <w:color w:val="auto"/>
                <w:spacing w:val="0"/>
                <w:sz w:val="24"/>
                <w:szCs w:val="24"/>
                <w:lang w:val="en-US" w:eastAsia="zh-CN"/>
              </w:rPr>
              <w:t>本项目主要设备一览表见下表。</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22" w:firstLineChars="200"/>
              <w:jc w:val="center"/>
              <w:textAlignment w:val="auto"/>
              <w:rPr>
                <w:rFonts w:hint="default" w:ascii="Times New Roman" w:hAnsi="Times New Roman" w:eastAsia="宋体" w:cs="Times New Roman"/>
                <w:b/>
                <w:bCs/>
                <w:color w:val="auto"/>
                <w:spacing w:val="0"/>
                <w:sz w:val="21"/>
                <w:szCs w:val="21"/>
                <w:lang w:val="en-US" w:eastAsia="zh-CN"/>
              </w:rPr>
            </w:pPr>
            <w:r>
              <w:rPr>
                <w:rFonts w:hint="eastAsia" w:ascii="Times New Roman" w:hAnsi="Times New Roman" w:eastAsia="宋体" w:cs="Times New Roman"/>
                <w:b/>
                <w:bCs/>
                <w:color w:val="auto"/>
                <w:spacing w:val="0"/>
                <w:sz w:val="21"/>
                <w:szCs w:val="21"/>
                <w:lang w:val="en-US" w:eastAsia="zh-CN"/>
              </w:rPr>
              <w:t>表2-4 工程主要施工设备一览表</w:t>
            </w:r>
          </w:p>
          <w:tbl>
            <w:tblPr>
              <w:tblStyle w:val="39"/>
              <w:tblW w:w="4998" w:type="pct"/>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autofit"/>
              <w:tblCellMar>
                <w:top w:w="0" w:type="dxa"/>
                <w:left w:w="108" w:type="dxa"/>
                <w:bottom w:w="0" w:type="dxa"/>
                <w:right w:w="108" w:type="dxa"/>
              </w:tblCellMar>
            </w:tblPr>
            <w:tblGrid>
              <w:gridCol w:w="904"/>
              <w:gridCol w:w="3612"/>
              <w:gridCol w:w="1509"/>
              <w:gridCol w:w="907"/>
              <w:gridCol w:w="907"/>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序号</w:t>
                  </w: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机械名称</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规格型号</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单位</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数量</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一</w:t>
                  </w: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土石方开挖（回填）机械</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蛙式打夯机</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2.8kw</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台</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小型振动碾</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台</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1.6m</w:t>
                  </w:r>
                  <w:r>
                    <w:rPr>
                      <w:rFonts w:hint="default" w:ascii="Times New Roman" w:hAnsi="Times New Roman" w:eastAsia="宋体" w:cs="Times New Roman"/>
                      <w:kern w:val="2"/>
                      <w:sz w:val="21"/>
                      <w:szCs w:val="21"/>
                      <w:vertAlign w:val="superscript"/>
                      <w:lang w:val="en-US" w:eastAsia="zh-CN" w:bidi="ar"/>
                    </w:rPr>
                    <w:t>3</w:t>
                  </w:r>
                  <w:r>
                    <w:rPr>
                      <w:rFonts w:hint="default" w:ascii="Times New Roman" w:hAnsi="Times New Roman" w:eastAsia="宋体" w:cs="Times New Roman"/>
                      <w:kern w:val="2"/>
                      <w:sz w:val="21"/>
                      <w:szCs w:val="21"/>
                      <w:lang w:val="en-US" w:eastAsia="zh-CN" w:bidi="ar"/>
                    </w:rPr>
                    <w:t>挖掘机</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台</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88KW推土机</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台</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轮胎碾</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台</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二</w:t>
                  </w: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混凝土机械</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插入式振捣器</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软轴</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台</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6</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插入式振捣器</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ZN30</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台</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14</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风水砂枪</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台</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三</w:t>
                  </w: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运输机械</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载重汽车</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10t/15t</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辆</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2/5</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自卸汽车</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15t</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辆</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10</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机动翻斗车</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辆</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4</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胶轮车</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辆</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20</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四</w:t>
                  </w: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风、水、电系统</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空压机</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3m</w:t>
                  </w:r>
                  <w:r>
                    <w:rPr>
                      <w:rFonts w:hint="default" w:ascii="Times New Roman" w:hAnsi="Times New Roman" w:eastAsia="宋体" w:cs="Times New Roman"/>
                      <w:kern w:val="2"/>
                      <w:sz w:val="21"/>
                      <w:szCs w:val="21"/>
                      <w:vertAlign w:val="superscript"/>
                      <w:lang w:val="en-US" w:eastAsia="zh-CN" w:bidi="ar"/>
                    </w:rPr>
                    <w:t>3</w:t>
                  </w:r>
                  <w:r>
                    <w:rPr>
                      <w:rFonts w:hint="default" w:ascii="Times New Roman" w:hAnsi="Times New Roman" w:eastAsia="宋体" w:cs="Times New Roman"/>
                      <w:kern w:val="2"/>
                      <w:sz w:val="21"/>
                      <w:szCs w:val="21"/>
                      <w:lang w:val="en-US" w:eastAsia="zh-CN" w:bidi="ar"/>
                    </w:rPr>
                    <w:t>/min</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台</w:t>
                  </w:r>
                </w:p>
              </w:tc>
              <w:tc>
                <w:tcPr>
                  <w:tcW w:w="578" w:type="pct"/>
                  <w:tcBorders>
                    <w:tl2br w:val="nil"/>
                    <w:tr2bl w:val="nil"/>
                  </w:tcBorders>
                  <w:noWrap w:val="0"/>
                  <w:vAlign w:val="center"/>
                </w:tcPr>
                <w:p>
                  <w:pPr>
                    <w:pStyle w:val="89"/>
                    <w:keepNext w:val="0"/>
                    <w:keepLines w:val="0"/>
                    <w:pageBreakBefore w:val="0"/>
                    <w:widowControl/>
                    <w:kinsoku/>
                    <w:wordWrap/>
                    <w:overflowPunct/>
                    <w:topLinePunct w:val="0"/>
                    <w:autoSpaceDE/>
                    <w:autoSpaceDN/>
                    <w:bidi w:val="0"/>
                    <w:adjustRightInd/>
                    <w:snapToGrid/>
                    <w:spacing w:before="0" w:beforeLines="0" w:after="0" w:afterLines="0" w:line="240" w:lineRule="auto"/>
                    <w:ind w:left="0" w:right="0"/>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1</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150KVA降压站</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座</w:t>
                  </w:r>
                </w:p>
              </w:tc>
              <w:tc>
                <w:tcPr>
                  <w:tcW w:w="578" w:type="pct"/>
                  <w:tcBorders>
                    <w:tl2br w:val="nil"/>
                    <w:tr2bl w:val="nil"/>
                  </w:tcBorders>
                  <w:noWrap w:val="0"/>
                  <w:vAlign w:val="center"/>
                </w:tcPr>
                <w:p>
                  <w:pPr>
                    <w:pStyle w:val="89"/>
                    <w:keepNext w:val="0"/>
                    <w:keepLines w:val="0"/>
                    <w:pageBreakBefore w:val="0"/>
                    <w:widowControl/>
                    <w:kinsoku/>
                    <w:wordWrap/>
                    <w:overflowPunct/>
                    <w:topLinePunct w:val="0"/>
                    <w:autoSpaceDE/>
                    <w:autoSpaceDN/>
                    <w:bidi w:val="0"/>
                    <w:adjustRightInd/>
                    <w:snapToGrid/>
                    <w:spacing w:before="0" w:beforeLines="0" w:after="0" w:afterLines="0" w:line="240" w:lineRule="auto"/>
                    <w:ind w:left="0" w:right="0"/>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1</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柴油发电机</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50KW</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台</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钢筋加工机械</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台</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23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100BJ15A型水泵</w:t>
                  </w:r>
                </w:p>
              </w:tc>
              <w:tc>
                <w:tcPr>
                  <w:tcW w:w="9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台</w:t>
                  </w:r>
                </w:p>
              </w:tc>
              <w:tc>
                <w:tcPr>
                  <w:tcW w:w="5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right="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t>3</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textAlignment w:val="auto"/>
              <w:rPr>
                <w:rFonts w:hint="default"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8</w:t>
            </w:r>
            <w:r>
              <w:rPr>
                <w:rFonts w:hint="default" w:ascii="Times New Roman" w:hAnsi="Times New Roman" w:eastAsia="宋体" w:cs="Times New Roman"/>
                <w:b/>
                <w:bCs/>
                <w:color w:val="auto"/>
                <w:spacing w:val="0"/>
                <w:sz w:val="24"/>
                <w:szCs w:val="24"/>
                <w:lang w:val="en-US" w:eastAsia="zh-CN"/>
              </w:rPr>
              <w:t>、</w:t>
            </w:r>
            <w:r>
              <w:rPr>
                <w:rFonts w:hint="eastAsia" w:ascii="Times New Roman" w:hAnsi="Times New Roman" w:eastAsia="宋体" w:cs="Times New Roman"/>
                <w:b/>
                <w:bCs/>
                <w:color w:val="auto"/>
                <w:spacing w:val="0"/>
                <w:sz w:val="24"/>
                <w:szCs w:val="24"/>
                <w:lang w:val="en-US" w:eastAsia="zh-CN"/>
              </w:rPr>
              <w:t>挡水泄水建筑物</w:t>
            </w:r>
          </w:p>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360" w:lineRule="auto"/>
              <w:ind w:left="0" w:leftChars="0" w:right="0" w:firstLine="482" w:firstLineChars="200"/>
              <w:textAlignment w:val="baseline"/>
              <w:rPr>
                <w:rFonts w:hint="default"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8.1挡水建筑物布置</w:t>
            </w:r>
          </w:p>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360" w:lineRule="auto"/>
              <w:ind w:left="0" w:leftChars="0" w:right="0" w:firstLine="480" w:firstLineChars="200"/>
              <w:textAlignment w:val="baseline"/>
              <w:rPr>
                <w:rFonts w:hint="eastAsia" w:ascii="Times New Roman" w:hAnsi="Times New Roman" w:eastAsia="Times New Roman" w:cs="Times New Roman"/>
                <w:b w:val="0"/>
                <w:bCs w:val="0"/>
                <w:color w:val="auto"/>
                <w:spacing w:val="0"/>
                <w:sz w:val="24"/>
                <w:szCs w:val="24"/>
              </w:rPr>
            </w:pPr>
            <w:r>
              <w:rPr>
                <w:rFonts w:hint="eastAsia" w:ascii="Times New Roman" w:hAnsi="Times New Roman" w:eastAsia="Times New Roman" w:cs="Times New Roman"/>
                <w:b w:val="0"/>
                <w:bCs w:val="0"/>
                <w:color w:val="auto"/>
                <w:spacing w:val="0"/>
                <w:sz w:val="24"/>
                <w:szCs w:val="24"/>
                <w:lang w:eastAsia="zh-CN"/>
              </w:rPr>
              <w:t>安福堰</w:t>
            </w:r>
            <w:r>
              <w:rPr>
                <w:rFonts w:hint="eastAsia" w:ascii="Times New Roman" w:hAnsi="Times New Roman" w:eastAsia="Times New Roman" w:cs="Times New Roman"/>
                <w:b w:val="0"/>
                <w:bCs w:val="0"/>
                <w:color w:val="auto"/>
                <w:spacing w:val="0"/>
                <w:sz w:val="24"/>
                <w:szCs w:val="24"/>
              </w:rPr>
              <w:t>正常蓄水位</w:t>
            </w:r>
            <w:r>
              <w:rPr>
                <w:rFonts w:hint="eastAsia" w:ascii="Times New Roman" w:hAnsi="Times New Roman" w:eastAsia="Times New Roman" w:cs="Times New Roman"/>
                <w:b w:val="0"/>
                <w:bCs w:val="0"/>
                <w:color w:val="auto"/>
                <w:spacing w:val="0"/>
                <w:sz w:val="24"/>
                <w:szCs w:val="24"/>
                <w:lang w:val="en-US" w:eastAsia="zh-CN"/>
              </w:rPr>
              <w:t>371.7</w:t>
            </w:r>
            <w:r>
              <w:rPr>
                <w:rFonts w:hint="eastAsia" w:ascii="Times New Roman" w:hAnsi="Times New Roman" w:eastAsia="Times New Roman" w:cs="Times New Roman"/>
                <w:b w:val="0"/>
                <w:bCs w:val="0"/>
                <w:color w:val="auto"/>
                <w:spacing w:val="0"/>
                <w:sz w:val="24"/>
                <w:szCs w:val="24"/>
              </w:rPr>
              <w:t>m，设计洪水位</w:t>
            </w:r>
            <w:r>
              <w:rPr>
                <w:rFonts w:hint="eastAsia" w:ascii="Times New Roman" w:hAnsi="Times New Roman" w:eastAsia="Times New Roman" w:cs="Times New Roman"/>
                <w:b w:val="0"/>
                <w:bCs w:val="0"/>
                <w:color w:val="auto"/>
                <w:spacing w:val="0"/>
                <w:sz w:val="24"/>
                <w:szCs w:val="24"/>
                <w:lang w:val="en-US" w:eastAsia="zh-CN"/>
              </w:rPr>
              <w:t>373.98</w:t>
            </w:r>
            <w:r>
              <w:rPr>
                <w:rFonts w:hint="eastAsia" w:ascii="Times New Roman" w:hAnsi="Times New Roman" w:eastAsia="Times New Roman" w:cs="Times New Roman"/>
                <w:b w:val="0"/>
                <w:bCs w:val="0"/>
                <w:color w:val="auto"/>
                <w:spacing w:val="0"/>
                <w:sz w:val="24"/>
                <w:szCs w:val="24"/>
              </w:rPr>
              <w:t>m，校核洪水位</w:t>
            </w:r>
            <w:r>
              <w:rPr>
                <w:rFonts w:hint="eastAsia" w:ascii="Times New Roman" w:hAnsi="Times New Roman" w:eastAsia="Times New Roman" w:cs="Times New Roman"/>
                <w:b w:val="0"/>
                <w:bCs w:val="0"/>
                <w:color w:val="auto"/>
                <w:spacing w:val="0"/>
                <w:sz w:val="24"/>
                <w:szCs w:val="24"/>
                <w:lang w:val="en-US" w:eastAsia="zh-CN"/>
              </w:rPr>
              <w:t>374.62</w:t>
            </w:r>
            <w:r>
              <w:rPr>
                <w:rFonts w:hint="eastAsia" w:ascii="Times New Roman" w:hAnsi="Times New Roman" w:eastAsia="Times New Roman" w:cs="Times New Roman"/>
                <w:b w:val="0"/>
                <w:bCs w:val="0"/>
                <w:color w:val="auto"/>
                <w:spacing w:val="0"/>
                <w:sz w:val="24"/>
                <w:szCs w:val="24"/>
              </w:rPr>
              <w:t>m，死水位</w:t>
            </w:r>
            <w:r>
              <w:rPr>
                <w:rFonts w:hint="eastAsia" w:ascii="Times New Roman" w:hAnsi="Times New Roman" w:eastAsia="Times New Roman" w:cs="Times New Roman"/>
                <w:b w:val="0"/>
                <w:bCs w:val="0"/>
                <w:color w:val="auto"/>
                <w:spacing w:val="0"/>
                <w:sz w:val="24"/>
                <w:szCs w:val="24"/>
                <w:lang w:val="en-US" w:eastAsia="zh-CN"/>
              </w:rPr>
              <w:t>370.7</w:t>
            </w:r>
            <w:r>
              <w:rPr>
                <w:rFonts w:hint="eastAsia" w:ascii="Times New Roman" w:hAnsi="Times New Roman" w:eastAsia="Times New Roman" w:cs="Times New Roman"/>
                <w:b w:val="0"/>
                <w:bCs w:val="0"/>
                <w:color w:val="auto"/>
                <w:spacing w:val="0"/>
                <w:sz w:val="24"/>
                <w:szCs w:val="24"/>
              </w:rPr>
              <w:t>m。大坝枢纽推荐方案为</w:t>
            </w:r>
            <w:r>
              <w:rPr>
                <w:rFonts w:hint="eastAsia" w:ascii="Times New Roman" w:hAnsi="Times New Roman" w:eastAsia="Times New Roman" w:cs="Times New Roman"/>
                <w:b w:val="0"/>
                <w:bCs w:val="0"/>
                <w:color w:val="auto"/>
                <w:spacing w:val="0"/>
                <w:sz w:val="24"/>
                <w:szCs w:val="24"/>
                <w:lang w:val="en-US" w:eastAsia="zh-CN"/>
              </w:rPr>
              <w:t>混凝土基础气盾坝</w:t>
            </w:r>
            <w:r>
              <w:rPr>
                <w:rFonts w:hint="eastAsia" w:ascii="Times New Roman" w:hAnsi="Times New Roman" w:eastAsia="Times New Roman" w:cs="Times New Roman"/>
                <w:b w:val="0"/>
                <w:bCs w:val="0"/>
                <w:color w:val="auto"/>
                <w:spacing w:val="0"/>
                <w:sz w:val="24"/>
                <w:szCs w:val="24"/>
              </w:rPr>
              <w:t>，大坝从</w:t>
            </w:r>
            <w:r>
              <w:rPr>
                <w:rFonts w:hint="eastAsia" w:ascii="Times New Roman" w:hAnsi="Times New Roman" w:eastAsia="Times New Roman" w:cs="Times New Roman"/>
                <w:b w:val="0"/>
                <w:bCs w:val="0"/>
                <w:color w:val="auto"/>
                <w:spacing w:val="0"/>
                <w:sz w:val="24"/>
                <w:szCs w:val="24"/>
                <w:lang w:val="en-US" w:eastAsia="zh-CN"/>
              </w:rPr>
              <w:t>左</w:t>
            </w:r>
            <w:r>
              <w:rPr>
                <w:rFonts w:hint="eastAsia" w:ascii="Times New Roman" w:hAnsi="Times New Roman" w:eastAsia="Times New Roman" w:cs="Times New Roman"/>
                <w:b w:val="0"/>
                <w:bCs w:val="0"/>
                <w:color w:val="auto"/>
                <w:spacing w:val="0"/>
                <w:sz w:val="24"/>
                <w:szCs w:val="24"/>
              </w:rPr>
              <w:t>到</w:t>
            </w:r>
            <w:r>
              <w:rPr>
                <w:rFonts w:hint="eastAsia" w:ascii="Times New Roman" w:hAnsi="Times New Roman" w:eastAsia="Times New Roman" w:cs="Times New Roman"/>
                <w:b w:val="0"/>
                <w:bCs w:val="0"/>
                <w:color w:val="auto"/>
                <w:spacing w:val="0"/>
                <w:sz w:val="24"/>
                <w:szCs w:val="24"/>
                <w:lang w:val="en-US" w:eastAsia="zh-CN"/>
              </w:rPr>
              <w:t>右</w:t>
            </w:r>
            <w:r>
              <w:rPr>
                <w:rFonts w:hint="eastAsia" w:ascii="Times New Roman" w:hAnsi="Times New Roman" w:eastAsia="Times New Roman" w:cs="Times New Roman"/>
                <w:b w:val="0"/>
                <w:bCs w:val="0"/>
                <w:color w:val="auto"/>
                <w:spacing w:val="0"/>
                <w:sz w:val="24"/>
                <w:szCs w:val="24"/>
              </w:rPr>
              <w:t>依次为</w:t>
            </w:r>
            <w:r>
              <w:rPr>
                <w:rFonts w:hint="eastAsia" w:ascii="Times New Roman" w:hAnsi="Times New Roman" w:eastAsia="Times New Roman" w:cs="Times New Roman"/>
                <w:b w:val="0"/>
                <w:bCs w:val="0"/>
                <w:color w:val="auto"/>
                <w:spacing w:val="0"/>
                <w:sz w:val="24"/>
                <w:szCs w:val="24"/>
                <w:lang w:val="en-US" w:eastAsia="zh-CN"/>
              </w:rPr>
              <w:t>左坝肩</w:t>
            </w:r>
            <w:r>
              <w:rPr>
                <w:rFonts w:hint="eastAsia" w:ascii="Times New Roman" w:hAnsi="Times New Roman" w:eastAsia="Times New Roman" w:cs="Times New Roman"/>
                <w:b w:val="0"/>
                <w:bCs w:val="0"/>
                <w:color w:val="auto"/>
                <w:spacing w:val="0"/>
                <w:sz w:val="24"/>
                <w:szCs w:val="24"/>
              </w:rPr>
              <w:t>、</w:t>
            </w:r>
            <w:r>
              <w:rPr>
                <w:rFonts w:hint="eastAsia" w:ascii="Times New Roman" w:hAnsi="Times New Roman" w:eastAsia="Times New Roman" w:cs="Times New Roman"/>
                <w:b w:val="0"/>
                <w:bCs w:val="0"/>
                <w:color w:val="auto"/>
                <w:spacing w:val="0"/>
                <w:sz w:val="24"/>
                <w:szCs w:val="24"/>
                <w:lang w:val="en-US" w:eastAsia="zh-CN"/>
              </w:rPr>
              <w:t>12</w:t>
            </w:r>
            <w:r>
              <w:rPr>
                <w:rFonts w:hint="eastAsia" w:ascii="Times New Roman" w:hAnsi="Times New Roman" w:eastAsia="Times New Roman" w:cs="Times New Roman"/>
                <w:b w:val="0"/>
                <w:bCs w:val="0"/>
                <w:color w:val="auto"/>
                <w:spacing w:val="0"/>
                <w:sz w:val="24"/>
                <w:szCs w:val="24"/>
              </w:rPr>
              <w:t>孔有闸门控制的</w:t>
            </w:r>
            <w:r>
              <w:rPr>
                <w:rFonts w:hint="eastAsia" w:ascii="Times New Roman" w:hAnsi="Times New Roman" w:eastAsia="Times New Roman" w:cs="Times New Roman"/>
                <w:b w:val="0"/>
                <w:bCs w:val="0"/>
                <w:color w:val="auto"/>
                <w:spacing w:val="0"/>
                <w:sz w:val="24"/>
                <w:szCs w:val="24"/>
                <w:lang w:val="en-US" w:eastAsia="zh-CN"/>
              </w:rPr>
              <w:t>泄水</w:t>
            </w:r>
            <w:r>
              <w:rPr>
                <w:rFonts w:hint="eastAsia" w:ascii="Times New Roman" w:hAnsi="Times New Roman" w:eastAsia="Times New Roman" w:cs="Times New Roman"/>
                <w:b w:val="0"/>
                <w:bCs w:val="0"/>
                <w:color w:val="auto"/>
                <w:spacing w:val="0"/>
                <w:sz w:val="24"/>
                <w:szCs w:val="24"/>
              </w:rPr>
              <w:t>坝段、</w:t>
            </w:r>
            <w:r>
              <w:rPr>
                <w:rFonts w:hint="eastAsia" w:ascii="Times New Roman" w:hAnsi="Times New Roman" w:eastAsia="Times New Roman" w:cs="Times New Roman"/>
                <w:b w:val="0"/>
                <w:bCs w:val="0"/>
                <w:color w:val="auto"/>
                <w:spacing w:val="0"/>
                <w:sz w:val="24"/>
                <w:szCs w:val="24"/>
                <w:lang w:val="en-US" w:eastAsia="zh-CN"/>
              </w:rPr>
              <w:t>闸墩、1孔取水泄水闸段</w:t>
            </w:r>
            <w:r>
              <w:rPr>
                <w:rFonts w:hint="eastAsia" w:ascii="Times New Roman" w:hAnsi="Times New Roman" w:eastAsia="Times New Roman" w:cs="Times New Roman"/>
                <w:b w:val="0"/>
                <w:bCs w:val="0"/>
                <w:color w:val="auto"/>
                <w:spacing w:val="0"/>
                <w:sz w:val="24"/>
                <w:szCs w:val="24"/>
              </w:rPr>
              <w:t>、</w:t>
            </w:r>
            <w:r>
              <w:rPr>
                <w:rFonts w:hint="eastAsia" w:ascii="Times New Roman" w:hAnsi="Times New Roman" w:eastAsia="Times New Roman" w:cs="Times New Roman"/>
                <w:b w:val="0"/>
                <w:bCs w:val="0"/>
                <w:color w:val="auto"/>
                <w:spacing w:val="0"/>
                <w:sz w:val="24"/>
                <w:szCs w:val="24"/>
                <w:lang w:val="en-US" w:eastAsia="zh-CN"/>
              </w:rPr>
              <w:t>右坝肩</w:t>
            </w:r>
            <w:r>
              <w:rPr>
                <w:rFonts w:hint="eastAsia" w:ascii="Times New Roman" w:hAnsi="Times New Roman" w:eastAsia="Times New Roman" w:cs="Times New Roman"/>
                <w:b w:val="0"/>
                <w:bCs w:val="0"/>
                <w:color w:val="auto"/>
                <w:spacing w:val="0"/>
                <w:sz w:val="24"/>
                <w:szCs w:val="24"/>
              </w:rPr>
              <w:t>。坝顶轴线总长</w:t>
            </w:r>
            <w:r>
              <w:rPr>
                <w:rFonts w:hint="eastAsia" w:ascii="Times New Roman" w:hAnsi="Times New Roman" w:eastAsia="Times New Roman" w:cs="Times New Roman"/>
                <w:b w:val="0"/>
                <w:bCs w:val="0"/>
                <w:color w:val="auto"/>
                <w:spacing w:val="0"/>
                <w:sz w:val="24"/>
                <w:szCs w:val="24"/>
                <w:lang w:val="en-US" w:eastAsia="zh-CN"/>
              </w:rPr>
              <w:t>130.828</w:t>
            </w:r>
            <w:r>
              <w:rPr>
                <w:rFonts w:hint="eastAsia" w:ascii="Times New Roman" w:hAnsi="Times New Roman" w:eastAsia="Times New Roman" w:cs="Times New Roman"/>
                <w:b w:val="0"/>
                <w:bCs w:val="0"/>
                <w:color w:val="auto"/>
                <w:spacing w:val="0"/>
                <w:sz w:val="24"/>
                <w:szCs w:val="24"/>
              </w:rPr>
              <w:t>m，各坝段总长依次为</w:t>
            </w:r>
            <w:r>
              <w:rPr>
                <w:rFonts w:hint="eastAsia" w:ascii="Times New Roman" w:hAnsi="Times New Roman" w:eastAsia="Times New Roman" w:cs="Times New Roman"/>
                <w:b w:val="0"/>
                <w:bCs w:val="0"/>
                <w:color w:val="auto"/>
                <w:spacing w:val="0"/>
                <w:sz w:val="24"/>
                <w:szCs w:val="24"/>
                <w:lang w:val="en-US" w:eastAsia="zh-CN"/>
              </w:rPr>
              <w:t>8.125</w:t>
            </w:r>
            <w:r>
              <w:rPr>
                <w:rFonts w:hint="eastAsia" w:ascii="Times New Roman" w:hAnsi="Times New Roman" w:eastAsia="Times New Roman" w:cs="Times New Roman"/>
                <w:b w:val="0"/>
                <w:bCs w:val="0"/>
                <w:color w:val="auto"/>
                <w:spacing w:val="0"/>
                <w:sz w:val="24"/>
                <w:szCs w:val="24"/>
              </w:rPr>
              <w:t>m</w:t>
            </w:r>
            <w:r>
              <w:rPr>
                <w:rFonts w:hint="eastAsia" w:ascii="Times New Roman" w:hAnsi="Times New Roman" w:eastAsia="Times New Roman" w:cs="Times New Roman"/>
                <w:b w:val="0"/>
                <w:bCs w:val="0"/>
                <w:color w:val="auto"/>
                <w:spacing w:val="0"/>
                <w:sz w:val="24"/>
                <w:szCs w:val="24"/>
                <w:lang w:eastAsia="zh-CN"/>
              </w:rPr>
              <w:t>、</w:t>
            </w:r>
            <w:r>
              <w:rPr>
                <w:rFonts w:hint="eastAsia" w:ascii="Times New Roman" w:hAnsi="Times New Roman" w:eastAsia="Times New Roman" w:cs="Times New Roman"/>
                <w:b w:val="0"/>
                <w:bCs w:val="0"/>
                <w:color w:val="auto"/>
                <w:spacing w:val="0"/>
                <w:sz w:val="24"/>
                <w:szCs w:val="24"/>
                <w:lang w:val="en-US" w:eastAsia="zh-CN"/>
              </w:rPr>
              <w:t>105</w:t>
            </w:r>
            <w:r>
              <w:rPr>
                <w:rFonts w:hint="eastAsia" w:ascii="Times New Roman" w:hAnsi="Times New Roman" w:eastAsia="Times New Roman" w:cs="Times New Roman"/>
                <w:b w:val="0"/>
                <w:bCs w:val="0"/>
                <w:color w:val="auto"/>
                <w:spacing w:val="0"/>
                <w:sz w:val="24"/>
                <w:szCs w:val="24"/>
              </w:rPr>
              <w:t>m</w:t>
            </w:r>
            <w:r>
              <w:rPr>
                <w:rFonts w:hint="eastAsia" w:ascii="Times New Roman" w:hAnsi="Times New Roman" w:eastAsia="Times New Roman" w:cs="Times New Roman"/>
                <w:b w:val="0"/>
                <w:bCs w:val="0"/>
                <w:color w:val="auto"/>
                <w:spacing w:val="0"/>
                <w:sz w:val="24"/>
                <w:szCs w:val="24"/>
                <w:lang w:eastAsia="zh-CN"/>
              </w:rPr>
              <w:t>、</w:t>
            </w:r>
            <w:r>
              <w:rPr>
                <w:rFonts w:hint="eastAsia" w:ascii="Times New Roman" w:hAnsi="Times New Roman" w:eastAsia="Times New Roman" w:cs="Times New Roman"/>
                <w:b w:val="0"/>
                <w:bCs w:val="0"/>
                <w:color w:val="auto"/>
                <w:spacing w:val="0"/>
                <w:sz w:val="24"/>
                <w:szCs w:val="24"/>
                <w:lang w:val="en-US" w:eastAsia="zh-CN"/>
              </w:rPr>
              <w:t>1.704</w:t>
            </w:r>
            <w:r>
              <w:rPr>
                <w:rFonts w:hint="eastAsia" w:ascii="Times New Roman" w:hAnsi="Times New Roman" w:eastAsia="Times New Roman" w:cs="Times New Roman"/>
                <w:b w:val="0"/>
                <w:bCs w:val="0"/>
                <w:color w:val="auto"/>
                <w:spacing w:val="0"/>
                <w:sz w:val="24"/>
                <w:szCs w:val="24"/>
              </w:rPr>
              <w:t>m</w:t>
            </w:r>
            <w:r>
              <w:rPr>
                <w:rFonts w:hint="eastAsia" w:ascii="Times New Roman" w:hAnsi="Times New Roman" w:eastAsia="Times New Roman" w:cs="Times New Roman"/>
                <w:b w:val="0"/>
                <w:bCs w:val="0"/>
                <w:color w:val="auto"/>
                <w:spacing w:val="0"/>
                <w:sz w:val="24"/>
                <w:szCs w:val="24"/>
                <w:lang w:eastAsia="zh-CN"/>
              </w:rPr>
              <w:t>、</w:t>
            </w:r>
            <w:r>
              <w:rPr>
                <w:rFonts w:hint="eastAsia" w:ascii="Times New Roman" w:hAnsi="Times New Roman" w:eastAsia="Times New Roman" w:cs="Times New Roman"/>
                <w:b w:val="0"/>
                <w:bCs w:val="0"/>
                <w:color w:val="auto"/>
                <w:spacing w:val="0"/>
                <w:sz w:val="24"/>
                <w:szCs w:val="24"/>
                <w:lang w:val="en-US" w:eastAsia="zh-CN"/>
              </w:rPr>
              <w:t>8.75m、7.25</w:t>
            </w:r>
            <w:r>
              <w:rPr>
                <w:rFonts w:hint="eastAsia" w:ascii="Times New Roman" w:hAnsi="Times New Roman" w:eastAsia="Times New Roman" w:cs="Times New Roman"/>
                <w:b w:val="0"/>
                <w:bCs w:val="0"/>
                <w:color w:val="auto"/>
                <w:spacing w:val="0"/>
                <w:sz w:val="24"/>
                <w:szCs w:val="24"/>
              </w:rPr>
              <w:t>m。大坝坝顶高程</w:t>
            </w:r>
            <w:r>
              <w:rPr>
                <w:rFonts w:hint="eastAsia" w:ascii="Times New Roman" w:hAnsi="Times New Roman" w:eastAsia="Times New Roman" w:cs="Times New Roman"/>
                <w:b w:val="0"/>
                <w:bCs w:val="0"/>
                <w:color w:val="auto"/>
                <w:spacing w:val="0"/>
                <w:sz w:val="24"/>
                <w:szCs w:val="24"/>
                <w:lang w:val="en-US" w:eastAsia="zh-CN"/>
              </w:rPr>
              <w:t>372.4</w:t>
            </w:r>
            <w:r>
              <w:rPr>
                <w:rFonts w:hint="eastAsia" w:ascii="Times New Roman" w:hAnsi="Times New Roman" w:eastAsia="Times New Roman" w:cs="Times New Roman"/>
                <w:b w:val="0"/>
                <w:bCs w:val="0"/>
                <w:color w:val="auto"/>
                <w:spacing w:val="0"/>
                <w:sz w:val="24"/>
                <w:szCs w:val="24"/>
              </w:rPr>
              <w:t>m，最大坝高</w:t>
            </w:r>
            <w:r>
              <w:rPr>
                <w:rFonts w:hint="eastAsia" w:ascii="Times New Roman" w:hAnsi="Times New Roman" w:eastAsia="Times New Roman" w:cs="Times New Roman"/>
                <w:b w:val="0"/>
                <w:bCs w:val="0"/>
                <w:color w:val="auto"/>
                <w:spacing w:val="0"/>
                <w:sz w:val="24"/>
                <w:szCs w:val="24"/>
                <w:lang w:val="en-US" w:eastAsia="zh-CN"/>
              </w:rPr>
              <w:t>4.7</w:t>
            </w:r>
            <w:r>
              <w:rPr>
                <w:rFonts w:hint="eastAsia" w:ascii="Times New Roman" w:hAnsi="Times New Roman" w:eastAsia="Times New Roman" w:cs="Times New Roman"/>
                <w:b w:val="0"/>
                <w:bCs w:val="0"/>
                <w:color w:val="auto"/>
                <w:spacing w:val="0"/>
                <w:sz w:val="24"/>
                <w:szCs w:val="24"/>
              </w:rPr>
              <w:t>m，坝顶宽度</w:t>
            </w:r>
            <w:r>
              <w:rPr>
                <w:rFonts w:hint="eastAsia" w:ascii="Times New Roman" w:hAnsi="Times New Roman" w:eastAsia="Times New Roman" w:cs="Times New Roman"/>
                <w:b w:val="0"/>
                <w:bCs w:val="0"/>
                <w:color w:val="auto"/>
                <w:spacing w:val="0"/>
                <w:sz w:val="24"/>
                <w:szCs w:val="24"/>
                <w:lang w:val="en-US" w:eastAsia="zh-CN"/>
              </w:rPr>
              <w:t>不</w:t>
            </w:r>
            <w:r>
              <w:rPr>
                <w:rFonts w:hint="eastAsia" w:ascii="Times New Roman" w:hAnsi="Times New Roman" w:eastAsia="Times New Roman" w:cs="Times New Roman"/>
                <w:b w:val="0"/>
                <w:bCs w:val="0"/>
                <w:color w:val="auto"/>
                <w:spacing w:val="0"/>
                <w:sz w:val="24"/>
                <w:szCs w:val="24"/>
              </w:rPr>
              <w:t>考虑今后的交通要求，最大坝体底部宽度</w:t>
            </w:r>
            <w:r>
              <w:rPr>
                <w:rFonts w:hint="eastAsia" w:ascii="Times New Roman" w:hAnsi="Times New Roman" w:eastAsia="Times New Roman" w:cs="Times New Roman"/>
                <w:b w:val="0"/>
                <w:bCs w:val="0"/>
                <w:color w:val="auto"/>
                <w:spacing w:val="0"/>
                <w:sz w:val="24"/>
                <w:szCs w:val="24"/>
                <w:lang w:val="en-US" w:eastAsia="zh-CN"/>
              </w:rPr>
              <w:t>9.5</w:t>
            </w:r>
            <w:r>
              <w:rPr>
                <w:rFonts w:hint="eastAsia" w:ascii="Times New Roman" w:hAnsi="Times New Roman" w:eastAsia="Times New Roman" w:cs="Times New Roman"/>
                <w:b w:val="0"/>
                <w:bCs w:val="0"/>
                <w:color w:val="auto"/>
                <w:spacing w:val="0"/>
                <w:sz w:val="24"/>
                <w:szCs w:val="24"/>
              </w:rPr>
              <w:t>m。</w:t>
            </w:r>
          </w:p>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360" w:lineRule="auto"/>
              <w:ind w:left="0" w:leftChars="0" w:right="0" w:firstLine="480" w:firstLineChars="200"/>
              <w:textAlignment w:val="baseline"/>
              <w:rPr>
                <w:rFonts w:hint="eastAsia" w:ascii="Times New Roman" w:hAnsi="Times New Roman" w:eastAsia="Times New Roman" w:cs="Times New Roman"/>
                <w:b w:val="0"/>
                <w:bCs w:val="0"/>
                <w:color w:val="auto"/>
                <w:spacing w:val="0"/>
                <w:sz w:val="24"/>
                <w:szCs w:val="24"/>
                <w:lang w:eastAsia="zh-CN"/>
              </w:rPr>
            </w:pPr>
            <w:r>
              <w:rPr>
                <w:rFonts w:hint="eastAsia" w:ascii="Times New Roman" w:hAnsi="Times New Roman" w:eastAsia="Times New Roman" w:cs="Times New Roman"/>
                <w:b w:val="0"/>
                <w:bCs w:val="0"/>
                <w:color w:val="auto"/>
                <w:spacing w:val="0"/>
                <w:sz w:val="24"/>
                <w:szCs w:val="24"/>
                <w:lang w:val="en-US" w:eastAsia="zh-CN"/>
              </w:rPr>
              <w:t>左</w:t>
            </w:r>
            <w:r>
              <w:rPr>
                <w:rFonts w:hint="eastAsia" w:ascii="Times New Roman" w:hAnsi="Times New Roman" w:eastAsia="Times New Roman" w:cs="Times New Roman"/>
                <w:b w:val="0"/>
                <w:bCs w:val="0"/>
                <w:color w:val="auto"/>
                <w:spacing w:val="0"/>
                <w:sz w:val="24"/>
                <w:szCs w:val="24"/>
              </w:rPr>
              <w:t>岸坝段桩号0+000.00～0+0</w:t>
            </w:r>
            <w:r>
              <w:rPr>
                <w:rFonts w:hint="eastAsia" w:ascii="Times New Roman" w:hAnsi="Times New Roman" w:eastAsia="Times New Roman" w:cs="Times New Roman"/>
                <w:b w:val="0"/>
                <w:bCs w:val="0"/>
                <w:color w:val="auto"/>
                <w:spacing w:val="0"/>
                <w:sz w:val="24"/>
                <w:szCs w:val="24"/>
                <w:lang w:val="en-US" w:eastAsia="zh-CN"/>
              </w:rPr>
              <w:t>08.125</w:t>
            </w:r>
            <w:r>
              <w:rPr>
                <w:rFonts w:hint="eastAsia" w:ascii="Times New Roman" w:hAnsi="Times New Roman" w:eastAsia="Times New Roman" w:cs="Times New Roman"/>
                <w:b w:val="0"/>
                <w:bCs w:val="0"/>
                <w:color w:val="auto"/>
                <w:spacing w:val="0"/>
                <w:sz w:val="24"/>
                <w:szCs w:val="24"/>
              </w:rPr>
              <w:t>m，坝顶长</w:t>
            </w:r>
            <w:r>
              <w:rPr>
                <w:rFonts w:hint="eastAsia" w:ascii="Times New Roman" w:hAnsi="Times New Roman" w:eastAsia="Times New Roman" w:cs="Times New Roman"/>
                <w:b w:val="0"/>
                <w:bCs w:val="0"/>
                <w:color w:val="auto"/>
                <w:spacing w:val="0"/>
                <w:sz w:val="24"/>
                <w:szCs w:val="24"/>
                <w:lang w:val="en-US" w:eastAsia="zh-CN"/>
              </w:rPr>
              <w:t>8.125</w:t>
            </w:r>
            <w:r>
              <w:rPr>
                <w:rFonts w:hint="eastAsia" w:ascii="Times New Roman" w:hAnsi="Times New Roman" w:eastAsia="Times New Roman" w:cs="Times New Roman"/>
                <w:b w:val="0"/>
                <w:bCs w:val="0"/>
                <w:color w:val="auto"/>
                <w:spacing w:val="0"/>
                <w:sz w:val="24"/>
                <w:szCs w:val="24"/>
              </w:rPr>
              <w:t>m；</w:t>
            </w:r>
            <w:r>
              <w:rPr>
                <w:rFonts w:hint="eastAsia" w:ascii="Times New Roman" w:hAnsi="Times New Roman" w:eastAsia="Times New Roman" w:cs="Times New Roman"/>
                <w:b w:val="0"/>
                <w:bCs w:val="0"/>
                <w:color w:val="auto"/>
                <w:spacing w:val="0"/>
                <w:sz w:val="24"/>
                <w:szCs w:val="24"/>
                <w:lang w:val="en-US" w:eastAsia="zh-CN"/>
              </w:rPr>
              <w:t>中部泄洪坝段</w:t>
            </w:r>
            <w:r>
              <w:rPr>
                <w:rFonts w:hint="eastAsia" w:ascii="Times New Roman" w:hAnsi="Times New Roman" w:eastAsia="Times New Roman" w:cs="Times New Roman"/>
                <w:b w:val="0"/>
                <w:bCs w:val="0"/>
                <w:color w:val="auto"/>
                <w:spacing w:val="0"/>
                <w:sz w:val="24"/>
                <w:szCs w:val="24"/>
              </w:rPr>
              <w:t>桩号0+0</w:t>
            </w:r>
            <w:r>
              <w:rPr>
                <w:rFonts w:hint="eastAsia" w:ascii="Times New Roman" w:hAnsi="Times New Roman" w:eastAsia="Times New Roman" w:cs="Times New Roman"/>
                <w:b w:val="0"/>
                <w:bCs w:val="0"/>
                <w:color w:val="auto"/>
                <w:spacing w:val="0"/>
                <w:sz w:val="24"/>
                <w:szCs w:val="24"/>
                <w:lang w:val="en-US" w:eastAsia="zh-CN"/>
              </w:rPr>
              <w:t>08.125</w:t>
            </w:r>
            <w:r>
              <w:rPr>
                <w:rFonts w:hint="eastAsia" w:ascii="Times New Roman" w:hAnsi="Times New Roman" w:eastAsia="Times New Roman" w:cs="Times New Roman"/>
                <w:b w:val="0"/>
                <w:bCs w:val="0"/>
                <w:color w:val="auto"/>
                <w:spacing w:val="0"/>
                <w:sz w:val="24"/>
                <w:szCs w:val="24"/>
              </w:rPr>
              <w:t>～0+</w:t>
            </w:r>
            <w:r>
              <w:rPr>
                <w:rFonts w:hint="eastAsia" w:ascii="Times New Roman" w:hAnsi="Times New Roman" w:eastAsia="Times New Roman" w:cs="Times New Roman"/>
                <w:b w:val="0"/>
                <w:bCs w:val="0"/>
                <w:color w:val="auto"/>
                <w:spacing w:val="0"/>
                <w:sz w:val="24"/>
                <w:szCs w:val="24"/>
                <w:lang w:val="en-US" w:eastAsia="zh-CN"/>
              </w:rPr>
              <w:t>113.125</w:t>
            </w:r>
            <w:r>
              <w:rPr>
                <w:rFonts w:hint="eastAsia" w:ascii="Times New Roman" w:hAnsi="Times New Roman" w:eastAsia="Times New Roman" w:cs="Times New Roman"/>
                <w:b w:val="0"/>
                <w:bCs w:val="0"/>
                <w:color w:val="auto"/>
                <w:spacing w:val="0"/>
                <w:sz w:val="24"/>
                <w:szCs w:val="24"/>
              </w:rPr>
              <w:t>m，</w:t>
            </w:r>
            <w:r>
              <w:rPr>
                <w:rFonts w:hint="eastAsia" w:ascii="Times New Roman" w:hAnsi="Times New Roman" w:eastAsia="Times New Roman" w:cs="Times New Roman"/>
                <w:b w:val="0"/>
                <w:bCs w:val="0"/>
                <w:color w:val="auto"/>
                <w:spacing w:val="0"/>
                <w:sz w:val="24"/>
                <w:szCs w:val="24"/>
                <w:lang w:val="en-US" w:eastAsia="zh-CN"/>
              </w:rPr>
              <w:t>长度105</w:t>
            </w:r>
            <w:r>
              <w:rPr>
                <w:rFonts w:hint="eastAsia" w:ascii="Times New Roman" w:hAnsi="Times New Roman" w:eastAsia="Times New Roman" w:cs="Times New Roman"/>
                <w:b w:val="0"/>
                <w:bCs w:val="0"/>
                <w:color w:val="auto"/>
                <w:spacing w:val="0"/>
                <w:sz w:val="24"/>
                <w:szCs w:val="24"/>
              </w:rPr>
              <w:t>m；</w:t>
            </w:r>
            <w:r>
              <w:rPr>
                <w:rFonts w:hint="eastAsia" w:ascii="Times New Roman" w:hAnsi="Times New Roman" w:eastAsia="Times New Roman" w:cs="Times New Roman"/>
                <w:b w:val="0"/>
                <w:bCs w:val="0"/>
                <w:color w:val="auto"/>
                <w:spacing w:val="0"/>
                <w:sz w:val="24"/>
                <w:szCs w:val="24"/>
                <w:lang w:val="en-US" w:eastAsia="zh-CN"/>
              </w:rPr>
              <w:t>右</w:t>
            </w:r>
            <w:r>
              <w:rPr>
                <w:rFonts w:hint="eastAsia" w:ascii="Times New Roman" w:hAnsi="Times New Roman" w:eastAsia="Times New Roman" w:cs="Times New Roman"/>
                <w:b w:val="0"/>
                <w:bCs w:val="0"/>
                <w:color w:val="auto"/>
                <w:spacing w:val="0"/>
                <w:sz w:val="24"/>
                <w:szCs w:val="24"/>
              </w:rPr>
              <w:t>岸坝段桩号0+</w:t>
            </w:r>
            <w:r>
              <w:rPr>
                <w:rFonts w:hint="eastAsia" w:ascii="Times New Roman" w:hAnsi="Times New Roman" w:eastAsia="Times New Roman" w:cs="Times New Roman"/>
                <w:b w:val="0"/>
                <w:bCs w:val="0"/>
                <w:color w:val="auto"/>
                <w:spacing w:val="0"/>
                <w:sz w:val="24"/>
                <w:szCs w:val="24"/>
                <w:lang w:val="en-US" w:eastAsia="zh-CN"/>
              </w:rPr>
              <w:t>113.125</w:t>
            </w:r>
            <w:r>
              <w:rPr>
                <w:rFonts w:hint="eastAsia" w:ascii="Times New Roman" w:hAnsi="Times New Roman" w:eastAsia="Times New Roman" w:cs="Times New Roman"/>
                <w:b w:val="0"/>
                <w:bCs w:val="0"/>
                <w:color w:val="auto"/>
                <w:spacing w:val="0"/>
                <w:sz w:val="24"/>
                <w:szCs w:val="24"/>
              </w:rPr>
              <w:t>～0+</w:t>
            </w:r>
            <w:r>
              <w:rPr>
                <w:rFonts w:hint="eastAsia" w:ascii="Times New Roman" w:hAnsi="Times New Roman" w:eastAsia="Times New Roman" w:cs="Times New Roman"/>
                <w:b w:val="0"/>
                <w:bCs w:val="0"/>
                <w:color w:val="auto"/>
                <w:spacing w:val="0"/>
                <w:sz w:val="24"/>
                <w:szCs w:val="24"/>
                <w:lang w:val="en-US" w:eastAsia="zh-CN"/>
              </w:rPr>
              <w:t>114.829</w:t>
            </w:r>
            <w:r>
              <w:rPr>
                <w:rFonts w:hint="eastAsia" w:ascii="Times New Roman" w:hAnsi="Times New Roman" w:eastAsia="Times New Roman" w:cs="Times New Roman"/>
                <w:b w:val="0"/>
                <w:bCs w:val="0"/>
                <w:color w:val="auto"/>
                <w:spacing w:val="0"/>
                <w:sz w:val="24"/>
                <w:szCs w:val="24"/>
              </w:rPr>
              <w:t>m，长</w:t>
            </w:r>
            <w:r>
              <w:rPr>
                <w:rFonts w:hint="eastAsia" w:ascii="Times New Roman" w:hAnsi="Times New Roman" w:eastAsia="Times New Roman" w:cs="Times New Roman"/>
                <w:b w:val="0"/>
                <w:bCs w:val="0"/>
                <w:color w:val="auto"/>
                <w:spacing w:val="0"/>
                <w:sz w:val="24"/>
                <w:szCs w:val="24"/>
                <w:lang w:val="en-US" w:eastAsia="zh-CN"/>
              </w:rPr>
              <w:t>度1.704</w:t>
            </w:r>
            <w:r>
              <w:rPr>
                <w:rFonts w:hint="eastAsia" w:ascii="Times New Roman" w:hAnsi="Times New Roman" w:eastAsia="Times New Roman" w:cs="Times New Roman"/>
                <w:b w:val="0"/>
                <w:bCs w:val="0"/>
                <w:color w:val="auto"/>
                <w:spacing w:val="0"/>
                <w:sz w:val="24"/>
                <w:szCs w:val="24"/>
              </w:rPr>
              <w:t>m，</w:t>
            </w:r>
            <w:r>
              <w:rPr>
                <w:rFonts w:hint="eastAsia" w:ascii="Times New Roman" w:hAnsi="Times New Roman" w:eastAsia="Times New Roman" w:cs="Times New Roman"/>
                <w:b w:val="0"/>
                <w:bCs w:val="0"/>
                <w:color w:val="auto"/>
                <w:spacing w:val="0"/>
                <w:sz w:val="24"/>
                <w:szCs w:val="24"/>
                <w:lang w:val="en-US" w:eastAsia="zh-CN"/>
              </w:rPr>
              <w:t>为闸墩，右</w:t>
            </w:r>
            <w:r>
              <w:rPr>
                <w:rFonts w:hint="eastAsia" w:ascii="Times New Roman" w:hAnsi="Times New Roman" w:eastAsia="Times New Roman" w:cs="Times New Roman"/>
                <w:b w:val="0"/>
                <w:bCs w:val="0"/>
                <w:color w:val="auto"/>
                <w:spacing w:val="0"/>
                <w:sz w:val="24"/>
                <w:szCs w:val="24"/>
              </w:rPr>
              <w:t>岸坝段桩号0+</w:t>
            </w:r>
            <w:r>
              <w:rPr>
                <w:rFonts w:hint="eastAsia" w:ascii="Times New Roman" w:hAnsi="Times New Roman" w:eastAsia="Times New Roman" w:cs="Times New Roman"/>
                <w:b w:val="0"/>
                <w:bCs w:val="0"/>
                <w:color w:val="auto"/>
                <w:spacing w:val="0"/>
                <w:sz w:val="24"/>
                <w:szCs w:val="24"/>
                <w:lang w:val="en-US" w:eastAsia="zh-CN"/>
              </w:rPr>
              <w:t>114.829</w:t>
            </w:r>
            <w:r>
              <w:rPr>
                <w:rFonts w:hint="eastAsia" w:ascii="Times New Roman" w:hAnsi="Times New Roman" w:eastAsia="Times New Roman" w:cs="Times New Roman"/>
                <w:b w:val="0"/>
                <w:bCs w:val="0"/>
                <w:color w:val="auto"/>
                <w:spacing w:val="0"/>
                <w:sz w:val="24"/>
                <w:szCs w:val="24"/>
              </w:rPr>
              <w:t>～0+</w:t>
            </w:r>
            <w:r>
              <w:rPr>
                <w:rFonts w:hint="eastAsia" w:ascii="Times New Roman" w:hAnsi="Times New Roman" w:eastAsia="Times New Roman" w:cs="Times New Roman"/>
                <w:b w:val="0"/>
                <w:bCs w:val="0"/>
                <w:color w:val="auto"/>
                <w:spacing w:val="0"/>
                <w:sz w:val="24"/>
                <w:szCs w:val="24"/>
                <w:lang w:val="en-US" w:eastAsia="zh-CN"/>
              </w:rPr>
              <w:t>123.579</w:t>
            </w:r>
            <w:r>
              <w:rPr>
                <w:rFonts w:hint="eastAsia" w:ascii="Times New Roman" w:hAnsi="Times New Roman" w:eastAsia="Times New Roman" w:cs="Times New Roman"/>
                <w:b w:val="0"/>
                <w:bCs w:val="0"/>
                <w:color w:val="auto"/>
                <w:spacing w:val="0"/>
                <w:sz w:val="24"/>
                <w:szCs w:val="24"/>
              </w:rPr>
              <w:t>m，长</w:t>
            </w:r>
            <w:r>
              <w:rPr>
                <w:rFonts w:hint="eastAsia" w:ascii="Times New Roman" w:hAnsi="Times New Roman" w:eastAsia="Times New Roman" w:cs="Times New Roman"/>
                <w:b w:val="0"/>
                <w:bCs w:val="0"/>
                <w:color w:val="auto"/>
                <w:spacing w:val="0"/>
                <w:sz w:val="24"/>
                <w:szCs w:val="24"/>
                <w:lang w:val="en-US" w:eastAsia="zh-CN"/>
              </w:rPr>
              <w:t>度8.75</w:t>
            </w:r>
            <w:r>
              <w:rPr>
                <w:rFonts w:hint="eastAsia" w:ascii="Times New Roman" w:hAnsi="Times New Roman" w:eastAsia="Times New Roman" w:cs="Times New Roman"/>
                <w:b w:val="0"/>
                <w:bCs w:val="0"/>
                <w:color w:val="auto"/>
                <w:spacing w:val="0"/>
                <w:sz w:val="24"/>
                <w:szCs w:val="24"/>
              </w:rPr>
              <w:t>m，</w:t>
            </w:r>
            <w:r>
              <w:rPr>
                <w:rFonts w:hint="eastAsia" w:ascii="Times New Roman" w:hAnsi="Times New Roman" w:eastAsia="Times New Roman" w:cs="Times New Roman"/>
                <w:b w:val="0"/>
                <w:bCs w:val="0"/>
                <w:color w:val="auto"/>
                <w:spacing w:val="0"/>
                <w:sz w:val="24"/>
                <w:szCs w:val="24"/>
                <w:lang w:val="en-US" w:eastAsia="zh-CN"/>
              </w:rPr>
              <w:t>为右岸取水口，右</w:t>
            </w:r>
            <w:r>
              <w:rPr>
                <w:rFonts w:hint="eastAsia" w:ascii="Times New Roman" w:hAnsi="Times New Roman" w:eastAsia="Times New Roman" w:cs="Times New Roman"/>
                <w:b w:val="0"/>
                <w:bCs w:val="0"/>
                <w:color w:val="auto"/>
                <w:spacing w:val="0"/>
                <w:sz w:val="24"/>
                <w:szCs w:val="24"/>
              </w:rPr>
              <w:t>岸坝段桩号0+</w:t>
            </w:r>
            <w:r>
              <w:rPr>
                <w:rFonts w:hint="eastAsia" w:ascii="Times New Roman" w:hAnsi="Times New Roman" w:eastAsia="Times New Roman" w:cs="Times New Roman"/>
                <w:b w:val="0"/>
                <w:bCs w:val="0"/>
                <w:color w:val="auto"/>
                <w:spacing w:val="0"/>
                <w:sz w:val="24"/>
                <w:szCs w:val="24"/>
                <w:lang w:val="en-US" w:eastAsia="zh-CN"/>
              </w:rPr>
              <w:t>123.579</w:t>
            </w:r>
            <w:r>
              <w:rPr>
                <w:rFonts w:hint="eastAsia" w:ascii="Times New Roman" w:hAnsi="Times New Roman" w:eastAsia="Times New Roman" w:cs="Times New Roman"/>
                <w:b w:val="0"/>
                <w:bCs w:val="0"/>
                <w:color w:val="auto"/>
                <w:spacing w:val="0"/>
                <w:sz w:val="24"/>
                <w:szCs w:val="24"/>
              </w:rPr>
              <w:t>～0+</w:t>
            </w:r>
            <w:r>
              <w:rPr>
                <w:rFonts w:hint="eastAsia" w:ascii="Times New Roman" w:hAnsi="Times New Roman" w:eastAsia="Times New Roman" w:cs="Times New Roman"/>
                <w:b w:val="0"/>
                <w:bCs w:val="0"/>
                <w:color w:val="auto"/>
                <w:spacing w:val="0"/>
                <w:sz w:val="24"/>
                <w:szCs w:val="24"/>
                <w:lang w:val="en-US" w:eastAsia="zh-CN"/>
              </w:rPr>
              <w:t>130.828</w:t>
            </w:r>
            <w:r>
              <w:rPr>
                <w:rFonts w:hint="eastAsia" w:ascii="Times New Roman" w:hAnsi="Times New Roman" w:eastAsia="Times New Roman" w:cs="Times New Roman"/>
                <w:b w:val="0"/>
                <w:bCs w:val="0"/>
                <w:color w:val="auto"/>
                <w:spacing w:val="0"/>
                <w:sz w:val="24"/>
                <w:szCs w:val="24"/>
              </w:rPr>
              <w:t>m，坝顶长</w:t>
            </w:r>
            <w:r>
              <w:rPr>
                <w:rFonts w:hint="eastAsia" w:ascii="Times New Roman" w:hAnsi="Times New Roman" w:eastAsia="Times New Roman" w:cs="Times New Roman"/>
                <w:b w:val="0"/>
                <w:bCs w:val="0"/>
                <w:color w:val="auto"/>
                <w:spacing w:val="0"/>
                <w:sz w:val="24"/>
                <w:szCs w:val="24"/>
                <w:lang w:val="en-US" w:eastAsia="zh-CN"/>
              </w:rPr>
              <w:t>7.25</w:t>
            </w:r>
            <w:r>
              <w:rPr>
                <w:rFonts w:hint="eastAsia" w:ascii="Times New Roman" w:hAnsi="Times New Roman" w:eastAsia="Times New Roman" w:cs="Times New Roman"/>
                <w:b w:val="0"/>
                <w:bCs w:val="0"/>
                <w:color w:val="auto"/>
                <w:spacing w:val="0"/>
                <w:sz w:val="24"/>
                <w:szCs w:val="24"/>
              </w:rPr>
              <w:t>m，坝体采用C</w:t>
            </w:r>
            <w:r>
              <w:rPr>
                <w:rFonts w:hint="eastAsia" w:ascii="Times New Roman" w:hAnsi="Times New Roman" w:eastAsia="Times New Roman" w:cs="Times New Roman"/>
                <w:b w:val="0"/>
                <w:bCs w:val="0"/>
                <w:color w:val="auto"/>
                <w:spacing w:val="0"/>
                <w:sz w:val="24"/>
                <w:szCs w:val="24"/>
                <w:lang w:val="en-US" w:eastAsia="zh-CN"/>
              </w:rPr>
              <w:t>25</w:t>
            </w:r>
            <w:r>
              <w:rPr>
                <w:rFonts w:hint="eastAsia" w:ascii="Times New Roman" w:hAnsi="Times New Roman" w:eastAsia="Times New Roman" w:cs="Times New Roman"/>
                <w:b w:val="0"/>
                <w:bCs w:val="0"/>
                <w:color w:val="auto"/>
                <w:spacing w:val="0"/>
                <w:sz w:val="24"/>
                <w:szCs w:val="24"/>
              </w:rPr>
              <w:t>砼进行浇筑</w:t>
            </w:r>
            <w:r>
              <w:rPr>
                <w:rFonts w:hint="eastAsia" w:ascii="Times New Roman" w:hAnsi="Times New Roman" w:eastAsia="Times New Roman" w:cs="Times New Roman"/>
                <w:b w:val="0"/>
                <w:bCs w:val="0"/>
                <w:color w:val="auto"/>
                <w:spacing w:val="0"/>
                <w:sz w:val="24"/>
                <w:szCs w:val="24"/>
                <w:lang w:eastAsia="zh-CN"/>
              </w:rPr>
              <w:t>，</w:t>
            </w:r>
            <w:r>
              <w:rPr>
                <w:rFonts w:hint="eastAsia" w:ascii="Times New Roman" w:hAnsi="Times New Roman" w:eastAsia="Times New Roman" w:cs="Times New Roman"/>
                <w:b w:val="0"/>
                <w:bCs w:val="0"/>
                <w:color w:val="auto"/>
                <w:spacing w:val="0"/>
                <w:sz w:val="24"/>
                <w:szCs w:val="24"/>
                <w:lang w:val="en-US" w:eastAsia="zh-CN"/>
              </w:rPr>
              <w:t>面层70cm采用</w:t>
            </w:r>
            <w:r>
              <w:rPr>
                <w:rFonts w:hint="eastAsia" w:ascii="Times New Roman" w:hAnsi="Times New Roman" w:eastAsia="Times New Roman" w:cs="Times New Roman"/>
                <w:b w:val="0"/>
                <w:bCs w:val="0"/>
                <w:color w:val="auto"/>
                <w:spacing w:val="0"/>
                <w:sz w:val="24"/>
                <w:szCs w:val="24"/>
              </w:rPr>
              <w:t>C40钢筋HF砼浇筑</w:t>
            </w:r>
            <w:r>
              <w:rPr>
                <w:rFonts w:hint="eastAsia" w:ascii="Times New Roman" w:hAnsi="Times New Roman" w:eastAsia="Times New Roman" w:cs="Times New Roman"/>
                <w:b w:val="0"/>
                <w:bCs w:val="0"/>
                <w:color w:val="auto"/>
                <w:spacing w:val="0"/>
                <w:sz w:val="24"/>
                <w:szCs w:val="24"/>
                <w:lang w:eastAsia="zh-CN"/>
              </w:rPr>
              <w:t>，</w:t>
            </w:r>
            <w:r>
              <w:rPr>
                <w:rFonts w:hint="eastAsia" w:ascii="Times New Roman" w:hAnsi="Times New Roman" w:eastAsia="Times New Roman" w:cs="Times New Roman"/>
                <w:b w:val="0"/>
                <w:bCs w:val="0"/>
                <w:color w:val="auto"/>
                <w:spacing w:val="0"/>
                <w:sz w:val="24"/>
                <w:szCs w:val="24"/>
                <w:lang w:val="en-US" w:eastAsia="zh-CN"/>
              </w:rPr>
              <w:t>大坝宽度9.5m，泄洪坝段长105m，溢流面顶高程（闸坝完全倒伏高程）为370.70m，坝基高程为367.70m，上下游均为直立墙面</w:t>
            </w:r>
            <w:r>
              <w:rPr>
                <w:rFonts w:hint="eastAsia" w:ascii="Times New Roman" w:hAnsi="Times New Roman" w:eastAsia="Times New Roman" w:cs="Times New Roman"/>
                <w:b w:val="0"/>
                <w:bCs w:val="0"/>
                <w:color w:val="auto"/>
                <w:spacing w:val="0"/>
                <w:sz w:val="24"/>
                <w:szCs w:val="24"/>
              </w:rPr>
              <w:t>。坝体建基面置于</w:t>
            </w:r>
            <w:r>
              <w:rPr>
                <w:rFonts w:hint="eastAsia" w:ascii="Times New Roman" w:hAnsi="Times New Roman" w:eastAsia="Times New Roman" w:cs="Times New Roman"/>
                <w:b w:val="0"/>
                <w:bCs w:val="0"/>
                <w:color w:val="auto"/>
                <w:spacing w:val="0"/>
                <w:sz w:val="24"/>
                <w:szCs w:val="24"/>
                <w:lang w:val="en-US" w:eastAsia="zh-CN"/>
              </w:rPr>
              <w:t>中密砂卵石层</w:t>
            </w:r>
            <w:r>
              <w:rPr>
                <w:rFonts w:hint="eastAsia" w:ascii="Times New Roman" w:hAnsi="Times New Roman" w:eastAsia="Times New Roman" w:cs="Times New Roman"/>
                <w:b w:val="0"/>
                <w:bCs w:val="0"/>
                <w:color w:val="auto"/>
                <w:spacing w:val="0"/>
                <w:sz w:val="24"/>
                <w:szCs w:val="24"/>
              </w:rPr>
              <w:t>上，左岸坝</w:t>
            </w:r>
            <w:r>
              <w:rPr>
                <w:rFonts w:hint="eastAsia" w:ascii="Times New Roman" w:hAnsi="Times New Roman" w:eastAsia="Times New Roman" w:cs="Times New Roman"/>
                <w:b w:val="0"/>
                <w:bCs w:val="0"/>
                <w:color w:val="auto"/>
                <w:spacing w:val="0"/>
                <w:sz w:val="24"/>
                <w:szCs w:val="24"/>
                <w:lang w:val="en-US" w:eastAsia="zh-CN"/>
              </w:rPr>
              <w:t>段</w:t>
            </w:r>
            <w:r>
              <w:rPr>
                <w:rFonts w:hint="eastAsia" w:ascii="Times New Roman" w:hAnsi="Times New Roman" w:eastAsia="Times New Roman" w:cs="Times New Roman"/>
                <w:b w:val="0"/>
                <w:bCs w:val="0"/>
                <w:color w:val="auto"/>
                <w:spacing w:val="0"/>
                <w:sz w:val="24"/>
                <w:szCs w:val="24"/>
              </w:rPr>
              <w:t>建基面高程36</w:t>
            </w:r>
            <w:r>
              <w:rPr>
                <w:rFonts w:hint="eastAsia" w:ascii="Times New Roman" w:hAnsi="Times New Roman" w:eastAsia="Times New Roman" w:cs="Times New Roman"/>
                <w:b w:val="0"/>
                <w:bCs w:val="0"/>
                <w:color w:val="auto"/>
                <w:spacing w:val="0"/>
                <w:sz w:val="24"/>
                <w:szCs w:val="24"/>
                <w:lang w:val="en-US" w:eastAsia="zh-CN"/>
              </w:rPr>
              <w:t>6.4m</w:t>
            </w:r>
            <w:r>
              <w:rPr>
                <w:rFonts w:hint="eastAsia" w:ascii="Times New Roman" w:hAnsi="Times New Roman" w:eastAsia="Times New Roman" w:cs="Times New Roman"/>
                <w:b w:val="0"/>
                <w:bCs w:val="0"/>
                <w:color w:val="auto"/>
                <w:spacing w:val="0"/>
                <w:sz w:val="24"/>
                <w:szCs w:val="24"/>
              </w:rPr>
              <w:t>～37</w:t>
            </w:r>
            <w:r>
              <w:rPr>
                <w:rFonts w:hint="eastAsia" w:ascii="Times New Roman" w:hAnsi="Times New Roman" w:eastAsia="Times New Roman" w:cs="Times New Roman"/>
                <w:b w:val="0"/>
                <w:bCs w:val="0"/>
                <w:color w:val="auto"/>
                <w:spacing w:val="0"/>
                <w:sz w:val="24"/>
                <w:szCs w:val="24"/>
                <w:lang w:val="en-US" w:eastAsia="zh-CN"/>
              </w:rPr>
              <w:t>2.15m</w:t>
            </w:r>
            <w:r>
              <w:rPr>
                <w:rFonts w:hint="eastAsia" w:ascii="Times New Roman" w:hAnsi="Times New Roman" w:eastAsia="Times New Roman" w:cs="Times New Roman"/>
                <w:b w:val="0"/>
                <w:bCs w:val="0"/>
                <w:color w:val="auto"/>
                <w:spacing w:val="0"/>
                <w:sz w:val="24"/>
                <w:szCs w:val="24"/>
                <w:lang w:eastAsia="zh-CN"/>
              </w:rPr>
              <w:t>，</w:t>
            </w:r>
            <w:r>
              <w:rPr>
                <w:rFonts w:hint="eastAsia" w:ascii="Times New Roman" w:hAnsi="Times New Roman" w:eastAsia="Times New Roman" w:cs="Times New Roman"/>
                <w:b w:val="0"/>
                <w:bCs w:val="0"/>
                <w:color w:val="auto"/>
                <w:spacing w:val="0"/>
                <w:sz w:val="24"/>
                <w:szCs w:val="24"/>
              </w:rPr>
              <w:t>右岸坝段建基面高程36</w:t>
            </w:r>
            <w:r>
              <w:rPr>
                <w:rFonts w:hint="eastAsia" w:ascii="Times New Roman" w:hAnsi="Times New Roman" w:eastAsia="Times New Roman" w:cs="Times New Roman"/>
                <w:b w:val="0"/>
                <w:bCs w:val="0"/>
                <w:color w:val="auto"/>
                <w:spacing w:val="0"/>
                <w:sz w:val="24"/>
                <w:szCs w:val="24"/>
                <w:lang w:val="en-US" w:eastAsia="zh-CN"/>
              </w:rPr>
              <w:t>6.4m</w:t>
            </w:r>
            <w:r>
              <w:rPr>
                <w:rFonts w:hint="eastAsia" w:ascii="Times New Roman" w:hAnsi="Times New Roman" w:eastAsia="Times New Roman" w:cs="Times New Roman"/>
                <w:b w:val="0"/>
                <w:bCs w:val="0"/>
                <w:color w:val="auto"/>
                <w:spacing w:val="0"/>
                <w:sz w:val="24"/>
                <w:szCs w:val="24"/>
              </w:rPr>
              <w:t>～37</w:t>
            </w:r>
            <w:r>
              <w:rPr>
                <w:rFonts w:hint="eastAsia" w:ascii="Times New Roman" w:hAnsi="Times New Roman" w:eastAsia="Times New Roman" w:cs="Times New Roman"/>
                <w:b w:val="0"/>
                <w:bCs w:val="0"/>
                <w:color w:val="auto"/>
                <w:spacing w:val="0"/>
                <w:sz w:val="24"/>
                <w:szCs w:val="24"/>
                <w:lang w:val="en-US" w:eastAsia="zh-CN"/>
              </w:rPr>
              <w:t>2.15m</w:t>
            </w:r>
            <w:r>
              <w:rPr>
                <w:rFonts w:hint="eastAsia" w:ascii="Times New Roman" w:hAnsi="Times New Roman" w:eastAsia="Times New Roman" w:cs="Times New Roman"/>
                <w:b w:val="0"/>
                <w:bCs w:val="0"/>
                <w:color w:val="auto"/>
                <w:spacing w:val="0"/>
                <w:sz w:val="24"/>
                <w:szCs w:val="24"/>
                <w:lang w:eastAsia="zh-CN"/>
              </w:rPr>
              <w:t>。</w:t>
            </w:r>
          </w:p>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360" w:lineRule="auto"/>
              <w:ind w:left="0" w:leftChars="0" w:right="0" w:firstLine="480" w:firstLineChars="200"/>
              <w:textAlignment w:val="baseline"/>
              <w:rPr>
                <w:rFonts w:hint="eastAsia" w:ascii="Times New Roman" w:hAnsi="Times New Roman" w:eastAsia="Times New Roman" w:cs="Times New Roman"/>
                <w:b w:val="0"/>
                <w:bCs w:val="0"/>
                <w:color w:val="auto"/>
                <w:spacing w:val="0"/>
                <w:sz w:val="24"/>
                <w:szCs w:val="24"/>
                <w:lang w:val="en-US" w:eastAsia="zh-CN"/>
              </w:rPr>
            </w:pPr>
            <w:r>
              <w:rPr>
                <w:rFonts w:hint="eastAsia" w:ascii="Times New Roman" w:hAnsi="Times New Roman" w:eastAsia="Times New Roman" w:cs="Times New Roman"/>
                <w:b w:val="0"/>
                <w:bCs w:val="0"/>
                <w:color w:val="auto"/>
                <w:spacing w:val="0"/>
                <w:sz w:val="24"/>
                <w:szCs w:val="24"/>
                <w:lang w:val="en-US" w:eastAsia="zh-CN"/>
              </w:rPr>
              <w:t>安福堰原堰顶高程为370.8m，由于年久失修改，冲毁严重，枯期难以达到取消要求，导致每年都要进行修护加固，增加工程安全隐患。为了不影响行洪安全，本次降低洪水期溢流坝面高程（提高洪水期行洪能力），加设枯水期可以升降的气盾坝，增设气盾坝不但可以满足安福堰枯期取水需要，同时也满足了苏稽古镇景观水域提升，最终确定溢流坝面为370.7m，气盾坝升起高度1m，即盾板溢流高程371.7m。</w:t>
            </w:r>
          </w:p>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360" w:lineRule="auto"/>
              <w:ind w:left="0" w:leftChars="0" w:right="0" w:firstLine="480" w:firstLineChars="200"/>
              <w:textAlignment w:val="baseline"/>
              <w:rPr>
                <w:rFonts w:hint="eastAsia" w:ascii="Times New Roman" w:hAnsi="Times New Roman" w:eastAsia="Times New Roman" w:cs="Times New Roman"/>
                <w:b w:val="0"/>
                <w:bCs w:val="0"/>
                <w:color w:val="auto"/>
                <w:spacing w:val="0"/>
                <w:sz w:val="24"/>
                <w:szCs w:val="24"/>
                <w:lang w:val="en-US" w:eastAsia="zh-CN"/>
              </w:rPr>
            </w:pPr>
            <w:r>
              <w:rPr>
                <w:rFonts w:hint="eastAsia" w:ascii="Times New Roman" w:hAnsi="Times New Roman" w:eastAsia="Times New Roman" w:cs="Times New Roman"/>
                <w:b w:val="0"/>
                <w:bCs w:val="0"/>
                <w:color w:val="auto"/>
                <w:spacing w:val="0"/>
                <w:sz w:val="24"/>
                <w:szCs w:val="24"/>
                <w:lang w:val="en-US" w:eastAsia="zh-CN"/>
              </w:rPr>
              <w:t>项目所在位置20年一遇规划洪水高程374.66m，本项目气盾所在位置为原安福堰位置，原安福堰堰顶高程370.8m，本次综合整治后，洪水情况气盾完全倒伏，在20年一遇洪水工况下，实施项目后洪水高程374.62m，低于现状河道洪水高程374.75m，且低于20年一遇规划洪水高程374.66m，因此项目建设未增加行洪压力，不影响规划的防洪标准。</w:t>
            </w:r>
          </w:p>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360" w:lineRule="auto"/>
              <w:ind w:left="0" w:leftChars="0" w:right="0" w:firstLine="480" w:firstLineChars="200"/>
              <w:textAlignment w:val="baseline"/>
              <w:rPr>
                <w:rFonts w:hint="eastAsia" w:ascii="Times New Roman" w:hAnsi="Times New Roman" w:eastAsia="Times New Roman" w:cs="Times New Roman"/>
                <w:b w:val="0"/>
                <w:bCs w:val="0"/>
                <w:color w:val="auto"/>
                <w:spacing w:val="0"/>
                <w:sz w:val="24"/>
                <w:szCs w:val="24"/>
                <w:lang w:val="en-US" w:eastAsia="zh-CN"/>
              </w:rPr>
            </w:pPr>
            <w:r>
              <w:rPr>
                <w:rFonts w:hint="eastAsia" w:ascii="Times New Roman" w:hAnsi="Times New Roman" w:eastAsia="Times New Roman" w:cs="Times New Roman"/>
                <w:b w:val="0"/>
                <w:bCs w:val="0"/>
                <w:color w:val="auto"/>
                <w:spacing w:val="0"/>
                <w:sz w:val="24"/>
                <w:szCs w:val="24"/>
                <w:lang w:val="en-US" w:eastAsia="zh-CN"/>
              </w:rPr>
              <w:t>气盾坝采用自动化控制设备，但在断电及失灵情况下，通过手动倒伏气盾闸，保证性高，因此本项目使用气盾闸是合理的。</w:t>
            </w:r>
          </w:p>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360" w:lineRule="auto"/>
              <w:ind w:left="0" w:leftChars="0" w:right="0" w:firstLine="482" w:firstLineChars="200"/>
              <w:textAlignment w:val="baseline"/>
              <w:rPr>
                <w:rFonts w:hint="default"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8.2泄水建筑物</w:t>
            </w:r>
          </w:p>
          <w:p>
            <w:pPr>
              <w:keepNext w:val="0"/>
              <w:keepLines w:val="0"/>
              <w:pageBreakBefore w:val="0"/>
              <w:widowControl w:val="0"/>
              <w:kinsoku/>
              <w:wordWrap/>
              <w:overflowPunct/>
              <w:topLinePunct w:val="0"/>
              <w:bidi w:val="0"/>
              <w:spacing w:line="360" w:lineRule="auto"/>
              <w:ind w:right="0" w:firstLine="480" w:firstLineChars="200"/>
              <w:rPr>
                <w:rFonts w:hint="eastAsia" w:ascii="Times New Roman" w:hAnsi="Times New Roman" w:eastAsia="Times New Roman" w:cs="Times New Roman"/>
                <w:b w:val="0"/>
                <w:bCs w:val="0"/>
                <w:color w:val="auto"/>
                <w:spacing w:val="0"/>
                <w:kern w:val="2"/>
                <w:sz w:val="24"/>
                <w:szCs w:val="24"/>
                <w:lang w:val="en-US" w:eastAsia="zh-CN" w:bidi="ar-SA"/>
              </w:rPr>
            </w:pPr>
            <w:r>
              <w:rPr>
                <w:rFonts w:hint="eastAsia" w:ascii="Times New Roman" w:hAnsi="Times New Roman" w:eastAsia="Times New Roman" w:cs="Times New Roman"/>
                <w:b w:val="0"/>
                <w:bCs w:val="0"/>
                <w:color w:val="auto"/>
                <w:spacing w:val="0"/>
                <w:kern w:val="2"/>
                <w:sz w:val="24"/>
                <w:szCs w:val="24"/>
                <w:lang w:val="en-US" w:eastAsia="zh-CN" w:bidi="ar-SA"/>
              </w:rPr>
              <w:t>溢流坝段位于河槽中心位置，本工程大坝为气盾坝，大坝即为泄洪建筑。桩号坝0+008.125～0+113.125m，采用折线形实用堰型，坝段长105.00m，泄流净宽105m。溢流表面0.3~0.7m厚采用C40HF钢筋砼。堰顶高程370.70m，堰上采用气盾闸挡水，正常蓄水位371.7m，可通过调节气盾闸挡水高度维持正常蓄水位371.7m~371.9m，流量超过274m</w:t>
            </w:r>
            <w:r>
              <w:rPr>
                <w:rFonts w:hint="eastAsia" w:ascii="Times New Roman" w:hAnsi="Times New Roman" w:eastAsia="Times New Roman" w:cs="Times New Roman"/>
                <w:b w:val="0"/>
                <w:bCs w:val="0"/>
                <w:color w:val="auto"/>
                <w:spacing w:val="0"/>
                <w:kern w:val="2"/>
                <w:sz w:val="24"/>
                <w:szCs w:val="24"/>
                <w:vertAlign w:val="superscript"/>
                <w:lang w:val="en-US" w:eastAsia="zh-CN" w:bidi="ar-SA"/>
              </w:rPr>
              <w:t>3</w:t>
            </w:r>
            <w:r>
              <w:rPr>
                <w:rFonts w:hint="eastAsia" w:ascii="Times New Roman" w:hAnsi="Times New Roman" w:eastAsia="Times New Roman" w:cs="Times New Roman"/>
                <w:b w:val="0"/>
                <w:bCs w:val="0"/>
                <w:color w:val="auto"/>
                <w:spacing w:val="0"/>
                <w:kern w:val="2"/>
                <w:sz w:val="24"/>
                <w:szCs w:val="24"/>
                <w:lang w:val="en-US" w:eastAsia="zh-CN" w:bidi="ar-SA"/>
              </w:rPr>
              <w:t>/s时，气盾闸完全倒伏，方便河道行洪。</w:t>
            </w:r>
          </w:p>
          <w:p>
            <w:pPr>
              <w:keepNext w:val="0"/>
              <w:keepLines w:val="0"/>
              <w:pageBreakBefore w:val="0"/>
              <w:widowControl w:val="0"/>
              <w:kinsoku/>
              <w:wordWrap/>
              <w:overflowPunct/>
              <w:topLinePunct w:val="0"/>
              <w:bidi w:val="0"/>
              <w:spacing w:line="360" w:lineRule="auto"/>
              <w:ind w:right="0" w:firstLine="480" w:firstLineChars="200"/>
              <w:rPr>
                <w:rFonts w:hint="eastAsia" w:ascii="Times New Roman" w:hAnsi="Times New Roman" w:eastAsia="Times New Roman" w:cs="Times New Roman"/>
                <w:b w:val="0"/>
                <w:bCs w:val="0"/>
                <w:color w:val="auto"/>
                <w:spacing w:val="0"/>
                <w:kern w:val="2"/>
                <w:sz w:val="24"/>
                <w:szCs w:val="24"/>
                <w:lang w:val="en-US" w:eastAsia="zh-CN" w:bidi="ar-SA"/>
              </w:rPr>
            </w:pPr>
            <w:r>
              <w:rPr>
                <w:rFonts w:hint="eastAsia" w:ascii="Times New Roman" w:hAnsi="Times New Roman" w:eastAsia="Times New Roman" w:cs="Times New Roman"/>
                <w:b w:val="0"/>
                <w:bCs w:val="0"/>
                <w:color w:val="auto"/>
                <w:spacing w:val="0"/>
                <w:kern w:val="2"/>
                <w:sz w:val="24"/>
                <w:szCs w:val="24"/>
                <w:lang w:val="en-US" w:eastAsia="zh-CN" w:bidi="ar-SA"/>
              </w:rPr>
              <w:t>溢流坝建基面高程367.70m，堰体上下游面铅直，堰顶设长水平段以利于气盾闸安装，溢流坝顺水流向长度9.5m，堰体采用C25钢筋砼浇筑。溢流坝下游设计跌水及消力池消能，消力池后接海漫。</w:t>
            </w:r>
          </w:p>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360" w:lineRule="auto"/>
              <w:ind w:left="0" w:leftChars="0" w:right="0" w:firstLine="482" w:firstLineChars="200"/>
              <w:textAlignment w:val="baseline"/>
              <w:rPr>
                <w:rFonts w:hint="default"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8.3整治后安福堰运行方式</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Times New Roman" w:cs="Times New Roman"/>
                <w:b w:val="0"/>
                <w:bCs w:val="0"/>
                <w:color w:val="auto"/>
                <w:spacing w:val="0"/>
                <w:kern w:val="2"/>
                <w:sz w:val="24"/>
                <w:szCs w:val="24"/>
                <w:lang w:val="en-US" w:eastAsia="zh-CN" w:bidi="ar-SA"/>
              </w:rPr>
            </w:pPr>
            <w:r>
              <w:rPr>
                <w:rFonts w:hint="eastAsia" w:ascii="Times New Roman" w:hAnsi="Times New Roman" w:eastAsia="Times New Roman" w:cs="Times New Roman"/>
                <w:b w:val="0"/>
                <w:bCs w:val="0"/>
                <w:color w:val="auto"/>
                <w:spacing w:val="0"/>
                <w:kern w:val="2"/>
                <w:sz w:val="24"/>
                <w:szCs w:val="24"/>
                <w:lang w:val="en-US" w:eastAsia="zh-CN" w:bidi="ar-SA"/>
              </w:rPr>
              <w:t>安福堰工程任务是以农田灌溉为主兼顾河湖生态治理等功能。其综合利用要求是满足已成灌区范围的灌溉用水要求、苏稽古镇枯水期河床景观水位的要求。</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Times New Roman" w:cs="Times New Roman"/>
                <w:b w:val="0"/>
                <w:bCs w:val="0"/>
                <w:color w:val="auto"/>
                <w:spacing w:val="0"/>
                <w:kern w:val="2"/>
                <w:sz w:val="24"/>
                <w:szCs w:val="24"/>
                <w:lang w:val="en-US" w:eastAsia="zh-CN" w:bidi="ar-SA"/>
              </w:rPr>
            </w:pPr>
            <w:r>
              <w:rPr>
                <w:rFonts w:hint="eastAsia" w:ascii="Times New Roman" w:hAnsi="Times New Roman" w:eastAsia="Times New Roman" w:cs="Times New Roman"/>
                <w:b w:val="0"/>
                <w:bCs w:val="0"/>
                <w:color w:val="auto"/>
                <w:spacing w:val="0"/>
                <w:kern w:val="2"/>
                <w:sz w:val="24"/>
                <w:szCs w:val="24"/>
                <w:lang w:val="en-US" w:eastAsia="zh-CN" w:bidi="ar-SA"/>
              </w:rPr>
              <w:t>安福堰整治后，气盾坝盾板主要安装在河槽段及取水口，河槽段的气盾闸主要用于枯期景观挡水及洪期泄洪，取水口的气盾闸主要用于灌溉取水及气盾坝检修。其运行方式为：枯期（</w:t>
            </w:r>
            <w:r>
              <w:rPr>
                <w:rFonts w:hint="default" w:ascii="Times New Roman" w:hAnsi="Times New Roman" w:eastAsia="Times New Roman" w:cs="Times New Roman"/>
                <w:b w:val="0"/>
                <w:bCs w:val="0"/>
                <w:color w:val="auto"/>
                <w:spacing w:val="0"/>
                <w:kern w:val="2"/>
                <w:sz w:val="24"/>
                <w:szCs w:val="24"/>
                <w:lang w:val="en-US" w:eastAsia="zh-CN" w:bidi="ar-SA"/>
              </w:rPr>
              <w:t>10</w:t>
            </w:r>
            <w:r>
              <w:rPr>
                <w:rFonts w:hint="eastAsia" w:ascii="Times New Roman" w:hAnsi="Times New Roman" w:eastAsia="Times New Roman" w:cs="Times New Roman"/>
                <w:b w:val="0"/>
                <w:bCs w:val="0"/>
                <w:color w:val="auto"/>
                <w:spacing w:val="0"/>
                <w:kern w:val="2"/>
                <w:sz w:val="24"/>
                <w:szCs w:val="24"/>
                <w:lang w:val="en-US" w:eastAsia="zh-CN" w:bidi="ar-SA"/>
              </w:rPr>
              <w:t>月至次年</w:t>
            </w:r>
            <w:r>
              <w:rPr>
                <w:rFonts w:hint="default" w:ascii="Times New Roman" w:hAnsi="Times New Roman" w:eastAsia="Times New Roman" w:cs="Times New Roman"/>
                <w:b w:val="0"/>
                <w:bCs w:val="0"/>
                <w:color w:val="auto"/>
                <w:spacing w:val="0"/>
                <w:kern w:val="2"/>
                <w:sz w:val="24"/>
                <w:szCs w:val="24"/>
                <w:lang w:val="en-US" w:eastAsia="zh-CN" w:bidi="ar-SA"/>
              </w:rPr>
              <w:t>4</w:t>
            </w:r>
            <w:r>
              <w:rPr>
                <w:rFonts w:hint="eastAsia" w:ascii="Times New Roman" w:hAnsi="Times New Roman" w:eastAsia="Times New Roman" w:cs="Times New Roman"/>
                <w:b w:val="0"/>
                <w:bCs w:val="0"/>
                <w:color w:val="auto"/>
                <w:spacing w:val="0"/>
                <w:kern w:val="2"/>
                <w:sz w:val="24"/>
                <w:szCs w:val="24"/>
                <w:lang w:val="en-US" w:eastAsia="zh-CN" w:bidi="ar-SA"/>
              </w:rPr>
              <w:t xml:space="preserve">月），气盾闸采用智能化控制，气盾坝正常水位 </w:t>
            </w:r>
            <w:r>
              <w:rPr>
                <w:rFonts w:hint="default" w:ascii="Times New Roman" w:hAnsi="Times New Roman" w:eastAsia="Times New Roman" w:cs="Times New Roman"/>
                <w:b w:val="0"/>
                <w:bCs w:val="0"/>
                <w:color w:val="auto"/>
                <w:spacing w:val="0"/>
                <w:kern w:val="2"/>
                <w:sz w:val="24"/>
                <w:szCs w:val="24"/>
                <w:lang w:val="en-US" w:eastAsia="zh-CN" w:bidi="ar-SA"/>
              </w:rPr>
              <w:t>371.70m</w:t>
            </w:r>
            <w:r>
              <w:rPr>
                <w:rFonts w:hint="eastAsia" w:ascii="Times New Roman" w:hAnsi="Times New Roman" w:eastAsia="Times New Roman" w:cs="Times New Roman"/>
                <w:b w:val="0"/>
                <w:bCs w:val="0"/>
                <w:color w:val="auto"/>
                <w:spacing w:val="0"/>
                <w:kern w:val="2"/>
                <w:sz w:val="24"/>
                <w:szCs w:val="24"/>
                <w:lang w:val="en-US" w:eastAsia="zh-CN" w:bidi="ar-SA"/>
              </w:rPr>
              <w:t>，当水位达到</w:t>
            </w:r>
            <w:r>
              <w:rPr>
                <w:rFonts w:hint="default" w:ascii="Times New Roman" w:hAnsi="Times New Roman" w:eastAsia="Times New Roman" w:cs="Times New Roman"/>
                <w:b w:val="0"/>
                <w:bCs w:val="0"/>
                <w:color w:val="auto"/>
                <w:spacing w:val="0"/>
                <w:kern w:val="2"/>
                <w:sz w:val="24"/>
                <w:szCs w:val="24"/>
                <w:lang w:val="en-US" w:eastAsia="zh-CN" w:bidi="ar-SA"/>
              </w:rPr>
              <w:t xml:space="preserve">371.9m </w:t>
            </w:r>
            <w:r>
              <w:rPr>
                <w:rFonts w:hint="eastAsia" w:ascii="Times New Roman" w:hAnsi="Times New Roman" w:eastAsia="Times New Roman" w:cs="Times New Roman"/>
                <w:b w:val="0"/>
                <w:bCs w:val="0"/>
                <w:color w:val="auto"/>
                <w:spacing w:val="0"/>
                <w:kern w:val="2"/>
                <w:sz w:val="24"/>
                <w:szCs w:val="24"/>
                <w:lang w:val="en-US" w:eastAsia="zh-CN" w:bidi="ar-SA"/>
              </w:rPr>
              <w:t>时，启动气盾闸，通过调节气盾坝升降来控制水位；当水位继续上升，控制气盾闸缓慢倒伏，坝顶水深达到</w:t>
            </w:r>
            <w:r>
              <w:rPr>
                <w:rFonts w:hint="default" w:ascii="Times New Roman" w:hAnsi="Times New Roman" w:eastAsia="Times New Roman" w:cs="Times New Roman"/>
                <w:b w:val="0"/>
                <w:bCs w:val="0"/>
                <w:color w:val="auto"/>
                <w:spacing w:val="0"/>
                <w:kern w:val="2"/>
                <w:sz w:val="24"/>
                <w:szCs w:val="24"/>
                <w:lang w:val="en-US" w:eastAsia="zh-CN" w:bidi="ar-SA"/>
              </w:rPr>
              <w:t>0.6m</w:t>
            </w:r>
            <w:r>
              <w:rPr>
                <w:rFonts w:hint="eastAsia" w:ascii="Times New Roman" w:hAnsi="Times New Roman" w:eastAsia="Times New Roman" w:cs="Times New Roman"/>
                <w:b w:val="0"/>
                <w:bCs w:val="0"/>
                <w:color w:val="auto"/>
                <w:spacing w:val="0"/>
                <w:kern w:val="2"/>
                <w:sz w:val="24"/>
                <w:szCs w:val="24"/>
                <w:lang w:val="en-US" w:eastAsia="zh-CN" w:bidi="ar-SA"/>
              </w:rPr>
              <w:t>时，则实施完全倒伏，洪水过后再升起气盾闸；汛期（</w:t>
            </w:r>
            <w:r>
              <w:rPr>
                <w:rFonts w:hint="default" w:ascii="Times New Roman" w:hAnsi="Times New Roman" w:eastAsia="Times New Roman" w:cs="Times New Roman"/>
                <w:b w:val="0"/>
                <w:bCs w:val="0"/>
                <w:color w:val="auto"/>
                <w:spacing w:val="0"/>
                <w:kern w:val="2"/>
                <w:sz w:val="24"/>
                <w:szCs w:val="24"/>
                <w:lang w:val="en-US" w:eastAsia="zh-CN" w:bidi="ar-SA"/>
              </w:rPr>
              <w:t xml:space="preserve">5~9 </w:t>
            </w:r>
            <w:r>
              <w:rPr>
                <w:rFonts w:hint="eastAsia" w:ascii="Times New Roman" w:hAnsi="Times New Roman" w:eastAsia="Times New Roman" w:cs="Times New Roman"/>
                <w:b w:val="0"/>
                <w:bCs w:val="0"/>
                <w:color w:val="auto"/>
                <w:spacing w:val="0"/>
                <w:kern w:val="2"/>
                <w:sz w:val="24"/>
                <w:szCs w:val="24"/>
                <w:lang w:val="en-US" w:eastAsia="zh-CN" w:bidi="ar-SA"/>
              </w:rPr>
              <w:t>月）气盾坝完全倒伏。</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4" w:type="dxa"/>
                  <w:noWrap w:val="0"/>
                  <w:vAlign w:val="top"/>
                </w:tcPr>
                <w:p>
                  <w:pPr>
                    <w:pStyle w:val="2"/>
                    <w:rPr>
                      <w:rFonts w:hint="eastAsia" w:ascii="Times New Roman" w:hAnsi="Times New Roman" w:eastAsia="Times New Roman" w:cs="Times New Roman"/>
                      <w:b w:val="0"/>
                      <w:bCs w:val="0"/>
                      <w:color w:val="auto"/>
                      <w:spacing w:val="0"/>
                      <w:kern w:val="2"/>
                      <w:sz w:val="24"/>
                      <w:szCs w:val="24"/>
                      <w:vertAlign w:val="baseline"/>
                      <w:lang w:val="en-US" w:eastAsia="zh-CN" w:bidi="ar-SA"/>
                    </w:rPr>
                  </w:pPr>
                  <w:r>
                    <w:drawing>
                      <wp:inline distT="0" distB="0" distL="114300" distR="114300">
                        <wp:extent cx="4909185" cy="2848610"/>
                        <wp:effectExtent l="0" t="0" r="5715" b="8890"/>
                        <wp:docPr id="5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1"/>
                                <pic:cNvPicPr>
                                  <a:picLocks noChangeAspect="1"/>
                                </pic:cNvPicPr>
                              </pic:nvPicPr>
                              <pic:blipFill>
                                <a:blip r:embed="rId35"/>
                                <a:stretch>
                                  <a:fillRect/>
                                </a:stretch>
                              </pic:blipFill>
                              <pic:spPr>
                                <a:xfrm>
                                  <a:off x="0" y="0"/>
                                  <a:ext cx="4909185" cy="28486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4" w:type="dxa"/>
                  <w:noWrap w:val="0"/>
                  <w:vAlign w:val="top"/>
                </w:tcPr>
                <w:p>
                  <w:pPr>
                    <w:pStyle w:val="2"/>
                    <w:jc w:val="center"/>
                    <w:rPr>
                      <w:rFonts w:hint="default" w:eastAsia="宋体"/>
                      <w:lang w:val="en-US" w:eastAsia="zh-CN"/>
                    </w:rPr>
                  </w:pPr>
                  <w:r>
                    <w:rPr>
                      <w:rFonts w:hint="default" w:ascii="Times New Roman" w:hAnsi="Times New Roman" w:cs="Times New Roman"/>
                      <w:b/>
                      <w:bCs/>
                      <w:sz w:val="21"/>
                      <w:szCs w:val="21"/>
                      <w:lang w:val="en-US" w:eastAsia="zh-CN"/>
                    </w:rPr>
                    <w:t>图</w:t>
                  </w:r>
                  <w:r>
                    <w:rPr>
                      <w:rFonts w:hint="eastAsia" w:ascii="Times New Roman" w:hAnsi="Times New Roman" w:cs="Times New Roman"/>
                      <w:b/>
                      <w:bCs/>
                      <w:sz w:val="21"/>
                      <w:szCs w:val="21"/>
                      <w:lang w:val="en-US" w:eastAsia="zh-CN"/>
                    </w:rPr>
                    <w:t>2-2</w:t>
                  </w:r>
                  <w:r>
                    <w:rPr>
                      <w:rFonts w:hint="default" w:ascii="Times New Roman" w:hAnsi="Times New Roman" w:cs="Times New Roman"/>
                      <w:b/>
                      <w:bCs/>
                      <w:sz w:val="21"/>
                      <w:szCs w:val="21"/>
                      <w:lang w:val="en-US" w:eastAsia="zh-CN"/>
                    </w:rPr>
                    <w:t xml:space="preserve">  气盾坝运行程序示意图</w:t>
                  </w:r>
                </w:p>
              </w:tc>
            </w:tr>
          </w:tbl>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360" w:lineRule="auto"/>
              <w:ind w:left="0" w:leftChars="0" w:right="0" w:firstLine="480" w:firstLineChars="200"/>
              <w:textAlignment w:val="baseline"/>
              <w:rPr>
                <w:rFonts w:hint="default" w:ascii="Times New Roman" w:hAnsi="Times New Roman" w:eastAsia="Times New Roman" w:cs="Times New Roman"/>
                <w:b/>
                <w:bCs/>
                <w:color w:val="auto"/>
                <w:spacing w:val="0"/>
                <w:kern w:val="2"/>
                <w:sz w:val="24"/>
                <w:szCs w:val="24"/>
                <w:lang w:val="en-US" w:eastAsia="zh-CN" w:bidi="ar-SA"/>
              </w:rPr>
            </w:pPr>
            <w:r>
              <w:rPr>
                <w:rFonts w:hint="eastAsia" w:ascii="Times New Roman" w:hAnsi="Times New Roman" w:eastAsia="Times New Roman" w:cs="Times New Roman"/>
                <w:b/>
                <w:bCs/>
                <w:color w:val="auto"/>
                <w:spacing w:val="0"/>
                <w:kern w:val="2"/>
                <w:sz w:val="24"/>
                <w:szCs w:val="24"/>
                <w:lang w:val="en-US" w:eastAsia="zh-CN" w:bidi="ar-SA"/>
              </w:rPr>
              <w:t>9、消能建筑物</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eastAsia" w:ascii="Times New Roman" w:hAnsi="Times New Roman" w:eastAsia="Times New Roman" w:cs="Times New Roman"/>
                <w:b w:val="0"/>
                <w:bCs w:val="0"/>
                <w:color w:val="auto"/>
                <w:spacing w:val="0"/>
                <w:kern w:val="2"/>
                <w:sz w:val="24"/>
                <w:szCs w:val="24"/>
                <w:lang w:val="en-US" w:eastAsia="zh-CN" w:bidi="ar-SA"/>
              </w:rPr>
            </w:pPr>
            <w:r>
              <w:rPr>
                <w:rFonts w:hint="eastAsia" w:ascii="Times New Roman" w:hAnsi="Times New Roman" w:eastAsia="Times New Roman" w:cs="Times New Roman"/>
                <w:b w:val="0"/>
                <w:bCs w:val="0"/>
                <w:color w:val="auto"/>
                <w:spacing w:val="0"/>
                <w:kern w:val="2"/>
                <w:sz w:val="24"/>
                <w:szCs w:val="24"/>
                <w:lang w:val="en-US" w:eastAsia="zh-CN" w:bidi="ar-SA"/>
              </w:rPr>
              <w:t>大坝下游设护坦，护坦后接跌水、底流消能设施及海漫。护坦长15.5m，高程370.2m，末端设消力坎（兼做过河超墩步），坎顶高程370.3m。护坦底板厚度0.7m，底板面层采用C40钢筋HF砼浇筑，底板下层采用C25钢筋砼浇筑，护坦宽105m，基础置于稍密砂卵石上。鱼鳞跌水长度38m（含过河墩步），总宽105m，墩步顶高程370.8m，溢流面起点高程370.3m，末端高程367.0m，鱼鳞尺寸为直径8m的圆弧，每4.13m设一片鱼鳞，每片鱼鳞落差为0.413m，鱼鳞形跌水池内水深深0.406m；鱼鳞跌水底板基础平均厚度0.78m，底板采用C40钢筋HF砼浇筑，基础置于稍密砂卵石上。跌水后接消力池，宽105m，长23m，基础置于稍密砂卵石上，消力池底板厚度1~0.7m，池尾设排水孔，消力池池深0.8m，采用C40钢筋HF砼浇筑。消力池后为43m海漫，海漫厚度0.7m，采用大块卵石砌筑。海漫下游对河道清淤疏浚，疏浚深度2.5m。</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eastAsia" w:ascii="Times New Roman" w:hAnsi="Times New Roman" w:eastAsia="Times New Roman" w:cs="Times New Roman"/>
                <w:b w:val="0"/>
                <w:bCs w:val="0"/>
                <w:color w:val="auto"/>
                <w:spacing w:val="0"/>
                <w:kern w:val="2"/>
                <w:sz w:val="24"/>
                <w:szCs w:val="24"/>
                <w:lang w:val="en-US" w:eastAsia="zh-CN" w:bidi="ar-SA"/>
              </w:rPr>
            </w:pPr>
            <w:r>
              <w:rPr>
                <w:rFonts w:hint="eastAsia" w:ascii="Times New Roman" w:hAnsi="Times New Roman" w:eastAsia="Times New Roman" w:cs="Times New Roman"/>
                <w:b w:val="0"/>
                <w:bCs w:val="0"/>
                <w:color w:val="auto"/>
                <w:spacing w:val="0"/>
                <w:kern w:val="2"/>
                <w:sz w:val="24"/>
                <w:szCs w:val="24"/>
                <w:lang w:val="en-US" w:eastAsia="zh-CN" w:bidi="ar-SA"/>
              </w:rPr>
              <w:t>铺盖及护坦两侧设护岸，护岸岸脚为衡重式挡墙护脚，挡墙建于基岩或中密砂卵石层上。跌水、消力池及海漫两侧设护岸，护岸岸脚为重力式挡墙护脚，挡墙建于基岩或中密砂卵石层上，挡墙迎水面为直墙，背坡采用土石回填。</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eastAsia" w:ascii="Times New Roman" w:hAnsi="Times New Roman" w:eastAsia="Times New Roman" w:cs="Times New Roman"/>
                <w:b w:val="0"/>
                <w:bCs w:val="0"/>
                <w:color w:val="auto"/>
                <w:spacing w:val="0"/>
                <w:kern w:val="2"/>
                <w:sz w:val="24"/>
                <w:szCs w:val="24"/>
                <w:lang w:val="en-US" w:eastAsia="zh-CN" w:bidi="ar-SA"/>
              </w:rPr>
            </w:pPr>
            <w:r>
              <w:rPr>
                <w:rFonts w:hint="eastAsia" w:ascii="Times New Roman" w:hAnsi="Times New Roman" w:eastAsia="Times New Roman" w:cs="Times New Roman"/>
                <w:b w:val="0"/>
                <w:bCs w:val="0"/>
                <w:color w:val="auto"/>
                <w:spacing w:val="0"/>
                <w:kern w:val="2"/>
                <w:sz w:val="24"/>
                <w:szCs w:val="24"/>
                <w:lang w:val="en-US" w:eastAsia="zh-CN" w:bidi="ar-SA"/>
              </w:rPr>
              <w:t>挡墙墙脚防冲齿墙深度1.4m，采用C25砼浇筑。</w:t>
            </w:r>
          </w:p>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360" w:lineRule="auto"/>
              <w:ind w:left="0" w:leftChars="0" w:right="0" w:firstLine="482" w:firstLineChars="200"/>
              <w:textAlignment w:val="baseline"/>
              <w:rPr>
                <w:rFonts w:hint="default"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10、放空建筑物</w:t>
            </w:r>
          </w:p>
          <w:p>
            <w:pPr>
              <w:pStyle w:val="37"/>
              <w:keepNext w:val="0"/>
              <w:keepLines w:val="0"/>
              <w:pageBreakBefore w:val="0"/>
              <w:kinsoku/>
              <w:wordWrap/>
              <w:overflowPunct/>
              <w:topLinePunct w:val="0"/>
              <w:bidi w:val="0"/>
              <w:spacing w:before="0" w:after="0" w:line="360" w:lineRule="auto"/>
              <w:ind w:right="0" w:firstLine="520" w:firstLineChars="200"/>
              <w:rPr>
                <w:rFonts w:hint="eastAsia" w:ascii="Times New Roman" w:hAnsi="Times New Roman" w:eastAsia="宋体" w:cs="Times New Roman"/>
                <w:b/>
                <w:bCs/>
                <w:color w:val="auto"/>
                <w:spacing w:val="0"/>
                <w:sz w:val="24"/>
                <w:szCs w:val="24"/>
                <w:lang w:val="en-US" w:eastAsia="zh-CN"/>
              </w:rPr>
            </w:pPr>
            <w:r>
              <w:rPr>
                <w:rFonts w:hint="eastAsia" w:ascii="Times New Roman" w:hAnsi="Times New Roman" w:eastAsia="宋体" w:cs="宋体"/>
                <w:color w:val="auto"/>
                <w:sz w:val="24"/>
                <w:highlight w:val="none"/>
                <w:lang w:val="en-US" w:eastAsia="zh-CN"/>
              </w:rPr>
              <w:t>本工程气盾板完全倒伏时与原河床同高，因此不设置放空建筑物。</w:t>
            </w:r>
          </w:p>
          <w:p>
            <w:pPr>
              <w:keepNext w:val="0"/>
              <w:keepLines w:val="0"/>
              <w:pageBreakBefore w:val="0"/>
              <w:kinsoku/>
              <w:wordWrap/>
              <w:overflowPunct/>
              <w:topLinePunct w:val="0"/>
              <w:bidi w:val="0"/>
              <w:spacing w:line="360" w:lineRule="auto"/>
              <w:ind w:right="0" w:firstLine="482" w:firstLineChars="200"/>
              <w:rPr>
                <w:rFonts w:hint="default"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11、河岸防护工程</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eastAsia" w:ascii="Times New Roman" w:hAnsi="Times New Roman" w:eastAsia="Times New Roman" w:cs="Times New Roman"/>
                <w:b w:val="0"/>
                <w:bCs w:val="0"/>
                <w:color w:val="auto"/>
                <w:spacing w:val="0"/>
                <w:kern w:val="2"/>
                <w:sz w:val="24"/>
                <w:szCs w:val="24"/>
                <w:lang w:val="en-US" w:eastAsia="zh-CN" w:bidi="ar-SA"/>
              </w:rPr>
            </w:pPr>
            <w:r>
              <w:rPr>
                <w:rFonts w:hint="eastAsia" w:ascii="Times New Roman" w:hAnsi="Times New Roman" w:eastAsia="Times New Roman" w:cs="Times New Roman"/>
                <w:b w:val="0"/>
                <w:bCs w:val="0"/>
                <w:color w:val="auto"/>
                <w:spacing w:val="0"/>
                <w:kern w:val="2"/>
                <w:sz w:val="24"/>
                <w:szCs w:val="24"/>
                <w:lang w:val="en-US" w:eastAsia="zh-CN" w:bidi="ar-SA"/>
              </w:rPr>
              <w:t>消力池后为43m海漫，海漫厚度0.7m，采用大块卵石砌筑。海漫下游与下游已疏浚河床衔接。</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eastAsia" w:ascii="Times New Roman" w:hAnsi="Times New Roman" w:eastAsia="Times New Roman" w:cs="Times New Roman"/>
                <w:b w:val="0"/>
                <w:bCs w:val="0"/>
                <w:color w:val="auto"/>
                <w:spacing w:val="0"/>
                <w:kern w:val="2"/>
                <w:sz w:val="24"/>
                <w:szCs w:val="24"/>
                <w:lang w:val="en-US" w:eastAsia="zh-CN" w:bidi="ar-SA"/>
              </w:rPr>
            </w:pPr>
            <w:r>
              <w:rPr>
                <w:rFonts w:hint="eastAsia" w:ascii="Times New Roman" w:hAnsi="Times New Roman" w:eastAsia="Times New Roman" w:cs="Times New Roman"/>
                <w:b w:val="0"/>
                <w:bCs w:val="0"/>
                <w:color w:val="auto"/>
                <w:spacing w:val="0"/>
                <w:kern w:val="2"/>
                <w:sz w:val="24"/>
                <w:szCs w:val="24"/>
                <w:lang w:val="en-US" w:eastAsia="zh-CN" w:bidi="ar-SA"/>
              </w:rPr>
              <w:t>铺盖及护坦两侧设护岸，护岸岸脚为衡重式挡墙护脚，挡墙建于基岩或中密砂卵石层上。跌水、消力池及海漫两侧设护岸，护岸岸脚为重力式挡墙护脚，挡墙建于基岩或中密砂卵石层上，挡墙迎水面为直墙，背坡采用土石回填。</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eastAsia" w:ascii="Times New Roman" w:hAnsi="Times New Roman" w:eastAsia="Times New Roman" w:cs="Times New Roman"/>
                <w:b w:val="0"/>
                <w:bCs w:val="0"/>
                <w:color w:val="auto"/>
                <w:spacing w:val="0"/>
                <w:kern w:val="2"/>
                <w:sz w:val="24"/>
                <w:szCs w:val="24"/>
                <w:lang w:val="en-US" w:eastAsia="zh-CN" w:bidi="ar-SA"/>
              </w:rPr>
            </w:pPr>
            <w:r>
              <w:rPr>
                <w:rFonts w:hint="eastAsia" w:ascii="Times New Roman" w:hAnsi="Times New Roman" w:eastAsia="Times New Roman" w:cs="Times New Roman"/>
                <w:b w:val="0"/>
                <w:bCs w:val="0"/>
                <w:color w:val="auto"/>
                <w:spacing w:val="0"/>
                <w:kern w:val="2"/>
                <w:sz w:val="24"/>
                <w:szCs w:val="24"/>
                <w:lang w:val="en-US" w:eastAsia="zh-CN" w:bidi="ar-SA"/>
              </w:rPr>
              <w:t>挡墙墙脚防冲齿墙深度1.4m，采用C25砼浇筑。</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Times New Roman" w:cs="Times New Roman"/>
                <w:b/>
                <w:bCs/>
                <w:color w:val="auto"/>
                <w:spacing w:val="0"/>
                <w:kern w:val="2"/>
                <w:sz w:val="24"/>
                <w:szCs w:val="24"/>
                <w:lang w:val="en-US" w:eastAsia="zh-CN" w:bidi="ar-SA"/>
              </w:rPr>
            </w:pPr>
            <w:r>
              <w:rPr>
                <w:rFonts w:hint="eastAsia" w:ascii="Times New Roman" w:hAnsi="Times New Roman" w:eastAsia="Times New Roman" w:cs="Times New Roman"/>
                <w:b/>
                <w:bCs/>
                <w:color w:val="auto"/>
                <w:spacing w:val="0"/>
                <w:kern w:val="2"/>
                <w:sz w:val="24"/>
                <w:szCs w:val="24"/>
                <w:lang w:val="en-US" w:eastAsia="zh-CN" w:bidi="ar-SA"/>
              </w:rPr>
              <w:t>12、取水工程</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eastAsia" w:ascii="Times New Roman" w:hAnsi="Times New Roman" w:eastAsia="Times New Roman" w:cs="Times New Roman"/>
                <w:b w:val="0"/>
                <w:bCs w:val="0"/>
                <w:color w:val="auto"/>
                <w:spacing w:val="0"/>
                <w:kern w:val="2"/>
                <w:sz w:val="24"/>
                <w:szCs w:val="24"/>
                <w:lang w:val="en-US" w:eastAsia="zh-CN" w:bidi="ar-SA"/>
              </w:rPr>
            </w:pPr>
            <w:r>
              <w:rPr>
                <w:rFonts w:hint="eastAsia" w:ascii="Times New Roman" w:hAnsi="Times New Roman" w:eastAsia="Times New Roman" w:cs="Times New Roman"/>
                <w:b w:val="0"/>
                <w:bCs w:val="0"/>
                <w:color w:val="auto"/>
                <w:spacing w:val="0"/>
                <w:kern w:val="2"/>
                <w:sz w:val="24"/>
                <w:szCs w:val="24"/>
                <w:lang w:val="en-US" w:eastAsia="zh-CN" w:bidi="ar-SA"/>
              </w:rPr>
              <w:t>取水口采用开敞式实用堰溢流，堰顶高程与气盾坝设计顶高程相同，开口宽度与气盾坝长度比例根据各月需水量及相应月最小来水流量比例近似，并通过计算确定最小开口宽度。取水口河段（P=75%）最小来水量在1月，来水流量为1.81m</w:t>
            </w:r>
            <w:r>
              <w:rPr>
                <w:rFonts w:hint="eastAsia" w:ascii="Times New Roman" w:hAnsi="Times New Roman" w:eastAsia="Times New Roman" w:cs="Times New Roman"/>
                <w:b w:val="0"/>
                <w:bCs w:val="0"/>
                <w:color w:val="auto"/>
                <w:spacing w:val="0"/>
                <w:kern w:val="2"/>
                <w:sz w:val="24"/>
                <w:szCs w:val="24"/>
                <w:vertAlign w:val="superscript"/>
                <w:lang w:val="en-US" w:eastAsia="zh-CN" w:bidi="ar-SA"/>
              </w:rPr>
              <w:t>3</w:t>
            </w:r>
            <w:r>
              <w:rPr>
                <w:rFonts w:hint="eastAsia" w:ascii="Times New Roman" w:hAnsi="Times New Roman" w:eastAsia="Times New Roman" w:cs="Times New Roman"/>
                <w:b w:val="0"/>
                <w:bCs w:val="0"/>
                <w:color w:val="auto"/>
                <w:spacing w:val="0"/>
                <w:kern w:val="2"/>
                <w:sz w:val="24"/>
                <w:szCs w:val="24"/>
                <w:lang w:val="en-US" w:eastAsia="zh-CN" w:bidi="ar-SA"/>
              </w:rPr>
              <w:t>/s。根据灌水率的计算，1月灌溉需水流量为0.11m</w:t>
            </w:r>
            <w:r>
              <w:rPr>
                <w:rFonts w:hint="eastAsia" w:ascii="Times New Roman" w:hAnsi="Times New Roman" w:eastAsia="Times New Roman" w:cs="Times New Roman"/>
                <w:b w:val="0"/>
                <w:bCs w:val="0"/>
                <w:color w:val="auto"/>
                <w:spacing w:val="0"/>
                <w:kern w:val="2"/>
                <w:sz w:val="24"/>
                <w:szCs w:val="24"/>
                <w:vertAlign w:val="superscript"/>
                <w:lang w:val="en-US" w:eastAsia="zh-CN" w:bidi="ar-SA"/>
              </w:rPr>
              <w:t>3</w:t>
            </w:r>
            <w:r>
              <w:rPr>
                <w:rFonts w:hint="eastAsia" w:ascii="Times New Roman" w:hAnsi="Times New Roman" w:eastAsia="Times New Roman" w:cs="Times New Roman"/>
                <w:b w:val="0"/>
                <w:bCs w:val="0"/>
                <w:color w:val="auto"/>
                <w:spacing w:val="0"/>
                <w:kern w:val="2"/>
                <w:sz w:val="24"/>
                <w:szCs w:val="24"/>
                <w:lang w:val="en-US" w:eastAsia="zh-CN" w:bidi="ar-SA"/>
              </w:rPr>
              <w:t>/s，经计算取水口开口宽度为8.5m，设计开口宽度8.75m。</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13、引水渠道工程</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Times New Roman" w:cs="Times New Roman"/>
                <w:b w:val="0"/>
                <w:bCs w:val="0"/>
                <w:color w:val="auto"/>
                <w:spacing w:val="0"/>
                <w:kern w:val="2"/>
                <w:sz w:val="24"/>
                <w:szCs w:val="24"/>
                <w:lang w:val="en-US" w:eastAsia="zh-CN" w:bidi="ar-SA"/>
              </w:rPr>
            </w:pPr>
            <w:r>
              <w:rPr>
                <w:rFonts w:hint="eastAsia" w:ascii="Times New Roman" w:hAnsi="Times New Roman" w:eastAsia="Times New Roman" w:cs="Times New Roman"/>
                <w:b w:val="0"/>
                <w:bCs w:val="0"/>
                <w:color w:val="auto"/>
                <w:spacing w:val="0"/>
                <w:kern w:val="2"/>
                <w:sz w:val="24"/>
                <w:szCs w:val="24"/>
                <w:lang w:val="en-US" w:eastAsia="zh-CN" w:bidi="ar-SA"/>
              </w:rPr>
              <w:t>安福堰引水渠由于周边居民区密集，从取水口至下游650m为沿河道布置的引水渠道，其中310.6m由于冲毁严重，本次对其进行拆除重建，拆建的渠道采用C25砼进行衬砌，渠道采用梯形渠道，渠底宽4m，渠底板厚度20cm，渠道边坡系数1：2，厚度25cm，渠道纵向坡度根据原有渠道纵坡布置，坡比为13/10000。渠道靠岸一侧在过水断面以上采用钢筋砼框格内植草护坡。</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14、渠道溢流设施</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eastAsia" w:ascii="Times New Roman" w:hAnsi="Times New Roman" w:eastAsia="Times New Roman" w:cs="Times New Roman"/>
                <w:b w:val="0"/>
                <w:bCs w:val="0"/>
                <w:color w:val="auto"/>
                <w:spacing w:val="0"/>
                <w:kern w:val="2"/>
                <w:sz w:val="24"/>
                <w:szCs w:val="24"/>
                <w:lang w:val="en-US" w:eastAsia="zh-CN" w:bidi="ar-SA"/>
              </w:rPr>
            </w:pPr>
            <w:r>
              <w:rPr>
                <w:rFonts w:hint="eastAsia" w:ascii="Times New Roman" w:hAnsi="Times New Roman" w:eastAsia="Times New Roman" w:cs="Times New Roman"/>
                <w:b w:val="0"/>
                <w:bCs w:val="0"/>
                <w:color w:val="auto"/>
                <w:spacing w:val="0"/>
                <w:kern w:val="2"/>
                <w:sz w:val="24"/>
                <w:szCs w:val="24"/>
                <w:lang w:val="en-US" w:eastAsia="zh-CN" w:bidi="ar-SA"/>
              </w:rPr>
              <w:t>本工程正常运行情况泄流段闸顶高程等于或低于取水闸顶高程，项目灌溉引水量远小于河道最小流量，且可以通过调节取水闸高于泄洪闸，使取水口流量保持在设计引水流量范围。但当大坝处于检修或者突然遭遇较大洪水未及时泄放时，通过设置渠道非常溢流口（备用溢流口），即在渠道桩号渠0+054.765m的设溢流口溢出多余水量，避免渠道下游流量较大造成渠道损坏，水流通过取水口下游的溢流堰回到主河道。</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eastAsia" w:ascii="Times New Roman" w:hAnsi="Times New Roman" w:eastAsia="Times New Roman" w:cs="Times New Roman"/>
                <w:b w:val="0"/>
                <w:bCs w:val="0"/>
                <w:color w:val="auto"/>
                <w:spacing w:val="0"/>
                <w:kern w:val="2"/>
                <w:sz w:val="24"/>
                <w:szCs w:val="24"/>
                <w:lang w:val="en-US" w:eastAsia="zh-CN" w:bidi="ar-SA"/>
              </w:rPr>
            </w:pPr>
            <w:r>
              <w:rPr>
                <w:rFonts w:hint="eastAsia" w:ascii="Times New Roman" w:hAnsi="Times New Roman" w:eastAsia="Times New Roman" w:cs="Times New Roman"/>
                <w:b w:val="0"/>
                <w:bCs w:val="0"/>
                <w:color w:val="auto"/>
                <w:spacing w:val="0"/>
                <w:kern w:val="2"/>
                <w:sz w:val="24"/>
                <w:szCs w:val="24"/>
                <w:lang w:val="en-US" w:eastAsia="zh-CN" w:bidi="ar-SA"/>
              </w:rPr>
              <w:t>本工程进水渠为可淹没的渠道，考虑到渠道与河道之间兼做景观平台，在下游用水量减少的时候通过溢流设施避免平台淹没，溢流设施采用5孔箱涵结构，宽顶堰进口，箱涵每孔宽净宽2m，高0.5m，壁厚0.2m，C25钢筋砼结构，溢流口总宽10m，最大溢流量12.5m</w:t>
            </w:r>
            <w:r>
              <w:rPr>
                <w:rFonts w:hint="eastAsia" w:ascii="Times New Roman" w:hAnsi="Times New Roman" w:eastAsia="Times New Roman" w:cs="Times New Roman"/>
                <w:b w:val="0"/>
                <w:bCs w:val="0"/>
                <w:color w:val="auto"/>
                <w:spacing w:val="0"/>
                <w:kern w:val="2"/>
                <w:sz w:val="24"/>
                <w:szCs w:val="24"/>
                <w:vertAlign w:val="superscript"/>
                <w:lang w:val="en-US" w:eastAsia="zh-CN" w:bidi="ar-SA"/>
              </w:rPr>
              <w:t>3</w:t>
            </w:r>
            <w:r>
              <w:rPr>
                <w:rFonts w:hint="eastAsia" w:ascii="Times New Roman" w:hAnsi="Times New Roman" w:eastAsia="Times New Roman" w:cs="Times New Roman"/>
                <w:b w:val="0"/>
                <w:bCs w:val="0"/>
                <w:color w:val="auto"/>
                <w:spacing w:val="0"/>
                <w:kern w:val="2"/>
                <w:sz w:val="24"/>
                <w:szCs w:val="24"/>
                <w:lang w:val="en-US" w:eastAsia="zh-CN" w:bidi="ar-SA"/>
              </w:rPr>
              <w:t>/s。</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Times New Roman" w:cs="Times New Roman"/>
                <w:b/>
                <w:bCs/>
                <w:color w:val="auto"/>
                <w:spacing w:val="0"/>
                <w:kern w:val="2"/>
                <w:sz w:val="24"/>
                <w:szCs w:val="24"/>
                <w:lang w:val="en-US" w:eastAsia="zh-CN" w:bidi="ar-SA"/>
              </w:rPr>
            </w:pPr>
            <w:r>
              <w:rPr>
                <w:rFonts w:hint="eastAsia" w:ascii="Times New Roman" w:hAnsi="Times New Roman" w:eastAsia="Times New Roman" w:cs="Times New Roman"/>
                <w:b/>
                <w:bCs/>
                <w:color w:val="auto"/>
                <w:spacing w:val="0"/>
                <w:kern w:val="2"/>
                <w:sz w:val="24"/>
                <w:szCs w:val="24"/>
                <w:lang w:val="en-US" w:eastAsia="zh-CN" w:bidi="ar-SA"/>
              </w:rPr>
              <w:t>15、疏浚工程</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eastAsia" w:ascii="Times New Roman" w:hAnsi="Times New Roman" w:eastAsia="Times New Roman" w:cs="Times New Roman"/>
                <w:b w:val="0"/>
                <w:bCs w:val="0"/>
                <w:color w:val="auto"/>
                <w:spacing w:val="0"/>
                <w:kern w:val="2"/>
                <w:sz w:val="24"/>
                <w:szCs w:val="24"/>
                <w:lang w:val="en-US" w:eastAsia="zh-CN" w:bidi="ar-SA"/>
              </w:rPr>
            </w:pPr>
            <w:r>
              <w:rPr>
                <w:rFonts w:hint="eastAsia" w:ascii="Times New Roman" w:hAnsi="Times New Roman" w:eastAsia="Times New Roman" w:cs="Times New Roman"/>
                <w:b w:val="0"/>
                <w:bCs w:val="0"/>
                <w:color w:val="auto"/>
                <w:spacing w:val="0"/>
                <w:kern w:val="2"/>
                <w:sz w:val="24"/>
                <w:szCs w:val="24"/>
                <w:lang w:val="en-US" w:eastAsia="zh-CN" w:bidi="ar-SA"/>
              </w:rPr>
              <w:t>本次拟疏浚长度约0.5km，疏浚范围从坝轴线上游200m至坝轴线下游300m，疏浚范围内主要为河道及漫滩，疏浚宽36~200m，疏浚高程366.0m~371m，平均厚度约4.5m，疏浚量2.97万m</w:t>
            </w:r>
            <w:r>
              <w:rPr>
                <w:rFonts w:hint="eastAsia" w:ascii="Times New Roman" w:hAnsi="Times New Roman" w:eastAsia="Times New Roman" w:cs="Times New Roman"/>
                <w:b w:val="0"/>
                <w:bCs w:val="0"/>
                <w:color w:val="auto"/>
                <w:spacing w:val="0"/>
                <w:kern w:val="2"/>
                <w:sz w:val="24"/>
                <w:szCs w:val="24"/>
                <w:vertAlign w:val="superscript"/>
                <w:lang w:val="en-US" w:eastAsia="zh-CN" w:bidi="ar-SA"/>
              </w:rPr>
              <w:t>3</w:t>
            </w:r>
            <w:r>
              <w:rPr>
                <w:rFonts w:hint="eastAsia" w:ascii="Times New Roman" w:hAnsi="Times New Roman" w:eastAsia="Times New Roman" w:cs="Times New Roman"/>
                <w:b w:val="0"/>
                <w:bCs w:val="0"/>
                <w:color w:val="auto"/>
                <w:spacing w:val="0"/>
                <w:kern w:val="2"/>
                <w:sz w:val="24"/>
                <w:szCs w:val="24"/>
                <w:lang w:val="en-US" w:eastAsia="zh-CN" w:bidi="ar-SA"/>
              </w:rPr>
              <w:t>；据筛分试验资料及邻近工程经验，疏浚开挖卵石层质量满足要求，疏浚料用于堤身填筑和堤后低洼段回填。</w:t>
            </w:r>
          </w:p>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360" w:lineRule="auto"/>
              <w:ind w:left="0" w:leftChars="0" w:right="0" w:firstLine="482" w:firstLineChars="200"/>
              <w:textAlignment w:val="baseline"/>
              <w:rPr>
                <w:rFonts w:hint="default"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16、安全监测设施</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eastAsia" w:ascii="Times New Roman" w:hAnsi="Times New Roman" w:eastAsia="Times New Roman" w:cs="Times New Roman"/>
                <w:b w:val="0"/>
                <w:bCs w:val="0"/>
                <w:color w:val="auto"/>
                <w:spacing w:val="0"/>
                <w:kern w:val="2"/>
                <w:sz w:val="24"/>
                <w:szCs w:val="24"/>
                <w:lang w:val="en-US" w:eastAsia="zh-CN" w:bidi="ar-SA"/>
              </w:rPr>
            </w:pPr>
            <w:r>
              <w:rPr>
                <w:rFonts w:hint="eastAsia" w:ascii="Times New Roman" w:hAnsi="Times New Roman" w:eastAsia="Times New Roman" w:cs="Times New Roman"/>
                <w:b w:val="0"/>
                <w:bCs w:val="0"/>
                <w:color w:val="auto"/>
                <w:spacing w:val="0"/>
                <w:kern w:val="2"/>
                <w:sz w:val="24"/>
                <w:szCs w:val="24"/>
                <w:lang w:val="en-US" w:eastAsia="zh-CN" w:bidi="ar-SA"/>
              </w:rPr>
              <w:t>（1）大坝坝面竖向位移和水平位移观测</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eastAsia" w:ascii="Times New Roman" w:hAnsi="Times New Roman" w:eastAsia="Times New Roman" w:cs="Times New Roman"/>
                <w:b w:val="0"/>
                <w:bCs w:val="0"/>
                <w:color w:val="auto"/>
                <w:spacing w:val="0"/>
                <w:kern w:val="2"/>
                <w:sz w:val="24"/>
                <w:szCs w:val="24"/>
                <w:lang w:val="en-US" w:eastAsia="zh-CN" w:bidi="ar-SA"/>
              </w:rPr>
            </w:pPr>
            <w:r>
              <w:rPr>
                <w:rFonts w:hint="eastAsia" w:ascii="Times New Roman" w:hAnsi="Times New Roman" w:eastAsia="Times New Roman" w:cs="Times New Roman"/>
                <w:b w:val="0"/>
                <w:bCs w:val="0"/>
                <w:color w:val="auto"/>
                <w:spacing w:val="0"/>
                <w:kern w:val="2"/>
                <w:sz w:val="24"/>
                <w:szCs w:val="24"/>
                <w:lang w:val="en-US" w:eastAsia="zh-CN" w:bidi="ar-SA"/>
              </w:rPr>
              <w:t>大坝坝顶长度为130.828m，根据大坝结构在横剖面最大断面处和左右两岸岸坡距最大断面45m处共3个观测剖面；在坝顶的上游侧设竖向和水平位移观测点。</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eastAsia" w:ascii="Times New Roman" w:hAnsi="Times New Roman" w:eastAsia="Times New Roman" w:cs="Times New Roman"/>
                <w:b w:val="0"/>
                <w:bCs w:val="0"/>
                <w:color w:val="auto"/>
                <w:spacing w:val="0"/>
                <w:kern w:val="2"/>
                <w:sz w:val="24"/>
                <w:szCs w:val="24"/>
                <w:lang w:val="en-US" w:eastAsia="zh-CN" w:bidi="ar-SA"/>
              </w:rPr>
            </w:pPr>
            <w:r>
              <w:rPr>
                <w:rFonts w:hint="eastAsia" w:ascii="Times New Roman" w:hAnsi="Times New Roman" w:eastAsia="Times New Roman" w:cs="Times New Roman"/>
                <w:b w:val="0"/>
                <w:bCs w:val="0"/>
                <w:color w:val="auto"/>
                <w:spacing w:val="0"/>
                <w:kern w:val="2"/>
                <w:sz w:val="24"/>
                <w:szCs w:val="24"/>
                <w:lang w:val="en-US" w:eastAsia="zh-CN" w:bidi="ar-SA"/>
              </w:rPr>
              <w:t>（2）水位观测</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eastAsia" w:ascii="Times New Roman" w:hAnsi="Times New Roman" w:eastAsia="Times New Roman" w:cs="Times New Roman"/>
                <w:b w:val="0"/>
                <w:bCs w:val="0"/>
                <w:color w:val="auto"/>
                <w:spacing w:val="0"/>
                <w:kern w:val="2"/>
                <w:sz w:val="24"/>
                <w:szCs w:val="24"/>
                <w:lang w:val="en-US" w:eastAsia="zh-CN" w:bidi="ar-SA"/>
              </w:rPr>
            </w:pPr>
            <w:r>
              <w:rPr>
                <w:rFonts w:hint="eastAsia" w:ascii="Times New Roman" w:hAnsi="Times New Roman" w:eastAsia="Times New Roman" w:cs="Times New Roman"/>
                <w:b w:val="0"/>
                <w:bCs w:val="0"/>
                <w:color w:val="auto"/>
                <w:spacing w:val="0"/>
                <w:kern w:val="2"/>
                <w:sz w:val="24"/>
                <w:szCs w:val="24"/>
                <w:lang w:val="en-US" w:eastAsia="zh-CN" w:bidi="ar-SA"/>
              </w:rPr>
              <w:t>为了观测大坝库内的水位变化情况，在大坝上游设置两组水尺。</w:t>
            </w:r>
            <w:bookmarkStart w:id="9" w:name="_Toc229714545"/>
            <w:bookmarkEnd w:id="9"/>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Times New Roman" w:cs="Times New Roman"/>
                <w:b/>
                <w:bCs/>
                <w:color w:val="auto"/>
                <w:spacing w:val="0"/>
                <w:kern w:val="2"/>
                <w:sz w:val="24"/>
                <w:szCs w:val="24"/>
                <w:lang w:val="en-US" w:eastAsia="zh-CN" w:bidi="ar-SA"/>
              </w:rPr>
            </w:pPr>
            <w:r>
              <w:rPr>
                <w:rFonts w:hint="eastAsia" w:ascii="Times New Roman" w:hAnsi="Times New Roman" w:eastAsia="Times New Roman" w:cs="Times New Roman"/>
                <w:b/>
                <w:bCs/>
                <w:color w:val="auto"/>
                <w:spacing w:val="0"/>
                <w:kern w:val="2"/>
                <w:sz w:val="24"/>
                <w:szCs w:val="24"/>
                <w:lang w:val="en-US" w:eastAsia="zh-CN" w:bidi="ar-SA"/>
              </w:rPr>
              <w:t>17、占地</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Times New Roman" w:cs="Times New Roman"/>
                <w:b w:val="0"/>
                <w:bCs w:val="0"/>
                <w:color w:val="auto"/>
                <w:spacing w:val="0"/>
                <w:kern w:val="2"/>
                <w:sz w:val="24"/>
                <w:szCs w:val="24"/>
                <w:lang w:val="en-US" w:eastAsia="zh-CN" w:bidi="ar-SA"/>
              </w:rPr>
            </w:pPr>
            <w:r>
              <w:rPr>
                <w:rFonts w:hint="default" w:ascii="Times New Roman" w:hAnsi="Times New Roman" w:eastAsia="Times New Roman" w:cs="Times New Roman"/>
                <w:b w:val="0"/>
                <w:bCs w:val="0"/>
                <w:color w:val="auto"/>
                <w:spacing w:val="0"/>
                <w:kern w:val="2"/>
                <w:sz w:val="24"/>
                <w:szCs w:val="24"/>
                <w:lang w:val="en-US" w:eastAsia="zh-CN" w:bidi="ar-SA"/>
              </w:rPr>
              <w:t>本次</w:t>
            </w:r>
            <w:r>
              <w:rPr>
                <w:rFonts w:hint="eastAsia" w:ascii="Times New Roman" w:hAnsi="Times New Roman" w:eastAsia="Times New Roman" w:cs="Times New Roman"/>
                <w:b w:val="0"/>
                <w:bCs w:val="0"/>
                <w:color w:val="auto"/>
                <w:spacing w:val="0"/>
                <w:kern w:val="2"/>
                <w:sz w:val="24"/>
                <w:szCs w:val="24"/>
                <w:lang w:val="en-US" w:eastAsia="zh-CN" w:bidi="ar-SA"/>
              </w:rPr>
              <w:t>新建拦河气盾坝、新建安福堰进水口、整治安福堰输水渠进口段、拦河坝段护岸工程及河道疏浚</w:t>
            </w:r>
            <w:r>
              <w:rPr>
                <w:rFonts w:hint="default" w:ascii="Times New Roman" w:hAnsi="Times New Roman" w:eastAsia="Times New Roman" w:cs="Times New Roman"/>
                <w:b w:val="0"/>
                <w:bCs w:val="0"/>
                <w:color w:val="auto"/>
                <w:spacing w:val="0"/>
                <w:kern w:val="2"/>
                <w:sz w:val="24"/>
                <w:szCs w:val="24"/>
                <w:lang w:val="en-US" w:eastAsia="zh-CN" w:bidi="ar-SA"/>
              </w:rPr>
              <w:t>。永久占地总面积</w:t>
            </w:r>
            <w:r>
              <w:rPr>
                <w:rFonts w:hint="eastAsia" w:ascii="Times New Roman" w:hAnsi="Times New Roman" w:eastAsia="Times New Roman" w:cs="Times New Roman"/>
                <w:b w:val="0"/>
                <w:bCs w:val="0"/>
                <w:color w:val="auto"/>
                <w:spacing w:val="0"/>
                <w:kern w:val="2"/>
                <w:sz w:val="24"/>
                <w:szCs w:val="24"/>
                <w:lang w:val="en-US" w:eastAsia="zh-CN" w:bidi="ar-SA"/>
              </w:rPr>
              <w:t>41.4</w:t>
            </w:r>
            <w:r>
              <w:rPr>
                <w:rFonts w:hint="default" w:ascii="Times New Roman" w:hAnsi="Times New Roman" w:eastAsia="Times New Roman" w:cs="Times New Roman"/>
                <w:b w:val="0"/>
                <w:bCs w:val="0"/>
                <w:color w:val="auto"/>
                <w:spacing w:val="0"/>
                <w:kern w:val="2"/>
                <w:sz w:val="24"/>
                <w:szCs w:val="24"/>
                <w:lang w:val="en-US" w:eastAsia="zh-CN" w:bidi="ar-SA"/>
              </w:rPr>
              <w:t>亩，</w:t>
            </w:r>
            <w:r>
              <w:rPr>
                <w:rFonts w:hint="eastAsia" w:ascii="Times New Roman" w:hAnsi="Times New Roman" w:eastAsia="Times New Roman" w:cs="Times New Roman"/>
                <w:b w:val="0"/>
                <w:bCs w:val="0"/>
                <w:color w:val="auto"/>
                <w:spacing w:val="0"/>
                <w:kern w:val="2"/>
                <w:sz w:val="24"/>
                <w:szCs w:val="24"/>
                <w:lang w:val="en-US" w:eastAsia="zh-CN" w:bidi="ar-SA"/>
              </w:rPr>
              <w:t>临时占地1500m2，均在原有大坝红线范围内。主要占地类型为旱地、竹林地、其他草地、水域及水利设施用地和其他土地。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4" w:type="dxa"/>
            <w:noWrap w:val="0"/>
            <w:vAlign w:val="center"/>
          </w:tcPr>
          <w:p>
            <w:pPr>
              <w:keepNext w:val="0"/>
              <w:keepLines w:val="0"/>
              <w:pageBreakBefore w:val="0"/>
              <w:kinsoku/>
              <w:wordWrap/>
              <w:overflowPunct/>
              <w:topLinePunct w:val="0"/>
              <w:bidi w:val="0"/>
              <w:adjustRightInd w:val="0"/>
              <w:snapToGrid w:val="0"/>
              <w:spacing w:line="360" w:lineRule="auto"/>
              <w:jc w:val="center"/>
              <w:textAlignment w:val="auto"/>
              <w:rPr>
                <w:rFonts w:hint="default" w:ascii="Times New Roman" w:hAnsi="Times New Roman" w:cs="Times New Roman"/>
                <w:kern w:val="0"/>
                <w:szCs w:val="21"/>
              </w:rPr>
            </w:pPr>
            <w:r>
              <w:rPr>
                <w:rFonts w:hint="default" w:ascii="Times New Roman" w:hAnsi="Times New Roman" w:cs="Times New Roman"/>
                <w:kern w:val="0"/>
                <w:szCs w:val="21"/>
              </w:rPr>
              <w:t>总平面及现场布置</w:t>
            </w:r>
          </w:p>
        </w:tc>
        <w:tc>
          <w:tcPr>
            <w:tcW w:w="7670" w:type="dxa"/>
            <w:noWrap w:val="0"/>
            <w:vAlign w:val="center"/>
          </w:tcPr>
          <w:p>
            <w:pPr>
              <w:pStyle w:val="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after="0" w:line="360" w:lineRule="auto"/>
              <w:ind w:right="0" w:rightChars="0" w:firstLine="482" w:firstLineChars="200"/>
              <w:textAlignment w:val="baseline"/>
              <w:rPr>
                <w:rFonts w:hint="default" w:ascii="Times New Roman" w:hAnsi="Times New Roman" w:eastAsia="宋体" w:cs="Times New Roman"/>
                <w:b/>
                <w:bCs/>
                <w:color w:val="auto"/>
                <w:spacing w:val="0"/>
                <w:kern w:val="2"/>
                <w:sz w:val="24"/>
                <w:szCs w:val="24"/>
                <w:highlight w:val="none"/>
                <w:lang w:val="en-US" w:eastAsia="zh-CN" w:bidi="ar-SA"/>
              </w:rPr>
            </w:pPr>
            <w:r>
              <w:rPr>
                <w:rFonts w:hint="default" w:ascii="Times New Roman" w:hAnsi="Times New Roman" w:eastAsia="宋体" w:cs="Times New Roman"/>
                <w:b/>
                <w:bCs/>
                <w:color w:val="auto"/>
                <w:spacing w:val="0"/>
                <w:sz w:val="24"/>
                <w:szCs w:val="24"/>
                <w:lang w:val="en-US" w:eastAsia="zh-CN"/>
              </w:rPr>
              <w:t>1、施工布置</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after="0" w:line="360" w:lineRule="auto"/>
              <w:ind w:right="0" w:rightChars="0" w:firstLine="482" w:firstLineChars="200"/>
              <w:textAlignment w:val="baseline"/>
              <w:rPr>
                <w:rFonts w:hint="default" w:ascii="Times New Roman" w:hAnsi="Times New Roman" w:eastAsia="宋体" w:cs="Times New Roman"/>
                <w:b/>
                <w:bCs/>
                <w:color w:val="auto"/>
                <w:spacing w:val="0"/>
                <w:kern w:val="2"/>
                <w:sz w:val="24"/>
                <w:szCs w:val="24"/>
                <w:highlight w:val="none"/>
                <w:lang w:val="en-US" w:eastAsia="zh-CN" w:bidi="ar-SA"/>
              </w:rPr>
            </w:pPr>
            <w:r>
              <w:rPr>
                <w:rFonts w:hint="default" w:ascii="Times New Roman" w:hAnsi="Times New Roman" w:cs="Times New Roman"/>
                <w:b/>
                <w:bCs/>
                <w:color w:val="auto"/>
                <w:sz w:val="24"/>
                <w:szCs w:val="24"/>
              </w:rPr>
              <w:t>项目不设施工营地和设备维修站，工程建设所需设备维修、工人食宿均利用周边解决。</w:t>
            </w:r>
            <w:r>
              <w:rPr>
                <w:rFonts w:hint="default" w:ascii="Times New Roman" w:hAnsi="Times New Roman" w:cs="Times New Roman"/>
                <w:color w:val="auto"/>
                <w:sz w:val="24"/>
              </w:rPr>
              <w:t>项目</w:t>
            </w:r>
            <w:r>
              <w:rPr>
                <w:rFonts w:hint="default" w:ascii="Times New Roman" w:hAnsi="Times New Roman" w:cs="Times New Roman"/>
                <w:color w:val="auto"/>
                <w:sz w:val="24"/>
                <w:lang w:eastAsia="zh-CN"/>
              </w:rPr>
              <w:t>施工场地</w:t>
            </w:r>
            <w:r>
              <w:rPr>
                <w:rFonts w:hint="default" w:ascii="Times New Roman" w:hAnsi="Times New Roman" w:cs="Times New Roman"/>
                <w:color w:val="auto"/>
                <w:sz w:val="24"/>
                <w:szCs w:val="24"/>
              </w:rPr>
              <w:t>用于</w:t>
            </w:r>
            <w:r>
              <w:rPr>
                <w:rFonts w:hint="default" w:ascii="Times New Roman" w:hAnsi="Times New Roman" w:eastAsia="宋体" w:cs="Times New Roman"/>
                <w:color w:val="auto"/>
                <w:sz w:val="24"/>
                <w:szCs w:val="24"/>
              </w:rPr>
              <w:t>施工材料堆放、</w:t>
            </w:r>
            <w:r>
              <w:rPr>
                <w:rFonts w:hint="default" w:ascii="Times New Roman" w:hAnsi="Times New Roman" w:cs="Times New Roman"/>
                <w:color w:val="auto"/>
                <w:sz w:val="24"/>
                <w:szCs w:val="24"/>
              </w:rPr>
              <w:t>停放施工机械</w:t>
            </w:r>
            <w:r>
              <w:rPr>
                <w:rFonts w:hint="default" w:ascii="Times New Roman" w:hAnsi="Times New Roman" w:eastAsia="宋体" w:cs="Times New Roman"/>
                <w:color w:val="auto"/>
                <w:sz w:val="24"/>
                <w:szCs w:val="24"/>
              </w:rPr>
              <w:t>等</w:t>
            </w:r>
            <w:r>
              <w:rPr>
                <w:rFonts w:hint="default" w:ascii="Times New Roman" w:hAnsi="Times New Roman" w:cs="Times New Roman"/>
                <w:color w:val="auto"/>
                <w:sz w:val="24"/>
                <w:szCs w:val="24"/>
                <w:lang w:eastAsia="zh-CN"/>
              </w:rPr>
              <w:t>，不设置混凝土拌和站</w:t>
            </w:r>
            <w:r>
              <w:rPr>
                <w:rFonts w:hint="default" w:ascii="Times New Roman" w:hAnsi="Times New Roman" w:cs="Times New Roman"/>
                <w:color w:val="auto"/>
                <w:sz w:val="24"/>
                <w:szCs w:val="24"/>
              </w:rPr>
              <w:t>。</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after="0" w:line="360" w:lineRule="auto"/>
              <w:ind w:right="0" w:rightChars="0" w:firstLine="482" w:firstLineChars="200"/>
              <w:textAlignment w:val="baseline"/>
              <w:rPr>
                <w:rFonts w:hint="default" w:ascii="Times New Roman" w:hAnsi="Times New Roman" w:eastAsia="宋体" w:cs="Times New Roman"/>
                <w:b/>
                <w:bCs/>
                <w:color w:val="auto"/>
                <w:spacing w:val="0"/>
                <w:kern w:val="2"/>
                <w:sz w:val="24"/>
                <w:szCs w:val="24"/>
                <w:highlight w:val="none"/>
                <w:lang w:val="en-US" w:eastAsia="zh-CN" w:bidi="ar-SA"/>
              </w:rPr>
            </w:pPr>
            <w:r>
              <w:rPr>
                <w:rFonts w:hint="default" w:ascii="Times New Roman" w:hAnsi="Times New Roman" w:eastAsia="宋体" w:cs="Times New Roman"/>
                <w:b/>
                <w:bCs/>
                <w:color w:val="auto"/>
                <w:spacing w:val="0"/>
                <w:kern w:val="2"/>
                <w:sz w:val="24"/>
                <w:szCs w:val="24"/>
                <w:highlight w:val="none"/>
                <w:lang w:val="en-US" w:eastAsia="zh-CN" w:bidi="ar-SA"/>
              </w:rPr>
              <w:t>（1）</w:t>
            </w:r>
            <w:r>
              <w:rPr>
                <w:rFonts w:hint="eastAsia" w:ascii="Times New Roman" w:hAnsi="Times New Roman" w:eastAsia="宋体" w:cs="Times New Roman"/>
                <w:b/>
                <w:bCs/>
                <w:color w:val="auto"/>
                <w:spacing w:val="0"/>
                <w:kern w:val="2"/>
                <w:sz w:val="24"/>
                <w:szCs w:val="24"/>
                <w:highlight w:val="none"/>
                <w:lang w:val="en-US" w:eastAsia="zh-CN" w:bidi="ar-SA"/>
              </w:rPr>
              <w:t>施工场地</w:t>
            </w:r>
          </w:p>
          <w:p>
            <w:pPr>
              <w:keepNext w:val="0"/>
              <w:keepLines w:val="0"/>
              <w:pageBreakBefore w:val="0"/>
              <w:widowControl w:val="0"/>
              <w:kinsoku/>
              <w:wordWrap/>
              <w:overflowPunct/>
              <w:topLinePunct w:val="0"/>
              <w:autoSpaceDE/>
              <w:autoSpaceDN/>
              <w:bidi w:val="0"/>
              <w:adjustRightInd/>
              <w:snapToGrid/>
              <w:spacing w:line="360" w:lineRule="auto"/>
              <w:ind w:left="0" w:right="0" w:firstLine="482"/>
              <w:textAlignment w:val="auto"/>
              <w:rPr>
                <w:rFonts w:hint="default" w:ascii="Times New Roman" w:hAnsi="宋体" w:eastAsia="宋体" w:cs="Times New Roman"/>
                <w:snapToGrid w:val="0"/>
                <w:color w:val="auto"/>
                <w:kern w:val="0"/>
                <w:sz w:val="24"/>
                <w:highlight w:val="none"/>
                <w:lang w:eastAsia="zh-CN"/>
              </w:rPr>
            </w:pPr>
            <w:r>
              <w:rPr>
                <w:rFonts w:hint="default" w:ascii="Times New Roman" w:hAnsi="宋体" w:eastAsia="宋体" w:cs="Times New Roman"/>
                <w:snapToGrid w:val="0"/>
                <w:color w:val="auto"/>
                <w:kern w:val="0"/>
                <w:sz w:val="24"/>
                <w:szCs w:val="24"/>
                <w:highlight w:val="none"/>
                <w:lang w:eastAsia="zh-CN"/>
              </w:rPr>
              <w:t>临时占地主要为</w:t>
            </w:r>
            <w:r>
              <w:rPr>
                <w:rFonts w:hint="eastAsia" w:ascii="Times New Roman" w:hAnsi="宋体" w:eastAsia="宋体" w:cs="Times New Roman"/>
                <w:snapToGrid w:val="0"/>
                <w:color w:val="auto"/>
                <w:kern w:val="0"/>
                <w:sz w:val="24"/>
                <w:szCs w:val="24"/>
                <w:highlight w:val="none"/>
                <w:lang w:eastAsia="zh-CN"/>
              </w:rPr>
              <w:t>主体工程施工</w:t>
            </w:r>
            <w:r>
              <w:rPr>
                <w:rFonts w:hint="default" w:ascii="Times New Roman" w:hAnsi="宋体" w:eastAsia="宋体" w:cs="Times New Roman"/>
                <w:snapToGrid w:val="0"/>
                <w:color w:val="auto"/>
                <w:kern w:val="0"/>
                <w:sz w:val="24"/>
                <w:szCs w:val="24"/>
                <w:highlight w:val="none"/>
                <w:lang w:eastAsia="zh-CN"/>
              </w:rPr>
              <w:t>工区占地，</w:t>
            </w:r>
            <w:r>
              <w:rPr>
                <w:rFonts w:hint="eastAsia" w:ascii="Times New Roman" w:hAnsi="宋体" w:eastAsia="宋体" w:cs="Times New Roman"/>
                <w:snapToGrid w:val="0"/>
                <w:color w:val="auto"/>
                <w:kern w:val="0"/>
                <w:sz w:val="24"/>
                <w:szCs w:val="24"/>
                <w:highlight w:val="none"/>
                <w:lang w:val="en-US" w:eastAsia="zh-CN"/>
              </w:rPr>
              <w:t>在工程左右两岸分别设置一个施工工区，</w:t>
            </w:r>
            <w:r>
              <w:rPr>
                <w:rFonts w:hAnsi="宋体"/>
                <w:bCs/>
                <w:color w:val="auto"/>
                <w:sz w:val="24"/>
                <w:szCs w:val="24"/>
                <w:highlight w:val="none"/>
              </w:rPr>
              <w:t>左岸工区占地面积</w:t>
            </w:r>
            <w:r>
              <w:rPr>
                <w:rFonts w:hint="eastAsia"/>
                <w:bCs/>
                <w:color w:val="auto"/>
                <w:sz w:val="24"/>
                <w:szCs w:val="24"/>
                <w:highlight w:val="none"/>
                <w:lang w:val="en-US" w:eastAsia="zh-CN"/>
              </w:rPr>
              <w:t>500m</w:t>
            </w:r>
            <w:r>
              <w:rPr>
                <w:rFonts w:hint="eastAsia"/>
                <w:bCs/>
                <w:color w:val="auto"/>
                <w:sz w:val="24"/>
                <w:szCs w:val="24"/>
                <w:highlight w:val="none"/>
                <w:vertAlign w:val="superscript"/>
                <w:lang w:val="en-US" w:eastAsia="zh-CN"/>
              </w:rPr>
              <w:t>2</w:t>
            </w:r>
            <w:r>
              <w:rPr>
                <w:rFonts w:hAnsi="宋体"/>
                <w:bCs/>
                <w:color w:val="auto"/>
                <w:sz w:val="24"/>
                <w:szCs w:val="24"/>
                <w:highlight w:val="none"/>
              </w:rPr>
              <w:t>，右岸工区占地面积</w:t>
            </w:r>
            <w:r>
              <w:rPr>
                <w:bCs/>
                <w:color w:val="auto"/>
                <w:sz w:val="24"/>
                <w:szCs w:val="24"/>
                <w:highlight w:val="none"/>
              </w:rPr>
              <w:t>1</w:t>
            </w:r>
            <w:r>
              <w:rPr>
                <w:rFonts w:hint="eastAsia"/>
                <w:bCs/>
                <w:color w:val="auto"/>
                <w:sz w:val="24"/>
                <w:szCs w:val="24"/>
                <w:highlight w:val="none"/>
                <w:lang w:val="en-US" w:eastAsia="zh-CN"/>
              </w:rPr>
              <w:t>000m</w:t>
            </w:r>
            <w:r>
              <w:rPr>
                <w:rFonts w:hint="eastAsia"/>
                <w:bCs/>
                <w:color w:val="auto"/>
                <w:sz w:val="24"/>
                <w:szCs w:val="24"/>
                <w:highlight w:val="none"/>
                <w:vertAlign w:val="superscript"/>
                <w:lang w:val="en-US" w:eastAsia="zh-CN"/>
              </w:rPr>
              <w:t>2</w:t>
            </w:r>
            <w:r>
              <w:rPr>
                <w:rFonts w:hint="eastAsia"/>
                <w:bCs/>
                <w:color w:val="auto"/>
                <w:sz w:val="24"/>
                <w:szCs w:val="24"/>
                <w:highlight w:val="none"/>
                <w:lang w:eastAsia="zh-CN"/>
              </w:rPr>
              <w:t>，</w:t>
            </w:r>
            <w:r>
              <w:rPr>
                <w:rFonts w:hint="default" w:ascii="Times New Roman" w:hAnsi="宋体" w:eastAsia="宋体" w:cs="Times New Roman"/>
                <w:snapToGrid w:val="0"/>
                <w:color w:val="auto"/>
                <w:kern w:val="0"/>
                <w:sz w:val="24"/>
                <w:szCs w:val="24"/>
                <w:highlight w:val="none"/>
                <w:lang w:eastAsia="zh-CN"/>
              </w:rPr>
              <w:t>共计</w:t>
            </w:r>
            <w:r>
              <w:rPr>
                <w:rFonts w:hint="eastAsia" w:ascii="Times New Roman" w:hAnsi="宋体" w:eastAsia="宋体" w:cs="Times New Roman"/>
                <w:snapToGrid w:val="0"/>
                <w:color w:val="auto"/>
                <w:kern w:val="0"/>
                <w:sz w:val="24"/>
                <w:szCs w:val="24"/>
                <w:highlight w:val="none"/>
                <w:lang w:val="en-US" w:eastAsia="zh-CN"/>
              </w:rPr>
              <w:t>1500</w:t>
            </w:r>
            <w:r>
              <w:rPr>
                <w:rFonts w:hint="eastAsia"/>
                <w:bCs/>
                <w:color w:val="auto"/>
                <w:sz w:val="24"/>
                <w:szCs w:val="24"/>
                <w:highlight w:val="none"/>
                <w:lang w:val="en-US" w:eastAsia="zh-CN"/>
              </w:rPr>
              <w:t>m</w:t>
            </w:r>
            <w:r>
              <w:rPr>
                <w:rFonts w:hint="eastAsia"/>
                <w:bCs/>
                <w:color w:val="auto"/>
                <w:sz w:val="24"/>
                <w:szCs w:val="24"/>
                <w:highlight w:val="none"/>
                <w:vertAlign w:val="superscript"/>
                <w:lang w:val="en-US" w:eastAsia="zh-CN"/>
              </w:rPr>
              <w:t>2</w:t>
            </w:r>
            <w:r>
              <w:rPr>
                <w:rFonts w:hint="default" w:ascii="Times New Roman" w:hAnsi="宋体" w:eastAsia="宋体" w:cs="Times New Roman"/>
                <w:snapToGrid w:val="0"/>
                <w:color w:val="auto"/>
                <w:kern w:val="0"/>
                <w:sz w:val="24"/>
                <w:szCs w:val="24"/>
                <w:highlight w:val="none"/>
                <w:lang w:eastAsia="zh-CN"/>
              </w:rPr>
              <w:t>。</w:t>
            </w:r>
            <w:r>
              <w:rPr>
                <w:rFonts w:hint="eastAsia" w:ascii="Times New Roman" w:hAnsi="宋体" w:eastAsia="宋体" w:cs="Times New Roman"/>
                <w:snapToGrid w:val="0"/>
                <w:color w:val="auto"/>
                <w:kern w:val="0"/>
                <w:sz w:val="24"/>
                <w:szCs w:val="24"/>
                <w:highlight w:val="none"/>
                <w:lang w:val="en-US" w:eastAsia="zh-CN"/>
              </w:rPr>
              <w:t>施工场地雨污分流，设置隔油沉淀池，设置表土临时堆场及疏浚料渗滤液沉淀池，施工废水经隔油沉淀池处理后回用于生产或用作场地洒水降尘，不外排</w:t>
            </w:r>
            <w:r>
              <w:rPr>
                <w:rFonts w:ascii="宋体" w:hAnsi="宋体" w:eastAsia="宋体" w:cs="宋体"/>
                <w:spacing w:val="9"/>
                <w:sz w:val="24"/>
                <w:szCs w:val="24"/>
              </w:rPr>
              <w:t>，沿施工场地设置雨水沟，初期雨水</w:t>
            </w:r>
            <w:r>
              <w:rPr>
                <w:rFonts w:ascii="宋体" w:hAnsi="宋体" w:eastAsia="宋体" w:cs="宋体"/>
                <w:spacing w:val="18"/>
                <w:sz w:val="24"/>
                <w:szCs w:val="24"/>
              </w:rPr>
              <w:t>经雨</w:t>
            </w:r>
            <w:r>
              <w:rPr>
                <w:rFonts w:ascii="宋体" w:hAnsi="宋体" w:eastAsia="宋体" w:cs="宋体"/>
                <w:spacing w:val="15"/>
                <w:sz w:val="24"/>
                <w:szCs w:val="24"/>
              </w:rPr>
              <w:t>水</w:t>
            </w:r>
            <w:r>
              <w:rPr>
                <w:rFonts w:ascii="宋体" w:hAnsi="宋体" w:eastAsia="宋体" w:cs="宋体"/>
                <w:spacing w:val="9"/>
                <w:sz w:val="24"/>
                <w:szCs w:val="24"/>
              </w:rPr>
              <w:t>沟收集后引入隔油沉淀池处理后回用于生产或用于洒水降尘；</w:t>
            </w:r>
            <w:r>
              <w:rPr>
                <w:rFonts w:hint="eastAsia" w:ascii="宋体" w:hAnsi="宋体" w:eastAsia="宋体" w:cs="宋体"/>
                <w:spacing w:val="9"/>
                <w:sz w:val="24"/>
                <w:szCs w:val="24"/>
                <w:lang w:val="en-US" w:eastAsia="zh-CN"/>
              </w:rPr>
              <w:t>疏浚料渗滤液引入三级沉淀池沉淀后</w:t>
            </w:r>
            <w:r>
              <w:rPr>
                <w:rFonts w:hint="default" w:ascii="宋体" w:hAnsi="宋体" w:eastAsia="宋体" w:cs="宋体"/>
                <w:spacing w:val="9"/>
                <w:sz w:val="24"/>
                <w:szCs w:val="24"/>
                <w:lang w:val="en-US" w:eastAsia="zh-CN"/>
              </w:rPr>
              <w:t>澄清水回用于疏浚料运输线路洒水降尘、工程车辆冲洗等</w:t>
            </w:r>
            <w:r>
              <w:rPr>
                <w:rFonts w:hint="eastAsia" w:ascii="宋体" w:hAnsi="宋体" w:eastAsia="宋体" w:cs="宋体"/>
                <w:spacing w:val="9"/>
                <w:sz w:val="24"/>
                <w:szCs w:val="24"/>
                <w:lang w:val="en-US" w:eastAsia="zh-CN"/>
              </w:rPr>
              <w:t>，不外排</w:t>
            </w:r>
            <w:r>
              <w:rPr>
                <w:rFonts w:hint="eastAsia" w:ascii="宋体" w:hAnsi="宋体" w:eastAsia="宋体" w:cs="宋体"/>
                <w:spacing w:val="9"/>
                <w:sz w:val="24"/>
                <w:szCs w:val="24"/>
                <w:lang w:eastAsia="zh-CN"/>
              </w:rPr>
              <w:t>；</w:t>
            </w:r>
            <w:r>
              <w:rPr>
                <w:rFonts w:ascii="宋体" w:hAnsi="宋体" w:eastAsia="宋体" w:cs="宋体"/>
                <w:spacing w:val="9"/>
                <w:sz w:val="24"/>
                <w:szCs w:val="24"/>
              </w:rPr>
              <w:t>沿施工场地设</w:t>
            </w:r>
            <w:r>
              <w:rPr>
                <w:rFonts w:ascii="宋体" w:hAnsi="宋体" w:eastAsia="宋体" w:cs="宋体"/>
                <w:spacing w:val="15"/>
                <w:sz w:val="24"/>
                <w:szCs w:val="24"/>
              </w:rPr>
              <w:t>置</w:t>
            </w:r>
            <w:r>
              <w:rPr>
                <w:rFonts w:ascii="宋体" w:hAnsi="宋体" w:eastAsia="宋体" w:cs="宋体"/>
                <w:spacing w:val="9"/>
                <w:sz w:val="24"/>
                <w:szCs w:val="24"/>
              </w:rPr>
              <w:t>围挡，堆场设置防尘网，进出口设置车辆冲洗装置。</w:t>
            </w:r>
            <w:r>
              <w:rPr>
                <w:rFonts w:hint="default" w:ascii="Times New Roman" w:hAnsi="Times New Roman" w:eastAsia="宋体" w:cs="Times New Roman"/>
                <w:b w:val="0"/>
                <w:bCs w:val="0"/>
                <w:color w:val="auto"/>
                <w:spacing w:val="0"/>
                <w:kern w:val="2"/>
                <w:sz w:val="24"/>
                <w:szCs w:val="24"/>
                <w:highlight w:val="none"/>
                <w:lang w:val="en-US" w:eastAsia="zh-CN" w:bidi="ar-SA"/>
              </w:rPr>
              <w:t>项目完成后，对临时占地进行有效的场地恢复。</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after="0" w:line="240" w:lineRule="auto"/>
              <w:ind w:right="0" w:rightChars="0" w:firstLine="422" w:firstLineChars="200"/>
              <w:jc w:val="center"/>
              <w:textAlignment w:val="baseline"/>
              <w:rPr>
                <w:rFonts w:hint="eastAsia" w:ascii="Times New Roman" w:hAnsi="Times New Roman" w:eastAsia="宋体" w:cs="Times New Roman"/>
                <w:b/>
                <w:bCs/>
                <w:color w:val="auto"/>
                <w:spacing w:val="0"/>
                <w:kern w:val="2"/>
                <w:sz w:val="21"/>
                <w:szCs w:val="21"/>
                <w:highlight w:val="none"/>
                <w:lang w:val="en-US" w:eastAsia="zh-CN" w:bidi="ar-SA"/>
              </w:rPr>
            </w:pPr>
            <w:r>
              <w:rPr>
                <w:rFonts w:hint="eastAsia" w:ascii="Times New Roman" w:hAnsi="Times New Roman" w:eastAsia="宋体" w:cs="Times New Roman"/>
                <w:b/>
                <w:bCs/>
                <w:color w:val="auto"/>
                <w:spacing w:val="0"/>
                <w:kern w:val="2"/>
                <w:sz w:val="21"/>
                <w:szCs w:val="21"/>
                <w:highlight w:val="none"/>
                <w:lang w:val="en-US" w:eastAsia="zh-CN" w:bidi="ar-SA"/>
              </w:rPr>
              <w:t>表2-5  工程占地特性表  单位：亩</w:t>
            </w:r>
          </w:p>
          <w:tbl>
            <w:tblPr>
              <w:tblStyle w:val="3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
              <w:gridCol w:w="1028"/>
              <w:gridCol w:w="558"/>
              <w:gridCol w:w="751"/>
              <w:gridCol w:w="636"/>
              <w:gridCol w:w="696"/>
              <w:gridCol w:w="689"/>
              <w:gridCol w:w="585"/>
              <w:gridCol w:w="585"/>
              <w:gridCol w:w="650"/>
              <w:gridCol w:w="8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211" w:type="pct"/>
                  <w:gridSpan w:val="2"/>
                  <w:vMerge w:val="restar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Style w:val="253"/>
                      <w:rFonts w:eastAsia="仿宋_GB2312"/>
                      <w:b w:val="0"/>
                      <w:color w:val="000000"/>
                      <w:sz w:val="21"/>
                      <w:szCs w:val="21"/>
                    </w:rPr>
                  </w:pPr>
                  <w:r>
                    <w:rPr>
                      <w:rFonts w:eastAsia="仿宋_GB2312"/>
                      <w:color w:val="000000"/>
                      <w:sz w:val="21"/>
                      <w:szCs w:val="21"/>
                    </w:rPr>
                    <w:t>区域</w:t>
                  </w:r>
                </w:p>
              </w:tc>
              <w:tc>
                <w:tcPr>
                  <w:tcW w:w="364" w:type="pc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Style w:val="253"/>
                      <w:rFonts w:eastAsia="仿宋_GB2312"/>
                      <w:b w:val="0"/>
                      <w:color w:val="000000"/>
                      <w:sz w:val="21"/>
                      <w:szCs w:val="21"/>
                    </w:rPr>
                  </w:pPr>
                  <w:r>
                    <w:rPr>
                      <w:rStyle w:val="253"/>
                      <w:rFonts w:hint="eastAsia" w:eastAsia="仿宋_GB2312"/>
                      <w:b w:val="0"/>
                      <w:color w:val="000000"/>
                      <w:sz w:val="21"/>
                      <w:szCs w:val="21"/>
                    </w:rPr>
                    <w:t>耕地</w:t>
                  </w:r>
                </w:p>
              </w:tc>
              <w:tc>
                <w:tcPr>
                  <w:tcW w:w="487" w:type="pc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Fonts w:hint="eastAsia" w:eastAsia="仿宋_GB2312"/>
                      <w:color w:val="000000"/>
                      <w:sz w:val="21"/>
                      <w:szCs w:val="21"/>
                    </w:rPr>
                  </w:pPr>
                  <w:r>
                    <w:rPr>
                      <w:rFonts w:hint="eastAsia" w:eastAsia="仿宋_GB2312"/>
                      <w:color w:val="000000"/>
                      <w:sz w:val="21"/>
                      <w:szCs w:val="21"/>
                    </w:rPr>
                    <w:t>林地</w:t>
                  </w:r>
                </w:p>
              </w:tc>
              <w:tc>
                <w:tcPr>
                  <w:tcW w:w="414" w:type="pc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Fonts w:hint="eastAsia" w:eastAsia="仿宋_GB2312"/>
                      <w:color w:val="000000"/>
                      <w:sz w:val="21"/>
                      <w:szCs w:val="21"/>
                    </w:rPr>
                  </w:pPr>
                  <w:r>
                    <w:rPr>
                      <w:rFonts w:hint="eastAsia" w:eastAsia="仿宋_GB2312"/>
                      <w:color w:val="000000"/>
                      <w:sz w:val="21"/>
                      <w:szCs w:val="21"/>
                    </w:rPr>
                    <w:t>草地</w:t>
                  </w:r>
                </w:p>
              </w:tc>
              <w:tc>
                <w:tcPr>
                  <w:tcW w:w="452" w:type="pc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Fonts w:hint="eastAsia" w:eastAsia="仿宋_GB2312"/>
                      <w:color w:val="000000"/>
                      <w:sz w:val="21"/>
                      <w:szCs w:val="21"/>
                      <w:lang w:eastAsia="zh-CN"/>
                    </w:rPr>
                  </w:pPr>
                  <w:r>
                    <w:rPr>
                      <w:rFonts w:hint="eastAsia" w:eastAsia="仿宋_GB2312"/>
                      <w:color w:val="000000"/>
                      <w:sz w:val="21"/>
                      <w:szCs w:val="21"/>
                      <w:lang w:eastAsia="zh-CN"/>
                    </w:rPr>
                    <w:t>其他</w:t>
                  </w:r>
                </w:p>
                <w:p>
                  <w:pPr>
                    <w:keepNext w:val="0"/>
                    <w:keepLines w:val="0"/>
                    <w:pageBreakBefore w:val="0"/>
                    <w:tabs>
                      <w:tab w:val="right" w:leader="dot" w:pos="8441"/>
                    </w:tabs>
                    <w:kinsoku/>
                    <w:wordWrap/>
                    <w:overflowPunct/>
                    <w:topLinePunct w:val="0"/>
                    <w:bidi w:val="0"/>
                    <w:snapToGrid w:val="0"/>
                    <w:spacing w:line="240" w:lineRule="auto"/>
                    <w:ind w:firstLine="0"/>
                    <w:jc w:val="center"/>
                    <w:rPr>
                      <w:rFonts w:hint="eastAsia" w:eastAsia="仿宋_GB2312"/>
                      <w:color w:val="000000"/>
                      <w:sz w:val="21"/>
                      <w:szCs w:val="21"/>
                      <w:lang w:eastAsia="zh-CN"/>
                    </w:rPr>
                  </w:pPr>
                  <w:r>
                    <w:rPr>
                      <w:rFonts w:hint="eastAsia" w:eastAsia="仿宋_GB2312"/>
                      <w:color w:val="000000"/>
                      <w:sz w:val="21"/>
                      <w:szCs w:val="21"/>
                      <w:lang w:eastAsia="zh-CN"/>
                    </w:rPr>
                    <w:t>土地</w:t>
                  </w:r>
                </w:p>
              </w:tc>
              <w:tc>
                <w:tcPr>
                  <w:tcW w:w="1120" w:type="pct"/>
                  <w:gridSpan w:val="3"/>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Style w:val="253"/>
                      <w:rFonts w:eastAsia="仿宋_GB2312"/>
                      <w:b w:val="0"/>
                      <w:color w:val="000000"/>
                      <w:sz w:val="21"/>
                      <w:szCs w:val="21"/>
                    </w:rPr>
                  </w:pPr>
                  <w:r>
                    <w:rPr>
                      <w:rFonts w:eastAsia="仿宋_GB2312"/>
                      <w:color w:val="000000"/>
                      <w:sz w:val="21"/>
                      <w:szCs w:val="21"/>
                    </w:rPr>
                    <w:t>水域及水利设施用地</w:t>
                  </w:r>
                </w:p>
              </w:tc>
              <w:tc>
                <w:tcPr>
                  <w:tcW w:w="422" w:type="pct"/>
                  <w:vMerge w:val="restar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Style w:val="253"/>
                      <w:rFonts w:eastAsia="仿宋_GB2312"/>
                      <w:b w:val="0"/>
                      <w:color w:val="000000"/>
                      <w:sz w:val="21"/>
                      <w:szCs w:val="21"/>
                    </w:rPr>
                  </w:pPr>
                  <w:r>
                    <w:rPr>
                      <w:rFonts w:eastAsia="仿宋_GB2312"/>
                      <w:color w:val="000000"/>
                      <w:sz w:val="21"/>
                      <w:szCs w:val="21"/>
                    </w:rPr>
                    <w:t>合计</w:t>
                  </w:r>
                </w:p>
              </w:tc>
              <w:tc>
                <w:tcPr>
                  <w:tcW w:w="526" w:type="pct"/>
                  <w:vMerge w:val="restar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Style w:val="253"/>
                      <w:rFonts w:eastAsia="仿宋_GB2312"/>
                      <w:b w:val="0"/>
                      <w:color w:val="000000"/>
                      <w:sz w:val="21"/>
                      <w:szCs w:val="21"/>
                    </w:rPr>
                  </w:pPr>
                  <w:r>
                    <w:rPr>
                      <w:rFonts w:eastAsia="仿宋_GB2312"/>
                      <w:color w:val="000000"/>
                      <w:sz w:val="21"/>
                      <w:szCs w:val="21"/>
                    </w:rPr>
                    <w:t>占地性质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1211" w:type="pct"/>
                  <w:gridSpan w:val="2"/>
                  <w:vMerge w:val="continue"/>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Style w:val="253"/>
                      <w:rFonts w:eastAsia="仿宋_GB2312"/>
                      <w:b w:val="0"/>
                      <w:color w:val="000000"/>
                      <w:sz w:val="21"/>
                      <w:szCs w:val="21"/>
                    </w:rPr>
                  </w:pPr>
                </w:p>
              </w:tc>
              <w:tc>
                <w:tcPr>
                  <w:tcW w:w="364" w:type="pc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Style w:val="253"/>
                      <w:rFonts w:eastAsia="仿宋_GB2312"/>
                      <w:b w:val="0"/>
                      <w:color w:val="000000"/>
                      <w:sz w:val="21"/>
                      <w:szCs w:val="21"/>
                    </w:rPr>
                  </w:pPr>
                  <w:r>
                    <w:rPr>
                      <w:rStyle w:val="253"/>
                      <w:rFonts w:hint="eastAsia" w:eastAsia="仿宋_GB2312"/>
                      <w:b w:val="0"/>
                      <w:color w:val="000000"/>
                      <w:sz w:val="21"/>
                      <w:szCs w:val="21"/>
                    </w:rPr>
                    <w:t>旱地</w:t>
                  </w:r>
                </w:p>
              </w:tc>
              <w:tc>
                <w:tcPr>
                  <w:tcW w:w="487" w:type="pc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Fonts w:hint="eastAsia" w:eastAsia="仿宋_GB2312"/>
                      <w:color w:val="000000"/>
                      <w:sz w:val="21"/>
                      <w:szCs w:val="21"/>
                    </w:rPr>
                  </w:pPr>
                  <w:r>
                    <w:rPr>
                      <w:rFonts w:hint="eastAsia" w:eastAsia="仿宋_GB2312"/>
                      <w:color w:val="000000"/>
                      <w:sz w:val="21"/>
                      <w:szCs w:val="21"/>
                    </w:rPr>
                    <w:t>竹林地</w:t>
                  </w:r>
                </w:p>
              </w:tc>
              <w:tc>
                <w:tcPr>
                  <w:tcW w:w="414" w:type="pc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Fonts w:hint="eastAsia" w:eastAsia="仿宋_GB2312"/>
                      <w:color w:val="000000"/>
                      <w:sz w:val="21"/>
                      <w:szCs w:val="21"/>
                    </w:rPr>
                  </w:pPr>
                  <w:r>
                    <w:rPr>
                      <w:rFonts w:hint="eastAsia" w:eastAsia="仿宋_GB2312"/>
                      <w:color w:val="000000"/>
                      <w:sz w:val="21"/>
                      <w:szCs w:val="21"/>
                    </w:rPr>
                    <w:t>其他</w:t>
                  </w:r>
                </w:p>
                <w:p>
                  <w:pPr>
                    <w:keepNext w:val="0"/>
                    <w:keepLines w:val="0"/>
                    <w:pageBreakBefore w:val="0"/>
                    <w:tabs>
                      <w:tab w:val="right" w:leader="dot" w:pos="8441"/>
                    </w:tabs>
                    <w:kinsoku/>
                    <w:wordWrap/>
                    <w:overflowPunct/>
                    <w:topLinePunct w:val="0"/>
                    <w:bidi w:val="0"/>
                    <w:snapToGrid w:val="0"/>
                    <w:spacing w:line="240" w:lineRule="auto"/>
                    <w:ind w:firstLine="0"/>
                    <w:jc w:val="center"/>
                    <w:rPr>
                      <w:rFonts w:hint="eastAsia" w:eastAsia="仿宋_GB2312"/>
                      <w:color w:val="000000"/>
                      <w:sz w:val="21"/>
                      <w:szCs w:val="21"/>
                    </w:rPr>
                  </w:pPr>
                  <w:r>
                    <w:rPr>
                      <w:rFonts w:hint="eastAsia" w:eastAsia="仿宋_GB2312"/>
                      <w:color w:val="000000"/>
                      <w:sz w:val="21"/>
                      <w:szCs w:val="21"/>
                    </w:rPr>
                    <w:t>草地</w:t>
                  </w:r>
                </w:p>
              </w:tc>
              <w:tc>
                <w:tcPr>
                  <w:tcW w:w="452" w:type="pc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Fonts w:hint="eastAsia" w:eastAsia="仿宋_GB2312"/>
                      <w:color w:val="000000"/>
                      <w:sz w:val="21"/>
                      <w:szCs w:val="21"/>
                      <w:lang w:eastAsia="zh-CN"/>
                    </w:rPr>
                  </w:pPr>
                  <w:r>
                    <w:rPr>
                      <w:rFonts w:hint="eastAsia" w:eastAsia="仿宋_GB2312"/>
                      <w:color w:val="000000"/>
                      <w:sz w:val="21"/>
                      <w:szCs w:val="21"/>
                      <w:lang w:eastAsia="zh-CN"/>
                    </w:rPr>
                    <w:t>空闲地</w:t>
                  </w:r>
                </w:p>
              </w:tc>
              <w:tc>
                <w:tcPr>
                  <w:tcW w:w="447" w:type="pc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Fonts w:eastAsia="仿宋_GB2312"/>
                      <w:color w:val="000000"/>
                      <w:sz w:val="21"/>
                      <w:szCs w:val="21"/>
                    </w:rPr>
                  </w:pPr>
                  <w:r>
                    <w:rPr>
                      <w:rFonts w:eastAsia="仿宋_GB2312"/>
                      <w:color w:val="000000"/>
                      <w:sz w:val="21"/>
                      <w:szCs w:val="21"/>
                    </w:rPr>
                    <w:t>内陆</w:t>
                  </w:r>
                </w:p>
                <w:p>
                  <w:pPr>
                    <w:keepNext w:val="0"/>
                    <w:keepLines w:val="0"/>
                    <w:pageBreakBefore w:val="0"/>
                    <w:tabs>
                      <w:tab w:val="right" w:leader="dot" w:pos="8441"/>
                    </w:tabs>
                    <w:kinsoku/>
                    <w:wordWrap/>
                    <w:overflowPunct/>
                    <w:topLinePunct w:val="0"/>
                    <w:bidi w:val="0"/>
                    <w:snapToGrid w:val="0"/>
                    <w:spacing w:line="240" w:lineRule="auto"/>
                    <w:ind w:firstLine="0"/>
                    <w:jc w:val="center"/>
                    <w:rPr>
                      <w:rStyle w:val="253"/>
                      <w:rFonts w:eastAsia="仿宋_GB2312"/>
                      <w:b w:val="0"/>
                      <w:color w:val="000000"/>
                      <w:sz w:val="21"/>
                      <w:szCs w:val="21"/>
                    </w:rPr>
                  </w:pPr>
                  <w:r>
                    <w:rPr>
                      <w:rFonts w:eastAsia="仿宋_GB2312"/>
                      <w:color w:val="000000"/>
                      <w:sz w:val="21"/>
                      <w:szCs w:val="21"/>
                    </w:rPr>
                    <w:t>滩涂</w:t>
                  </w:r>
                </w:p>
              </w:tc>
              <w:tc>
                <w:tcPr>
                  <w:tcW w:w="328" w:type="pc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Fonts w:eastAsia="仿宋_GB2312"/>
                      <w:color w:val="000000"/>
                      <w:sz w:val="21"/>
                      <w:szCs w:val="21"/>
                    </w:rPr>
                  </w:pPr>
                  <w:r>
                    <w:rPr>
                      <w:rFonts w:hint="eastAsia" w:eastAsia="仿宋_GB2312"/>
                      <w:color w:val="000000"/>
                      <w:sz w:val="21"/>
                      <w:szCs w:val="21"/>
                    </w:rPr>
                    <w:t>水面面积</w:t>
                  </w:r>
                </w:p>
              </w:tc>
              <w:tc>
                <w:tcPr>
                  <w:tcW w:w="344" w:type="pc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Fonts w:hint="eastAsia" w:eastAsia="仿宋_GB2312"/>
                      <w:color w:val="000000"/>
                      <w:sz w:val="21"/>
                      <w:szCs w:val="21"/>
                    </w:rPr>
                  </w:pPr>
                  <w:r>
                    <w:rPr>
                      <w:rFonts w:hint="eastAsia" w:eastAsia="仿宋_GB2312"/>
                      <w:color w:val="000000"/>
                      <w:sz w:val="21"/>
                      <w:szCs w:val="21"/>
                    </w:rPr>
                    <w:t>沟渠</w:t>
                  </w:r>
                </w:p>
              </w:tc>
              <w:tc>
                <w:tcPr>
                  <w:tcW w:w="422" w:type="pct"/>
                  <w:vMerge w:val="continue"/>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Style w:val="253"/>
                      <w:rFonts w:eastAsia="仿宋_GB2312"/>
                      <w:b w:val="0"/>
                      <w:color w:val="000000"/>
                      <w:sz w:val="21"/>
                      <w:szCs w:val="21"/>
                    </w:rPr>
                  </w:pPr>
                </w:p>
              </w:tc>
              <w:tc>
                <w:tcPr>
                  <w:tcW w:w="526" w:type="pct"/>
                  <w:vMerge w:val="continue"/>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Style w:val="253"/>
                      <w:rFonts w:eastAsia="仿宋_GB2312"/>
                      <w:b w:val="0"/>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547" w:type="pct"/>
                  <w:vMerge w:val="restar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Style w:val="253"/>
                      <w:rFonts w:eastAsia="仿宋_GB2312"/>
                      <w:b w:val="0"/>
                      <w:color w:val="000000"/>
                      <w:sz w:val="21"/>
                      <w:szCs w:val="21"/>
                    </w:rPr>
                  </w:pPr>
                  <w:r>
                    <w:rPr>
                      <w:rFonts w:eastAsia="仿宋_GB2312"/>
                      <w:color w:val="000000"/>
                      <w:sz w:val="21"/>
                      <w:szCs w:val="21"/>
                    </w:rPr>
                    <w:t>主体工程区</w:t>
                  </w:r>
                </w:p>
              </w:tc>
              <w:tc>
                <w:tcPr>
                  <w:tcW w:w="663" w:type="pc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Fonts w:hint="eastAsia" w:eastAsia="仿宋_GB2312"/>
                      <w:color w:val="000000"/>
                      <w:sz w:val="21"/>
                      <w:szCs w:val="21"/>
                    </w:rPr>
                  </w:pPr>
                  <w:r>
                    <w:rPr>
                      <w:rFonts w:hint="eastAsia" w:eastAsia="仿宋_GB2312"/>
                      <w:color w:val="000000"/>
                      <w:sz w:val="21"/>
                      <w:szCs w:val="21"/>
                    </w:rPr>
                    <w:t>枢纽工程区</w:t>
                  </w:r>
                </w:p>
              </w:tc>
              <w:tc>
                <w:tcPr>
                  <w:tcW w:w="364"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487"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0.07</w:t>
                  </w:r>
                </w:p>
              </w:tc>
              <w:tc>
                <w:tcPr>
                  <w:tcW w:w="414"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0.65</w:t>
                  </w:r>
                </w:p>
              </w:tc>
              <w:tc>
                <w:tcPr>
                  <w:tcW w:w="452"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000000"/>
                      <w:sz w:val="21"/>
                      <w:szCs w:val="21"/>
                    </w:rPr>
                  </w:pPr>
                  <w:r>
                    <w:rPr>
                      <w:rFonts w:hint="default" w:ascii="Times New Roman" w:hAnsi="Times New Roman" w:eastAsia="仿宋_GB2312" w:cs="Times New Roman"/>
                      <w:i w:val="0"/>
                      <w:iCs w:val="0"/>
                      <w:color w:val="000000"/>
                      <w:kern w:val="0"/>
                      <w:sz w:val="21"/>
                      <w:szCs w:val="21"/>
                      <w:u w:val="none"/>
                      <w:lang w:val="en-US" w:eastAsia="zh-CN" w:bidi="ar"/>
                    </w:rPr>
                    <w:t>0</w:t>
                  </w:r>
                </w:p>
              </w:tc>
              <w:tc>
                <w:tcPr>
                  <w:tcW w:w="447"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0.32</w:t>
                  </w:r>
                </w:p>
              </w:tc>
              <w:tc>
                <w:tcPr>
                  <w:tcW w:w="328"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1.19</w:t>
                  </w:r>
                </w:p>
              </w:tc>
              <w:tc>
                <w:tcPr>
                  <w:tcW w:w="344"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422"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2.23</w:t>
                  </w:r>
                </w:p>
              </w:tc>
              <w:tc>
                <w:tcPr>
                  <w:tcW w:w="526" w:type="pc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Style w:val="253"/>
                      <w:rFonts w:eastAsia="仿宋_GB2312"/>
                      <w:b w:val="0"/>
                      <w:color w:val="000000"/>
                      <w:sz w:val="21"/>
                      <w:szCs w:val="21"/>
                    </w:rPr>
                  </w:pPr>
                  <w:r>
                    <w:rPr>
                      <w:rStyle w:val="253"/>
                      <w:rFonts w:eastAsia="仿宋_GB2312"/>
                      <w:b w:val="0"/>
                      <w:color w:val="000000"/>
                      <w:sz w:val="21"/>
                      <w:szCs w:val="21"/>
                    </w:rPr>
                    <w:t>永久占地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547" w:type="pct"/>
                  <w:vMerge w:val="continue"/>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Fonts w:eastAsia="仿宋_GB2312"/>
                      <w:color w:val="000000"/>
                      <w:sz w:val="21"/>
                      <w:szCs w:val="21"/>
                    </w:rPr>
                  </w:pPr>
                </w:p>
              </w:tc>
              <w:tc>
                <w:tcPr>
                  <w:tcW w:w="663" w:type="pc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Fonts w:hint="eastAsia" w:eastAsia="仿宋_GB2312"/>
                      <w:color w:val="000000"/>
                      <w:sz w:val="21"/>
                      <w:szCs w:val="21"/>
                    </w:rPr>
                  </w:pPr>
                  <w:r>
                    <w:rPr>
                      <w:rFonts w:hint="eastAsia" w:eastAsia="仿宋_GB2312"/>
                      <w:color w:val="000000"/>
                      <w:sz w:val="21"/>
                      <w:szCs w:val="21"/>
                    </w:rPr>
                    <w:t>渠道工程区</w:t>
                  </w:r>
                </w:p>
              </w:tc>
              <w:tc>
                <w:tcPr>
                  <w:tcW w:w="364"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487"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0.14</w:t>
                  </w:r>
                </w:p>
              </w:tc>
              <w:tc>
                <w:tcPr>
                  <w:tcW w:w="414"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452"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000000"/>
                      <w:sz w:val="21"/>
                      <w:szCs w:val="21"/>
                    </w:rPr>
                  </w:pPr>
                  <w:r>
                    <w:rPr>
                      <w:rFonts w:hint="default" w:ascii="Times New Roman" w:hAnsi="Times New Roman" w:eastAsia="仿宋_GB2312" w:cs="Times New Roman"/>
                      <w:i w:val="0"/>
                      <w:iCs w:val="0"/>
                      <w:color w:val="000000"/>
                      <w:kern w:val="0"/>
                      <w:sz w:val="21"/>
                      <w:szCs w:val="21"/>
                      <w:u w:val="none"/>
                      <w:lang w:val="en-US" w:eastAsia="zh-CN" w:bidi="ar"/>
                    </w:rPr>
                    <w:t>0</w:t>
                  </w:r>
                </w:p>
              </w:tc>
              <w:tc>
                <w:tcPr>
                  <w:tcW w:w="447"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328"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344"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0.39</w:t>
                  </w:r>
                </w:p>
              </w:tc>
              <w:tc>
                <w:tcPr>
                  <w:tcW w:w="422"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0.53</w:t>
                  </w:r>
                </w:p>
              </w:tc>
              <w:tc>
                <w:tcPr>
                  <w:tcW w:w="526" w:type="pc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Style w:val="253"/>
                      <w:rFonts w:eastAsia="仿宋_GB2312"/>
                      <w:b w:val="0"/>
                      <w:color w:val="000000"/>
                      <w:sz w:val="21"/>
                      <w:szCs w:val="21"/>
                    </w:rPr>
                  </w:pPr>
                  <w:r>
                    <w:rPr>
                      <w:rStyle w:val="253"/>
                      <w:rFonts w:eastAsia="仿宋_GB2312"/>
                      <w:b w:val="0"/>
                      <w:color w:val="000000"/>
                      <w:sz w:val="21"/>
                      <w:szCs w:val="21"/>
                    </w:rPr>
                    <w:t>永久占地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211" w:type="pct"/>
                  <w:gridSpan w:val="2"/>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Style w:val="253"/>
                      <w:rFonts w:eastAsia="仿宋_GB2312"/>
                      <w:b w:val="0"/>
                      <w:color w:val="000000"/>
                      <w:sz w:val="21"/>
                      <w:szCs w:val="21"/>
                    </w:rPr>
                  </w:pPr>
                  <w:r>
                    <w:rPr>
                      <w:rFonts w:eastAsia="仿宋_GB2312"/>
                      <w:color w:val="000000"/>
                      <w:sz w:val="21"/>
                      <w:szCs w:val="21"/>
                    </w:rPr>
                    <w:t>施工工区</w:t>
                  </w:r>
                </w:p>
              </w:tc>
              <w:tc>
                <w:tcPr>
                  <w:tcW w:w="364"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0.1</w:t>
                  </w:r>
                </w:p>
              </w:tc>
              <w:tc>
                <w:tcPr>
                  <w:tcW w:w="487"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414"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0.05</w:t>
                  </w:r>
                </w:p>
              </w:tc>
              <w:tc>
                <w:tcPr>
                  <w:tcW w:w="452"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000000"/>
                      <w:sz w:val="21"/>
                      <w:szCs w:val="21"/>
                    </w:rPr>
                  </w:pPr>
                  <w:r>
                    <w:rPr>
                      <w:rFonts w:hint="default" w:ascii="Times New Roman" w:hAnsi="Times New Roman" w:eastAsia="仿宋_GB2312" w:cs="Times New Roman"/>
                      <w:i w:val="0"/>
                      <w:iCs w:val="0"/>
                      <w:color w:val="000000"/>
                      <w:kern w:val="0"/>
                      <w:sz w:val="21"/>
                      <w:szCs w:val="21"/>
                      <w:u w:val="none"/>
                      <w:lang w:val="en-US" w:eastAsia="zh-CN" w:bidi="ar"/>
                    </w:rPr>
                    <w:t>0</w:t>
                  </w:r>
                </w:p>
              </w:tc>
              <w:tc>
                <w:tcPr>
                  <w:tcW w:w="447"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328"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344"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422"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0.15</w:t>
                  </w:r>
                </w:p>
              </w:tc>
              <w:tc>
                <w:tcPr>
                  <w:tcW w:w="526" w:type="pc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Style w:val="253"/>
                      <w:rFonts w:hint="eastAsia" w:eastAsia="仿宋_GB2312"/>
                      <w:b w:val="0"/>
                      <w:color w:val="000000"/>
                      <w:sz w:val="21"/>
                      <w:szCs w:val="21"/>
                    </w:rPr>
                  </w:pPr>
                  <w:r>
                    <w:rPr>
                      <w:rFonts w:hint="eastAsia" w:eastAsia="仿宋_GB2312"/>
                      <w:color w:val="000000"/>
                      <w:sz w:val="21"/>
                      <w:szCs w:val="21"/>
                    </w:rPr>
                    <w:t>临时占地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211" w:type="pct"/>
                  <w:gridSpan w:val="2"/>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Fonts w:hint="eastAsia" w:eastAsia="仿宋_GB2312"/>
                      <w:color w:val="000000"/>
                      <w:sz w:val="21"/>
                      <w:szCs w:val="21"/>
                      <w:lang w:eastAsia="zh-CN"/>
                    </w:rPr>
                  </w:pPr>
                  <w:r>
                    <w:rPr>
                      <w:rFonts w:hint="eastAsia" w:eastAsia="仿宋_GB2312"/>
                      <w:color w:val="000000"/>
                      <w:sz w:val="21"/>
                      <w:szCs w:val="21"/>
                      <w:lang w:eastAsia="zh-CN"/>
                    </w:rPr>
                    <w:t>砂石堆放场</w:t>
                  </w:r>
                </w:p>
              </w:tc>
              <w:tc>
                <w:tcPr>
                  <w:tcW w:w="364"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487"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414"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452"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Times New Roman" w:hAnsi="Times New Roman" w:eastAsia="宋体" w:cs="Times New Roman"/>
                      <w:i w:val="0"/>
                      <w:iCs w:val="0"/>
                      <w:color w:val="000000"/>
                      <w:kern w:val="0"/>
                      <w:sz w:val="21"/>
                      <w:szCs w:val="21"/>
                      <w:u w:val="none"/>
                      <w:lang w:val="en-US" w:eastAsia="zh-CN" w:bidi="ar"/>
                    </w:rPr>
                    <w:t>.00</w:t>
                  </w:r>
                </w:p>
              </w:tc>
              <w:tc>
                <w:tcPr>
                  <w:tcW w:w="447"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328"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344"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422"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Times New Roman" w:hAnsi="Times New Roman" w:eastAsia="宋体" w:cs="Times New Roman"/>
                      <w:i w:val="0"/>
                      <w:iCs w:val="0"/>
                      <w:color w:val="000000"/>
                      <w:kern w:val="0"/>
                      <w:sz w:val="21"/>
                      <w:szCs w:val="21"/>
                      <w:u w:val="none"/>
                      <w:lang w:val="en-US" w:eastAsia="zh-CN" w:bidi="ar"/>
                    </w:rPr>
                    <w:t>.00</w:t>
                  </w:r>
                </w:p>
              </w:tc>
              <w:tc>
                <w:tcPr>
                  <w:tcW w:w="526" w:type="pc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Fonts w:hint="eastAsia" w:eastAsia="仿宋_GB2312"/>
                      <w:color w:val="000000"/>
                      <w:sz w:val="21"/>
                      <w:szCs w:val="21"/>
                      <w:lang w:eastAsia="zh-CN"/>
                    </w:rPr>
                  </w:pPr>
                  <w:r>
                    <w:rPr>
                      <w:rFonts w:hint="eastAsia" w:eastAsia="仿宋_GB2312"/>
                      <w:color w:val="000000"/>
                      <w:sz w:val="21"/>
                      <w:szCs w:val="21"/>
                      <w:lang w:eastAsia="zh-CN"/>
                    </w:rPr>
                    <w:t>临时占地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211" w:type="pct"/>
                  <w:gridSpan w:val="2"/>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Fonts w:eastAsia="仿宋_GB2312"/>
                      <w:color w:val="000000"/>
                      <w:sz w:val="21"/>
                      <w:szCs w:val="21"/>
                    </w:rPr>
                  </w:pPr>
                  <w:r>
                    <w:rPr>
                      <w:rFonts w:eastAsia="仿宋_GB2312"/>
                      <w:color w:val="000000"/>
                      <w:sz w:val="21"/>
                      <w:szCs w:val="21"/>
                    </w:rPr>
                    <w:t>合计</w:t>
                  </w:r>
                </w:p>
              </w:tc>
              <w:tc>
                <w:tcPr>
                  <w:tcW w:w="364"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0.1</w:t>
                  </w:r>
                </w:p>
              </w:tc>
              <w:tc>
                <w:tcPr>
                  <w:tcW w:w="487"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0.21</w:t>
                  </w:r>
                </w:p>
              </w:tc>
              <w:tc>
                <w:tcPr>
                  <w:tcW w:w="414"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0.7</w:t>
                  </w:r>
                </w:p>
              </w:tc>
              <w:tc>
                <w:tcPr>
                  <w:tcW w:w="452"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仿宋_GB2312" w:cs="Times New Roman"/>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Times New Roman" w:hAnsi="Times New Roman" w:eastAsia="宋体" w:cs="Times New Roman"/>
                      <w:i w:val="0"/>
                      <w:iCs w:val="0"/>
                      <w:color w:val="000000"/>
                      <w:kern w:val="0"/>
                      <w:sz w:val="21"/>
                      <w:szCs w:val="21"/>
                      <w:u w:val="none"/>
                      <w:lang w:val="en-US" w:eastAsia="zh-CN" w:bidi="ar"/>
                    </w:rPr>
                    <w:t>.00</w:t>
                  </w:r>
                </w:p>
              </w:tc>
              <w:tc>
                <w:tcPr>
                  <w:tcW w:w="447"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0.32</w:t>
                  </w:r>
                </w:p>
              </w:tc>
              <w:tc>
                <w:tcPr>
                  <w:tcW w:w="328"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1.19</w:t>
                  </w:r>
                </w:p>
              </w:tc>
              <w:tc>
                <w:tcPr>
                  <w:tcW w:w="344"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0.39</w:t>
                  </w:r>
                </w:p>
              </w:tc>
              <w:tc>
                <w:tcPr>
                  <w:tcW w:w="422"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firstLine="0" w:firstLineChars="0"/>
                    <w:jc w:val="center"/>
                    <w:textAlignment w:val="center"/>
                    <w:rPr>
                      <w:rStyle w:val="253"/>
                      <w:rFonts w:hint="default" w:ascii="Times New Roman" w:hAnsi="Times New Roman" w:eastAsia="仿宋_GB2312" w:cs="Times New Roman"/>
                      <w:b w:val="0"/>
                      <w:color w:val="000000"/>
                      <w:sz w:val="21"/>
                      <w:szCs w:val="21"/>
                      <w:lang w:val="en-US"/>
                    </w:rPr>
                  </w:pPr>
                  <w:r>
                    <w:rPr>
                      <w:rFonts w:hint="default" w:ascii="Times New Roman" w:hAnsi="Times New Roman" w:eastAsia="宋体" w:cs="Times New Roman"/>
                      <w:i w:val="0"/>
                      <w:iCs w:val="0"/>
                      <w:color w:val="000000"/>
                      <w:kern w:val="0"/>
                      <w:sz w:val="21"/>
                      <w:szCs w:val="21"/>
                      <w:u w:val="none"/>
                      <w:lang w:val="en-US" w:eastAsia="zh-CN" w:bidi="ar"/>
                    </w:rPr>
                    <w:t>3.91</w:t>
                  </w:r>
                </w:p>
              </w:tc>
              <w:tc>
                <w:tcPr>
                  <w:tcW w:w="526" w:type="pct"/>
                  <w:tcBorders>
                    <w:tl2br w:val="nil"/>
                    <w:tr2bl w:val="nil"/>
                  </w:tcBorders>
                  <w:noWrap w:val="0"/>
                  <w:vAlign w:val="center"/>
                </w:tcPr>
                <w:p>
                  <w:pPr>
                    <w:keepNext w:val="0"/>
                    <w:keepLines w:val="0"/>
                    <w:pageBreakBefore w:val="0"/>
                    <w:tabs>
                      <w:tab w:val="right" w:leader="dot" w:pos="8441"/>
                    </w:tabs>
                    <w:kinsoku/>
                    <w:wordWrap/>
                    <w:overflowPunct/>
                    <w:topLinePunct w:val="0"/>
                    <w:bidi w:val="0"/>
                    <w:snapToGrid w:val="0"/>
                    <w:spacing w:line="240" w:lineRule="auto"/>
                    <w:ind w:firstLine="0"/>
                    <w:jc w:val="center"/>
                    <w:rPr>
                      <w:rStyle w:val="253"/>
                      <w:rFonts w:eastAsia="仿宋_GB2312"/>
                      <w:b w:val="0"/>
                      <w:color w:val="000000"/>
                      <w:sz w:val="21"/>
                      <w:szCs w:val="21"/>
                    </w:rPr>
                  </w:pPr>
                </w:p>
              </w:tc>
            </w:tr>
          </w:tbl>
          <w:p>
            <w:pPr>
              <w:pStyle w:val="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after="0" w:line="240" w:lineRule="auto"/>
              <w:ind w:right="0" w:rightChars="0" w:firstLine="422" w:firstLineChars="200"/>
              <w:jc w:val="center"/>
              <w:textAlignment w:val="baseline"/>
              <w:rPr>
                <w:rFonts w:hint="default" w:ascii="Times New Roman" w:hAnsi="Times New Roman" w:eastAsia="宋体" w:cs="Times New Roman"/>
                <w:b/>
                <w:bCs/>
                <w:color w:val="auto"/>
                <w:spacing w:val="0"/>
                <w:kern w:val="2"/>
                <w:sz w:val="21"/>
                <w:szCs w:val="21"/>
                <w:highlight w:val="none"/>
                <w:lang w:val="en-US" w:eastAsia="zh-CN" w:bidi="ar-SA"/>
              </w:rPr>
            </w:pPr>
          </w:p>
          <w:p>
            <w:pPr>
              <w:pStyle w:val="2"/>
              <w:keepNext w:val="0"/>
              <w:keepLines w:val="0"/>
              <w:pageBreakBefore w:val="0"/>
              <w:kinsoku/>
              <w:wordWrap/>
              <w:overflowPunct/>
              <w:topLinePunct w:val="0"/>
              <w:bidi w:val="0"/>
              <w:adjustRightInd w:val="0"/>
              <w:snapToGrid w:val="0"/>
              <w:spacing w:before="0" w:after="0" w:line="360" w:lineRule="auto"/>
              <w:ind w:left="0" w:leftChars="0" w:right="0" w:firstLine="482" w:firstLineChars="200"/>
              <w:rPr>
                <w:rFonts w:hint="default" w:ascii="Times New Roman" w:hAnsi="Times New Roman" w:eastAsia="宋体" w:cs="Times New Roman"/>
                <w:b/>
                <w:bCs/>
                <w:color w:val="auto"/>
                <w:spacing w:val="0"/>
                <w:kern w:val="2"/>
                <w:sz w:val="24"/>
                <w:szCs w:val="24"/>
                <w:highlight w:val="none"/>
                <w:lang w:val="en-US" w:eastAsia="zh-CN" w:bidi="ar-SA"/>
              </w:rPr>
            </w:pPr>
            <w:r>
              <w:rPr>
                <w:rFonts w:hint="default" w:ascii="Times New Roman" w:hAnsi="Times New Roman" w:eastAsia="宋体" w:cs="Times New Roman"/>
                <w:b/>
                <w:bCs/>
                <w:color w:val="auto"/>
                <w:spacing w:val="0"/>
                <w:kern w:val="2"/>
                <w:sz w:val="24"/>
                <w:szCs w:val="24"/>
                <w:highlight w:val="none"/>
                <w:lang w:val="en-US" w:eastAsia="zh-CN" w:bidi="ar-SA"/>
              </w:rPr>
              <w:t>（</w:t>
            </w:r>
            <w:r>
              <w:rPr>
                <w:rFonts w:hint="eastAsia" w:ascii="Times New Roman" w:hAnsi="Times New Roman" w:eastAsia="宋体" w:cs="Times New Roman"/>
                <w:b/>
                <w:bCs/>
                <w:color w:val="auto"/>
                <w:spacing w:val="0"/>
                <w:kern w:val="2"/>
                <w:sz w:val="24"/>
                <w:szCs w:val="24"/>
                <w:highlight w:val="none"/>
                <w:lang w:val="en-US" w:eastAsia="zh-CN" w:bidi="ar-SA"/>
              </w:rPr>
              <w:t>2</w:t>
            </w:r>
            <w:r>
              <w:rPr>
                <w:rFonts w:hint="default" w:ascii="Times New Roman" w:hAnsi="Times New Roman" w:eastAsia="宋体" w:cs="Times New Roman"/>
                <w:b/>
                <w:bCs/>
                <w:color w:val="auto"/>
                <w:spacing w:val="0"/>
                <w:kern w:val="2"/>
                <w:sz w:val="24"/>
                <w:szCs w:val="24"/>
                <w:highlight w:val="none"/>
                <w:lang w:val="en-US" w:eastAsia="zh-CN" w:bidi="ar-SA"/>
              </w:rPr>
              <w:t>）砂石加工系统、</w:t>
            </w:r>
            <w:r>
              <w:rPr>
                <w:rFonts w:hint="default" w:ascii="Times New Roman" w:hAnsi="Times New Roman" w:cs="Times New Roman"/>
                <w:b/>
                <w:bCs/>
                <w:color w:val="auto"/>
                <w:spacing w:val="0"/>
                <w:sz w:val="24"/>
                <w:szCs w:val="24"/>
              </w:rPr>
              <w:t>混凝土生产系统</w:t>
            </w:r>
            <w:r>
              <w:rPr>
                <w:rFonts w:hint="default" w:ascii="Times New Roman" w:hAnsi="Times New Roman" w:cs="Times New Roman"/>
                <w:b/>
                <w:bCs/>
                <w:color w:val="auto"/>
                <w:spacing w:val="0"/>
                <w:sz w:val="24"/>
                <w:szCs w:val="24"/>
                <w:lang w:eastAsia="zh-CN"/>
              </w:rPr>
              <w:t>、机械修配系统</w:t>
            </w:r>
          </w:p>
          <w:p>
            <w:pPr>
              <w:pStyle w:val="2"/>
              <w:keepNext w:val="0"/>
              <w:keepLines w:val="0"/>
              <w:pageBreakBefore w:val="0"/>
              <w:kinsoku/>
              <w:wordWrap/>
              <w:overflowPunct/>
              <w:topLinePunct w:val="0"/>
              <w:bidi w:val="0"/>
              <w:adjustRightInd w:val="0"/>
              <w:snapToGrid w:val="0"/>
              <w:spacing w:before="0" w:after="0" w:line="360" w:lineRule="auto"/>
              <w:ind w:left="0" w:leftChars="0" w:right="0" w:firstLine="480" w:firstLineChars="200"/>
              <w:rPr>
                <w:rFonts w:hint="default" w:ascii="Times New Roman" w:hAnsi="Times New Roman" w:eastAsia="宋体" w:cs="Times New Roman"/>
                <w:b w:val="0"/>
                <w:bCs w:val="0"/>
                <w:color w:val="auto"/>
                <w:spacing w:val="0"/>
                <w:kern w:val="2"/>
                <w:sz w:val="24"/>
                <w:szCs w:val="24"/>
                <w:highlight w:val="none"/>
                <w:lang w:val="en-US" w:eastAsia="zh-CN" w:bidi="ar-SA"/>
              </w:rPr>
            </w:pPr>
            <w:r>
              <w:rPr>
                <w:rFonts w:hint="default" w:ascii="Times New Roman" w:hAnsi="Times New Roman" w:eastAsia="宋体" w:cs="Times New Roman"/>
                <w:b w:val="0"/>
                <w:bCs w:val="0"/>
                <w:color w:val="auto"/>
                <w:spacing w:val="0"/>
                <w:kern w:val="2"/>
                <w:sz w:val="24"/>
                <w:szCs w:val="24"/>
                <w:highlight w:val="none"/>
                <w:lang w:val="en-US" w:eastAsia="zh-CN" w:bidi="ar-SA"/>
              </w:rPr>
              <w:t>本项目不设立砂石加工系统、</w:t>
            </w:r>
            <w:r>
              <w:rPr>
                <w:rFonts w:hint="default" w:ascii="Times New Roman" w:hAnsi="Times New Roman" w:cs="Times New Roman"/>
                <w:b w:val="0"/>
                <w:bCs w:val="0"/>
                <w:color w:val="auto"/>
                <w:spacing w:val="0"/>
                <w:sz w:val="24"/>
                <w:szCs w:val="24"/>
              </w:rPr>
              <w:t>混凝土生产系统</w:t>
            </w:r>
            <w:r>
              <w:rPr>
                <w:rFonts w:hint="default" w:ascii="Times New Roman" w:hAnsi="Times New Roman" w:cs="Times New Roman"/>
                <w:b w:val="0"/>
                <w:bCs w:val="0"/>
                <w:color w:val="auto"/>
                <w:spacing w:val="0"/>
                <w:sz w:val="24"/>
                <w:szCs w:val="24"/>
                <w:lang w:eastAsia="zh-CN"/>
              </w:rPr>
              <w:t>，机械修配系统，施工场地内仅涉及堆放区，采用商品混凝土。</w:t>
            </w:r>
          </w:p>
          <w:p>
            <w:pPr>
              <w:pStyle w:val="2"/>
              <w:keepNext w:val="0"/>
              <w:keepLines w:val="0"/>
              <w:pageBreakBefore w:val="0"/>
              <w:kinsoku/>
              <w:wordWrap/>
              <w:overflowPunct/>
              <w:topLinePunct w:val="0"/>
              <w:bidi w:val="0"/>
              <w:adjustRightInd w:val="0"/>
              <w:snapToGrid w:val="0"/>
              <w:spacing w:before="0" w:after="0" w:line="360" w:lineRule="auto"/>
              <w:ind w:left="0" w:leftChars="0" w:right="0" w:firstLine="482" w:firstLineChars="200"/>
              <w:rPr>
                <w:rFonts w:hint="default" w:ascii="Times New Roman" w:hAnsi="Times New Roman" w:eastAsia="宋体" w:cs="Times New Roman"/>
                <w:b/>
                <w:bCs/>
                <w:color w:val="auto"/>
                <w:spacing w:val="0"/>
                <w:kern w:val="2"/>
                <w:sz w:val="24"/>
                <w:szCs w:val="24"/>
                <w:highlight w:val="none"/>
                <w:lang w:val="en-US" w:eastAsia="zh-CN" w:bidi="ar-SA"/>
              </w:rPr>
            </w:pPr>
            <w:r>
              <w:rPr>
                <w:rFonts w:hint="default" w:ascii="Times New Roman" w:hAnsi="Times New Roman" w:eastAsia="宋体" w:cs="Times New Roman"/>
                <w:b/>
                <w:bCs/>
                <w:color w:val="auto"/>
                <w:spacing w:val="0"/>
                <w:kern w:val="2"/>
                <w:sz w:val="24"/>
                <w:szCs w:val="24"/>
                <w:highlight w:val="none"/>
                <w:lang w:val="en-US" w:eastAsia="zh-CN" w:bidi="ar-SA"/>
              </w:rPr>
              <w:t>（</w:t>
            </w:r>
            <w:r>
              <w:rPr>
                <w:rFonts w:hint="eastAsia" w:ascii="Times New Roman" w:hAnsi="Times New Roman" w:eastAsia="宋体" w:cs="Times New Roman"/>
                <w:b/>
                <w:bCs/>
                <w:color w:val="auto"/>
                <w:spacing w:val="0"/>
                <w:kern w:val="2"/>
                <w:sz w:val="24"/>
                <w:szCs w:val="24"/>
                <w:highlight w:val="none"/>
                <w:lang w:val="en-US" w:eastAsia="zh-CN" w:bidi="ar-SA"/>
              </w:rPr>
              <w:t>3</w:t>
            </w:r>
            <w:r>
              <w:rPr>
                <w:rFonts w:hint="default" w:ascii="Times New Roman" w:hAnsi="Times New Roman" w:eastAsia="宋体" w:cs="Times New Roman"/>
                <w:b/>
                <w:bCs/>
                <w:color w:val="auto"/>
                <w:spacing w:val="0"/>
                <w:kern w:val="2"/>
                <w:sz w:val="24"/>
                <w:szCs w:val="24"/>
                <w:highlight w:val="none"/>
                <w:lang w:val="en-US" w:eastAsia="zh-CN" w:bidi="ar-SA"/>
              </w:rPr>
              <w:t>）料场</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after="0" w:line="360" w:lineRule="auto"/>
              <w:ind w:left="0" w:leftChars="0" w:right="0" w:rightChars="0" w:firstLine="480" w:firstLineChars="200"/>
              <w:jc w:val="both"/>
              <w:textAlignment w:val="baseline"/>
              <w:rPr>
                <w:rFonts w:hint="default" w:ascii="Times New Roman" w:hAnsi="Times New Roman" w:eastAsia="宋体" w:cs="Times New Roman"/>
                <w:b w:val="0"/>
                <w:bCs w:val="0"/>
                <w:color w:val="auto"/>
                <w:spacing w:val="0"/>
                <w:kern w:val="2"/>
                <w:sz w:val="24"/>
                <w:szCs w:val="24"/>
                <w:highlight w:val="none"/>
                <w:lang w:val="en-US" w:eastAsia="zh-CN" w:bidi="ar-SA"/>
              </w:rPr>
            </w:pPr>
            <w:r>
              <w:rPr>
                <w:rFonts w:hint="default" w:ascii="Times New Roman" w:hAnsi="Times New Roman" w:eastAsia="宋体" w:cs="Times New Roman"/>
                <w:b w:val="0"/>
                <w:bCs w:val="0"/>
                <w:color w:val="auto"/>
                <w:spacing w:val="0"/>
                <w:kern w:val="2"/>
                <w:sz w:val="24"/>
                <w:szCs w:val="24"/>
                <w:highlight w:val="none"/>
                <w:lang w:val="en-US" w:eastAsia="zh-CN" w:bidi="ar-SA"/>
              </w:rPr>
              <w:t>本项目采用商品混凝土，不设料场。</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after="0" w:line="360" w:lineRule="auto"/>
              <w:ind w:left="0" w:leftChars="0" w:right="0" w:rightChars="0" w:firstLine="482" w:firstLineChars="200"/>
              <w:jc w:val="both"/>
              <w:textAlignment w:val="baseline"/>
              <w:rPr>
                <w:rFonts w:hint="default" w:ascii="Times New Roman" w:hAnsi="Times New Roman" w:eastAsia="宋体" w:cs="Times New Roman"/>
                <w:b/>
                <w:bCs/>
                <w:color w:val="auto"/>
                <w:spacing w:val="0"/>
                <w:kern w:val="2"/>
                <w:sz w:val="24"/>
                <w:szCs w:val="24"/>
                <w:highlight w:val="none"/>
                <w:lang w:val="en-US" w:eastAsia="zh-CN" w:bidi="ar-SA"/>
              </w:rPr>
            </w:pPr>
            <w:r>
              <w:rPr>
                <w:rFonts w:hint="eastAsia" w:ascii="Times New Roman" w:hAnsi="Times New Roman" w:eastAsia="宋体" w:cs="Times New Roman"/>
                <w:b/>
                <w:bCs/>
                <w:color w:val="auto"/>
                <w:spacing w:val="0"/>
                <w:kern w:val="2"/>
                <w:sz w:val="24"/>
                <w:szCs w:val="24"/>
                <w:highlight w:val="none"/>
                <w:lang w:val="en-US" w:eastAsia="zh-CN" w:bidi="ar-SA"/>
              </w:rPr>
              <w:t>（4）施工便道</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after="0" w:line="360" w:lineRule="auto"/>
              <w:ind w:left="0" w:leftChars="0" w:right="0" w:rightChars="0" w:firstLine="480" w:firstLineChars="200"/>
              <w:jc w:val="both"/>
              <w:textAlignment w:val="baseline"/>
              <w:rPr>
                <w:rFonts w:hint="eastAsia" w:ascii="Times New Roman" w:hAnsi="Times New Roman" w:eastAsia="宋体" w:cs="Times New Roman"/>
                <w:b w:val="0"/>
                <w:bCs w:val="0"/>
                <w:color w:val="auto"/>
                <w:spacing w:val="0"/>
                <w:kern w:val="2"/>
                <w:sz w:val="24"/>
                <w:szCs w:val="24"/>
                <w:highlight w:val="none"/>
                <w:lang w:val="en-US" w:eastAsia="zh-CN" w:bidi="ar-SA"/>
              </w:rPr>
            </w:pPr>
            <w:r>
              <w:rPr>
                <w:rFonts w:hint="eastAsia" w:ascii="Times New Roman" w:hAnsi="Times New Roman" w:eastAsia="宋体" w:cs="Times New Roman"/>
                <w:b w:val="0"/>
                <w:bCs w:val="0"/>
                <w:color w:val="auto"/>
                <w:spacing w:val="0"/>
                <w:kern w:val="2"/>
                <w:sz w:val="24"/>
                <w:szCs w:val="24"/>
                <w:highlight w:val="none"/>
                <w:lang w:val="en-US" w:eastAsia="zh-CN" w:bidi="ar-SA"/>
              </w:rPr>
              <w:t>本项目利用周边已有道路，本工程不再新建施工便道。</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val="0"/>
              <w:spacing w:before="0" w:after="0" w:line="360" w:lineRule="auto"/>
              <w:ind w:left="0" w:leftChars="0" w:right="0" w:rightChars="0" w:firstLine="482" w:firstLineChars="200"/>
              <w:jc w:val="both"/>
              <w:textAlignment w:val="baseline"/>
              <w:rPr>
                <w:rFonts w:hint="default" w:ascii="Times New Roman" w:hAnsi="Times New Roman" w:eastAsia="宋体" w:cs="Times New Roman"/>
                <w:b/>
                <w:bCs/>
                <w:color w:val="auto"/>
                <w:spacing w:val="0"/>
                <w:kern w:val="2"/>
                <w:sz w:val="24"/>
                <w:szCs w:val="24"/>
                <w:highlight w:val="none"/>
                <w:lang w:val="en-US" w:eastAsia="zh-CN" w:bidi="ar-SA"/>
              </w:rPr>
            </w:pPr>
            <w:r>
              <w:rPr>
                <w:rFonts w:hint="eastAsia" w:ascii="Times New Roman" w:hAnsi="Times New Roman" w:eastAsia="宋体" w:cs="Times New Roman"/>
                <w:b/>
                <w:bCs/>
                <w:color w:val="auto"/>
                <w:spacing w:val="0"/>
                <w:kern w:val="2"/>
                <w:sz w:val="24"/>
                <w:szCs w:val="24"/>
                <w:highlight w:val="none"/>
                <w:lang w:val="en-US" w:eastAsia="zh-CN" w:bidi="ar-SA"/>
              </w:rPr>
              <w:t>（5）弃土场</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textAlignment w:val="auto"/>
              <w:rPr>
                <w:rFonts w:hAnsi="宋体"/>
                <w:bCs/>
                <w:color w:val="auto"/>
                <w:sz w:val="24"/>
                <w:highlight w:val="none"/>
              </w:rPr>
            </w:pPr>
            <w:r>
              <w:rPr>
                <w:rFonts w:ascii="Times New Roman" w:hAnsi="宋体" w:eastAsia="宋体" w:cs="Times New Roman"/>
                <w:bCs/>
                <w:color w:val="auto"/>
                <w:sz w:val="24"/>
                <w:highlight w:val="none"/>
              </w:rPr>
              <w:t>本工程主体土石开挖总量</w:t>
            </w:r>
            <w:r>
              <w:rPr>
                <w:rFonts w:hint="eastAsia" w:ascii="Times New Roman" w:hAnsi="宋体" w:eastAsia="宋体" w:cs="Times New Roman"/>
                <w:bCs/>
                <w:color w:val="auto"/>
                <w:sz w:val="24"/>
                <w:highlight w:val="none"/>
              </w:rPr>
              <w:t>4.32</w:t>
            </w:r>
            <w:r>
              <w:rPr>
                <w:rFonts w:ascii="Times New Roman" w:hAnsi="宋体" w:eastAsia="宋体" w:cs="Times New Roman"/>
                <w:bCs/>
                <w:color w:val="auto"/>
                <w:sz w:val="24"/>
                <w:highlight w:val="none"/>
              </w:rPr>
              <w:t>万m</w:t>
            </w:r>
            <w:r>
              <w:rPr>
                <w:rFonts w:ascii="Times New Roman" w:hAnsi="宋体" w:eastAsia="宋体" w:cs="Times New Roman"/>
                <w:bCs/>
                <w:color w:val="auto"/>
                <w:sz w:val="24"/>
                <w:highlight w:val="none"/>
                <w:vertAlign w:val="superscript"/>
              </w:rPr>
              <w:t>3</w:t>
            </w:r>
            <w:r>
              <w:rPr>
                <w:rFonts w:ascii="Times New Roman" w:hAnsi="宋体" w:eastAsia="宋体" w:cs="Times New Roman"/>
                <w:bCs/>
                <w:color w:val="auto"/>
                <w:sz w:val="24"/>
                <w:highlight w:val="none"/>
              </w:rPr>
              <w:t>（自然方，含</w:t>
            </w:r>
            <w:r>
              <w:rPr>
                <w:rFonts w:hint="eastAsia" w:ascii="Times New Roman" w:hAnsi="宋体" w:eastAsia="宋体" w:cs="Times New Roman"/>
                <w:bCs/>
                <w:color w:val="auto"/>
                <w:sz w:val="24"/>
                <w:highlight w:val="none"/>
              </w:rPr>
              <w:t>表土剥离量0.14万</w:t>
            </w:r>
            <w:r>
              <w:rPr>
                <w:rFonts w:ascii="Times New Roman" w:hAnsi="宋体" w:eastAsia="宋体" w:cs="Times New Roman"/>
                <w:bCs/>
                <w:color w:val="auto"/>
                <w:sz w:val="24"/>
                <w:highlight w:val="none"/>
              </w:rPr>
              <w:t>m</w:t>
            </w:r>
            <w:r>
              <w:rPr>
                <w:rFonts w:ascii="Times New Roman" w:hAnsi="宋体" w:eastAsia="宋体" w:cs="Times New Roman"/>
                <w:bCs/>
                <w:color w:val="auto"/>
                <w:sz w:val="24"/>
                <w:highlight w:val="none"/>
                <w:vertAlign w:val="superscript"/>
              </w:rPr>
              <w:t>3</w:t>
            </w:r>
            <w:r>
              <w:rPr>
                <w:rFonts w:ascii="Times New Roman" w:hAnsi="宋体" w:eastAsia="宋体" w:cs="Times New Roman"/>
                <w:bCs/>
                <w:color w:val="auto"/>
                <w:sz w:val="24"/>
                <w:highlight w:val="none"/>
              </w:rPr>
              <w:t>），</w:t>
            </w:r>
            <w:r>
              <w:rPr>
                <w:rFonts w:hint="eastAsia" w:ascii="Times New Roman" w:hAnsi="宋体" w:eastAsia="宋体" w:cs="Times New Roman"/>
                <w:bCs/>
                <w:color w:val="auto"/>
                <w:sz w:val="24"/>
                <w:highlight w:val="none"/>
                <w:lang w:eastAsia="zh-CN"/>
              </w:rPr>
              <w:t>总回填量</w:t>
            </w:r>
            <w:r>
              <w:rPr>
                <w:rFonts w:hint="eastAsia" w:ascii="Times New Roman" w:hAnsi="宋体" w:eastAsia="宋体" w:cs="Times New Roman"/>
                <w:bCs/>
                <w:color w:val="auto"/>
                <w:sz w:val="24"/>
                <w:highlight w:val="none"/>
                <w:lang w:val="en-US" w:eastAsia="zh-CN"/>
              </w:rPr>
              <w:t>1.47</w:t>
            </w:r>
            <w:r>
              <w:rPr>
                <w:rFonts w:ascii="Times New Roman" w:hAnsi="宋体" w:eastAsia="宋体" w:cs="Times New Roman"/>
                <w:bCs/>
                <w:color w:val="auto"/>
                <w:sz w:val="24"/>
                <w:highlight w:val="none"/>
              </w:rPr>
              <w:t>万m</w:t>
            </w:r>
            <w:r>
              <w:rPr>
                <w:rFonts w:ascii="Times New Roman" w:hAnsi="宋体" w:eastAsia="宋体" w:cs="Times New Roman"/>
                <w:bCs/>
                <w:color w:val="auto"/>
                <w:sz w:val="24"/>
                <w:highlight w:val="none"/>
                <w:vertAlign w:val="superscript"/>
              </w:rPr>
              <w:t>3</w:t>
            </w:r>
            <w:r>
              <w:rPr>
                <w:rFonts w:hint="eastAsia" w:ascii="Times New Roman" w:hAnsi="宋体" w:eastAsia="宋体" w:cs="Times New Roman"/>
                <w:bCs/>
                <w:color w:val="auto"/>
                <w:sz w:val="24"/>
                <w:highlight w:val="none"/>
                <w:lang w:val="en-US" w:eastAsia="zh-CN"/>
              </w:rPr>
              <w:t>（其中</w:t>
            </w:r>
            <w:r>
              <w:rPr>
                <w:rFonts w:ascii="Times New Roman" w:hAnsi="宋体" w:eastAsia="宋体" w:cs="Times New Roman"/>
                <w:bCs/>
                <w:color w:val="auto"/>
                <w:sz w:val="24"/>
                <w:highlight w:val="none"/>
              </w:rPr>
              <w:t>用于主体工程</w:t>
            </w:r>
            <w:r>
              <w:rPr>
                <w:rFonts w:hint="eastAsia" w:ascii="Times New Roman" w:hAnsi="宋体" w:eastAsia="宋体" w:cs="Times New Roman"/>
                <w:bCs/>
                <w:color w:val="auto"/>
                <w:sz w:val="24"/>
                <w:highlight w:val="none"/>
              </w:rPr>
              <w:t>土石方回</w:t>
            </w:r>
            <w:r>
              <w:rPr>
                <w:rFonts w:ascii="Times New Roman" w:hAnsi="宋体" w:eastAsia="宋体" w:cs="Times New Roman"/>
                <w:bCs/>
                <w:color w:val="auto"/>
                <w:sz w:val="24"/>
                <w:highlight w:val="none"/>
              </w:rPr>
              <w:t>填</w:t>
            </w:r>
            <w:r>
              <w:rPr>
                <w:rFonts w:hint="eastAsia" w:ascii="Times New Roman" w:hAnsi="宋体" w:eastAsia="宋体" w:cs="Times New Roman"/>
                <w:bCs/>
                <w:color w:val="auto"/>
                <w:sz w:val="24"/>
                <w:highlight w:val="none"/>
              </w:rPr>
              <w:t>0.93</w:t>
            </w:r>
            <w:r>
              <w:rPr>
                <w:rFonts w:ascii="Times New Roman" w:hAnsi="宋体" w:eastAsia="宋体" w:cs="Times New Roman"/>
                <w:bCs/>
                <w:color w:val="auto"/>
                <w:sz w:val="24"/>
                <w:highlight w:val="none"/>
              </w:rPr>
              <w:t>万m</w:t>
            </w:r>
            <w:r>
              <w:rPr>
                <w:rFonts w:ascii="Times New Roman" w:hAnsi="宋体" w:eastAsia="宋体" w:cs="Times New Roman"/>
                <w:bCs/>
                <w:color w:val="auto"/>
                <w:sz w:val="24"/>
                <w:highlight w:val="none"/>
                <w:vertAlign w:val="superscript"/>
              </w:rPr>
              <w:t>3</w:t>
            </w:r>
            <w:r>
              <w:rPr>
                <w:rFonts w:ascii="Times New Roman" w:hAnsi="宋体" w:eastAsia="宋体" w:cs="Times New Roman"/>
                <w:bCs/>
                <w:color w:val="auto"/>
                <w:sz w:val="24"/>
                <w:highlight w:val="none"/>
              </w:rPr>
              <w:t>，用于</w:t>
            </w:r>
            <w:r>
              <w:rPr>
                <w:rFonts w:hint="eastAsia" w:ascii="Times New Roman" w:hAnsi="宋体" w:eastAsia="宋体" w:cs="Times New Roman"/>
                <w:bCs/>
                <w:color w:val="auto"/>
                <w:sz w:val="24"/>
                <w:highlight w:val="none"/>
              </w:rPr>
              <w:t>大卵石海漫0.40</w:t>
            </w:r>
            <w:r>
              <w:rPr>
                <w:rFonts w:ascii="Times New Roman" w:hAnsi="宋体" w:eastAsia="宋体" w:cs="Times New Roman"/>
                <w:bCs/>
                <w:color w:val="auto"/>
                <w:sz w:val="24"/>
                <w:highlight w:val="none"/>
              </w:rPr>
              <w:t>万m</w:t>
            </w:r>
            <w:r>
              <w:rPr>
                <w:rFonts w:ascii="Times New Roman" w:hAnsi="宋体" w:eastAsia="宋体" w:cs="Times New Roman"/>
                <w:bCs/>
                <w:color w:val="auto"/>
                <w:sz w:val="24"/>
                <w:highlight w:val="none"/>
                <w:vertAlign w:val="superscript"/>
              </w:rPr>
              <w:t>3</w:t>
            </w:r>
            <w:r>
              <w:rPr>
                <w:rFonts w:ascii="Times New Roman" w:hAnsi="宋体" w:eastAsia="宋体" w:cs="Times New Roman"/>
                <w:bCs/>
                <w:color w:val="auto"/>
                <w:sz w:val="24"/>
                <w:highlight w:val="none"/>
              </w:rPr>
              <w:t>，</w:t>
            </w:r>
            <w:r>
              <w:rPr>
                <w:rFonts w:hint="eastAsia" w:ascii="Times New Roman" w:hAnsi="宋体" w:eastAsia="宋体" w:cs="Times New Roman"/>
                <w:bCs/>
                <w:color w:val="auto"/>
                <w:sz w:val="24"/>
                <w:highlight w:val="none"/>
              </w:rPr>
              <w:t>覆土0.14</w:t>
            </w:r>
            <w:r>
              <w:rPr>
                <w:rFonts w:ascii="Times New Roman" w:hAnsi="宋体" w:eastAsia="宋体" w:cs="Times New Roman"/>
                <w:bCs/>
                <w:color w:val="auto"/>
                <w:sz w:val="24"/>
                <w:highlight w:val="none"/>
              </w:rPr>
              <w:t>万m</w:t>
            </w:r>
            <w:r>
              <w:rPr>
                <w:rFonts w:ascii="Times New Roman" w:hAnsi="宋体" w:eastAsia="宋体" w:cs="Times New Roman"/>
                <w:bCs/>
                <w:color w:val="auto"/>
                <w:sz w:val="24"/>
                <w:highlight w:val="none"/>
                <w:vertAlign w:val="superscript"/>
              </w:rPr>
              <w:t>3</w:t>
            </w:r>
            <w:r>
              <w:rPr>
                <w:rFonts w:hint="eastAsia" w:ascii="Times New Roman" w:hAnsi="宋体" w:eastAsia="宋体" w:cs="Times New Roman"/>
                <w:bCs/>
                <w:color w:val="auto"/>
                <w:sz w:val="24"/>
                <w:highlight w:val="none"/>
                <w:lang w:val="en-US" w:eastAsia="zh-CN"/>
              </w:rPr>
              <w:t>）</w:t>
            </w:r>
            <w:r>
              <w:rPr>
                <w:rFonts w:hint="eastAsia" w:ascii="Times New Roman" w:hAnsi="宋体" w:eastAsia="宋体" w:cs="Times New Roman"/>
                <w:bCs/>
                <w:color w:val="auto"/>
                <w:sz w:val="24"/>
                <w:highlight w:val="none"/>
              </w:rPr>
              <w:t>，余方2.85万m</w:t>
            </w:r>
            <w:r>
              <w:rPr>
                <w:rFonts w:hint="eastAsia" w:ascii="Times New Roman" w:hAnsi="宋体" w:eastAsia="宋体" w:cs="Times New Roman"/>
                <w:bCs/>
                <w:color w:val="auto"/>
                <w:sz w:val="24"/>
                <w:highlight w:val="none"/>
                <w:vertAlign w:val="superscript"/>
              </w:rPr>
              <w:t>3</w:t>
            </w:r>
            <w:r>
              <w:rPr>
                <w:rFonts w:hint="eastAsia" w:ascii="Times New Roman" w:hAnsi="宋体" w:eastAsia="宋体" w:cs="Times New Roman"/>
                <w:bCs/>
                <w:color w:val="auto"/>
                <w:sz w:val="24"/>
                <w:highlight w:val="none"/>
              </w:rPr>
              <w:t>砂卵石</w:t>
            </w:r>
            <w:r>
              <w:rPr>
                <w:rFonts w:ascii="Times New Roman" w:hAnsi="宋体" w:eastAsia="宋体" w:cs="Times New Roman"/>
                <w:bCs/>
                <w:color w:val="auto"/>
                <w:sz w:val="24"/>
                <w:highlight w:val="none"/>
              </w:rPr>
              <w:t>，</w:t>
            </w:r>
            <w:r>
              <w:rPr>
                <w:rFonts w:hint="eastAsia" w:ascii="Times New Roman" w:hAnsi="宋体" w:eastAsia="宋体" w:cs="Times New Roman"/>
                <w:bCs/>
                <w:color w:val="auto"/>
                <w:sz w:val="24"/>
                <w:highlight w:val="none"/>
              </w:rPr>
              <w:t>运往</w:t>
            </w:r>
            <w:r>
              <w:rPr>
                <w:rFonts w:hint="eastAsia" w:ascii="Times New Roman" w:hAnsi="宋体" w:eastAsia="宋体" w:cs="Times New Roman"/>
                <w:bCs/>
                <w:color w:val="auto"/>
                <w:sz w:val="24"/>
                <w:highlight w:val="none"/>
                <w:lang w:eastAsia="zh-CN"/>
              </w:rPr>
              <w:t>苏稽镇石鼓寺村老鸦滩砂石堆放场堆放，后期由乐山市市中区国有资产监督管理局</w:t>
            </w:r>
            <w:r>
              <w:rPr>
                <w:rFonts w:hint="eastAsia" w:ascii="Times New Roman" w:hAnsi="宋体" w:eastAsia="宋体" w:cs="Times New Roman"/>
                <w:bCs/>
                <w:color w:val="auto"/>
                <w:sz w:val="24"/>
                <w:highlight w:val="none"/>
              </w:rPr>
              <w:t>统一</w:t>
            </w:r>
            <w:r>
              <w:rPr>
                <w:rFonts w:hint="eastAsia" w:ascii="Times New Roman" w:hAnsi="宋体" w:eastAsia="宋体" w:cs="Times New Roman"/>
                <w:bCs/>
                <w:color w:val="auto"/>
                <w:sz w:val="24"/>
                <w:highlight w:val="none"/>
                <w:lang w:eastAsia="zh-CN"/>
              </w:rPr>
              <w:t>拍卖或利</w:t>
            </w:r>
            <w:r>
              <w:rPr>
                <w:rFonts w:hint="eastAsia" w:ascii="Times New Roman" w:hAnsi="宋体" w:eastAsia="宋体" w:cs="Times New Roman"/>
                <w:bCs/>
                <w:color w:val="auto"/>
                <w:sz w:val="24"/>
                <w:highlight w:val="none"/>
              </w:rPr>
              <w:t>用</w:t>
            </w:r>
            <w:r>
              <w:rPr>
                <w:rFonts w:ascii="Times New Roman" w:hAnsi="宋体" w:eastAsia="宋体" w:cs="Times New Roman"/>
                <w:bCs/>
                <w:color w:val="auto"/>
                <w:sz w:val="24"/>
                <w:highlight w:val="none"/>
              </w:rPr>
              <w:t>。</w:t>
            </w:r>
            <w:r>
              <w:rPr>
                <w:rFonts w:hint="eastAsia" w:ascii="Times New Roman" w:hAnsi="宋体" w:eastAsia="宋体" w:cs="Times New Roman"/>
                <w:bCs/>
                <w:color w:val="auto"/>
                <w:sz w:val="24"/>
                <w:highlight w:val="none"/>
                <w:lang w:val="en-US" w:eastAsia="zh-CN"/>
              </w:rPr>
              <w:t>本项目</w:t>
            </w:r>
            <w:r>
              <w:rPr>
                <w:rFonts w:hAnsi="宋体"/>
                <w:bCs/>
                <w:color w:val="auto"/>
                <w:sz w:val="24"/>
                <w:highlight w:val="none"/>
              </w:rPr>
              <w:t>不再单独设置弃渣场。</w:t>
            </w:r>
          </w:p>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hAnsi="宋体" w:eastAsia="宋体"/>
                <w:b/>
                <w:bCs w:val="0"/>
                <w:color w:val="auto"/>
                <w:sz w:val="21"/>
                <w:szCs w:val="21"/>
                <w:highlight w:val="none"/>
                <w:lang w:val="en-US" w:eastAsia="zh-CN"/>
              </w:rPr>
            </w:pPr>
            <w:r>
              <w:rPr>
                <w:rFonts w:hint="eastAsia" w:hAnsi="宋体"/>
                <w:b/>
                <w:bCs w:val="0"/>
                <w:color w:val="auto"/>
                <w:sz w:val="21"/>
                <w:szCs w:val="21"/>
                <w:highlight w:val="none"/>
                <w:lang w:val="en-US" w:eastAsia="zh-CN"/>
              </w:rPr>
              <w:t>表2-6  工程土石方平衡表  单位：</w:t>
            </w:r>
            <w:r>
              <w:rPr>
                <w:rFonts w:ascii="Times New Roman" w:hAnsi="宋体" w:eastAsia="宋体" w:cs="Times New Roman"/>
                <w:b/>
                <w:bCs w:val="0"/>
                <w:color w:val="auto"/>
                <w:sz w:val="21"/>
                <w:szCs w:val="21"/>
                <w:highlight w:val="none"/>
              </w:rPr>
              <w:t>万m</w:t>
            </w:r>
            <w:r>
              <w:rPr>
                <w:rFonts w:ascii="Times New Roman" w:hAnsi="宋体" w:eastAsia="宋体" w:cs="Times New Roman"/>
                <w:b/>
                <w:bCs w:val="0"/>
                <w:color w:val="auto"/>
                <w:sz w:val="21"/>
                <w:szCs w:val="21"/>
                <w:highlight w:val="none"/>
                <w:vertAlign w:val="superscript"/>
              </w:rPr>
              <w:t>3</w:t>
            </w:r>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
              <w:gridCol w:w="367"/>
              <w:gridCol w:w="479"/>
              <w:gridCol w:w="480"/>
              <w:gridCol w:w="480"/>
              <w:gridCol w:w="479"/>
              <w:gridCol w:w="479"/>
              <w:gridCol w:w="480"/>
              <w:gridCol w:w="480"/>
              <w:gridCol w:w="480"/>
              <w:gridCol w:w="479"/>
              <w:gridCol w:w="367"/>
              <w:gridCol w:w="480"/>
              <w:gridCol w:w="367"/>
              <w:gridCol w:w="366"/>
              <w:gridCol w:w="366"/>
              <w:gridCol w:w="480"/>
              <w:gridCol w:w="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620" w:type="dxa"/>
                  <w:gridSpan w:val="2"/>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区域</w:t>
                  </w:r>
                </w:p>
              </w:tc>
              <w:tc>
                <w:tcPr>
                  <w:tcW w:w="2919" w:type="dxa"/>
                  <w:gridSpan w:val="4"/>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开挖</w:t>
                  </w:r>
                </w:p>
              </w:tc>
              <w:tc>
                <w:tcPr>
                  <w:tcW w:w="3060" w:type="dxa"/>
                  <w:gridSpan w:val="4"/>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回填</w:t>
                  </w:r>
                </w:p>
              </w:tc>
              <w:tc>
                <w:tcPr>
                  <w:tcW w:w="1845"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调入</w:t>
                  </w:r>
                </w:p>
              </w:tc>
              <w:tc>
                <w:tcPr>
                  <w:tcW w:w="1860"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调出</w:t>
                  </w:r>
                </w:p>
              </w:tc>
              <w:tc>
                <w:tcPr>
                  <w:tcW w:w="1275"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外借</w:t>
                  </w:r>
                </w:p>
              </w:tc>
              <w:tc>
                <w:tcPr>
                  <w:tcW w:w="1791"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余方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620" w:type="dxa"/>
                  <w:gridSpan w:val="2"/>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p>
              </w:tc>
              <w:tc>
                <w:tcPr>
                  <w:tcW w:w="61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表土</w:t>
                  </w:r>
                </w:p>
              </w:tc>
              <w:tc>
                <w:tcPr>
                  <w:tcW w:w="82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土石方</w:t>
                  </w:r>
                </w:p>
              </w:tc>
              <w:tc>
                <w:tcPr>
                  <w:tcW w:w="84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砂卵石</w:t>
                  </w:r>
                </w:p>
              </w:tc>
              <w:tc>
                <w:tcPr>
                  <w:tcW w:w="64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小计</w:t>
                  </w:r>
                </w:p>
              </w:tc>
              <w:tc>
                <w:tcPr>
                  <w:tcW w:w="64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表土</w:t>
                  </w:r>
                </w:p>
              </w:tc>
              <w:tc>
                <w:tcPr>
                  <w:tcW w:w="82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rPr>
                    <w:t>土石方</w:t>
                  </w:r>
                </w:p>
              </w:tc>
              <w:tc>
                <w:tcPr>
                  <w:tcW w:w="78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大卵石</w:t>
                  </w:r>
                </w:p>
              </w:tc>
              <w:tc>
                <w:tcPr>
                  <w:tcW w:w="81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小计</w:t>
                  </w:r>
                </w:p>
              </w:tc>
              <w:tc>
                <w:tcPr>
                  <w:tcW w:w="70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数量</w:t>
                  </w:r>
                </w:p>
              </w:tc>
              <w:tc>
                <w:tcPr>
                  <w:tcW w:w="114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来源</w:t>
                  </w:r>
                </w:p>
              </w:tc>
              <w:tc>
                <w:tcPr>
                  <w:tcW w:w="78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数量</w:t>
                  </w:r>
                </w:p>
              </w:tc>
              <w:tc>
                <w:tcPr>
                  <w:tcW w:w="108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去向</w:t>
                  </w:r>
                </w:p>
              </w:tc>
              <w:tc>
                <w:tcPr>
                  <w:tcW w:w="66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数量</w:t>
                  </w:r>
                </w:p>
              </w:tc>
              <w:tc>
                <w:tcPr>
                  <w:tcW w:w="61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来源</w:t>
                  </w:r>
                </w:p>
              </w:tc>
              <w:tc>
                <w:tcPr>
                  <w:tcW w:w="84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jc w:val="center"/>
                    <w:textAlignment w:val="top"/>
                    <w:rPr>
                      <w:rFonts w:hint="default" w:ascii="Times New Roman" w:hAnsi="Times New Roman" w:eastAsia="仿宋_GB2312" w:cs="Times New Roman"/>
                      <w:color w:val="auto"/>
                      <w:sz w:val="15"/>
                      <w:szCs w:val="15"/>
                      <w:highlight w:val="yellow"/>
                      <w:lang w:bidi="ar"/>
                    </w:rPr>
                  </w:pPr>
                  <w:r>
                    <w:rPr>
                      <w:rFonts w:hint="default" w:ascii="Times New Roman" w:hAnsi="Times New Roman" w:eastAsia="仿宋_GB2312" w:cs="Times New Roman"/>
                      <w:color w:val="auto"/>
                      <w:sz w:val="15"/>
                      <w:szCs w:val="15"/>
                      <w:lang w:bidi="ar"/>
                    </w:rPr>
                    <w:t>砂卵石</w:t>
                  </w:r>
                </w:p>
              </w:tc>
              <w:tc>
                <w:tcPr>
                  <w:tcW w:w="95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jc w:val="center"/>
                    <w:textAlignment w:val="top"/>
                    <w:rPr>
                      <w:rFonts w:hint="default" w:ascii="Times New Roman" w:hAnsi="Times New Roman" w:eastAsia="仿宋_GB2312" w:cs="Times New Roman"/>
                      <w:color w:val="auto"/>
                      <w:sz w:val="15"/>
                      <w:szCs w:val="15"/>
                      <w:lang w:bidi="ar"/>
                    </w:rPr>
                  </w:pPr>
                  <w:r>
                    <w:rPr>
                      <w:rFonts w:hint="default" w:ascii="Times New Roman" w:hAnsi="Times New Roman" w:eastAsia="仿宋_GB2312" w:cs="Times New Roman"/>
                      <w:color w:val="auto"/>
                      <w:sz w:val="15"/>
                      <w:szCs w:val="15"/>
                      <w:lang w:bidi="ar"/>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393"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项目区</w:t>
                  </w:r>
                </w:p>
              </w:tc>
              <w:tc>
                <w:tcPr>
                  <w:tcW w:w="122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主体工程区</w:t>
                  </w:r>
                </w:p>
              </w:tc>
              <w:tc>
                <w:tcPr>
                  <w:tcW w:w="61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0.10</w:t>
                  </w:r>
                </w:p>
              </w:tc>
              <w:tc>
                <w:tcPr>
                  <w:tcW w:w="82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1.03</w:t>
                  </w:r>
                </w:p>
              </w:tc>
              <w:tc>
                <w:tcPr>
                  <w:tcW w:w="84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3.15</w:t>
                  </w:r>
                </w:p>
              </w:tc>
              <w:tc>
                <w:tcPr>
                  <w:tcW w:w="64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4.28</w:t>
                  </w:r>
                </w:p>
              </w:tc>
              <w:tc>
                <w:tcPr>
                  <w:tcW w:w="64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0.10</w:t>
                  </w:r>
                </w:p>
              </w:tc>
              <w:tc>
                <w:tcPr>
                  <w:tcW w:w="82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0.93</w:t>
                  </w:r>
                </w:p>
              </w:tc>
              <w:tc>
                <w:tcPr>
                  <w:tcW w:w="78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0.40</w:t>
                  </w:r>
                </w:p>
              </w:tc>
              <w:tc>
                <w:tcPr>
                  <w:tcW w:w="81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1.43</w:t>
                  </w:r>
                </w:p>
              </w:tc>
              <w:tc>
                <w:tcPr>
                  <w:tcW w:w="70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0.79</w:t>
                  </w:r>
                </w:p>
              </w:tc>
              <w:tc>
                <w:tcPr>
                  <w:tcW w:w="114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围堰拆除量</w:t>
                  </w:r>
                </w:p>
              </w:tc>
              <w:tc>
                <w:tcPr>
                  <w:tcW w:w="78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0.79</w:t>
                  </w:r>
                </w:p>
              </w:tc>
              <w:tc>
                <w:tcPr>
                  <w:tcW w:w="108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施工围堰</w:t>
                  </w:r>
                </w:p>
              </w:tc>
              <w:tc>
                <w:tcPr>
                  <w:tcW w:w="66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p>
              </w:tc>
              <w:tc>
                <w:tcPr>
                  <w:tcW w:w="61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p>
              </w:tc>
              <w:tc>
                <w:tcPr>
                  <w:tcW w:w="84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jc w:val="center"/>
                    <w:textAlignment w:val="top"/>
                    <w:rPr>
                      <w:rFonts w:hint="default" w:ascii="Times New Roman" w:hAnsi="Times New Roman" w:eastAsia="仿宋_GB2312" w:cs="Times New Roman"/>
                      <w:sz w:val="15"/>
                      <w:szCs w:val="15"/>
                      <w:highlight w:val="yellow"/>
                      <w:lang w:bidi="ar"/>
                    </w:rPr>
                  </w:pPr>
                  <w:r>
                    <w:rPr>
                      <w:rFonts w:hint="default" w:ascii="Times New Roman" w:hAnsi="Times New Roman" w:eastAsia="仿宋_GB2312" w:cs="Times New Roman"/>
                      <w:sz w:val="15"/>
                      <w:szCs w:val="15"/>
                      <w:lang w:bidi="ar"/>
                    </w:rPr>
                    <w:t>2.85</w:t>
                  </w:r>
                </w:p>
              </w:tc>
              <w:tc>
                <w:tcPr>
                  <w:tcW w:w="95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color w:val="auto"/>
                      <w:sz w:val="15"/>
                      <w:szCs w:val="15"/>
                      <w:lang w:eastAsia="zh-CN"/>
                    </w:rPr>
                    <w:t>苏稽镇石鼓寺村老鸦滩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393"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p>
              </w:tc>
              <w:tc>
                <w:tcPr>
                  <w:tcW w:w="122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施工工区</w:t>
                  </w:r>
                </w:p>
              </w:tc>
              <w:tc>
                <w:tcPr>
                  <w:tcW w:w="61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0.04</w:t>
                  </w:r>
                </w:p>
              </w:tc>
              <w:tc>
                <w:tcPr>
                  <w:tcW w:w="82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w:t>
                  </w:r>
                </w:p>
              </w:tc>
              <w:tc>
                <w:tcPr>
                  <w:tcW w:w="84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p>
              </w:tc>
              <w:tc>
                <w:tcPr>
                  <w:tcW w:w="64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0.04</w:t>
                  </w:r>
                </w:p>
              </w:tc>
              <w:tc>
                <w:tcPr>
                  <w:tcW w:w="64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0.04</w:t>
                  </w:r>
                </w:p>
              </w:tc>
              <w:tc>
                <w:tcPr>
                  <w:tcW w:w="82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w:t>
                  </w:r>
                </w:p>
              </w:tc>
              <w:tc>
                <w:tcPr>
                  <w:tcW w:w="78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rPr>
                    <w:t>/</w:t>
                  </w:r>
                </w:p>
              </w:tc>
              <w:tc>
                <w:tcPr>
                  <w:tcW w:w="81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0.04</w:t>
                  </w:r>
                </w:p>
              </w:tc>
              <w:tc>
                <w:tcPr>
                  <w:tcW w:w="70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p>
              </w:tc>
              <w:tc>
                <w:tcPr>
                  <w:tcW w:w="114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p>
              </w:tc>
              <w:tc>
                <w:tcPr>
                  <w:tcW w:w="78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p>
              </w:tc>
              <w:tc>
                <w:tcPr>
                  <w:tcW w:w="108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p>
              </w:tc>
              <w:tc>
                <w:tcPr>
                  <w:tcW w:w="66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p>
              </w:tc>
              <w:tc>
                <w:tcPr>
                  <w:tcW w:w="61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p>
              </w:tc>
              <w:tc>
                <w:tcPr>
                  <w:tcW w:w="84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w:t>
                  </w:r>
                </w:p>
              </w:tc>
              <w:tc>
                <w:tcPr>
                  <w:tcW w:w="95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jc w:val="center"/>
                    <w:textAlignment w:val="top"/>
                    <w:rPr>
                      <w:rFonts w:hint="default" w:ascii="Times New Roman" w:hAnsi="Times New Roman" w:eastAsia="仿宋_GB2312" w:cs="Times New Roman"/>
                      <w:sz w:val="15"/>
                      <w:szCs w:val="15"/>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20"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合计</w:t>
                  </w:r>
                </w:p>
              </w:tc>
              <w:tc>
                <w:tcPr>
                  <w:tcW w:w="61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0.14</w:t>
                  </w:r>
                </w:p>
              </w:tc>
              <w:tc>
                <w:tcPr>
                  <w:tcW w:w="82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1.03</w:t>
                  </w:r>
                </w:p>
              </w:tc>
              <w:tc>
                <w:tcPr>
                  <w:tcW w:w="84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3.15</w:t>
                  </w:r>
                </w:p>
              </w:tc>
              <w:tc>
                <w:tcPr>
                  <w:tcW w:w="64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4.32</w:t>
                  </w:r>
                </w:p>
              </w:tc>
              <w:tc>
                <w:tcPr>
                  <w:tcW w:w="64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0.14</w:t>
                  </w:r>
                </w:p>
              </w:tc>
              <w:tc>
                <w:tcPr>
                  <w:tcW w:w="82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0.93</w:t>
                  </w:r>
                </w:p>
              </w:tc>
              <w:tc>
                <w:tcPr>
                  <w:tcW w:w="78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0.40</w:t>
                  </w:r>
                </w:p>
              </w:tc>
              <w:tc>
                <w:tcPr>
                  <w:tcW w:w="81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1.47</w:t>
                  </w:r>
                </w:p>
              </w:tc>
              <w:tc>
                <w:tcPr>
                  <w:tcW w:w="70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0.79</w:t>
                  </w:r>
                </w:p>
              </w:tc>
              <w:tc>
                <w:tcPr>
                  <w:tcW w:w="114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w:t>
                  </w:r>
                </w:p>
              </w:tc>
              <w:tc>
                <w:tcPr>
                  <w:tcW w:w="78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0.79</w:t>
                  </w:r>
                </w:p>
              </w:tc>
              <w:tc>
                <w:tcPr>
                  <w:tcW w:w="108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w:t>
                  </w:r>
                </w:p>
              </w:tc>
              <w:tc>
                <w:tcPr>
                  <w:tcW w:w="66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w:t>
                  </w:r>
                </w:p>
              </w:tc>
              <w:tc>
                <w:tcPr>
                  <w:tcW w:w="61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w:t>
                  </w:r>
                </w:p>
              </w:tc>
              <w:tc>
                <w:tcPr>
                  <w:tcW w:w="84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jc w:val="center"/>
                    <w:textAlignment w:val="top"/>
                    <w:rPr>
                      <w:rFonts w:hint="default" w:ascii="Times New Roman" w:hAnsi="Times New Roman" w:eastAsia="仿宋_GB2312" w:cs="Times New Roman"/>
                      <w:sz w:val="15"/>
                      <w:szCs w:val="15"/>
                      <w:lang w:bidi="ar"/>
                    </w:rPr>
                  </w:pPr>
                  <w:r>
                    <w:rPr>
                      <w:rFonts w:hint="default" w:ascii="Times New Roman" w:hAnsi="Times New Roman" w:eastAsia="仿宋_GB2312" w:cs="Times New Roman"/>
                      <w:sz w:val="15"/>
                      <w:szCs w:val="15"/>
                      <w:lang w:bidi="ar"/>
                    </w:rPr>
                    <w:t>2.85</w:t>
                  </w:r>
                </w:p>
              </w:tc>
              <w:tc>
                <w:tcPr>
                  <w:tcW w:w="95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jc w:val="center"/>
                    <w:textAlignment w:val="top"/>
                    <w:rPr>
                      <w:rFonts w:hint="default" w:ascii="Times New Roman" w:hAnsi="Times New Roman" w:eastAsia="仿宋_GB2312" w:cs="Times New Roman"/>
                      <w:sz w:val="15"/>
                      <w:szCs w:val="15"/>
                      <w:lang w:bidi="ar"/>
                    </w:rPr>
                  </w:pPr>
                </w:p>
              </w:tc>
            </w:tr>
          </w:tbl>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ascii="Times New Roman" w:hAnsi="宋体" w:eastAsia="宋体" w:cs="Times New Roman"/>
                <w:bCs/>
                <w:color w:val="auto"/>
                <w:sz w:val="24"/>
                <w:highlight w:val="none"/>
              </w:rPr>
            </w:pPr>
            <w:r>
              <w:rPr>
                <w:rFonts w:ascii="Times New Roman" w:hAnsi="宋体" w:eastAsia="宋体" w:cs="Times New Roman"/>
                <w:bCs/>
                <w:color w:val="auto"/>
                <w:sz w:val="24"/>
                <w:highlight w:val="none"/>
              </w:rPr>
              <w:t>本项目竣工后可改善项目河段生态环境、保障周边居民生活安全、堤防牢固，促进当地社会发展，优化当地的水环境，提升生态景观效果，改善投资环境。</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b w:val="0"/>
                <w:bCs w:val="0"/>
                <w:color w:val="auto"/>
                <w:spacing w:val="0"/>
                <w:kern w:val="2"/>
                <w:sz w:val="24"/>
                <w:szCs w:val="24"/>
                <w:highlight w:val="none"/>
                <w:lang w:val="en-US" w:eastAsia="zh-CN" w:bidi="ar-SA"/>
              </w:rPr>
            </w:pPr>
            <w:r>
              <w:rPr>
                <w:rFonts w:ascii="Times New Roman" w:hAnsi="宋体" w:eastAsia="宋体" w:cs="Times New Roman"/>
                <w:bCs/>
                <w:color w:val="auto"/>
                <w:sz w:val="24"/>
                <w:highlight w:val="none"/>
              </w:rPr>
              <w:t>综上分析，项目选址不存在环境制约因素，项目建设与周围环境相容。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4" w:type="dxa"/>
            <w:noWrap w:val="0"/>
            <w:vAlign w:val="center"/>
          </w:tcPr>
          <w:p>
            <w:pPr>
              <w:keepNext w:val="0"/>
              <w:keepLines w:val="0"/>
              <w:pageBreakBefore w:val="0"/>
              <w:kinsoku/>
              <w:wordWrap/>
              <w:overflowPunct/>
              <w:topLinePunct w:val="0"/>
              <w:bidi w:val="0"/>
              <w:adjustRightInd w:val="0"/>
              <w:snapToGrid w:val="0"/>
              <w:spacing w:line="360" w:lineRule="auto"/>
              <w:jc w:val="center"/>
              <w:textAlignment w:val="auto"/>
              <w:rPr>
                <w:rFonts w:hint="default" w:ascii="Times New Roman" w:hAnsi="Times New Roman" w:cs="Times New Roman"/>
                <w:kern w:val="0"/>
                <w:szCs w:val="21"/>
              </w:rPr>
            </w:pPr>
            <w:r>
              <w:rPr>
                <w:rFonts w:hint="default" w:ascii="Times New Roman" w:hAnsi="Times New Roman" w:cs="Times New Roman"/>
                <w:kern w:val="0"/>
                <w:szCs w:val="21"/>
              </w:rPr>
              <w:t>施工方案</w:t>
            </w:r>
          </w:p>
        </w:tc>
        <w:tc>
          <w:tcPr>
            <w:tcW w:w="7670" w:type="dxa"/>
            <w:noWrap w:val="0"/>
            <w:vAlign w:val="center"/>
          </w:tcPr>
          <w:p>
            <w:pPr>
              <w:keepNext w:val="0"/>
              <w:keepLines w:val="0"/>
              <w:pageBreakBefore w:val="0"/>
              <w:widowControl/>
              <w:kinsoku/>
              <w:wordWrap/>
              <w:overflowPunct/>
              <w:topLinePunct w:val="0"/>
              <w:autoSpaceDE/>
              <w:autoSpaceDN/>
              <w:bidi w:val="0"/>
              <w:adjustRightInd w:val="0"/>
              <w:snapToGrid w:val="0"/>
              <w:spacing w:line="360" w:lineRule="auto"/>
              <w:ind w:right="0" w:firstLine="480" w:firstLineChars="200"/>
              <w:jc w:val="left"/>
              <w:textAlignment w:val="auto"/>
              <w:rPr>
                <w:rFonts w:hint="default" w:ascii="Times New Roman" w:hAnsi="Times New Roman" w:eastAsia="宋体" w:cs="Times New Roman"/>
                <w:b/>
                <w:bCs/>
                <w:color w:val="auto"/>
                <w:spacing w:val="0"/>
                <w:sz w:val="24"/>
                <w:lang w:val="en-US" w:eastAsia="zh-CN" w:bidi="ar-SA"/>
              </w:rPr>
            </w:pPr>
            <w:r>
              <w:rPr>
                <w:rFonts w:hint="default" w:ascii="Times New Roman" w:hAnsi="Times New Roman" w:eastAsia="宋体" w:cs="Times New Roman"/>
                <w:color w:val="auto"/>
                <w:kern w:val="0"/>
                <w:sz w:val="24"/>
                <w:szCs w:val="24"/>
                <w:lang w:bidi="ar"/>
              </w:rPr>
              <w:t>本项目均属于非污染性建设项目，运营期项目本身不会产生环境污染。对环境的影响主要集中在施工期，因此本报告重点对施工期环境影响进行评价。</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spacing w:val="0"/>
                <w:sz w:val="24"/>
                <w:lang w:val="en-US" w:eastAsia="zh-CN" w:bidi="ar-SA"/>
              </w:rPr>
            </w:pPr>
            <w:r>
              <w:rPr>
                <w:rFonts w:hint="default" w:ascii="Times New Roman" w:hAnsi="Times New Roman" w:eastAsia="宋体" w:cs="Times New Roman"/>
                <w:b/>
                <w:bCs/>
                <w:color w:val="auto"/>
                <w:spacing w:val="0"/>
                <w:sz w:val="24"/>
                <w:lang w:val="en-US" w:eastAsia="zh-CN" w:bidi="ar-SA"/>
              </w:rPr>
              <w:t>1、施工期工艺流程</w:t>
            </w:r>
          </w:p>
          <w:p>
            <w:pPr>
              <w:keepNext w:val="0"/>
              <w:keepLines w:val="0"/>
              <w:pageBreakBefore w:val="0"/>
              <w:widowControl w:val="0"/>
              <w:numPr>
                <w:ilvl w:val="1"/>
                <w:numId w:val="0"/>
              </w:numPr>
              <w:kinsoku/>
              <w:wordWrap/>
              <w:overflowPunct/>
              <w:topLinePunct w:val="0"/>
              <w:autoSpaceDE w:val="0"/>
              <w:autoSpaceDN w:val="0"/>
              <w:bidi w:val="0"/>
              <w:adjustRightInd w:val="0"/>
              <w:snapToGrid w:val="0"/>
              <w:spacing w:before="0" w:after="0" w:line="360" w:lineRule="auto"/>
              <w:ind w:leftChars="0"/>
              <w:jc w:val="center"/>
              <w:textAlignment w:val="baseline"/>
              <w:outlineLvl w:val="9"/>
              <w:rPr>
                <w:rFonts w:hint="default" w:ascii="Times New Roman" w:hAnsi="Times New Roman" w:eastAsia="宋体" w:cs="Times New Roman"/>
                <w:color w:val="auto"/>
                <w:spacing w:val="0"/>
                <w:lang w:val="en-US" w:eastAsia="zh-CN"/>
              </w:rPr>
            </w:pPr>
            <w:r>
              <w:rPr>
                <w:rFonts w:hint="default" w:ascii="Times New Roman" w:hAnsi="Times New Roman" w:eastAsia="宋体" w:cs="Times New Roman"/>
                <w:color w:val="auto"/>
                <w:spacing w:val="0"/>
                <w:lang w:val="en-US" w:eastAsia="zh-CN"/>
              </w:rPr>
              <w:drawing>
                <wp:inline distT="0" distB="0" distL="114300" distR="114300">
                  <wp:extent cx="3537585" cy="4232910"/>
                  <wp:effectExtent l="0" t="0" r="5715" b="15240"/>
                  <wp:docPr id="45" name="图片 42" descr="166497292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2" descr="1664972925014"/>
                          <pic:cNvPicPr>
                            <a:picLocks noChangeAspect="1"/>
                          </pic:cNvPicPr>
                        </pic:nvPicPr>
                        <pic:blipFill>
                          <a:blip r:embed="rId36"/>
                          <a:stretch>
                            <a:fillRect/>
                          </a:stretch>
                        </pic:blipFill>
                        <pic:spPr>
                          <a:xfrm>
                            <a:off x="0" y="0"/>
                            <a:ext cx="3537585" cy="42329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240" w:lineRule="auto"/>
              <w:ind w:firstLine="422" w:firstLineChars="200"/>
              <w:jc w:val="center"/>
              <w:textAlignment w:val="auto"/>
              <w:rPr>
                <w:rFonts w:hint="default" w:ascii="Times New Roman" w:hAnsi="Times New Roman" w:eastAsia="宋体" w:cs="Times New Roman"/>
                <w:b/>
                <w:bCs/>
                <w:color w:val="auto"/>
                <w:spacing w:val="0"/>
                <w:sz w:val="21"/>
                <w:szCs w:val="21"/>
                <w:lang w:val="en-US" w:eastAsia="zh-CN" w:bidi="ar-SA"/>
              </w:rPr>
            </w:pPr>
            <w:r>
              <w:rPr>
                <w:rFonts w:hint="eastAsia" w:ascii="Times New Roman" w:hAnsi="Times New Roman" w:eastAsia="宋体" w:cs="Times New Roman"/>
                <w:b/>
                <w:bCs/>
                <w:color w:val="auto"/>
                <w:spacing w:val="0"/>
                <w:sz w:val="21"/>
                <w:szCs w:val="21"/>
                <w:lang w:val="en-US" w:eastAsia="zh-CN" w:bidi="ar-SA"/>
              </w:rPr>
              <w:t>图2-3  本工程工艺流程及产污环节图</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spacing w:val="0"/>
                <w:sz w:val="24"/>
                <w:lang w:val="en-US" w:eastAsia="zh-CN" w:bidi="ar-SA"/>
              </w:rPr>
            </w:pPr>
            <w:r>
              <w:rPr>
                <w:rFonts w:hint="default" w:ascii="Times New Roman" w:hAnsi="Times New Roman" w:eastAsia="宋体" w:cs="Times New Roman"/>
                <w:b/>
                <w:bCs/>
                <w:color w:val="auto"/>
                <w:spacing w:val="0"/>
                <w:sz w:val="24"/>
                <w:lang w:val="en-US" w:eastAsia="zh-CN" w:bidi="ar-SA"/>
              </w:rPr>
              <w:t>2、</w:t>
            </w:r>
            <w:r>
              <w:rPr>
                <w:rFonts w:hint="eastAsia" w:ascii="Times New Roman" w:hAnsi="Times New Roman" w:eastAsia="宋体" w:cs="Times New Roman"/>
                <w:b/>
                <w:bCs/>
                <w:color w:val="auto"/>
                <w:spacing w:val="0"/>
                <w:sz w:val="24"/>
                <w:lang w:val="en-US" w:eastAsia="zh-CN" w:bidi="ar-SA"/>
              </w:rPr>
              <w:t>工艺流程简介</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cs="Times New Roman"/>
                <w:color w:val="0000FF"/>
                <w:kern w:val="0"/>
                <w:szCs w:val="21"/>
                <w:lang w:val="en-US"/>
              </w:rPr>
            </w:pPr>
            <w:r>
              <w:rPr>
                <w:rFonts w:hint="default" w:ascii="Times New Roman" w:hAnsi="Times New Roman" w:eastAsia="宋体" w:cs="Times New Roman"/>
                <w:b/>
                <w:bCs/>
                <w:color w:val="auto"/>
                <w:spacing w:val="0"/>
                <w:sz w:val="24"/>
                <w:lang w:val="en-US" w:eastAsia="zh-CN" w:bidi="ar-SA"/>
              </w:rPr>
              <w:t>（1）</w:t>
            </w:r>
            <w:r>
              <w:rPr>
                <w:rFonts w:hint="eastAsia" w:ascii="Times New Roman" w:hAnsi="Times New Roman" w:eastAsia="宋体" w:cs="Times New Roman"/>
                <w:b/>
                <w:bCs/>
                <w:color w:val="auto"/>
                <w:spacing w:val="0"/>
                <w:sz w:val="24"/>
                <w:lang w:val="en-US" w:eastAsia="zh-CN" w:bidi="ar-SA"/>
              </w:rPr>
              <w:t>施工准备</w:t>
            </w:r>
          </w:p>
          <w:p>
            <w:pPr>
              <w:keepNext w:val="0"/>
              <w:keepLines w:val="0"/>
              <w:pageBreakBefore w:val="0"/>
              <w:widowControl w:val="0"/>
              <w:kinsoku/>
              <w:wordWrap/>
              <w:overflowPunct/>
              <w:topLinePunct w:val="0"/>
              <w:bidi w:val="0"/>
              <w:spacing w:line="360" w:lineRule="auto"/>
              <w:ind w:left="0" w:right="0" w:firstLine="524" w:firstLineChars="200"/>
              <w:textAlignment w:val="auto"/>
              <w:outlineLvl w:val="2"/>
              <w:rPr>
                <w:rFonts w:hint="default" w:ascii="Times New Roman" w:hAnsi="Times New Roman" w:eastAsia="宋体" w:cs="Times New Roman"/>
                <w:sz w:val="24"/>
                <w:szCs w:val="24"/>
              </w:rPr>
            </w:pPr>
            <w:r>
              <w:rPr>
                <w:rFonts w:hint="default" w:ascii="Times New Roman" w:hAnsi="Times New Roman" w:eastAsia="宋体" w:cs="Times New Roman"/>
                <w:spacing w:val="11"/>
                <w:sz w:val="24"/>
                <w:szCs w:val="24"/>
              </w:rPr>
              <w:t>①</w:t>
            </w:r>
            <w:r>
              <w:rPr>
                <w:rFonts w:hint="default" w:ascii="Times New Roman" w:hAnsi="Times New Roman" w:eastAsia="宋体" w:cs="Times New Roman"/>
                <w:spacing w:val="8"/>
                <w:sz w:val="24"/>
                <w:szCs w:val="24"/>
              </w:rPr>
              <w:t>技术准备</w:t>
            </w:r>
          </w:p>
          <w:p>
            <w:pPr>
              <w:keepNext w:val="0"/>
              <w:keepLines w:val="0"/>
              <w:pageBreakBefore w:val="0"/>
              <w:widowControl w:val="0"/>
              <w:tabs>
                <w:tab w:val="left" w:pos="232"/>
              </w:tabs>
              <w:kinsoku/>
              <w:wordWrap/>
              <w:overflowPunct/>
              <w:topLinePunct w:val="0"/>
              <w:bidi w:val="0"/>
              <w:spacing w:line="360" w:lineRule="auto"/>
              <w:ind w:left="0" w:right="0" w:firstLine="51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8"/>
                <w:sz w:val="24"/>
                <w:szCs w:val="24"/>
              </w:rPr>
              <w:t>开挖工作按《堤防工程施工规范》 (</w:t>
            </w:r>
            <w:r>
              <w:rPr>
                <w:rFonts w:hint="default" w:ascii="Times New Roman" w:hAnsi="Times New Roman" w:eastAsia="Times New Roman" w:cs="Times New Roman"/>
                <w:sz w:val="24"/>
                <w:szCs w:val="24"/>
              </w:rPr>
              <w:t>SL</w:t>
            </w:r>
            <w:r>
              <w:rPr>
                <w:rFonts w:hint="default" w:ascii="Times New Roman" w:hAnsi="Times New Roman" w:eastAsia="Times New Roman" w:cs="Times New Roman"/>
                <w:spacing w:val="8"/>
                <w:sz w:val="24"/>
                <w:szCs w:val="24"/>
              </w:rPr>
              <w:t>260-2014</w:t>
            </w:r>
            <w:r>
              <w:rPr>
                <w:rFonts w:hint="default" w:ascii="Times New Roman" w:hAnsi="Times New Roman" w:eastAsia="宋体" w:cs="Times New Roman"/>
                <w:spacing w:val="8"/>
                <w:sz w:val="24"/>
                <w:szCs w:val="24"/>
              </w:rPr>
              <w:t>) 、《水工混凝土施工规范</w:t>
            </w:r>
            <w:r>
              <w:rPr>
                <w:rFonts w:hint="default" w:ascii="Times New Roman" w:hAnsi="Times New Roman" w:eastAsia="宋体" w:cs="Times New Roman"/>
                <w:spacing w:val="3"/>
                <w:sz w:val="24"/>
                <w:szCs w:val="24"/>
              </w:rPr>
              <w:t>》</w:t>
            </w:r>
            <w:r>
              <w:rPr>
                <w:rFonts w:hint="default" w:ascii="Times New Roman" w:hAnsi="Times New Roman" w:eastAsia="宋体" w:cs="Times New Roman"/>
                <w:sz w:val="24"/>
                <w:szCs w:val="24"/>
              </w:rPr>
              <w:t xml:space="preserve"> </w:t>
            </w:r>
            <w:r>
              <w:rPr>
                <w:rFonts w:hint="default" w:ascii="Times New Roman" w:hAnsi="Times New Roman" w:eastAsia="宋体" w:cs="Times New Roman"/>
                <w:sz w:val="24"/>
                <w:szCs w:val="24"/>
              </w:rPr>
              <w:tab/>
            </w:r>
            <w:r>
              <w:rPr>
                <w:rFonts w:hint="default" w:ascii="Times New Roman" w:hAnsi="Times New Roman" w:eastAsia="宋体" w:cs="Times New Roman"/>
                <w:spacing w:val="6"/>
                <w:sz w:val="24"/>
                <w:szCs w:val="24"/>
              </w:rPr>
              <w:t>(</w:t>
            </w:r>
            <w:r>
              <w:rPr>
                <w:rFonts w:hint="default" w:ascii="Times New Roman" w:hAnsi="Times New Roman" w:eastAsia="Times New Roman" w:cs="Times New Roman"/>
                <w:sz w:val="24"/>
                <w:szCs w:val="24"/>
              </w:rPr>
              <w:t>DL</w:t>
            </w:r>
            <w:r>
              <w:rPr>
                <w:rFonts w:hint="default" w:ascii="Times New Roman" w:hAnsi="Times New Roman" w:eastAsia="Times New Roman" w:cs="Times New Roman"/>
                <w:spacing w:val="6"/>
                <w:sz w:val="24"/>
                <w:szCs w:val="24"/>
              </w:rPr>
              <w:t>/</w:t>
            </w:r>
            <w:r>
              <w:rPr>
                <w:rFonts w:hint="default" w:ascii="Times New Roman" w:hAnsi="Times New Roman" w:eastAsia="Times New Roman" w:cs="Times New Roman"/>
                <w:sz w:val="24"/>
                <w:szCs w:val="24"/>
              </w:rPr>
              <w:t>T</w:t>
            </w:r>
            <w:r>
              <w:rPr>
                <w:rFonts w:hint="default" w:ascii="Times New Roman" w:hAnsi="Times New Roman" w:eastAsia="Times New Roman" w:cs="Times New Roman"/>
                <w:spacing w:val="6"/>
                <w:sz w:val="24"/>
                <w:szCs w:val="24"/>
              </w:rPr>
              <w:t>514</w:t>
            </w:r>
            <w:r>
              <w:rPr>
                <w:rFonts w:hint="default" w:ascii="Times New Roman" w:hAnsi="Times New Roman" w:eastAsia="Times New Roman" w:cs="Times New Roman"/>
                <w:spacing w:val="5"/>
                <w:sz w:val="24"/>
                <w:szCs w:val="24"/>
              </w:rPr>
              <w:t>4</w:t>
            </w:r>
            <w:r>
              <w:rPr>
                <w:rFonts w:hint="default" w:ascii="Times New Roman" w:hAnsi="Times New Roman" w:eastAsia="Times New Roman" w:cs="Times New Roman"/>
                <w:spacing w:val="3"/>
                <w:sz w:val="24"/>
                <w:szCs w:val="24"/>
              </w:rPr>
              <w:t>-2001</w:t>
            </w:r>
            <w:r>
              <w:rPr>
                <w:rFonts w:hint="default" w:ascii="Times New Roman" w:hAnsi="Times New Roman" w:eastAsia="宋体" w:cs="Times New Roman"/>
                <w:spacing w:val="3"/>
                <w:sz w:val="24"/>
                <w:szCs w:val="24"/>
              </w:rPr>
              <w:t>)等相关规范的要求组</w:t>
            </w:r>
            <w:r>
              <w:rPr>
                <w:rFonts w:hint="default" w:ascii="Times New Roman" w:hAnsi="Times New Roman" w:eastAsia="宋体" w:cs="Times New Roman"/>
                <w:spacing w:val="13"/>
                <w:sz w:val="24"/>
                <w:szCs w:val="24"/>
              </w:rPr>
              <w:t>织施工，开工前熟悉设计图纸、地形、地质、水文等资料，编制开挖工程施工组</w:t>
            </w:r>
            <w:r>
              <w:rPr>
                <w:rFonts w:hint="default" w:ascii="Times New Roman" w:hAnsi="Times New Roman" w:eastAsia="宋体" w:cs="Times New Roman"/>
                <w:spacing w:val="6"/>
                <w:sz w:val="24"/>
                <w:szCs w:val="24"/>
              </w:rPr>
              <w:t>织</w:t>
            </w:r>
            <w:r>
              <w:rPr>
                <w:rFonts w:hint="default" w:ascii="Times New Roman" w:hAnsi="Times New Roman" w:eastAsia="宋体" w:cs="Times New Roman"/>
                <w:sz w:val="24"/>
                <w:szCs w:val="24"/>
              </w:rPr>
              <w:t xml:space="preserve"> </w:t>
            </w:r>
            <w:r>
              <w:rPr>
                <w:rFonts w:hint="default" w:ascii="Times New Roman" w:hAnsi="Times New Roman" w:eastAsia="宋体" w:cs="Times New Roman"/>
                <w:spacing w:val="7"/>
                <w:sz w:val="24"/>
                <w:szCs w:val="24"/>
              </w:rPr>
              <w:t>设计报监理批准。</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②施工测</w:t>
            </w:r>
            <w:r>
              <w:rPr>
                <w:rFonts w:hint="default" w:ascii="Times New Roman" w:hAnsi="Times New Roman" w:eastAsia="宋体" w:cs="Times New Roman"/>
                <w:spacing w:val="8"/>
                <w:sz w:val="24"/>
                <w:szCs w:val="24"/>
              </w:rPr>
              <w:t>量</w:t>
            </w:r>
          </w:p>
          <w:p>
            <w:pPr>
              <w:keepNext w:val="0"/>
              <w:keepLines w:val="0"/>
              <w:pageBreakBefore w:val="0"/>
              <w:widowControl w:val="0"/>
              <w:kinsoku/>
              <w:wordWrap/>
              <w:overflowPunct/>
              <w:topLinePunct w:val="0"/>
              <w:bidi w:val="0"/>
              <w:spacing w:line="360" w:lineRule="auto"/>
              <w:ind w:left="0" w:right="0" w:firstLine="544"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16"/>
                <w:sz w:val="24"/>
                <w:szCs w:val="24"/>
              </w:rPr>
              <w:t>施</w:t>
            </w:r>
            <w:r>
              <w:rPr>
                <w:rFonts w:hint="default" w:ascii="Times New Roman" w:hAnsi="Times New Roman" w:eastAsia="宋体" w:cs="Times New Roman"/>
                <w:spacing w:val="11"/>
                <w:sz w:val="24"/>
                <w:szCs w:val="24"/>
              </w:rPr>
              <w:t>工</w:t>
            </w:r>
            <w:r>
              <w:rPr>
                <w:rFonts w:hint="default" w:ascii="Times New Roman" w:hAnsi="Times New Roman" w:eastAsia="宋体" w:cs="Times New Roman"/>
                <w:spacing w:val="8"/>
                <w:sz w:val="24"/>
                <w:szCs w:val="24"/>
              </w:rPr>
              <w:t>单位按照现行《水利水电工程测量规范》 (</w:t>
            </w:r>
            <w:r>
              <w:rPr>
                <w:rFonts w:hint="default" w:ascii="Times New Roman" w:hAnsi="Times New Roman" w:eastAsia="Times New Roman" w:cs="Times New Roman"/>
                <w:sz w:val="24"/>
                <w:szCs w:val="24"/>
              </w:rPr>
              <w:t>SL</w:t>
            </w:r>
            <w:r>
              <w:rPr>
                <w:rFonts w:hint="default" w:ascii="Times New Roman" w:hAnsi="Times New Roman" w:eastAsia="Times New Roman" w:cs="Times New Roman"/>
                <w:spacing w:val="8"/>
                <w:sz w:val="24"/>
                <w:szCs w:val="24"/>
              </w:rPr>
              <w:t>197-2019</w:t>
            </w:r>
            <w:r>
              <w:rPr>
                <w:rFonts w:hint="default" w:ascii="Times New Roman" w:hAnsi="Times New Roman" w:eastAsia="宋体" w:cs="Times New Roman"/>
                <w:spacing w:val="8"/>
                <w:sz w:val="24"/>
                <w:szCs w:val="24"/>
              </w:rPr>
              <w:t>) 的规定，进行施</w:t>
            </w:r>
            <w:r>
              <w:rPr>
                <w:rFonts w:hint="default" w:ascii="Times New Roman" w:hAnsi="Times New Roman" w:eastAsia="宋体" w:cs="Times New Roman"/>
                <w:spacing w:val="13"/>
                <w:sz w:val="24"/>
                <w:szCs w:val="24"/>
              </w:rPr>
              <w:t>工测量工作。开工前，做好测量控制系统敷设，建立施工测量控制网。使用设计</w:t>
            </w:r>
            <w:r>
              <w:rPr>
                <w:rFonts w:hint="default" w:ascii="Times New Roman" w:hAnsi="Times New Roman" w:eastAsia="宋体" w:cs="Times New Roman"/>
                <w:spacing w:val="10"/>
                <w:sz w:val="24"/>
                <w:szCs w:val="24"/>
              </w:rPr>
              <w:t>单</w:t>
            </w:r>
            <w:r>
              <w:rPr>
                <w:rFonts w:hint="default" w:ascii="Times New Roman" w:hAnsi="Times New Roman" w:eastAsia="宋体" w:cs="Times New Roman"/>
                <w:spacing w:val="13"/>
                <w:sz w:val="24"/>
                <w:szCs w:val="24"/>
              </w:rPr>
              <w:t>位提供的测量控制点成果。按规定复测原始地形图或断面图，按设计要求实测横</w:t>
            </w:r>
            <w:r>
              <w:rPr>
                <w:rFonts w:hint="default" w:ascii="Times New Roman" w:hAnsi="Times New Roman" w:eastAsia="宋体" w:cs="Times New Roman"/>
                <w:spacing w:val="10"/>
                <w:sz w:val="24"/>
                <w:szCs w:val="24"/>
              </w:rPr>
              <w:t>断</w:t>
            </w:r>
            <w:r>
              <w:rPr>
                <w:rFonts w:hint="default" w:ascii="Times New Roman" w:hAnsi="Times New Roman" w:eastAsia="宋体" w:cs="Times New Roman"/>
                <w:spacing w:val="13"/>
                <w:sz w:val="24"/>
                <w:szCs w:val="24"/>
              </w:rPr>
              <w:t>面图；开挖前，进行堤轴线放线及开挖开口轮廓线放线；施工中及时进行测量</w:t>
            </w:r>
            <w:r>
              <w:rPr>
                <w:rFonts w:hint="default" w:ascii="Times New Roman" w:hAnsi="Times New Roman" w:eastAsia="宋体" w:cs="Times New Roman"/>
                <w:spacing w:val="10"/>
                <w:sz w:val="24"/>
                <w:szCs w:val="24"/>
              </w:rPr>
              <w:t>放线</w:t>
            </w:r>
            <w:r>
              <w:rPr>
                <w:rFonts w:hint="default" w:ascii="Times New Roman" w:hAnsi="Times New Roman" w:eastAsia="宋体" w:cs="Times New Roman"/>
                <w:spacing w:val="8"/>
                <w:sz w:val="24"/>
                <w:szCs w:val="24"/>
              </w:rPr>
              <w:t>，控制好超前挖问题。</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z w:val="24"/>
                <w:szCs w:val="24"/>
              </w:rPr>
            </w:pPr>
            <w:r>
              <w:rPr>
                <w:rFonts w:hint="default" w:ascii="Times New Roman" w:hAnsi="Times New Roman" w:eastAsia="宋体" w:cs="Times New Roman"/>
                <w:spacing w:val="9"/>
                <w:sz w:val="24"/>
                <w:szCs w:val="24"/>
              </w:rPr>
              <w:t>③施工程</w:t>
            </w:r>
            <w:r>
              <w:rPr>
                <w:rFonts w:hint="default" w:ascii="Times New Roman" w:hAnsi="Times New Roman" w:eastAsia="宋体" w:cs="Times New Roman"/>
                <w:spacing w:val="8"/>
                <w:sz w:val="24"/>
                <w:szCs w:val="24"/>
              </w:rPr>
              <w:t>序</w:t>
            </w:r>
          </w:p>
          <w:p>
            <w:pPr>
              <w:keepNext w:val="0"/>
              <w:keepLines w:val="0"/>
              <w:pageBreakBefore w:val="0"/>
              <w:widowControl w:val="0"/>
              <w:kinsoku/>
              <w:wordWrap/>
              <w:overflowPunct/>
              <w:topLinePunct w:val="0"/>
              <w:bidi w:val="0"/>
              <w:spacing w:line="360" w:lineRule="auto"/>
              <w:ind w:left="0" w:right="0" w:firstLine="54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15"/>
                <w:sz w:val="24"/>
                <w:szCs w:val="24"/>
              </w:rPr>
              <w:t>开</w:t>
            </w:r>
            <w:r>
              <w:rPr>
                <w:rFonts w:hint="default" w:ascii="Times New Roman" w:hAnsi="Times New Roman" w:eastAsia="宋体" w:cs="Times New Roman"/>
                <w:spacing w:val="13"/>
                <w:sz w:val="24"/>
                <w:szCs w:val="24"/>
              </w:rPr>
              <w:t>挖应遵循从上至下、分层开挖的原则，按照规范要求开挖支护，杜绝自下而</w:t>
            </w:r>
            <w:r>
              <w:rPr>
                <w:rFonts w:hint="default" w:ascii="Times New Roman" w:hAnsi="Times New Roman" w:eastAsia="宋体" w:cs="Times New Roman"/>
                <w:spacing w:val="7"/>
                <w:sz w:val="24"/>
                <w:szCs w:val="24"/>
              </w:rPr>
              <w:t>上的开挖方法</w:t>
            </w:r>
            <w:r>
              <w:rPr>
                <w:rFonts w:hint="default" w:ascii="Times New Roman" w:hAnsi="Times New Roman" w:eastAsia="宋体" w:cs="Times New Roman"/>
                <w:spacing w:val="6"/>
                <w:sz w:val="24"/>
                <w:szCs w:val="24"/>
              </w:rPr>
              <w:t>。</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④场地清理</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边坡开挖前，做好开挖线外的清理、削坡、加固和排水等工作。并通过监理工程师的检查验收没有安全隐患后才正式作业。</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⑤施工安全</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施工单位按本工程合同约定和相关要求规定履行其安全施工职责，对工程的施 工安全负责，包括：现场施工劳动保护、场内交通、消防、施工作业保护、洪水和 气象灾害保护、施工安全监测等。</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施工单位在施工区内设置包括禁止标志，警示标志，指令标志，提示标志和文 字辅助标志等一切必需的安全标志。</w:t>
            </w:r>
          </w:p>
          <w:p>
            <w:pPr>
              <w:keepNext w:val="0"/>
              <w:keepLines w:val="0"/>
              <w:pageBreakBefore w:val="0"/>
              <w:widowControl w:val="0"/>
              <w:kinsoku/>
              <w:wordWrap/>
              <w:overflowPunct/>
              <w:topLinePunct w:val="0"/>
              <w:bidi w:val="0"/>
              <w:spacing w:line="360" w:lineRule="auto"/>
              <w:ind w:left="0" w:right="0" w:firstLine="518" w:firstLineChars="200"/>
              <w:textAlignment w:val="auto"/>
              <w:outlineLvl w:val="2"/>
              <w:rPr>
                <w:rFonts w:hint="default" w:ascii="Times New Roman" w:hAnsi="Times New Roman" w:eastAsia="宋体" w:cs="Times New Roman"/>
                <w:b/>
                <w:bCs/>
                <w:spacing w:val="9"/>
                <w:sz w:val="24"/>
                <w:szCs w:val="24"/>
                <w:lang w:val="en-US" w:eastAsia="zh-CN"/>
              </w:rPr>
            </w:pPr>
            <w:r>
              <w:rPr>
                <w:rFonts w:hint="eastAsia" w:ascii="Times New Roman" w:hAnsi="Times New Roman" w:eastAsia="宋体" w:cs="Times New Roman"/>
                <w:b/>
                <w:bCs/>
                <w:spacing w:val="9"/>
                <w:sz w:val="24"/>
                <w:szCs w:val="24"/>
                <w:lang w:val="en-US" w:eastAsia="zh-CN"/>
              </w:rPr>
              <w:t>（2）施工导流</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rPr>
            </w:pPr>
            <w:r>
              <w:rPr>
                <w:rFonts w:hint="eastAsia" w:ascii="Times New Roman" w:hAnsi="Times New Roman" w:eastAsia="宋体" w:cs="Times New Roman"/>
                <w:spacing w:val="9"/>
                <w:sz w:val="24"/>
                <w:szCs w:val="24"/>
                <w:lang w:eastAsia="zh-CN"/>
              </w:rPr>
              <w:t>安福堰枢纽</w:t>
            </w:r>
            <w:r>
              <w:rPr>
                <w:rFonts w:hint="default" w:ascii="Times New Roman" w:hAnsi="Times New Roman" w:eastAsia="宋体" w:cs="Times New Roman"/>
                <w:spacing w:val="9"/>
                <w:sz w:val="24"/>
                <w:szCs w:val="24"/>
              </w:rPr>
              <w:t>永久主要建筑物按5级设计，取水口及引水渠枢纽永久次要建筑物按5级设计，临时建筑物按5级设计。根据《水利水电工程施工组织设计规范》（SDJ303-2017），临时施工围堰及施工导流的施工期洪水重现期为5~10年一遇的设计洪水标准。按本施工导流工程特点及类似工程施工导流经验，本工程导流设计按5年一遇的洪水标准进行设防。</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eastAsia" w:ascii="Times New Roman" w:hAnsi="Times New Roman" w:eastAsia="宋体" w:cs="Times New Roman"/>
                <w:spacing w:val="9"/>
                <w:sz w:val="24"/>
                <w:szCs w:val="24"/>
              </w:rPr>
            </w:pPr>
            <w:r>
              <w:rPr>
                <w:rFonts w:hint="eastAsia" w:ascii="Times New Roman" w:hAnsi="Times New Roman" w:eastAsia="宋体" w:cs="Times New Roman"/>
                <w:spacing w:val="9"/>
                <w:sz w:val="24"/>
                <w:szCs w:val="24"/>
              </w:rPr>
              <w:t>1）导流标准及时段选择</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根据水文资料，和安福堰综合整治工程水工布置情况，其施工安排在枯期第一年11月至第二年3月分两期施工，一期导流时段为第一年11月至第二年1月底，设计导流量为84.9m</w:t>
            </w:r>
            <w:r>
              <w:rPr>
                <w:rFonts w:hint="default" w:ascii="Times New Roman" w:hAnsi="Times New Roman" w:eastAsia="宋体" w:cs="Times New Roman"/>
                <w:spacing w:val="9"/>
                <w:sz w:val="24"/>
                <w:szCs w:val="24"/>
                <w:vertAlign w:val="superscript"/>
              </w:rPr>
              <w:t>3</w:t>
            </w:r>
            <w:r>
              <w:rPr>
                <w:rFonts w:hint="default" w:ascii="Times New Roman" w:hAnsi="Times New Roman" w:eastAsia="宋体" w:cs="Times New Roman"/>
                <w:spacing w:val="9"/>
                <w:sz w:val="24"/>
                <w:szCs w:val="24"/>
              </w:rPr>
              <w:t>/s，二期导流时段为第二年2月至3月，设计导流量为84.9m</w:t>
            </w:r>
            <w:r>
              <w:rPr>
                <w:rFonts w:hint="default" w:ascii="Times New Roman" w:hAnsi="Times New Roman" w:eastAsia="宋体" w:cs="Times New Roman"/>
                <w:spacing w:val="9"/>
                <w:sz w:val="24"/>
                <w:szCs w:val="24"/>
                <w:vertAlign w:val="superscript"/>
              </w:rPr>
              <w:t>3</w:t>
            </w:r>
            <w:r>
              <w:rPr>
                <w:rFonts w:hint="default" w:ascii="Times New Roman" w:hAnsi="Times New Roman" w:eastAsia="宋体" w:cs="Times New Roman"/>
                <w:spacing w:val="9"/>
                <w:sz w:val="24"/>
                <w:szCs w:val="24"/>
              </w:rPr>
              <w:t>/s。</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eastAsia" w:ascii="Times New Roman" w:hAnsi="Times New Roman" w:eastAsia="宋体" w:cs="Times New Roman"/>
                <w:spacing w:val="9"/>
                <w:sz w:val="24"/>
                <w:szCs w:val="24"/>
              </w:rPr>
            </w:pPr>
            <w:r>
              <w:rPr>
                <w:rFonts w:hint="eastAsia" w:ascii="Times New Roman" w:hAnsi="Times New Roman" w:eastAsia="宋体" w:cs="Times New Roman"/>
                <w:spacing w:val="9"/>
                <w:sz w:val="24"/>
                <w:szCs w:val="24"/>
              </w:rPr>
              <w:t>2）导流方式及程序</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eastAsia"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在上述导流时段和导流设计流量的情况下，</w:t>
            </w:r>
            <w:r>
              <w:rPr>
                <w:rFonts w:hint="eastAsia" w:ascii="Times New Roman" w:hAnsi="Times New Roman" w:eastAsia="宋体" w:cs="Times New Roman"/>
                <w:spacing w:val="9"/>
                <w:sz w:val="24"/>
                <w:szCs w:val="24"/>
                <w:lang w:val="en-US" w:eastAsia="zh-CN"/>
              </w:rPr>
              <w:t>2022年</w:t>
            </w:r>
            <w:r>
              <w:rPr>
                <w:rFonts w:hint="default" w:ascii="Times New Roman" w:hAnsi="Times New Roman" w:eastAsia="宋体" w:cs="Times New Roman"/>
                <w:spacing w:val="9"/>
                <w:sz w:val="24"/>
                <w:szCs w:val="24"/>
              </w:rPr>
              <w:t>10月底设一期围堰围安福堰右岸基坑，在一期围堰的保护下，于</w:t>
            </w:r>
            <w:r>
              <w:rPr>
                <w:rFonts w:hint="eastAsia" w:ascii="Times New Roman" w:hAnsi="Times New Roman" w:eastAsia="宋体" w:cs="Times New Roman"/>
                <w:spacing w:val="9"/>
                <w:sz w:val="24"/>
                <w:szCs w:val="24"/>
                <w:lang w:val="en-US" w:eastAsia="zh-CN"/>
              </w:rPr>
              <w:t>2022</w:t>
            </w:r>
            <w:r>
              <w:rPr>
                <w:rFonts w:hint="default" w:ascii="Times New Roman" w:hAnsi="Times New Roman" w:eastAsia="宋体" w:cs="Times New Roman"/>
                <w:spacing w:val="9"/>
                <w:sz w:val="24"/>
                <w:szCs w:val="24"/>
              </w:rPr>
              <w:t>年11月至</w:t>
            </w:r>
            <w:r>
              <w:rPr>
                <w:rFonts w:hint="eastAsia" w:ascii="Times New Roman" w:hAnsi="Times New Roman" w:eastAsia="宋体" w:cs="Times New Roman"/>
                <w:spacing w:val="9"/>
                <w:sz w:val="24"/>
                <w:szCs w:val="24"/>
                <w:lang w:val="en-US" w:eastAsia="zh-CN"/>
              </w:rPr>
              <w:t>2023</w:t>
            </w:r>
            <w:r>
              <w:rPr>
                <w:rFonts w:hint="default" w:ascii="Times New Roman" w:hAnsi="Times New Roman" w:eastAsia="宋体" w:cs="Times New Roman"/>
                <w:spacing w:val="9"/>
                <w:sz w:val="24"/>
                <w:szCs w:val="24"/>
              </w:rPr>
              <w:t>年2月进行安福堰取水口及坝右岸约58m坝段的全部主体工程施工，同时二期围堰纵向导墙在一期基坑内完成。2月底拆除一期围堰，同时填筑二期上下游围堰，在二期基坑的保护下，于3月进行安福堰左岸坝段全部未完工程的施工，4月初拆除二期围堰和导墙，整个导流任务完成。</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eastAsia" w:ascii="Times New Roman" w:hAnsi="Times New Roman" w:eastAsia="宋体" w:cs="Times New Roman"/>
                <w:spacing w:val="9"/>
                <w:sz w:val="24"/>
                <w:szCs w:val="24"/>
              </w:rPr>
            </w:pPr>
            <w:r>
              <w:rPr>
                <w:rFonts w:hint="eastAsia" w:ascii="Times New Roman" w:hAnsi="Times New Roman" w:eastAsia="宋体" w:cs="Times New Roman"/>
                <w:spacing w:val="9"/>
                <w:sz w:val="24"/>
                <w:szCs w:val="24"/>
              </w:rPr>
              <w:t>3）导流建筑物设计</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按上述导流标准、时段及导流方式，本工程导流建筑物包括一期围堰、二期导墙和二期上、下游围堰。</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一期围堰围主体工程右岸，围堰长319.74m，堰顶宽3m，迎水坡1：2，内边坡1：1.5，最大堰高2.5m，导流设计水位371.40~370.30m，堰顶高程37</w:t>
            </w:r>
            <w:r>
              <w:rPr>
                <w:rFonts w:hint="eastAsia" w:ascii="Times New Roman" w:hAnsi="Times New Roman" w:eastAsia="宋体" w:cs="Times New Roman"/>
                <w:spacing w:val="9"/>
                <w:sz w:val="24"/>
                <w:szCs w:val="24"/>
              </w:rPr>
              <w:t>0</w:t>
            </w:r>
            <w:r>
              <w:rPr>
                <w:rFonts w:hint="default" w:ascii="Times New Roman" w:hAnsi="Times New Roman" w:eastAsia="宋体" w:cs="Times New Roman"/>
                <w:spacing w:val="9"/>
                <w:sz w:val="24"/>
                <w:szCs w:val="24"/>
              </w:rPr>
              <w:t>.</w:t>
            </w:r>
            <w:r>
              <w:rPr>
                <w:rFonts w:hint="eastAsia" w:ascii="Times New Roman" w:hAnsi="Times New Roman" w:eastAsia="宋体" w:cs="Times New Roman"/>
                <w:spacing w:val="9"/>
                <w:sz w:val="24"/>
                <w:szCs w:val="24"/>
              </w:rPr>
              <w:t>9</w:t>
            </w:r>
            <w:r>
              <w:rPr>
                <w:rFonts w:hint="default" w:ascii="Times New Roman" w:hAnsi="Times New Roman" w:eastAsia="宋体" w:cs="Times New Roman"/>
                <w:spacing w:val="9"/>
                <w:sz w:val="24"/>
                <w:szCs w:val="24"/>
              </w:rPr>
              <w:t>0~3</w:t>
            </w:r>
            <w:r>
              <w:rPr>
                <w:rFonts w:hint="eastAsia" w:ascii="Times New Roman" w:hAnsi="Times New Roman" w:eastAsia="宋体" w:cs="Times New Roman"/>
                <w:spacing w:val="9"/>
                <w:sz w:val="24"/>
                <w:szCs w:val="24"/>
              </w:rPr>
              <w:t>69.80</w:t>
            </w:r>
            <w:r>
              <w:rPr>
                <w:rFonts w:hint="default" w:ascii="Times New Roman" w:hAnsi="Times New Roman" w:eastAsia="宋体" w:cs="Times New Roman"/>
                <w:spacing w:val="9"/>
                <w:sz w:val="24"/>
                <w:szCs w:val="24"/>
              </w:rPr>
              <w:t>m，堰体结构型式采用砂卵石填筑，迎水面采用编织袋装土方防冲，土工膜防渗。使用时段第一年11月至第二年2月。</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二期导墙在一期基坑内完成，导墙堰顶长</w:t>
            </w:r>
            <w:r>
              <w:rPr>
                <w:rFonts w:hint="eastAsia" w:ascii="Times New Roman" w:hAnsi="Times New Roman" w:eastAsia="宋体" w:cs="Times New Roman"/>
                <w:spacing w:val="9"/>
                <w:sz w:val="24"/>
                <w:szCs w:val="24"/>
              </w:rPr>
              <w:t>228</w:t>
            </w:r>
            <w:r>
              <w:rPr>
                <w:rFonts w:hint="default" w:ascii="Times New Roman" w:hAnsi="Times New Roman" w:eastAsia="宋体" w:cs="Times New Roman"/>
                <w:spacing w:val="9"/>
                <w:sz w:val="24"/>
                <w:szCs w:val="24"/>
              </w:rPr>
              <w:t>m，堰顶宽0.5m，迎水坡垂直，内边坡1:0.7，最大堰高2m，上游堰顶高程</w:t>
            </w:r>
            <w:r>
              <w:rPr>
                <w:rFonts w:hint="eastAsia" w:ascii="Times New Roman" w:hAnsi="Times New Roman" w:eastAsia="宋体" w:cs="Times New Roman"/>
                <w:spacing w:val="9"/>
                <w:sz w:val="24"/>
                <w:szCs w:val="24"/>
              </w:rPr>
              <w:t>371.90</w:t>
            </w:r>
            <w:r>
              <w:rPr>
                <w:rFonts w:hint="default" w:ascii="Times New Roman" w:hAnsi="Times New Roman" w:eastAsia="宋体" w:cs="Times New Roman"/>
                <w:spacing w:val="9"/>
                <w:sz w:val="24"/>
                <w:szCs w:val="24"/>
              </w:rPr>
              <w:t>m，下游堰顶高程</w:t>
            </w:r>
            <w:r>
              <w:rPr>
                <w:rFonts w:hint="eastAsia" w:ascii="Times New Roman" w:hAnsi="Times New Roman" w:eastAsia="宋体" w:cs="Times New Roman"/>
                <w:spacing w:val="9"/>
                <w:sz w:val="24"/>
                <w:szCs w:val="24"/>
              </w:rPr>
              <w:t>368.80</w:t>
            </w:r>
            <w:r>
              <w:rPr>
                <w:rFonts w:hint="default" w:ascii="Times New Roman" w:hAnsi="Times New Roman" w:eastAsia="宋体" w:cs="Times New Roman"/>
                <w:spacing w:val="9"/>
                <w:sz w:val="24"/>
                <w:szCs w:val="24"/>
              </w:rPr>
              <w:t>m，堰体结构型式采用M7.5浆砌卵石。使用时段为第二年2月至3月。</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二期上游围堰长约</w:t>
            </w:r>
            <w:r>
              <w:rPr>
                <w:rFonts w:hint="eastAsia" w:ascii="Times New Roman" w:hAnsi="Times New Roman" w:eastAsia="宋体" w:cs="Times New Roman"/>
                <w:spacing w:val="9"/>
                <w:sz w:val="24"/>
                <w:szCs w:val="24"/>
              </w:rPr>
              <w:t>224.05</w:t>
            </w:r>
            <w:r>
              <w:rPr>
                <w:rFonts w:hint="default" w:ascii="Times New Roman" w:hAnsi="Times New Roman" w:eastAsia="宋体" w:cs="Times New Roman"/>
                <w:spacing w:val="9"/>
                <w:sz w:val="24"/>
                <w:szCs w:val="24"/>
              </w:rPr>
              <w:t>m，堰顶宽</w:t>
            </w:r>
            <w:r>
              <w:rPr>
                <w:rFonts w:hint="eastAsia" w:ascii="Times New Roman" w:hAnsi="Times New Roman" w:eastAsia="宋体" w:cs="Times New Roman"/>
                <w:spacing w:val="9"/>
                <w:sz w:val="24"/>
                <w:szCs w:val="24"/>
              </w:rPr>
              <w:t>3</w:t>
            </w:r>
            <w:r>
              <w:rPr>
                <w:rFonts w:hint="default" w:ascii="Times New Roman" w:hAnsi="Times New Roman" w:eastAsia="宋体" w:cs="Times New Roman"/>
                <w:spacing w:val="9"/>
                <w:sz w:val="24"/>
                <w:szCs w:val="24"/>
              </w:rPr>
              <w:t>m，迎水坡1：2，内边坡1：1.5，最大堰高3m，导流设计水位371.</w:t>
            </w:r>
            <w:r>
              <w:rPr>
                <w:rFonts w:hint="eastAsia" w:ascii="Times New Roman" w:hAnsi="Times New Roman" w:eastAsia="宋体" w:cs="Times New Roman"/>
                <w:spacing w:val="9"/>
                <w:sz w:val="24"/>
                <w:szCs w:val="24"/>
              </w:rPr>
              <w:t>4</w:t>
            </w:r>
            <w:r>
              <w:rPr>
                <w:rFonts w:hint="default" w:ascii="Times New Roman" w:hAnsi="Times New Roman" w:eastAsia="宋体" w:cs="Times New Roman"/>
                <w:spacing w:val="9"/>
                <w:sz w:val="24"/>
                <w:szCs w:val="24"/>
              </w:rPr>
              <w:t>0m，堰顶高程37</w:t>
            </w:r>
            <w:r>
              <w:rPr>
                <w:rFonts w:hint="eastAsia" w:ascii="Times New Roman" w:hAnsi="Times New Roman" w:eastAsia="宋体" w:cs="Times New Roman"/>
                <w:spacing w:val="9"/>
                <w:sz w:val="24"/>
                <w:szCs w:val="24"/>
              </w:rPr>
              <w:t>1</w:t>
            </w:r>
            <w:r>
              <w:rPr>
                <w:rFonts w:hint="default" w:ascii="Times New Roman" w:hAnsi="Times New Roman" w:eastAsia="宋体" w:cs="Times New Roman"/>
                <w:spacing w:val="9"/>
                <w:sz w:val="24"/>
                <w:szCs w:val="24"/>
              </w:rPr>
              <w:t>.</w:t>
            </w:r>
            <w:r>
              <w:rPr>
                <w:rFonts w:hint="eastAsia" w:ascii="Times New Roman" w:hAnsi="Times New Roman" w:eastAsia="宋体" w:cs="Times New Roman"/>
                <w:spacing w:val="9"/>
                <w:sz w:val="24"/>
                <w:szCs w:val="24"/>
              </w:rPr>
              <w:t>90</w:t>
            </w:r>
            <w:r>
              <w:rPr>
                <w:rFonts w:hint="default" w:ascii="Times New Roman" w:hAnsi="Times New Roman" w:eastAsia="宋体" w:cs="Times New Roman"/>
                <w:spacing w:val="9"/>
                <w:sz w:val="24"/>
                <w:szCs w:val="24"/>
              </w:rPr>
              <w:t>m，堰体结构型式采用砂卵石填筑，迎水面采用编织袋装土方防冲，土工膜防渗。使用时段为</w:t>
            </w:r>
            <w:r>
              <w:rPr>
                <w:rFonts w:hint="eastAsia" w:ascii="Times New Roman" w:hAnsi="Times New Roman" w:eastAsia="宋体" w:cs="Times New Roman"/>
                <w:spacing w:val="9"/>
                <w:sz w:val="24"/>
                <w:szCs w:val="24"/>
                <w:lang w:val="en-US" w:eastAsia="zh-CN"/>
              </w:rPr>
              <w:t>2023</w:t>
            </w:r>
            <w:r>
              <w:rPr>
                <w:rFonts w:hint="default" w:ascii="Times New Roman" w:hAnsi="Times New Roman" w:eastAsia="宋体" w:cs="Times New Roman"/>
                <w:spacing w:val="9"/>
                <w:sz w:val="24"/>
                <w:szCs w:val="24"/>
              </w:rPr>
              <w:t>年2月至3月。</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二期下游围堰长约</w:t>
            </w:r>
            <w:r>
              <w:rPr>
                <w:rFonts w:hint="eastAsia" w:ascii="Times New Roman" w:hAnsi="Times New Roman" w:eastAsia="宋体" w:cs="Times New Roman"/>
                <w:spacing w:val="9"/>
                <w:sz w:val="24"/>
                <w:szCs w:val="24"/>
              </w:rPr>
              <w:t>75.62</w:t>
            </w:r>
            <w:r>
              <w:rPr>
                <w:rFonts w:hint="default" w:ascii="Times New Roman" w:hAnsi="Times New Roman" w:eastAsia="宋体" w:cs="Times New Roman"/>
                <w:spacing w:val="9"/>
                <w:sz w:val="24"/>
                <w:szCs w:val="24"/>
              </w:rPr>
              <w:t>m，堰顶宽</w:t>
            </w:r>
            <w:r>
              <w:rPr>
                <w:rFonts w:hint="eastAsia" w:ascii="Times New Roman" w:hAnsi="Times New Roman" w:eastAsia="宋体" w:cs="Times New Roman"/>
                <w:spacing w:val="9"/>
                <w:sz w:val="24"/>
                <w:szCs w:val="24"/>
              </w:rPr>
              <w:t>3</w:t>
            </w:r>
            <w:r>
              <w:rPr>
                <w:rFonts w:hint="default" w:ascii="Times New Roman" w:hAnsi="Times New Roman" w:eastAsia="宋体" w:cs="Times New Roman"/>
                <w:spacing w:val="9"/>
                <w:sz w:val="24"/>
                <w:szCs w:val="24"/>
              </w:rPr>
              <w:t>m，迎水坡1：2，内边坡1：1.5，最大堰高1.8m，导流设计水位3</w:t>
            </w:r>
            <w:r>
              <w:rPr>
                <w:rFonts w:hint="eastAsia" w:ascii="Times New Roman" w:hAnsi="Times New Roman" w:eastAsia="宋体" w:cs="Times New Roman"/>
                <w:spacing w:val="9"/>
                <w:sz w:val="24"/>
                <w:szCs w:val="24"/>
              </w:rPr>
              <w:t>68.3</w:t>
            </w:r>
            <w:r>
              <w:rPr>
                <w:rFonts w:hint="default" w:ascii="Times New Roman" w:hAnsi="Times New Roman" w:eastAsia="宋体" w:cs="Times New Roman"/>
                <w:spacing w:val="9"/>
                <w:sz w:val="24"/>
                <w:szCs w:val="24"/>
              </w:rPr>
              <w:t>0m，堰顶高程</w:t>
            </w:r>
            <w:r>
              <w:rPr>
                <w:rFonts w:hint="eastAsia" w:ascii="Times New Roman" w:hAnsi="Times New Roman" w:eastAsia="宋体" w:cs="Times New Roman"/>
                <w:spacing w:val="9"/>
                <w:sz w:val="24"/>
                <w:szCs w:val="24"/>
              </w:rPr>
              <w:t>368.80</w:t>
            </w:r>
            <w:r>
              <w:rPr>
                <w:rFonts w:hint="default" w:ascii="Times New Roman" w:hAnsi="Times New Roman" w:eastAsia="宋体" w:cs="Times New Roman"/>
                <w:spacing w:val="9"/>
                <w:sz w:val="24"/>
                <w:szCs w:val="24"/>
              </w:rPr>
              <w:t>m，堰体结构型式采用砂卵石填筑，迎水面采用编织袋装土方防冲，土工膜防渗。使用时段为</w:t>
            </w:r>
            <w:r>
              <w:rPr>
                <w:rFonts w:hint="eastAsia" w:ascii="Times New Roman" w:hAnsi="Times New Roman" w:eastAsia="宋体" w:cs="Times New Roman"/>
                <w:spacing w:val="9"/>
                <w:sz w:val="24"/>
                <w:szCs w:val="24"/>
                <w:lang w:val="en-US" w:eastAsia="zh-CN"/>
              </w:rPr>
              <w:t>2023</w:t>
            </w:r>
            <w:r>
              <w:rPr>
                <w:rFonts w:hint="default" w:ascii="Times New Roman" w:hAnsi="Times New Roman" w:eastAsia="宋体" w:cs="Times New Roman"/>
                <w:spacing w:val="9"/>
                <w:sz w:val="24"/>
                <w:szCs w:val="24"/>
              </w:rPr>
              <w:t>年2月至3月。</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rPr>
            </w:pPr>
            <w:r>
              <w:rPr>
                <w:rFonts w:hint="eastAsia" w:ascii="Times New Roman" w:hAnsi="Times New Roman" w:eastAsia="宋体" w:cs="Times New Roman"/>
                <w:spacing w:val="9"/>
                <w:sz w:val="24"/>
                <w:szCs w:val="24"/>
                <w:lang w:val="en-US" w:eastAsia="zh-CN"/>
              </w:rPr>
              <w:t>4</w:t>
            </w:r>
            <w:r>
              <w:rPr>
                <w:rFonts w:hint="eastAsia" w:ascii="Times New Roman" w:hAnsi="Times New Roman" w:eastAsia="宋体" w:cs="Times New Roman"/>
                <w:spacing w:val="9"/>
                <w:sz w:val="24"/>
                <w:szCs w:val="24"/>
              </w:rPr>
              <w:t>）</w:t>
            </w:r>
            <w:r>
              <w:rPr>
                <w:rFonts w:hint="default" w:ascii="Times New Roman" w:hAnsi="Times New Roman" w:eastAsia="宋体" w:cs="Times New Roman"/>
                <w:spacing w:val="9"/>
                <w:sz w:val="24"/>
                <w:szCs w:val="24"/>
              </w:rPr>
              <w:t>基坑排水</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本工程施工排水，主要为初期排水和经常性排水。</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本工程围堰采用自上而下填筑闭气的方式进行，加之河道坡降较大，因此初期排水量较小，坑内集水采用污水泵强制排除基坑。</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经常性排水，根据天然地基砂卵砾石层渗透系数估算渗透量，基坑渗透量约100m</w:t>
            </w:r>
            <w:r>
              <w:rPr>
                <w:rFonts w:hint="default" w:ascii="Times New Roman" w:hAnsi="Times New Roman" w:eastAsia="宋体" w:cs="Times New Roman"/>
                <w:spacing w:val="9"/>
                <w:sz w:val="24"/>
                <w:szCs w:val="24"/>
                <w:vertAlign w:val="superscript"/>
              </w:rPr>
              <w:t>3</w:t>
            </w:r>
            <w:r>
              <w:rPr>
                <w:rFonts w:hint="default" w:ascii="Times New Roman" w:hAnsi="Times New Roman" w:eastAsia="宋体" w:cs="Times New Roman"/>
                <w:spacing w:val="9"/>
                <w:sz w:val="24"/>
                <w:szCs w:val="24"/>
              </w:rPr>
              <w:t>/h。</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排水布置：排水沿基坑设截流槽和集水坑，一期基坑设</w:t>
            </w:r>
            <w:r>
              <w:rPr>
                <w:rFonts w:hint="eastAsia" w:ascii="Times New Roman" w:hAnsi="Times New Roman" w:eastAsia="宋体" w:cs="Times New Roman"/>
                <w:spacing w:val="9"/>
                <w:sz w:val="24"/>
                <w:szCs w:val="24"/>
              </w:rPr>
              <w:t>3</w:t>
            </w:r>
            <w:r>
              <w:rPr>
                <w:rFonts w:hint="default" w:ascii="Times New Roman" w:hAnsi="Times New Roman" w:eastAsia="宋体" w:cs="Times New Roman"/>
                <w:spacing w:val="9"/>
                <w:sz w:val="24"/>
                <w:szCs w:val="24"/>
              </w:rPr>
              <w:t>个集水坑，二期基坑设</w:t>
            </w:r>
            <w:r>
              <w:rPr>
                <w:rFonts w:hint="eastAsia" w:ascii="Times New Roman" w:hAnsi="Times New Roman" w:eastAsia="宋体" w:cs="Times New Roman"/>
                <w:spacing w:val="9"/>
                <w:sz w:val="24"/>
                <w:szCs w:val="24"/>
              </w:rPr>
              <w:t>5</w:t>
            </w:r>
            <w:r>
              <w:rPr>
                <w:rFonts w:hint="default" w:ascii="Times New Roman" w:hAnsi="Times New Roman" w:eastAsia="宋体" w:cs="Times New Roman"/>
                <w:spacing w:val="9"/>
                <w:sz w:val="24"/>
                <w:szCs w:val="24"/>
              </w:rPr>
              <w:t>个集水坑，每个集水坑设1台100BJ15A型水泵，拟配备</w:t>
            </w:r>
            <w:r>
              <w:rPr>
                <w:rFonts w:hint="eastAsia" w:ascii="Times New Roman" w:hAnsi="Times New Roman" w:eastAsia="宋体" w:cs="Times New Roman"/>
                <w:spacing w:val="9"/>
                <w:sz w:val="24"/>
                <w:szCs w:val="24"/>
              </w:rPr>
              <w:t>5</w:t>
            </w:r>
            <w:r>
              <w:rPr>
                <w:rFonts w:hint="default" w:ascii="Times New Roman" w:hAnsi="Times New Roman" w:eastAsia="宋体" w:cs="Times New Roman"/>
                <w:spacing w:val="9"/>
                <w:sz w:val="24"/>
                <w:szCs w:val="24"/>
              </w:rPr>
              <w:t>台100BJ13A型水泵（分段调节使用）。</w:t>
            </w:r>
            <w:r>
              <w:rPr>
                <w:rFonts w:hint="eastAsia" w:ascii="Times New Roman" w:hAnsi="Times New Roman" w:eastAsia="宋体" w:cs="Times New Roman"/>
                <w:spacing w:val="9"/>
                <w:sz w:val="24"/>
                <w:szCs w:val="24"/>
              </w:rPr>
              <w:t>其中坝体部分</w:t>
            </w:r>
            <w:r>
              <w:rPr>
                <w:rFonts w:hint="default" w:ascii="Times New Roman" w:hAnsi="Times New Roman" w:eastAsia="宋体" w:cs="Times New Roman"/>
                <w:spacing w:val="9"/>
                <w:sz w:val="24"/>
                <w:szCs w:val="24"/>
              </w:rPr>
              <w:t>排水时段按45天设置，二期上游护岸排水时段按</w:t>
            </w:r>
            <w:r>
              <w:rPr>
                <w:rFonts w:hint="eastAsia" w:ascii="Times New Roman" w:hAnsi="Times New Roman" w:eastAsia="宋体" w:cs="Times New Roman"/>
                <w:spacing w:val="9"/>
                <w:sz w:val="24"/>
                <w:szCs w:val="24"/>
              </w:rPr>
              <w:t>15天设置，</w:t>
            </w:r>
            <w:r>
              <w:rPr>
                <w:rFonts w:hint="default" w:ascii="Times New Roman" w:hAnsi="Times New Roman" w:eastAsia="宋体" w:cs="Times New Roman"/>
                <w:spacing w:val="9"/>
                <w:sz w:val="24"/>
                <w:szCs w:val="24"/>
              </w:rPr>
              <w:t>计排水台时</w:t>
            </w:r>
            <w:r>
              <w:rPr>
                <w:rFonts w:hint="eastAsia" w:ascii="Times New Roman" w:hAnsi="Times New Roman" w:eastAsia="宋体" w:cs="Times New Roman"/>
                <w:spacing w:val="9"/>
                <w:sz w:val="24"/>
                <w:szCs w:val="24"/>
              </w:rPr>
              <w:t>7200</w:t>
            </w:r>
            <w:r>
              <w:rPr>
                <w:rFonts w:hint="default" w:ascii="Times New Roman" w:hAnsi="Times New Roman" w:eastAsia="宋体" w:cs="Times New Roman"/>
                <w:spacing w:val="9"/>
                <w:sz w:val="24"/>
                <w:szCs w:val="24"/>
              </w:rPr>
              <w:t>台时。</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rPr>
            </w:pPr>
            <w:r>
              <w:rPr>
                <w:rFonts w:hint="default" w:ascii="Times New Roman" w:hAnsi="Times New Roman" w:eastAsia="宋体" w:cs="Times New Roman"/>
                <w:spacing w:val="9"/>
                <w:sz w:val="24"/>
                <w:szCs w:val="24"/>
              </w:rPr>
              <w:t>水泵特性：100BJ15A型水泵（Q=144m3/h，N=7.5kw，H=9.5m）。</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82" w:firstLineChars="200"/>
              <w:textAlignment w:val="auto"/>
              <w:rPr>
                <w:rFonts w:hint="default" w:ascii="Times New Roman" w:hAnsi="Times New Roman" w:cs="Times New Roman"/>
                <w:b/>
                <w:bCs/>
                <w:color w:val="auto"/>
                <w:spacing w:val="0"/>
                <w:sz w:val="24"/>
                <w:szCs w:val="24"/>
                <w:lang w:val="en-US" w:eastAsia="zh-CN"/>
              </w:rPr>
            </w:pPr>
            <w:r>
              <w:rPr>
                <w:rFonts w:hint="eastAsia" w:ascii="Times New Roman" w:hAnsi="Times New Roman" w:cs="Times New Roman"/>
                <w:b/>
                <w:bCs/>
                <w:color w:val="auto"/>
                <w:spacing w:val="0"/>
                <w:sz w:val="24"/>
                <w:szCs w:val="24"/>
                <w:lang w:val="en-US" w:eastAsia="zh-CN"/>
              </w:rPr>
              <w:t>（3）主体工程施工</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lang w:val="en-US" w:eastAsia="zh-CN"/>
              </w:rPr>
            </w:pPr>
            <w:r>
              <w:rPr>
                <w:rFonts w:hint="eastAsia" w:ascii="Times New Roman" w:hAnsi="Times New Roman" w:eastAsia="宋体" w:cs="Times New Roman"/>
                <w:spacing w:val="9"/>
                <w:sz w:val="24"/>
                <w:szCs w:val="24"/>
                <w:lang w:val="en-US" w:eastAsia="zh-CN"/>
              </w:rPr>
              <w:t>对原浆砌坝拆除，拆除的建筑垃圾及时清运；河道疏浚长度500m，利用挖掘机对河道开挖，疏浚料</w:t>
            </w:r>
            <w:r>
              <w:rPr>
                <w:rFonts w:hint="default" w:ascii="Times New Roman" w:hAnsi="Times New Roman" w:eastAsia="宋体" w:cs="Times New Roman"/>
                <w:spacing w:val="9"/>
                <w:sz w:val="24"/>
                <w:szCs w:val="24"/>
                <w:lang w:val="en-US" w:eastAsia="zh-CN"/>
              </w:rPr>
              <w:t>(根据初设疏浚料主要为砂卵石含少量淤泥) 全部用于堤身填筑和堤后低洼段回填</w:t>
            </w:r>
            <w:r>
              <w:rPr>
                <w:rFonts w:hint="eastAsia" w:ascii="Times New Roman" w:hAnsi="Times New Roman" w:eastAsia="宋体" w:cs="Times New Roman"/>
                <w:spacing w:val="9"/>
                <w:sz w:val="24"/>
                <w:szCs w:val="24"/>
                <w:lang w:val="en-US" w:eastAsia="zh-CN"/>
              </w:rPr>
              <w:t>；气盾坝基础工程采用砼浇筑、气盾坝安装施工顺序为：气盾坝底板清理→气盾坝气囊吊装到位→气囊与充排气管连接→挡水盾板吊装到位→安装压板固定气囊及挡水盾板→检查验收。</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eastAsia" w:ascii="Times New Roman" w:hAnsi="Times New Roman" w:eastAsia="宋体" w:cs="Times New Roman"/>
                <w:spacing w:val="9"/>
                <w:sz w:val="24"/>
                <w:szCs w:val="24"/>
                <w:lang w:val="en-US" w:eastAsia="zh-CN"/>
              </w:rPr>
            </w:pPr>
            <w:r>
              <w:rPr>
                <w:rFonts w:hint="eastAsia" w:ascii="Times New Roman" w:hAnsi="Times New Roman" w:eastAsia="宋体" w:cs="Times New Roman"/>
                <w:spacing w:val="9"/>
                <w:sz w:val="24"/>
                <w:szCs w:val="24"/>
                <w:lang w:val="en-US" w:eastAsia="zh-CN"/>
              </w:rPr>
              <w:t>挡水建筑物：坝体采用C25砼进行浇筑</w:t>
            </w:r>
            <w:r>
              <w:rPr>
                <w:rFonts w:hint="eastAsia" w:ascii="Times New Roman" w:hAnsi="Times New Roman" w:eastAsia="宋体" w:cs="Times New Roman"/>
                <w:spacing w:val="9"/>
                <w:sz w:val="24"/>
                <w:szCs w:val="24"/>
                <w:lang w:eastAsia="zh-CN"/>
              </w:rPr>
              <w:t>，</w:t>
            </w:r>
            <w:r>
              <w:rPr>
                <w:rFonts w:hint="eastAsia" w:ascii="Times New Roman" w:hAnsi="Times New Roman" w:eastAsia="宋体" w:cs="Times New Roman"/>
                <w:spacing w:val="9"/>
                <w:sz w:val="24"/>
                <w:szCs w:val="24"/>
                <w:lang w:val="en-US" w:eastAsia="zh-CN"/>
              </w:rPr>
              <w:t>面层70cm采用</w:t>
            </w:r>
            <w:r>
              <w:rPr>
                <w:rFonts w:hint="eastAsia" w:ascii="Times New Roman" w:hAnsi="Times New Roman" w:eastAsia="宋体" w:cs="Times New Roman"/>
                <w:spacing w:val="9"/>
                <w:sz w:val="24"/>
                <w:szCs w:val="24"/>
              </w:rPr>
              <w:t>C40钢筋HF砼浇筑</w:t>
            </w:r>
            <w:r>
              <w:rPr>
                <w:rFonts w:hint="eastAsia" w:ascii="Times New Roman" w:hAnsi="Times New Roman" w:eastAsia="宋体" w:cs="Times New Roman"/>
                <w:spacing w:val="9"/>
                <w:sz w:val="24"/>
                <w:szCs w:val="24"/>
                <w:lang w:eastAsia="zh-CN"/>
              </w:rPr>
              <w:t>，</w:t>
            </w:r>
            <w:r>
              <w:rPr>
                <w:rFonts w:hint="eastAsia" w:ascii="Times New Roman" w:hAnsi="Times New Roman" w:eastAsia="宋体" w:cs="Times New Roman"/>
                <w:spacing w:val="9"/>
                <w:sz w:val="24"/>
                <w:szCs w:val="24"/>
                <w:lang w:val="en-US" w:eastAsia="zh-CN"/>
              </w:rPr>
              <w:t>大坝宽度9.5m，泄洪坝段长105m，溢流面顶高程（闸坝完全倒伏高程）为370.70m，坝基高程为367.70m，上下游均为直立墙面</w:t>
            </w:r>
            <w:r>
              <w:rPr>
                <w:rFonts w:hint="eastAsia" w:ascii="Times New Roman" w:hAnsi="Times New Roman" w:eastAsia="宋体" w:cs="Times New Roman"/>
                <w:spacing w:val="9"/>
                <w:sz w:val="24"/>
                <w:szCs w:val="24"/>
              </w:rPr>
              <w:t>。坝体建基面置于</w:t>
            </w:r>
            <w:r>
              <w:rPr>
                <w:rFonts w:hint="eastAsia" w:ascii="Times New Roman" w:hAnsi="Times New Roman" w:eastAsia="宋体" w:cs="Times New Roman"/>
                <w:spacing w:val="9"/>
                <w:sz w:val="24"/>
                <w:szCs w:val="24"/>
                <w:lang w:val="en-US" w:eastAsia="zh-CN"/>
              </w:rPr>
              <w:t>中密砂卵石层</w:t>
            </w:r>
            <w:r>
              <w:rPr>
                <w:rFonts w:hint="eastAsia" w:ascii="Times New Roman" w:hAnsi="Times New Roman" w:eastAsia="宋体" w:cs="Times New Roman"/>
                <w:spacing w:val="9"/>
                <w:sz w:val="24"/>
                <w:szCs w:val="24"/>
              </w:rPr>
              <w:t>上，左岸坝</w:t>
            </w:r>
            <w:r>
              <w:rPr>
                <w:rFonts w:hint="eastAsia" w:ascii="Times New Roman" w:hAnsi="Times New Roman" w:eastAsia="宋体" w:cs="Times New Roman"/>
                <w:spacing w:val="9"/>
                <w:sz w:val="24"/>
                <w:szCs w:val="24"/>
                <w:lang w:val="en-US" w:eastAsia="zh-CN"/>
              </w:rPr>
              <w:t>段</w:t>
            </w:r>
            <w:r>
              <w:rPr>
                <w:rFonts w:hint="eastAsia" w:ascii="Times New Roman" w:hAnsi="Times New Roman" w:eastAsia="宋体" w:cs="Times New Roman"/>
                <w:spacing w:val="9"/>
                <w:sz w:val="24"/>
                <w:szCs w:val="24"/>
              </w:rPr>
              <w:t>建基面高程36</w:t>
            </w:r>
            <w:r>
              <w:rPr>
                <w:rFonts w:hint="eastAsia" w:ascii="Times New Roman" w:hAnsi="Times New Roman" w:eastAsia="宋体" w:cs="Times New Roman"/>
                <w:spacing w:val="9"/>
                <w:sz w:val="24"/>
                <w:szCs w:val="24"/>
                <w:lang w:val="en-US" w:eastAsia="zh-CN"/>
              </w:rPr>
              <w:t>6.4m</w:t>
            </w:r>
            <w:r>
              <w:rPr>
                <w:rFonts w:hint="eastAsia" w:ascii="Times New Roman" w:hAnsi="Times New Roman" w:eastAsia="宋体" w:cs="Times New Roman"/>
                <w:spacing w:val="9"/>
                <w:sz w:val="24"/>
                <w:szCs w:val="24"/>
              </w:rPr>
              <w:t>～37</w:t>
            </w:r>
            <w:r>
              <w:rPr>
                <w:rFonts w:hint="eastAsia" w:ascii="Times New Roman" w:hAnsi="Times New Roman" w:eastAsia="宋体" w:cs="Times New Roman"/>
                <w:spacing w:val="9"/>
                <w:sz w:val="24"/>
                <w:szCs w:val="24"/>
                <w:lang w:val="en-US" w:eastAsia="zh-CN"/>
              </w:rPr>
              <w:t>2.15m</w:t>
            </w:r>
            <w:r>
              <w:rPr>
                <w:rFonts w:hint="eastAsia" w:ascii="Times New Roman" w:hAnsi="Times New Roman" w:eastAsia="宋体" w:cs="Times New Roman"/>
                <w:spacing w:val="9"/>
                <w:sz w:val="24"/>
                <w:szCs w:val="24"/>
                <w:lang w:eastAsia="zh-CN"/>
              </w:rPr>
              <w:t>，</w:t>
            </w:r>
            <w:r>
              <w:rPr>
                <w:rFonts w:hint="eastAsia" w:ascii="Times New Roman" w:hAnsi="Times New Roman" w:eastAsia="宋体" w:cs="Times New Roman"/>
                <w:spacing w:val="9"/>
                <w:sz w:val="24"/>
                <w:szCs w:val="24"/>
              </w:rPr>
              <w:t>右岸</w:t>
            </w:r>
            <w:r>
              <w:rPr>
                <w:rFonts w:hint="eastAsia" w:ascii="Times New Roman" w:hAnsi="Times New Roman" w:eastAsia="宋体" w:cs="Times New Roman"/>
                <w:spacing w:val="9"/>
                <w:sz w:val="24"/>
                <w:szCs w:val="24"/>
                <w:lang w:val="en-US" w:eastAsia="zh-CN"/>
              </w:rPr>
              <w:t>坝段建基面高程366.4m～372.15m。</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lang w:val="en-US" w:eastAsia="zh-CN"/>
              </w:rPr>
            </w:pPr>
            <w:r>
              <w:rPr>
                <w:rFonts w:hint="eastAsia" w:ascii="Times New Roman" w:hAnsi="Times New Roman" w:eastAsia="宋体" w:cs="Times New Roman"/>
                <w:spacing w:val="9"/>
                <w:sz w:val="24"/>
                <w:szCs w:val="24"/>
                <w:lang w:val="en-US" w:eastAsia="zh-CN"/>
              </w:rPr>
              <w:t>泄洪建筑物：溢流坝段位于河槽中心位置，本工程大坝为气盾坝，大坝即为泄洪建筑。</w:t>
            </w:r>
            <w:r>
              <w:rPr>
                <w:rFonts w:hint="eastAsia" w:ascii="宋体" w:hAnsi="宋体" w:cs="宋体"/>
                <w:color w:val="auto"/>
                <w:sz w:val="24"/>
                <w:highlight w:val="none"/>
              </w:rPr>
              <w:t>溢流堰表面</w:t>
            </w:r>
            <w:r>
              <w:rPr>
                <w:rFonts w:hint="eastAsia" w:ascii="宋体" w:hAnsi="宋体" w:cs="宋体"/>
                <w:color w:val="auto"/>
                <w:sz w:val="24"/>
                <w:highlight w:val="none"/>
                <w:lang w:val="en-US" w:eastAsia="zh-CN"/>
              </w:rPr>
              <w:t>0.7</w:t>
            </w:r>
            <w:r>
              <w:rPr>
                <w:rFonts w:hint="eastAsia" w:ascii="宋体" w:hAnsi="宋体" w:cs="宋体"/>
                <w:color w:val="auto"/>
                <w:sz w:val="24"/>
                <w:highlight w:val="none"/>
              </w:rPr>
              <w:t>m厚采用C</w:t>
            </w:r>
            <w:r>
              <w:rPr>
                <w:rFonts w:hint="eastAsia" w:ascii="宋体" w:hAnsi="宋体" w:cs="宋体"/>
                <w:color w:val="auto"/>
                <w:sz w:val="24"/>
                <w:highlight w:val="none"/>
                <w:vertAlign w:val="subscript"/>
              </w:rPr>
              <w:t>40</w:t>
            </w:r>
            <w:r>
              <w:rPr>
                <w:rFonts w:hint="eastAsia" w:ascii="宋体" w:hAnsi="宋体" w:cs="宋体"/>
                <w:color w:val="auto"/>
                <w:sz w:val="24"/>
                <w:highlight w:val="none"/>
              </w:rPr>
              <w:t>HF钢筋砼。</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lang w:val="en-US" w:eastAsia="zh-CN"/>
              </w:rPr>
            </w:pPr>
            <w:r>
              <w:rPr>
                <w:rFonts w:hint="eastAsia" w:ascii="Times New Roman" w:hAnsi="Times New Roman" w:eastAsia="宋体" w:cs="Times New Roman"/>
                <w:spacing w:val="9"/>
                <w:sz w:val="24"/>
                <w:szCs w:val="24"/>
                <w:lang w:val="en-US" w:eastAsia="zh-CN"/>
              </w:rPr>
              <w:t>消能建筑物：</w:t>
            </w:r>
            <w:r>
              <w:rPr>
                <w:rFonts w:hint="eastAsia" w:cs="宋体"/>
                <w:color w:val="auto"/>
                <w:sz w:val="24"/>
                <w:highlight w:val="none"/>
                <w:lang w:val="en-US" w:eastAsia="zh-CN"/>
              </w:rPr>
              <w:t>护坦底板面层</w:t>
            </w:r>
            <w:r>
              <w:rPr>
                <w:rFonts w:hint="eastAsia" w:ascii="宋体" w:hAnsi="宋体" w:eastAsia="宋体" w:cs="宋体"/>
                <w:color w:val="auto"/>
                <w:sz w:val="24"/>
                <w:highlight w:val="none"/>
              </w:rPr>
              <w:t>采用</w:t>
            </w:r>
            <w:r>
              <w:rPr>
                <w:rFonts w:hint="eastAsia" w:cs="宋体"/>
                <w:color w:val="auto"/>
                <w:sz w:val="24"/>
                <w:highlight w:val="none"/>
              </w:rPr>
              <w:t>C</w:t>
            </w:r>
            <w:r>
              <w:rPr>
                <w:rFonts w:hint="eastAsia" w:cs="宋体"/>
                <w:color w:val="auto"/>
                <w:sz w:val="24"/>
                <w:highlight w:val="none"/>
                <w:vertAlign w:val="subscript"/>
              </w:rPr>
              <w:t>40</w:t>
            </w:r>
            <w:r>
              <w:rPr>
                <w:rFonts w:hint="eastAsia" w:cs="宋体"/>
                <w:color w:val="auto"/>
                <w:sz w:val="24"/>
                <w:highlight w:val="none"/>
              </w:rPr>
              <w:t>钢筋HF砼浇筑</w:t>
            </w:r>
            <w:r>
              <w:rPr>
                <w:rFonts w:hint="eastAsia" w:cs="宋体"/>
                <w:color w:val="auto"/>
                <w:sz w:val="24"/>
                <w:highlight w:val="none"/>
                <w:lang w:eastAsia="zh-CN"/>
              </w:rPr>
              <w:t>，</w:t>
            </w:r>
            <w:r>
              <w:rPr>
                <w:rFonts w:hint="eastAsia" w:cs="宋体"/>
                <w:color w:val="auto"/>
                <w:sz w:val="24"/>
                <w:highlight w:val="none"/>
                <w:lang w:val="en-US" w:eastAsia="zh-CN"/>
              </w:rPr>
              <w:t>底板下层采用C25钢筋砼浇筑，鱼鳞跌水底板基础平均厚度0.78m，底板</w:t>
            </w:r>
            <w:r>
              <w:rPr>
                <w:rFonts w:hint="eastAsia" w:cs="宋体"/>
                <w:color w:val="auto"/>
                <w:sz w:val="24"/>
                <w:highlight w:val="none"/>
              </w:rPr>
              <w:t>采用C</w:t>
            </w:r>
            <w:r>
              <w:rPr>
                <w:rFonts w:hint="eastAsia" w:cs="宋体"/>
                <w:color w:val="auto"/>
                <w:sz w:val="24"/>
                <w:highlight w:val="none"/>
                <w:vertAlign w:val="subscript"/>
              </w:rPr>
              <w:t>40</w:t>
            </w:r>
            <w:r>
              <w:rPr>
                <w:rFonts w:hint="eastAsia" w:cs="宋体"/>
                <w:color w:val="auto"/>
                <w:sz w:val="24"/>
                <w:highlight w:val="none"/>
              </w:rPr>
              <w:t>钢筋HF砼浇筑</w:t>
            </w:r>
            <w:r>
              <w:rPr>
                <w:rFonts w:hint="eastAsia" w:cs="宋体"/>
                <w:color w:val="auto"/>
                <w:sz w:val="24"/>
                <w:highlight w:val="none"/>
                <w:lang w:eastAsia="zh-CN"/>
              </w:rPr>
              <w:t>，</w:t>
            </w:r>
            <w:r>
              <w:rPr>
                <w:rFonts w:hint="eastAsia" w:cs="宋体"/>
                <w:color w:val="auto"/>
                <w:sz w:val="24"/>
                <w:highlight w:val="none"/>
              </w:rPr>
              <w:t>基础置于</w:t>
            </w:r>
            <w:r>
              <w:rPr>
                <w:rFonts w:hint="eastAsia" w:cs="宋体"/>
                <w:color w:val="auto"/>
                <w:sz w:val="24"/>
                <w:highlight w:val="none"/>
                <w:lang w:val="en-US" w:eastAsia="zh-CN"/>
              </w:rPr>
              <w:t>稍密砂卵石</w:t>
            </w:r>
            <w:r>
              <w:rPr>
                <w:rFonts w:hint="eastAsia" w:cs="宋体"/>
                <w:color w:val="auto"/>
                <w:sz w:val="24"/>
                <w:highlight w:val="none"/>
              </w:rPr>
              <w:t>上。消力池基础置于</w:t>
            </w:r>
            <w:r>
              <w:rPr>
                <w:rFonts w:hint="eastAsia" w:cs="宋体"/>
                <w:color w:val="auto"/>
                <w:sz w:val="24"/>
                <w:highlight w:val="none"/>
                <w:lang w:val="en-US" w:eastAsia="zh-CN"/>
              </w:rPr>
              <w:t>稍密砂卵石</w:t>
            </w:r>
            <w:r>
              <w:rPr>
                <w:rFonts w:hint="eastAsia" w:cs="宋体"/>
                <w:color w:val="auto"/>
                <w:sz w:val="24"/>
                <w:highlight w:val="none"/>
              </w:rPr>
              <w:t>上</w:t>
            </w:r>
            <w:r>
              <w:rPr>
                <w:rFonts w:hint="eastAsia" w:ascii="Times New Roman" w:hAnsi="Times New Roman" w:eastAsia="宋体" w:cs="Times New Roman"/>
                <w:spacing w:val="9"/>
                <w:sz w:val="24"/>
                <w:szCs w:val="24"/>
                <w:lang w:val="en-US" w:eastAsia="zh-CN"/>
              </w:rPr>
              <w:t>，采用C40钢筋HF砼浇筑。海漫采用大块卵石砌筑。</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eastAsia" w:ascii="Times New Roman" w:hAnsi="Times New Roman" w:eastAsia="宋体" w:cs="Times New Roman"/>
                <w:spacing w:val="9"/>
                <w:sz w:val="24"/>
                <w:szCs w:val="24"/>
                <w:lang w:val="en-US" w:eastAsia="zh-CN"/>
              </w:rPr>
            </w:pPr>
            <w:r>
              <w:rPr>
                <w:rFonts w:hint="eastAsia" w:ascii="Times New Roman" w:hAnsi="Times New Roman" w:eastAsia="宋体" w:cs="Times New Roman"/>
                <w:spacing w:val="9"/>
                <w:sz w:val="24"/>
                <w:szCs w:val="24"/>
                <w:lang w:val="en-US" w:eastAsia="zh-CN"/>
              </w:rPr>
              <w:t>河岸防护：铺盖及护坦两侧设护岸，护岸岸脚为衡重式挡墙护脚，挡墙建于基岩或中密砂卵石层上。挡墙墙脚防冲齿墙深度1.4m，采用C25砼浇筑。</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default" w:ascii="Times New Roman" w:hAnsi="Times New Roman" w:eastAsia="宋体" w:cs="Times New Roman"/>
                <w:spacing w:val="9"/>
                <w:sz w:val="24"/>
                <w:szCs w:val="24"/>
                <w:lang w:val="en-US" w:eastAsia="zh-CN"/>
              </w:rPr>
            </w:pPr>
            <w:r>
              <w:rPr>
                <w:rFonts w:hint="eastAsia" w:ascii="Times New Roman" w:hAnsi="Times New Roman" w:eastAsia="宋体" w:cs="Times New Roman"/>
                <w:spacing w:val="9"/>
                <w:sz w:val="24"/>
                <w:szCs w:val="24"/>
                <w:lang w:val="en-US" w:eastAsia="zh-CN"/>
              </w:rPr>
              <w:t>取水工程：取水口采用开敞式实用堰溢流，设计开口宽度8.75m。</w:t>
            </w:r>
          </w:p>
          <w:p>
            <w:pPr>
              <w:keepNext w:val="0"/>
              <w:keepLines w:val="0"/>
              <w:pageBreakBefore w:val="0"/>
              <w:widowControl w:val="0"/>
              <w:kinsoku/>
              <w:wordWrap/>
              <w:overflowPunct/>
              <w:topLinePunct w:val="0"/>
              <w:bidi w:val="0"/>
              <w:spacing w:line="360" w:lineRule="auto"/>
              <w:ind w:left="0" w:right="0" w:firstLine="516" w:firstLineChars="200"/>
              <w:textAlignment w:val="auto"/>
              <w:outlineLvl w:val="2"/>
              <w:rPr>
                <w:rFonts w:hint="eastAsia" w:ascii="Times New Roman" w:hAnsi="Times New Roman" w:eastAsia="宋体" w:cs="Times New Roman"/>
                <w:spacing w:val="9"/>
                <w:sz w:val="24"/>
                <w:szCs w:val="24"/>
                <w:lang w:val="en-US" w:eastAsia="zh-CN"/>
              </w:rPr>
            </w:pPr>
            <w:r>
              <w:rPr>
                <w:rFonts w:hint="eastAsia" w:ascii="Times New Roman" w:hAnsi="Times New Roman" w:eastAsia="宋体" w:cs="Times New Roman"/>
                <w:spacing w:val="9"/>
                <w:sz w:val="24"/>
                <w:szCs w:val="24"/>
                <w:lang w:val="en-US" w:eastAsia="zh-CN"/>
              </w:rPr>
              <w:t>引水渠道：本次对冲毁渠道进行拆除重建，拆建的渠道采用C25砼进行衬砌，渠道采用梯形渠道。</w:t>
            </w:r>
          </w:p>
          <w:p>
            <w:pPr>
              <w:keepNext w:val="0"/>
              <w:keepLines w:val="0"/>
              <w:pageBreakBefore w:val="0"/>
              <w:widowControl w:val="0"/>
              <w:numPr>
                <w:ilvl w:val="0"/>
                <w:numId w:val="10"/>
              </w:numPr>
              <w:kinsoku/>
              <w:wordWrap/>
              <w:overflowPunct/>
              <w:topLinePunct w:val="0"/>
              <w:bidi w:val="0"/>
              <w:spacing w:line="360" w:lineRule="auto"/>
              <w:ind w:left="0" w:right="0" w:firstLine="516" w:firstLineChars="200"/>
              <w:textAlignment w:val="auto"/>
              <w:outlineLvl w:val="2"/>
              <w:rPr>
                <w:rFonts w:hint="eastAsia" w:ascii="Times New Roman" w:hAnsi="Times New Roman" w:eastAsia="宋体" w:cs="Times New Roman"/>
                <w:spacing w:val="9"/>
                <w:sz w:val="24"/>
                <w:szCs w:val="24"/>
                <w:lang w:val="en-US" w:eastAsia="zh-CN"/>
              </w:rPr>
            </w:pPr>
            <w:r>
              <w:rPr>
                <w:rFonts w:hint="eastAsia" w:ascii="Times New Roman" w:hAnsi="Times New Roman" w:eastAsia="宋体" w:cs="Times New Roman"/>
                <w:spacing w:val="9"/>
                <w:sz w:val="24"/>
                <w:szCs w:val="24"/>
                <w:lang w:val="en-US" w:eastAsia="zh-CN"/>
              </w:rPr>
              <w:t>围堰拆除</w:t>
            </w:r>
          </w:p>
          <w:p>
            <w:pPr>
              <w:keepNext w:val="0"/>
              <w:keepLines w:val="0"/>
              <w:pageBreakBefore w:val="0"/>
              <w:widowControl w:val="0"/>
              <w:numPr>
                <w:ilvl w:val="0"/>
                <w:numId w:val="0"/>
              </w:numPr>
              <w:kinsoku/>
              <w:wordWrap/>
              <w:overflowPunct/>
              <w:topLinePunct w:val="0"/>
              <w:bidi w:val="0"/>
              <w:spacing w:line="360" w:lineRule="auto"/>
              <w:ind w:leftChars="200" w:right="0" w:rightChars="0"/>
              <w:textAlignment w:val="auto"/>
              <w:outlineLvl w:val="2"/>
              <w:rPr>
                <w:rFonts w:hint="default" w:ascii="Times New Roman" w:hAnsi="Times New Roman" w:eastAsia="宋体" w:cs="Times New Roman"/>
                <w:spacing w:val="9"/>
                <w:sz w:val="24"/>
                <w:szCs w:val="24"/>
                <w:lang w:val="en-US" w:eastAsia="zh-CN"/>
              </w:rPr>
            </w:pPr>
            <w:r>
              <w:rPr>
                <w:rFonts w:hint="eastAsia" w:ascii="Times New Roman" w:hAnsi="Times New Roman" w:eastAsia="宋体" w:cs="Times New Roman"/>
                <w:spacing w:val="9"/>
                <w:sz w:val="24"/>
                <w:szCs w:val="24"/>
                <w:lang w:val="en-US" w:eastAsia="zh-CN"/>
              </w:rPr>
              <w:t xml:space="preserve"> 主体工程完工后，对围堰进行拆除。</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cs="Times New Roman"/>
                <w:color w:val="0000FF"/>
                <w:kern w:val="0"/>
                <w:szCs w:val="21"/>
              </w:rPr>
            </w:pPr>
            <w:r>
              <w:rPr>
                <w:rFonts w:hint="default" w:ascii="Times New Roman" w:hAnsi="Times New Roman" w:eastAsia="宋体" w:cs="Times New Roman"/>
                <w:b/>
                <w:bCs/>
                <w:color w:val="auto"/>
                <w:spacing w:val="0"/>
                <w:sz w:val="24"/>
                <w:lang w:val="en-US" w:eastAsia="zh-CN" w:bidi="ar-SA"/>
              </w:rPr>
              <w:t>3、施工条件</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right="0" w:rightChars="0" w:firstLine="482" w:firstLineChars="200"/>
              <w:jc w:val="both"/>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cs="Times New Roman"/>
                <w:b/>
                <w:bCs/>
                <w:color w:val="auto"/>
                <w:sz w:val="24"/>
              </w:rPr>
              <w:t>（</w:t>
            </w:r>
            <w:r>
              <w:rPr>
                <w:rFonts w:hint="default" w:ascii="Times New Roman" w:hAnsi="Times New Roman" w:cs="Times New Roman"/>
                <w:b/>
                <w:bCs/>
                <w:color w:val="auto"/>
                <w:sz w:val="24"/>
                <w:lang w:val="en-US" w:eastAsia="zh-CN"/>
              </w:rPr>
              <w:t>1</w:t>
            </w:r>
            <w:r>
              <w:rPr>
                <w:rFonts w:hint="default" w:ascii="Times New Roman" w:hAnsi="Times New Roman" w:cs="Times New Roman"/>
                <w:b/>
                <w:bCs/>
                <w:color w:val="auto"/>
                <w:sz w:val="24"/>
              </w:rPr>
              <w:t>）施工供水</w:t>
            </w:r>
          </w:p>
          <w:p>
            <w:pPr>
              <w:pStyle w:val="2"/>
              <w:keepNext w:val="0"/>
              <w:keepLines w:val="0"/>
              <w:pageBreakBefore w:val="0"/>
              <w:kinsoku/>
              <w:wordWrap/>
              <w:overflowPunct/>
              <w:topLinePunct w:val="0"/>
              <w:autoSpaceDE/>
              <w:autoSpaceDN/>
              <w:bidi w:val="0"/>
              <w:adjustRightInd w:val="0"/>
              <w:snapToGrid w:val="0"/>
              <w:spacing w:before="0" w:after="0" w:line="360" w:lineRule="auto"/>
              <w:ind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rPr>
              <w:t>本工程施工期的生产用水在工区附近设提水泵到施工</w:t>
            </w:r>
            <w:r>
              <w:rPr>
                <w:rFonts w:hint="default" w:ascii="Times New Roman" w:hAnsi="Times New Roman" w:cs="Times New Roman"/>
                <w:color w:val="auto"/>
                <w:sz w:val="24"/>
                <w:lang w:eastAsia="zh-CN"/>
              </w:rPr>
              <w:t>场地</w:t>
            </w:r>
            <w:r>
              <w:rPr>
                <w:rFonts w:hint="default" w:ascii="Times New Roman" w:hAnsi="Times New Roman" w:cs="Times New Roman"/>
                <w:color w:val="auto"/>
                <w:sz w:val="24"/>
              </w:rPr>
              <w:t>。施工生活用水</w:t>
            </w:r>
            <w:r>
              <w:rPr>
                <w:rFonts w:hint="default" w:ascii="Times New Roman" w:hAnsi="Times New Roman" w:cs="Times New Roman"/>
                <w:color w:val="auto"/>
                <w:sz w:val="24"/>
                <w:lang w:eastAsia="zh-CN"/>
              </w:rPr>
              <w:t>依托附近租用民房解决。</w:t>
            </w:r>
          </w:p>
          <w:p>
            <w:pPr>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rPr>
              <w:t>（</w:t>
            </w:r>
            <w:r>
              <w:rPr>
                <w:rFonts w:hint="default" w:ascii="Times New Roman" w:hAnsi="Times New Roman" w:cs="Times New Roman"/>
                <w:b/>
                <w:bCs/>
                <w:color w:val="auto"/>
                <w:sz w:val="24"/>
                <w:lang w:val="en-US" w:eastAsia="zh-CN"/>
              </w:rPr>
              <w:t>2</w:t>
            </w:r>
            <w:r>
              <w:rPr>
                <w:rFonts w:hint="default" w:ascii="Times New Roman" w:hAnsi="Times New Roman" w:cs="Times New Roman"/>
                <w:b/>
                <w:bCs/>
                <w:color w:val="auto"/>
                <w:sz w:val="24"/>
              </w:rPr>
              <w:t>）施工供</w:t>
            </w:r>
            <w:r>
              <w:rPr>
                <w:rFonts w:hint="default" w:ascii="Times New Roman" w:hAnsi="Times New Roman" w:eastAsia="宋体" w:cs="Times New Roman"/>
                <w:b/>
                <w:bCs/>
                <w:color w:val="auto"/>
                <w:sz w:val="24"/>
              </w:rPr>
              <w:t>电</w:t>
            </w:r>
          </w:p>
          <w:p>
            <w:pPr>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Ansi="宋体"/>
                <w:bCs/>
                <w:color w:val="auto"/>
                <w:sz w:val="24"/>
                <w:highlight w:val="none"/>
              </w:rPr>
            </w:pPr>
            <w:r>
              <w:rPr>
                <w:rFonts w:hAnsi="宋体"/>
                <w:bCs/>
                <w:color w:val="auto"/>
                <w:sz w:val="24"/>
                <w:highlight w:val="none"/>
              </w:rPr>
              <w:t>工程区附近有</w:t>
            </w:r>
            <w:r>
              <w:rPr>
                <w:bCs/>
                <w:color w:val="auto"/>
                <w:sz w:val="24"/>
                <w:highlight w:val="none"/>
              </w:rPr>
              <w:t>10KV</w:t>
            </w:r>
            <w:r>
              <w:rPr>
                <w:rFonts w:hAnsi="宋体"/>
                <w:bCs/>
                <w:color w:val="auto"/>
                <w:sz w:val="24"/>
                <w:highlight w:val="none"/>
              </w:rPr>
              <w:t>线路通过，拟设下杆线</w:t>
            </w:r>
            <w:r>
              <w:rPr>
                <w:bCs/>
                <w:color w:val="auto"/>
                <w:sz w:val="24"/>
                <w:highlight w:val="none"/>
              </w:rPr>
              <w:t>0.2km</w:t>
            </w:r>
            <w:r>
              <w:rPr>
                <w:rFonts w:hAnsi="宋体"/>
                <w:bCs/>
                <w:color w:val="auto"/>
                <w:sz w:val="24"/>
                <w:highlight w:val="none"/>
              </w:rPr>
              <w:t>，设</w:t>
            </w:r>
            <w:r>
              <w:rPr>
                <w:bCs/>
                <w:color w:val="auto"/>
                <w:sz w:val="24"/>
                <w:highlight w:val="none"/>
              </w:rPr>
              <w:t>150KVA</w:t>
            </w:r>
            <w:r>
              <w:rPr>
                <w:rFonts w:hAnsi="宋体"/>
                <w:bCs/>
                <w:color w:val="auto"/>
                <w:sz w:val="24"/>
                <w:highlight w:val="none"/>
              </w:rPr>
              <w:t>降压站可满足施工需求，同时考虑电网停电因素，本工程备</w:t>
            </w:r>
            <w:r>
              <w:rPr>
                <w:bCs/>
                <w:color w:val="auto"/>
                <w:sz w:val="24"/>
                <w:highlight w:val="none"/>
              </w:rPr>
              <w:t>1</w:t>
            </w:r>
            <w:r>
              <w:rPr>
                <w:rFonts w:hAnsi="宋体"/>
                <w:bCs/>
                <w:color w:val="auto"/>
                <w:sz w:val="24"/>
                <w:highlight w:val="none"/>
              </w:rPr>
              <w:t>台</w:t>
            </w:r>
            <w:r>
              <w:rPr>
                <w:bCs/>
                <w:color w:val="auto"/>
                <w:sz w:val="24"/>
                <w:highlight w:val="none"/>
              </w:rPr>
              <w:t>50kw</w:t>
            </w:r>
            <w:r>
              <w:rPr>
                <w:rFonts w:hAnsi="宋体"/>
                <w:bCs/>
                <w:color w:val="auto"/>
                <w:sz w:val="24"/>
                <w:highlight w:val="none"/>
              </w:rPr>
              <w:t>的柴油发电机作为备用电源。</w:t>
            </w:r>
          </w:p>
          <w:p>
            <w:pPr>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rPr>
              <w:t>（</w:t>
            </w:r>
            <w:r>
              <w:rPr>
                <w:rFonts w:hint="default" w:ascii="Times New Roman" w:hAnsi="Times New Roman" w:cs="Times New Roman"/>
                <w:b/>
                <w:bCs/>
                <w:color w:val="auto"/>
                <w:sz w:val="24"/>
                <w:lang w:val="en-US" w:eastAsia="zh-CN"/>
              </w:rPr>
              <w:t>3</w:t>
            </w:r>
            <w:r>
              <w:rPr>
                <w:rFonts w:hint="default" w:ascii="Times New Roman" w:hAnsi="Times New Roman" w:cs="Times New Roman"/>
                <w:b/>
                <w:bCs/>
                <w:color w:val="auto"/>
                <w:sz w:val="24"/>
              </w:rPr>
              <w:t>）施工通</w:t>
            </w:r>
            <w:r>
              <w:rPr>
                <w:rFonts w:hint="default" w:ascii="Times New Roman" w:hAnsi="Times New Roman" w:eastAsia="宋体" w:cs="Times New Roman"/>
                <w:b/>
                <w:bCs/>
                <w:color w:val="auto"/>
                <w:sz w:val="24"/>
              </w:rPr>
              <w:t>讯</w:t>
            </w:r>
          </w:p>
          <w:p>
            <w:pPr>
              <w:pStyle w:val="2"/>
              <w:keepNext w:val="0"/>
              <w:keepLines w:val="0"/>
              <w:pageBreakBefore w:val="0"/>
              <w:kinsoku/>
              <w:wordWrap/>
              <w:overflowPunct/>
              <w:topLinePunct w:val="0"/>
              <w:autoSpaceDE/>
              <w:autoSpaceDN/>
              <w:bidi w:val="0"/>
              <w:adjustRightInd w:val="0"/>
              <w:snapToGrid w:val="0"/>
              <w:spacing w:before="0" w:after="0" w:line="360" w:lineRule="auto"/>
              <w:ind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rPr>
              <w:t>采用移</w:t>
            </w:r>
            <w:r>
              <w:rPr>
                <w:rFonts w:hint="default" w:ascii="Times New Roman" w:hAnsi="Times New Roman" w:eastAsia="宋体" w:cs="Times New Roman"/>
                <w:color w:val="auto"/>
                <w:sz w:val="24"/>
              </w:rPr>
              <w:t>动</w:t>
            </w:r>
            <w:r>
              <w:rPr>
                <w:rFonts w:hint="default" w:ascii="Times New Roman" w:hAnsi="Times New Roman" w:cs="Times New Roman"/>
                <w:color w:val="auto"/>
                <w:sz w:val="24"/>
              </w:rPr>
              <w:t>通</w:t>
            </w:r>
            <w:r>
              <w:rPr>
                <w:rFonts w:hint="default" w:ascii="Times New Roman" w:hAnsi="Times New Roman" w:eastAsia="宋体" w:cs="Times New Roman"/>
                <w:color w:val="auto"/>
                <w:sz w:val="24"/>
              </w:rPr>
              <w:t>讯</w:t>
            </w:r>
            <w:r>
              <w:rPr>
                <w:rFonts w:hint="default" w:ascii="Times New Roman" w:hAnsi="Times New Roman" w:cs="Times New Roman"/>
                <w:color w:val="auto"/>
                <w:sz w:val="24"/>
              </w:rPr>
              <w:t>解</w:t>
            </w:r>
            <w:r>
              <w:rPr>
                <w:rFonts w:hint="default" w:ascii="Times New Roman" w:hAnsi="Times New Roman" w:eastAsia="宋体" w:cs="Times New Roman"/>
                <w:color w:val="auto"/>
                <w:sz w:val="24"/>
              </w:rPr>
              <w:t>决场内联</w:t>
            </w:r>
            <w:r>
              <w:rPr>
                <w:rFonts w:hint="default" w:ascii="Times New Roman" w:hAnsi="Times New Roman" w:cs="Times New Roman"/>
                <w:color w:val="auto"/>
                <w:sz w:val="24"/>
              </w:rPr>
              <w:t>系</w:t>
            </w:r>
            <w:r>
              <w:rPr>
                <w:rFonts w:hint="default" w:ascii="Times New Roman" w:hAnsi="Times New Roman" w:cs="Times New Roman"/>
                <w:color w:val="auto"/>
                <w:sz w:val="24"/>
                <w:lang w:eastAsia="zh-CN"/>
              </w:rPr>
              <w:t>。</w:t>
            </w:r>
          </w:p>
          <w:p>
            <w:pPr>
              <w:keepNext/>
              <w:keepLines w:val="0"/>
              <w:pageBreakBefore w:val="0"/>
              <w:kinsoku/>
              <w:wordWrap/>
              <w:overflowPunct/>
              <w:topLinePunct w:val="0"/>
              <w:autoSpaceDE/>
              <w:autoSpaceDN/>
              <w:bidi w:val="0"/>
              <w:adjustRightInd w:val="0"/>
              <w:snapToGrid w:val="0"/>
              <w:spacing w:line="360" w:lineRule="auto"/>
              <w:ind w:firstLine="482" w:firstLineChars="200"/>
              <w:textAlignment w:val="auto"/>
              <w:outlineLvl w:val="1"/>
              <w:rPr>
                <w:rFonts w:hint="default" w:ascii="Times New Roman" w:hAnsi="Times New Roman" w:cs="Times New Roman"/>
                <w:b/>
                <w:bCs w:val="0"/>
                <w:iCs/>
                <w:color w:val="auto"/>
                <w:sz w:val="24"/>
              </w:rPr>
            </w:pPr>
            <w:r>
              <w:rPr>
                <w:rFonts w:hint="default" w:ascii="Times New Roman" w:hAnsi="Times New Roman" w:cs="Times New Roman"/>
                <w:b/>
                <w:bCs w:val="0"/>
                <w:iCs/>
                <w:color w:val="auto"/>
                <w:sz w:val="24"/>
              </w:rPr>
              <w:t>（</w:t>
            </w:r>
            <w:r>
              <w:rPr>
                <w:rFonts w:hint="default" w:ascii="Times New Roman" w:hAnsi="Times New Roman" w:cs="Times New Roman"/>
                <w:b/>
                <w:bCs w:val="0"/>
                <w:iCs/>
                <w:color w:val="auto"/>
                <w:sz w:val="24"/>
                <w:lang w:val="en-US" w:eastAsia="zh-CN"/>
              </w:rPr>
              <w:t>4</w:t>
            </w:r>
            <w:r>
              <w:rPr>
                <w:rFonts w:hint="default" w:ascii="Times New Roman" w:hAnsi="Times New Roman" w:cs="Times New Roman"/>
                <w:b/>
                <w:bCs w:val="0"/>
                <w:iCs/>
                <w:color w:val="auto"/>
                <w:sz w:val="24"/>
              </w:rPr>
              <w:t>）施工交通</w:t>
            </w:r>
            <w:r>
              <w:rPr>
                <w:rFonts w:hint="default" w:ascii="Times New Roman" w:hAnsi="Times New Roman" w:eastAsia="宋体" w:cs="Times New Roman"/>
                <w:b/>
                <w:bCs w:val="0"/>
                <w:iCs/>
                <w:color w:val="auto"/>
                <w:sz w:val="24"/>
              </w:rPr>
              <w:t>运输</w:t>
            </w:r>
          </w:p>
          <w:p>
            <w:pPr>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宋体" w:eastAsia="宋体" w:cs="Times New Roman"/>
                <w:bCs/>
                <w:color w:val="auto"/>
                <w:sz w:val="24"/>
                <w:highlight w:val="none"/>
              </w:rPr>
            </w:pPr>
            <w:r>
              <w:rPr>
                <w:rFonts w:hint="default" w:ascii="Times New Roman" w:hAnsi="宋体" w:eastAsia="宋体" w:cs="Times New Roman"/>
                <w:bCs/>
                <w:color w:val="auto"/>
                <w:sz w:val="24"/>
                <w:highlight w:val="none"/>
              </w:rPr>
              <w:t>1）场外交通</w:t>
            </w:r>
          </w:p>
          <w:p>
            <w:pPr>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宋体" w:eastAsia="宋体" w:cs="Times New Roman"/>
                <w:bCs/>
                <w:color w:val="auto"/>
                <w:sz w:val="24"/>
                <w:highlight w:val="none"/>
              </w:rPr>
            </w:pPr>
            <w:r>
              <w:rPr>
                <w:rFonts w:ascii="Times New Roman" w:hAnsi="宋体" w:eastAsia="宋体" w:cs="Times New Roman"/>
                <w:bCs/>
                <w:color w:val="auto"/>
                <w:sz w:val="24"/>
                <w:highlight w:val="none"/>
              </w:rPr>
              <w:t>工程区距乐山城区约10km，现有道路延伸至工程区，外交通方便</w:t>
            </w:r>
            <w:r>
              <w:rPr>
                <w:rFonts w:hint="default" w:ascii="Times New Roman" w:hAnsi="宋体" w:eastAsia="宋体" w:cs="Times New Roman"/>
                <w:bCs/>
                <w:color w:val="auto"/>
                <w:sz w:val="24"/>
                <w:highlight w:val="none"/>
                <w:lang w:eastAsia="zh-CN"/>
              </w:rPr>
              <w:t>，未设置施工便道</w:t>
            </w:r>
            <w:r>
              <w:rPr>
                <w:rFonts w:hint="default" w:ascii="Times New Roman" w:hAnsi="宋体" w:eastAsia="宋体" w:cs="Times New Roman"/>
                <w:bCs/>
                <w:color w:val="auto"/>
                <w:sz w:val="24"/>
                <w:highlight w:val="none"/>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outlineLvl w:val="2"/>
              <w:rPr>
                <w:rFonts w:hint="default" w:ascii="Times New Roman" w:hAnsi="Times New Roman" w:cs="Times New Roman"/>
                <w:bCs/>
                <w:color w:val="auto"/>
                <w:sz w:val="24"/>
              </w:rPr>
            </w:pPr>
            <w:r>
              <w:rPr>
                <w:rFonts w:hint="default" w:ascii="Times New Roman" w:hAnsi="Times New Roman" w:cs="Times New Roman"/>
                <w:bCs/>
                <w:color w:val="auto"/>
                <w:sz w:val="24"/>
              </w:rPr>
              <w:t>2）</w:t>
            </w:r>
            <w:r>
              <w:rPr>
                <w:rFonts w:hint="default" w:ascii="Times New Roman" w:hAnsi="Times New Roman" w:eastAsia="宋体" w:cs="Times New Roman"/>
                <w:bCs/>
                <w:color w:val="auto"/>
                <w:sz w:val="24"/>
              </w:rPr>
              <w:t>场内</w:t>
            </w:r>
            <w:r>
              <w:rPr>
                <w:rFonts w:hint="default" w:ascii="Times New Roman" w:hAnsi="Times New Roman" w:cs="Times New Roman"/>
                <w:bCs/>
                <w:color w:val="auto"/>
                <w:sz w:val="24"/>
              </w:rPr>
              <w:t>交通</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0000FF"/>
                <w:kern w:val="0"/>
                <w:szCs w:val="21"/>
              </w:rPr>
            </w:pPr>
            <w:r>
              <w:rPr>
                <w:rFonts w:hint="default" w:ascii="Times New Roman" w:hAnsi="Times New Roman" w:cs="Times New Roman"/>
                <w:color w:val="auto"/>
                <w:sz w:val="24"/>
              </w:rPr>
              <w:t>本工程现有交通道路能满足施工需要，</w:t>
            </w:r>
            <w:r>
              <w:rPr>
                <w:rFonts w:hint="default" w:ascii="Times New Roman" w:hAnsi="Times New Roman" w:cs="Times New Roman"/>
                <w:color w:val="auto"/>
                <w:sz w:val="24"/>
                <w:lang w:eastAsia="zh-CN"/>
              </w:rPr>
              <w:t>未</w:t>
            </w:r>
            <w:r>
              <w:rPr>
                <w:rFonts w:hint="default" w:ascii="Times New Roman" w:hAnsi="Times New Roman" w:cs="Times New Roman"/>
                <w:color w:val="auto"/>
                <w:sz w:val="24"/>
              </w:rPr>
              <w:t>修建场内施工道路</w:t>
            </w:r>
            <w:r>
              <w:rPr>
                <w:rFonts w:hint="default" w:ascii="Times New Roman" w:hAnsi="Times New Roman" w:cs="Times New Roman"/>
                <w:color w:val="auto"/>
                <w:sz w:val="24"/>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spacing w:val="0"/>
                <w:sz w:val="24"/>
                <w:lang w:val="en-US" w:eastAsia="zh-CN" w:bidi="ar-SA"/>
              </w:rPr>
            </w:pPr>
            <w:r>
              <w:rPr>
                <w:rFonts w:hint="default" w:ascii="Times New Roman" w:hAnsi="Times New Roman" w:eastAsia="宋体" w:cs="Times New Roman"/>
                <w:b/>
                <w:bCs/>
                <w:color w:val="auto"/>
                <w:spacing w:val="0"/>
                <w:sz w:val="24"/>
                <w:lang w:val="en-US" w:eastAsia="zh-CN" w:bidi="ar-SA"/>
              </w:rPr>
              <w:t>4、施工设施</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本工程</w:t>
            </w:r>
            <w:r>
              <w:rPr>
                <w:rFonts w:hint="default" w:ascii="Times New Roman" w:hAnsi="Times New Roman" w:cs="Times New Roman"/>
                <w:color w:val="auto"/>
                <w:sz w:val="24"/>
                <w:lang w:eastAsia="zh-CN"/>
              </w:rPr>
              <w:t>施工区</w:t>
            </w:r>
            <w:r>
              <w:rPr>
                <w:rFonts w:hint="default" w:ascii="Times New Roman" w:hAnsi="Times New Roman" w:cs="Times New Roman"/>
                <w:color w:val="auto"/>
                <w:sz w:val="24"/>
              </w:rPr>
              <w:t>采用商品</w:t>
            </w:r>
            <w:r>
              <w:rPr>
                <w:rFonts w:hint="default" w:ascii="Times New Roman" w:hAnsi="Times New Roman" w:cs="Times New Roman"/>
                <w:color w:val="auto"/>
                <w:sz w:val="24"/>
                <w:lang w:eastAsia="zh-CN"/>
              </w:rPr>
              <w:t>混凝土</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未</w:t>
            </w:r>
            <w:r>
              <w:rPr>
                <w:rFonts w:hint="default" w:ascii="Times New Roman" w:hAnsi="Times New Roman" w:cs="Times New Roman"/>
                <w:color w:val="auto"/>
                <w:sz w:val="24"/>
              </w:rPr>
              <w:t>设砂石加工厂</w:t>
            </w:r>
            <w:r>
              <w:rPr>
                <w:rFonts w:hint="default" w:ascii="Times New Roman" w:hAnsi="Times New Roman" w:cs="Times New Roman"/>
                <w:color w:val="auto"/>
                <w:sz w:val="24"/>
                <w:lang w:eastAsia="zh-CN"/>
              </w:rPr>
              <w:t>及混凝土拌和站</w:t>
            </w:r>
            <w:r>
              <w:rPr>
                <w:rFonts w:hint="default" w:ascii="Times New Roman" w:hAnsi="Times New Roman" w:cs="Times New Roman"/>
                <w:color w:val="auto"/>
                <w:sz w:val="24"/>
              </w:rPr>
              <w:t>。</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5</w:t>
            </w:r>
            <w:r>
              <w:rPr>
                <w:rFonts w:hint="default" w:ascii="Times New Roman" w:hAnsi="Times New Roman" w:eastAsia="宋体" w:cs="Times New Roman"/>
                <w:b/>
                <w:bCs/>
                <w:color w:val="auto"/>
                <w:sz w:val="24"/>
                <w:lang w:val="en-US" w:eastAsia="zh-CN"/>
              </w:rPr>
              <w:t>、施工时序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宋体" w:eastAsia="宋体" w:cs="Times New Roman"/>
                <w:bCs/>
                <w:color w:val="auto"/>
                <w:sz w:val="24"/>
                <w:highlight w:val="none"/>
              </w:rPr>
            </w:pPr>
            <w:r>
              <w:rPr>
                <w:rFonts w:ascii="Times New Roman" w:hAnsi="宋体" w:eastAsia="宋体" w:cs="Times New Roman"/>
                <w:bCs/>
                <w:color w:val="auto"/>
                <w:sz w:val="24"/>
                <w:highlight w:val="none"/>
              </w:rPr>
              <w:t>本工程根据主体工程条件、河流特性和业主要求制定施工进度计划，主体工程计划安排在</w:t>
            </w:r>
            <w:r>
              <w:rPr>
                <w:rFonts w:hint="eastAsia" w:ascii="Times New Roman" w:hAnsi="宋体" w:eastAsia="宋体" w:cs="Times New Roman"/>
                <w:bCs/>
                <w:color w:val="auto"/>
                <w:sz w:val="24"/>
                <w:highlight w:val="none"/>
                <w:lang w:val="en-US" w:eastAsia="zh-CN"/>
              </w:rPr>
              <w:t>2022年</w:t>
            </w:r>
            <w:r>
              <w:rPr>
                <w:rFonts w:ascii="Times New Roman" w:hAnsi="宋体" w:eastAsia="宋体" w:cs="Times New Roman"/>
                <w:bCs/>
                <w:color w:val="auto"/>
                <w:sz w:val="24"/>
                <w:highlight w:val="none"/>
              </w:rPr>
              <w:t>10月</w:t>
            </w:r>
            <w:r>
              <w:rPr>
                <w:rFonts w:hint="eastAsia" w:ascii="Times New Roman" w:hAnsi="宋体" w:eastAsia="宋体" w:cs="Times New Roman"/>
                <w:bCs/>
                <w:color w:val="auto"/>
                <w:sz w:val="24"/>
                <w:highlight w:val="none"/>
                <w:lang w:eastAsia="zh-CN"/>
              </w:rPr>
              <w:t>、</w:t>
            </w:r>
            <w:r>
              <w:rPr>
                <w:rFonts w:hint="eastAsia" w:ascii="Times New Roman" w:hAnsi="宋体" w:eastAsia="宋体" w:cs="Times New Roman"/>
                <w:bCs/>
                <w:color w:val="auto"/>
                <w:sz w:val="24"/>
                <w:highlight w:val="none"/>
                <w:lang w:val="en-US" w:eastAsia="zh-CN"/>
              </w:rPr>
              <w:t>2022年</w:t>
            </w:r>
            <w:r>
              <w:rPr>
                <w:rFonts w:ascii="Times New Roman" w:hAnsi="宋体" w:eastAsia="宋体" w:cs="Times New Roman"/>
                <w:bCs/>
                <w:color w:val="auto"/>
                <w:sz w:val="24"/>
                <w:highlight w:val="none"/>
              </w:rPr>
              <w:t>5月，计划总工期8个月，施工分工程准备期、主体工程施工期和工程完建期。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宋体" w:eastAsia="宋体" w:cs="Times New Roman"/>
                <w:bCs/>
                <w:color w:val="auto"/>
                <w:sz w:val="24"/>
                <w:highlight w:val="none"/>
              </w:rPr>
            </w:pPr>
            <w:r>
              <w:rPr>
                <w:rFonts w:hint="eastAsia" w:ascii="Times New Roman" w:hAnsi="宋体" w:eastAsia="宋体" w:cs="Times New Roman"/>
                <w:bCs/>
                <w:color w:val="auto"/>
                <w:sz w:val="24"/>
                <w:highlight w:val="none"/>
                <w:lang w:eastAsia="zh-CN"/>
              </w:rPr>
              <w:t>（</w:t>
            </w:r>
            <w:r>
              <w:rPr>
                <w:rFonts w:hint="eastAsia" w:ascii="Times New Roman" w:hAnsi="宋体" w:eastAsia="宋体" w:cs="Times New Roman"/>
                <w:bCs/>
                <w:color w:val="auto"/>
                <w:sz w:val="24"/>
                <w:highlight w:val="none"/>
                <w:lang w:val="en-US" w:eastAsia="zh-CN"/>
              </w:rPr>
              <w:t>1</w:t>
            </w:r>
            <w:r>
              <w:rPr>
                <w:rFonts w:hint="eastAsia" w:ascii="Times New Roman" w:hAnsi="宋体" w:eastAsia="宋体" w:cs="Times New Roman"/>
                <w:bCs/>
                <w:color w:val="auto"/>
                <w:sz w:val="24"/>
                <w:highlight w:val="none"/>
                <w:lang w:eastAsia="zh-CN"/>
              </w:rPr>
              <w:t>）</w:t>
            </w:r>
            <w:r>
              <w:rPr>
                <w:rFonts w:ascii="Times New Roman" w:hAnsi="宋体" w:eastAsia="宋体" w:cs="Times New Roman"/>
                <w:bCs/>
                <w:color w:val="auto"/>
                <w:sz w:val="24"/>
                <w:highlight w:val="none"/>
              </w:rPr>
              <w:t>工程准备期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宋体" w:eastAsia="宋体" w:cs="Times New Roman"/>
                <w:bCs/>
                <w:color w:val="auto"/>
                <w:sz w:val="24"/>
                <w:highlight w:val="none"/>
              </w:rPr>
            </w:pPr>
            <w:r>
              <w:rPr>
                <w:rFonts w:ascii="Times New Roman" w:hAnsi="宋体" w:eastAsia="宋体" w:cs="Times New Roman"/>
                <w:bCs/>
                <w:color w:val="auto"/>
                <w:sz w:val="24"/>
                <w:highlight w:val="none"/>
              </w:rPr>
              <w:t>准备工程为</w:t>
            </w:r>
            <w:r>
              <w:rPr>
                <w:rFonts w:hint="eastAsia" w:ascii="Times New Roman" w:hAnsi="宋体" w:eastAsia="宋体" w:cs="Times New Roman"/>
                <w:bCs/>
                <w:color w:val="auto"/>
                <w:sz w:val="24"/>
                <w:highlight w:val="none"/>
                <w:lang w:val="en-US" w:eastAsia="zh-CN"/>
              </w:rPr>
              <w:t>2022年</w:t>
            </w:r>
            <w:r>
              <w:rPr>
                <w:rFonts w:ascii="Times New Roman" w:hAnsi="宋体" w:eastAsia="宋体" w:cs="Times New Roman"/>
                <w:bCs/>
                <w:color w:val="auto"/>
                <w:sz w:val="24"/>
                <w:highlight w:val="none"/>
              </w:rPr>
              <w:t>10月，工程准备包括施工风、水、电供应系统</w:t>
            </w:r>
            <w:r>
              <w:rPr>
                <w:rFonts w:hint="eastAsia" w:ascii="Times New Roman" w:hAnsi="宋体" w:eastAsia="宋体" w:cs="Times New Roman"/>
                <w:bCs/>
                <w:color w:val="auto"/>
                <w:sz w:val="24"/>
                <w:highlight w:val="none"/>
                <w:lang w:val="en-US" w:eastAsia="zh-CN"/>
              </w:rPr>
              <w:t>等</w:t>
            </w:r>
            <w:r>
              <w:rPr>
                <w:rFonts w:ascii="Times New Roman" w:hAnsi="宋体" w:eastAsia="宋体" w:cs="Times New Roman"/>
                <w:bCs/>
                <w:color w:val="auto"/>
                <w:sz w:val="24"/>
                <w:highlight w:val="none"/>
              </w:rPr>
              <w:t>生产性房屋建筑的修建。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宋体" w:eastAsia="宋体" w:cs="Times New Roman"/>
                <w:bCs/>
                <w:color w:val="auto"/>
                <w:sz w:val="24"/>
                <w:highlight w:val="none"/>
              </w:rPr>
            </w:pPr>
            <w:r>
              <w:rPr>
                <w:rFonts w:hint="eastAsia" w:ascii="Times New Roman" w:hAnsi="宋体" w:eastAsia="宋体" w:cs="Times New Roman"/>
                <w:bCs/>
                <w:color w:val="auto"/>
                <w:sz w:val="24"/>
                <w:highlight w:val="none"/>
                <w:lang w:eastAsia="zh-CN"/>
              </w:rPr>
              <w:t>（</w:t>
            </w:r>
            <w:r>
              <w:rPr>
                <w:rFonts w:hint="eastAsia" w:ascii="Times New Roman" w:hAnsi="宋体" w:eastAsia="宋体" w:cs="Times New Roman"/>
                <w:bCs/>
                <w:color w:val="auto"/>
                <w:sz w:val="24"/>
                <w:highlight w:val="none"/>
                <w:lang w:val="en-US" w:eastAsia="zh-CN"/>
              </w:rPr>
              <w:t>2</w:t>
            </w:r>
            <w:r>
              <w:rPr>
                <w:rFonts w:hint="eastAsia" w:ascii="Times New Roman" w:hAnsi="宋体" w:eastAsia="宋体" w:cs="Times New Roman"/>
                <w:bCs/>
                <w:color w:val="auto"/>
                <w:sz w:val="24"/>
                <w:highlight w:val="none"/>
                <w:lang w:eastAsia="zh-CN"/>
              </w:rPr>
              <w:t>）</w:t>
            </w:r>
            <w:r>
              <w:rPr>
                <w:rFonts w:ascii="Times New Roman" w:hAnsi="宋体" w:eastAsia="宋体" w:cs="Times New Roman"/>
                <w:bCs/>
                <w:color w:val="auto"/>
                <w:sz w:val="24"/>
                <w:highlight w:val="none"/>
              </w:rPr>
              <w:t>主体工程工期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宋体" w:eastAsia="宋体" w:cs="Times New Roman"/>
                <w:bCs/>
                <w:color w:val="auto"/>
                <w:sz w:val="24"/>
                <w:highlight w:val="none"/>
              </w:rPr>
            </w:pPr>
            <w:r>
              <w:rPr>
                <w:rFonts w:ascii="Times New Roman" w:hAnsi="宋体" w:eastAsia="宋体" w:cs="Times New Roman"/>
                <w:bCs/>
                <w:color w:val="auto"/>
                <w:sz w:val="24"/>
                <w:highlight w:val="none"/>
              </w:rPr>
              <w:t>在上述导流时段和导流设计流量的情况下，</w:t>
            </w:r>
            <w:r>
              <w:rPr>
                <w:rFonts w:hint="eastAsia" w:ascii="Times New Roman" w:hAnsi="宋体" w:eastAsia="宋体" w:cs="Times New Roman"/>
                <w:bCs/>
                <w:color w:val="auto"/>
                <w:sz w:val="24"/>
                <w:highlight w:val="none"/>
                <w:lang w:val="en-US" w:eastAsia="zh-CN"/>
              </w:rPr>
              <w:t>2022年</w:t>
            </w:r>
            <w:r>
              <w:rPr>
                <w:rFonts w:ascii="Times New Roman" w:hAnsi="宋体" w:eastAsia="宋体" w:cs="Times New Roman"/>
                <w:bCs/>
                <w:color w:val="auto"/>
                <w:sz w:val="24"/>
                <w:highlight w:val="none"/>
              </w:rPr>
              <w:t>10月底设一期围堰围安福堰右岸基坑，在一期围堰的保护下，于</w:t>
            </w:r>
            <w:r>
              <w:rPr>
                <w:rFonts w:hint="eastAsia" w:ascii="Times New Roman" w:hAnsi="宋体" w:eastAsia="宋体" w:cs="Times New Roman"/>
                <w:bCs/>
                <w:color w:val="auto"/>
                <w:sz w:val="24"/>
                <w:highlight w:val="none"/>
                <w:lang w:val="en-US" w:eastAsia="zh-CN"/>
              </w:rPr>
              <w:t>2022年</w:t>
            </w:r>
            <w:r>
              <w:rPr>
                <w:rFonts w:ascii="Times New Roman" w:hAnsi="宋体" w:eastAsia="宋体" w:cs="Times New Roman"/>
                <w:bCs/>
                <w:color w:val="auto"/>
                <w:sz w:val="24"/>
                <w:highlight w:val="none"/>
              </w:rPr>
              <w:t>11月至</w:t>
            </w:r>
            <w:r>
              <w:rPr>
                <w:rFonts w:hint="eastAsia" w:ascii="Times New Roman" w:hAnsi="宋体" w:eastAsia="宋体" w:cs="Times New Roman"/>
                <w:bCs/>
                <w:color w:val="auto"/>
                <w:sz w:val="24"/>
                <w:highlight w:val="none"/>
                <w:lang w:val="en-US" w:eastAsia="zh-CN"/>
              </w:rPr>
              <w:t>2023年</w:t>
            </w:r>
            <w:r>
              <w:rPr>
                <w:rFonts w:ascii="Times New Roman" w:hAnsi="宋体" w:eastAsia="宋体" w:cs="Times New Roman"/>
                <w:bCs/>
                <w:color w:val="auto"/>
                <w:sz w:val="24"/>
                <w:highlight w:val="none"/>
              </w:rPr>
              <w:t>2月进行安福堰取水口及坝右岸约57m坝段的全部主体工程施工，同时二期围堰纵向导墙在一期基坑内完成。2月底拆除一期围堰，同时填筑二期上下游围堰，在二期基坑的保护下，于</w:t>
            </w:r>
            <w:r>
              <w:rPr>
                <w:rFonts w:hint="eastAsia" w:ascii="Times New Roman" w:hAnsi="宋体" w:eastAsia="宋体" w:cs="Times New Roman"/>
                <w:bCs/>
                <w:color w:val="auto"/>
                <w:sz w:val="24"/>
                <w:highlight w:val="none"/>
                <w:lang w:val="en-US" w:eastAsia="zh-CN"/>
              </w:rPr>
              <w:t>2023</w:t>
            </w:r>
            <w:r>
              <w:rPr>
                <w:rFonts w:ascii="Times New Roman" w:hAnsi="宋体" w:eastAsia="宋体" w:cs="Times New Roman"/>
                <w:bCs/>
                <w:color w:val="auto"/>
                <w:sz w:val="24"/>
                <w:highlight w:val="none"/>
              </w:rPr>
              <w:t>年2月至3月进行安福堰左岸坝段全部未完工程的施工，4月初拆除二期围堰和导墙，整个导流任务完成。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宋体" w:eastAsia="宋体" w:cs="Times New Roman"/>
                <w:bCs/>
                <w:color w:val="auto"/>
                <w:sz w:val="24"/>
                <w:highlight w:val="none"/>
              </w:rPr>
            </w:pPr>
            <w:r>
              <w:rPr>
                <w:rFonts w:ascii="Times New Roman" w:hAnsi="宋体" w:eastAsia="宋体" w:cs="Times New Roman"/>
                <w:bCs/>
                <w:color w:val="auto"/>
                <w:sz w:val="24"/>
                <w:highlight w:val="none"/>
              </w:rPr>
              <w:t>主体工程施工期从</w:t>
            </w:r>
            <w:r>
              <w:rPr>
                <w:rFonts w:hint="eastAsia" w:ascii="Times New Roman" w:hAnsi="宋体" w:eastAsia="宋体" w:cs="Times New Roman"/>
                <w:bCs/>
                <w:color w:val="auto"/>
                <w:sz w:val="24"/>
                <w:highlight w:val="none"/>
                <w:lang w:val="en-US" w:eastAsia="zh-CN"/>
              </w:rPr>
              <w:t>2023</w:t>
            </w:r>
            <w:r>
              <w:rPr>
                <w:rFonts w:ascii="Times New Roman" w:hAnsi="宋体" w:eastAsia="宋体" w:cs="Times New Roman"/>
                <w:bCs/>
                <w:color w:val="auto"/>
                <w:sz w:val="24"/>
                <w:highlight w:val="none"/>
              </w:rPr>
              <w:t>年10月中旬开挖至</w:t>
            </w:r>
            <w:r>
              <w:rPr>
                <w:rFonts w:hint="eastAsia" w:ascii="Times New Roman" w:hAnsi="宋体" w:eastAsia="宋体" w:cs="Times New Roman"/>
                <w:bCs/>
                <w:color w:val="auto"/>
                <w:sz w:val="24"/>
                <w:highlight w:val="none"/>
                <w:lang w:val="en-US" w:eastAsia="zh-CN"/>
              </w:rPr>
              <w:t>2023</w:t>
            </w:r>
            <w:r>
              <w:rPr>
                <w:rFonts w:ascii="Times New Roman" w:hAnsi="宋体" w:eastAsia="宋体" w:cs="Times New Roman"/>
                <w:bCs/>
                <w:color w:val="auto"/>
                <w:sz w:val="24"/>
                <w:highlight w:val="none"/>
              </w:rPr>
              <w:t>年4月完成，计6.5个月。</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宋体" w:eastAsia="宋体" w:cs="Times New Roman"/>
                <w:bCs/>
                <w:color w:val="auto"/>
                <w:sz w:val="24"/>
                <w:highlight w:val="none"/>
              </w:rPr>
            </w:pPr>
            <w:r>
              <w:rPr>
                <w:rFonts w:hint="eastAsia" w:ascii="Times New Roman" w:hAnsi="宋体" w:eastAsia="宋体" w:cs="Times New Roman"/>
                <w:bCs/>
                <w:color w:val="auto"/>
                <w:sz w:val="24"/>
                <w:highlight w:val="none"/>
                <w:lang w:eastAsia="zh-CN"/>
              </w:rPr>
              <w:t>（</w:t>
            </w:r>
            <w:r>
              <w:rPr>
                <w:rFonts w:hint="eastAsia" w:ascii="Times New Roman" w:hAnsi="宋体" w:eastAsia="宋体" w:cs="Times New Roman"/>
                <w:bCs/>
                <w:color w:val="auto"/>
                <w:sz w:val="24"/>
                <w:highlight w:val="none"/>
                <w:lang w:val="en-US" w:eastAsia="zh-CN"/>
              </w:rPr>
              <w:t>3</w:t>
            </w:r>
            <w:r>
              <w:rPr>
                <w:rFonts w:hint="eastAsia" w:ascii="Times New Roman" w:hAnsi="宋体" w:eastAsia="宋体" w:cs="Times New Roman"/>
                <w:bCs/>
                <w:color w:val="auto"/>
                <w:sz w:val="24"/>
                <w:highlight w:val="none"/>
                <w:lang w:eastAsia="zh-CN"/>
              </w:rPr>
              <w:t>）</w:t>
            </w:r>
            <w:r>
              <w:rPr>
                <w:rFonts w:ascii="Times New Roman" w:hAnsi="宋体" w:eastAsia="宋体" w:cs="Times New Roman"/>
                <w:bCs/>
                <w:color w:val="auto"/>
                <w:sz w:val="24"/>
                <w:highlight w:val="none"/>
              </w:rPr>
              <w:t>工程完建期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FF"/>
                <w:kern w:val="0"/>
                <w:szCs w:val="21"/>
              </w:rPr>
            </w:pPr>
            <w:r>
              <w:rPr>
                <w:rFonts w:ascii="Times New Roman" w:hAnsi="宋体" w:eastAsia="宋体" w:cs="Times New Roman"/>
                <w:bCs/>
                <w:color w:val="auto"/>
                <w:sz w:val="24"/>
                <w:highlight w:val="none"/>
              </w:rPr>
              <w:t>完建期：计划为</w:t>
            </w:r>
            <w:r>
              <w:rPr>
                <w:rFonts w:hint="eastAsia" w:ascii="Times New Roman" w:hAnsi="宋体" w:eastAsia="宋体" w:cs="Times New Roman"/>
                <w:bCs/>
                <w:color w:val="auto"/>
                <w:sz w:val="24"/>
                <w:highlight w:val="none"/>
                <w:lang w:val="en-US" w:eastAsia="zh-CN"/>
              </w:rPr>
              <w:t>2023</w:t>
            </w:r>
            <w:r>
              <w:rPr>
                <w:rFonts w:ascii="Times New Roman" w:hAnsi="宋体" w:eastAsia="宋体" w:cs="Times New Roman"/>
                <w:bCs/>
                <w:color w:val="auto"/>
                <w:sz w:val="24"/>
                <w:highlight w:val="none"/>
              </w:rPr>
              <w:t>年5月，完成部份的尾工、清场退场、绿化、环境保护和竣工验收等项工作。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4" w:type="dxa"/>
            <w:noWrap w:val="0"/>
            <w:vAlign w:val="center"/>
          </w:tcPr>
          <w:p>
            <w:pPr>
              <w:keepNext w:val="0"/>
              <w:keepLines w:val="0"/>
              <w:pageBreakBefore w:val="0"/>
              <w:kinsoku/>
              <w:wordWrap/>
              <w:overflowPunct/>
              <w:topLinePunct w:val="0"/>
              <w:bidi w:val="0"/>
              <w:adjustRightInd w:val="0"/>
              <w:snapToGrid w:val="0"/>
              <w:spacing w:line="360" w:lineRule="auto"/>
              <w:jc w:val="center"/>
              <w:textAlignment w:val="auto"/>
              <w:rPr>
                <w:rFonts w:hint="default" w:ascii="Times New Roman" w:hAnsi="Times New Roman" w:cs="Times New Roman"/>
                <w:kern w:val="0"/>
                <w:szCs w:val="21"/>
              </w:rPr>
            </w:pPr>
            <w:r>
              <w:rPr>
                <w:rFonts w:hint="default" w:ascii="Times New Roman" w:hAnsi="Times New Roman" w:cs="Times New Roman"/>
                <w:kern w:val="0"/>
                <w:szCs w:val="21"/>
              </w:rPr>
              <w:t>其他</w:t>
            </w:r>
          </w:p>
        </w:tc>
        <w:tc>
          <w:tcPr>
            <w:tcW w:w="7670" w:type="dxa"/>
            <w:noWrap w:val="0"/>
            <w:vAlign w:val="bottom"/>
          </w:tcPr>
          <w:p>
            <w:pPr>
              <w:keepNext w:val="0"/>
              <w:keepLines w:val="0"/>
              <w:pageBreakBefore w:val="0"/>
              <w:widowControl w:val="0"/>
              <w:kinsoku/>
              <w:wordWrap/>
              <w:overflowPunct/>
              <w:topLinePunct w:val="0"/>
              <w:autoSpaceDE/>
              <w:autoSpaceDN/>
              <w:bidi w:val="0"/>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一、</w:t>
            </w:r>
            <w:r>
              <w:rPr>
                <w:rFonts w:hint="default" w:ascii="Times New Roman" w:hAnsi="Times New Roman" w:eastAsia="宋体" w:cs="Times New Roman"/>
                <w:b/>
                <w:bCs/>
                <w:color w:val="auto"/>
                <w:sz w:val="24"/>
                <w:szCs w:val="24"/>
                <w:highlight w:val="none"/>
              </w:rPr>
              <w:t>坝轴线选定</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1、坝轴线拟定</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设计拟定了上下两个坝址进行了分析比较，上坝址位于</w:t>
            </w:r>
            <w:r>
              <w:rPr>
                <w:rFonts w:hint="default" w:ascii="Times New Roman" w:hAnsi="Times New Roman" w:eastAsia="宋体" w:cs="Times New Roman"/>
                <w:color w:val="auto"/>
                <w:sz w:val="24"/>
                <w:szCs w:val="24"/>
                <w:highlight w:val="none"/>
                <w:lang w:eastAsia="zh-CN"/>
              </w:rPr>
              <w:t>原坝址</w:t>
            </w:r>
            <w:r>
              <w:rPr>
                <w:rFonts w:hint="default" w:ascii="Times New Roman" w:hAnsi="Times New Roman" w:eastAsia="宋体" w:cs="Times New Roman"/>
                <w:color w:val="auto"/>
                <w:sz w:val="24"/>
                <w:szCs w:val="24"/>
                <w:highlight w:val="none"/>
              </w:rPr>
              <w:t>上游80m恢复重建取水坝，下坝址在原坝址处垂直河道布置坝线，上下两坝址相距约80m。</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w:t>
            </w:r>
            <w:r>
              <w:rPr>
                <w:rFonts w:hint="default"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rPr>
              <w:t>根据</w:t>
            </w:r>
            <w:r>
              <w:rPr>
                <w:rFonts w:hint="default" w:ascii="Times New Roman" w:hAnsi="Times New Roman" w:eastAsia="宋体" w:cs="Times New Roman"/>
                <w:color w:val="auto"/>
                <w:spacing w:val="-2"/>
                <w:sz w:val="24"/>
                <w:szCs w:val="24"/>
                <w:highlight w:val="none"/>
              </w:rPr>
              <w:t>地形</w:t>
            </w:r>
            <w:r>
              <w:rPr>
                <w:rFonts w:hint="default" w:ascii="Times New Roman" w:hAnsi="Times New Roman" w:eastAsia="宋体" w:cs="Times New Roman"/>
                <w:color w:val="auto"/>
                <w:sz w:val="24"/>
                <w:szCs w:val="24"/>
                <w:highlight w:val="none"/>
              </w:rPr>
              <w:t>地质条件</w:t>
            </w:r>
            <w:r>
              <w:rPr>
                <w:rFonts w:hint="default" w:ascii="Times New Roman" w:hAnsi="Times New Roman" w:eastAsia="宋体" w:cs="Times New Roman"/>
                <w:color w:val="auto"/>
                <w:sz w:val="24"/>
                <w:szCs w:val="24"/>
                <w:highlight w:val="none"/>
                <w:lang w:eastAsia="zh-CN"/>
              </w:rPr>
              <w:t>在推荐的下坝址附近选择坝轴线</w:t>
            </w:r>
            <w:r>
              <w:rPr>
                <w:rFonts w:hint="default" w:ascii="Times New Roman" w:hAnsi="Times New Roman" w:eastAsia="宋体" w:cs="Times New Roman"/>
                <w:color w:val="auto"/>
                <w:sz w:val="24"/>
                <w:szCs w:val="24"/>
                <w:highlight w:val="none"/>
              </w:rPr>
              <w:t>。坝线位置见附图</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4777105" cy="2962910"/>
                  <wp:effectExtent l="0" t="0" r="4445" b="8890"/>
                  <wp:docPr id="3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3"/>
                          <pic:cNvPicPr>
                            <a:picLocks noChangeAspect="1"/>
                          </pic:cNvPicPr>
                        </pic:nvPicPr>
                        <pic:blipFill>
                          <a:blip r:embed="rId37"/>
                          <a:stretch>
                            <a:fillRect/>
                          </a:stretch>
                        </pic:blipFill>
                        <pic:spPr>
                          <a:xfrm>
                            <a:off x="0" y="0"/>
                            <a:ext cx="4777105" cy="29629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jc w:val="center"/>
              <w:textAlignment w:val="auto"/>
              <w:rPr>
                <w:rFonts w:hint="default" w:ascii="Times New Roman" w:hAnsi="Times New Roman" w:eastAsia="宋体" w:cs="Times New Roman"/>
                <w:b/>
                <w:bCs/>
                <w:color w:val="auto"/>
                <w:kern w:val="2"/>
                <w:sz w:val="21"/>
                <w:szCs w:val="21"/>
                <w:highlight w:val="none"/>
                <w:lang w:val="en-US" w:eastAsia="zh-CN" w:bidi="ar"/>
              </w:rPr>
            </w:pPr>
            <w:r>
              <w:rPr>
                <w:rFonts w:hint="default" w:ascii="Times New Roman" w:hAnsi="Times New Roman" w:eastAsia="宋体" w:cs="Times New Roman"/>
                <w:b/>
                <w:bCs/>
                <w:color w:val="auto"/>
                <w:kern w:val="2"/>
                <w:sz w:val="21"/>
                <w:szCs w:val="21"/>
                <w:highlight w:val="none"/>
                <w:lang w:val="en-US" w:eastAsia="zh-CN" w:bidi="ar"/>
              </w:rPr>
              <w:t>附图</w:t>
            </w:r>
            <w:r>
              <w:rPr>
                <w:rFonts w:hint="eastAsia" w:ascii="Times New Roman" w:hAnsi="Times New Roman" w:eastAsia="宋体" w:cs="Times New Roman"/>
                <w:b/>
                <w:bCs/>
                <w:color w:val="auto"/>
                <w:kern w:val="2"/>
                <w:sz w:val="21"/>
                <w:szCs w:val="21"/>
                <w:highlight w:val="none"/>
                <w:lang w:val="en-US" w:eastAsia="zh-CN" w:bidi="ar"/>
              </w:rPr>
              <w:t>2</w:t>
            </w:r>
            <w:r>
              <w:rPr>
                <w:rFonts w:hint="default" w:ascii="Times New Roman" w:hAnsi="Times New Roman" w:eastAsia="宋体" w:cs="Times New Roman"/>
                <w:b/>
                <w:bCs/>
                <w:color w:val="auto"/>
                <w:kern w:val="2"/>
                <w:sz w:val="21"/>
                <w:szCs w:val="21"/>
                <w:highlight w:val="none"/>
                <w:lang w:val="en-US" w:eastAsia="zh-CN" w:bidi="ar"/>
              </w:rPr>
              <w:t>-</w:t>
            </w:r>
            <w:r>
              <w:rPr>
                <w:rFonts w:hint="eastAsia" w:ascii="Times New Roman" w:hAnsi="Times New Roman" w:eastAsia="宋体" w:cs="Times New Roman"/>
                <w:b/>
                <w:bCs/>
                <w:color w:val="auto"/>
                <w:kern w:val="2"/>
                <w:sz w:val="21"/>
                <w:szCs w:val="21"/>
                <w:highlight w:val="none"/>
                <w:lang w:val="en-US" w:eastAsia="zh-CN" w:bidi="ar"/>
              </w:rPr>
              <w:t>4</w:t>
            </w:r>
            <w:r>
              <w:rPr>
                <w:rFonts w:hint="default" w:ascii="Times New Roman" w:hAnsi="Times New Roman" w:eastAsia="宋体" w:cs="Times New Roman"/>
                <w:b/>
                <w:bCs/>
                <w:color w:val="auto"/>
                <w:kern w:val="2"/>
                <w:sz w:val="21"/>
                <w:szCs w:val="21"/>
                <w:highlight w:val="none"/>
                <w:lang w:val="en-US" w:eastAsia="zh-CN" w:bidi="ar"/>
              </w:rPr>
              <w:t xml:space="preserve">    坝线位置图</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2、坝轴线方案比较</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本阶段坝线比选主要从地形地质条件、</w:t>
            </w:r>
            <w:r>
              <w:rPr>
                <w:rFonts w:hint="default" w:ascii="Times New Roman" w:hAnsi="Times New Roman" w:eastAsia="宋体" w:cs="Times New Roman"/>
                <w:color w:val="auto"/>
                <w:sz w:val="24"/>
                <w:szCs w:val="24"/>
                <w:highlight w:val="none"/>
                <w:lang w:eastAsia="zh-CN"/>
              </w:rPr>
              <w:t>安福堰</w:t>
            </w:r>
            <w:r>
              <w:rPr>
                <w:rFonts w:hint="default" w:ascii="Times New Roman" w:hAnsi="Times New Roman" w:eastAsia="宋体" w:cs="Times New Roman"/>
                <w:color w:val="auto"/>
                <w:sz w:val="24"/>
                <w:szCs w:val="24"/>
                <w:highlight w:val="none"/>
              </w:rPr>
              <w:t>条件、</w:t>
            </w:r>
            <w:r>
              <w:rPr>
                <w:rFonts w:hint="default" w:ascii="Times New Roman" w:hAnsi="Times New Roman" w:eastAsia="宋体" w:cs="Times New Roman"/>
                <w:color w:val="auto"/>
                <w:sz w:val="24"/>
                <w:szCs w:val="24"/>
                <w:highlight w:val="none"/>
                <w:lang w:eastAsia="zh-CN"/>
              </w:rPr>
              <w:t>安福堰</w:t>
            </w:r>
            <w:r>
              <w:rPr>
                <w:rFonts w:hint="default" w:ascii="Times New Roman" w:hAnsi="Times New Roman" w:eastAsia="宋体" w:cs="Times New Roman"/>
                <w:color w:val="auto"/>
                <w:sz w:val="24"/>
                <w:szCs w:val="24"/>
                <w:highlight w:val="none"/>
              </w:rPr>
              <w:t>淹没指标、工程布置条件、施工条件和经济指标等各方面对枢纽坝线方案进行比较选择，各指标详见表</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w:t>
            </w:r>
          </w:p>
          <w:p>
            <w:pPr>
              <w:pStyle w:val="89"/>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422"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表</w:t>
            </w:r>
            <w:r>
              <w:rPr>
                <w:rFonts w:hint="eastAsia"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w:t>
            </w:r>
            <w:r>
              <w:rPr>
                <w:rFonts w:hint="eastAsia"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 xml:space="preserve"> 上、下坝线主要技术经济指标比较表</w:t>
            </w:r>
          </w:p>
          <w:tbl>
            <w:tblPr>
              <w:tblStyle w:val="39"/>
              <w:tblW w:w="4998"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8"/>
              <w:gridCol w:w="1106"/>
              <w:gridCol w:w="2177"/>
              <w:gridCol w:w="21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上坝址</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下坝址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一、地形地质条件</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 河谷形状</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呈“U”型河谷</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呈“U”型河谷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 坝顶轴线总长</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120</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 枢纽</w:t>
                  </w:r>
                  <w:r>
                    <w:rPr>
                      <w:rFonts w:hint="default" w:ascii="Times New Roman" w:hAnsi="Times New Roman" w:eastAsia="宋体" w:cs="Times New Roman"/>
                      <w:color w:val="auto"/>
                      <w:sz w:val="21"/>
                      <w:szCs w:val="21"/>
                      <w:highlight w:val="none"/>
                      <w:lang w:eastAsia="zh-CN"/>
                    </w:rPr>
                    <w:t>基岩</w:t>
                  </w:r>
                  <w:r>
                    <w:rPr>
                      <w:rFonts w:hint="default" w:ascii="Times New Roman" w:hAnsi="Times New Roman" w:eastAsia="宋体" w:cs="Times New Roman"/>
                      <w:color w:val="auto"/>
                      <w:sz w:val="21"/>
                      <w:szCs w:val="21"/>
                      <w:highlight w:val="none"/>
                    </w:rPr>
                    <w:t>特性</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2887" w:type="pct"/>
                  <w:gridSpan w:val="2"/>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棕红色泥岩、紫红色砂岩、粉砂岩夹泥岩。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 覆盖层厚度</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2～6.5m</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 覆盖层特性</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2887" w:type="pct"/>
                  <w:gridSpan w:val="2"/>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冲洪积堆积层（Q</w:t>
                  </w:r>
                  <w:r>
                    <w:rPr>
                      <w:rFonts w:hint="default" w:ascii="Times New Roman" w:hAnsi="Times New Roman" w:eastAsia="宋体" w:cs="Times New Roman"/>
                      <w:color w:val="auto"/>
                      <w:sz w:val="21"/>
                      <w:szCs w:val="21"/>
                      <w:highlight w:val="none"/>
                      <w:vertAlign w:val="subscript"/>
                    </w:rPr>
                    <w:t>4</w:t>
                  </w:r>
                  <w:r>
                    <w:rPr>
                      <w:rFonts w:hint="default" w:ascii="Times New Roman" w:hAnsi="Times New Roman" w:eastAsia="宋体" w:cs="Times New Roman"/>
                      <w:color w:val="auto"/>
                      <w:sz w:val="21"/>
                      <w:szCs w:val="21"/>
                      <w:highlight w:val="none"/>
                      <w:vertAlign w:val="superscript"/>
                    </w:rPr>
                    <w:t>al+pl</w:t>
                  </w:r>
                  <w:r>
                    <w:rPr>
                      <w:rFonts w:hint="default" w:ascii="Times New Roman" w:hAnsi="Times New Roman" w:eastAsia="宋体" w:cs="Times New Roman"/>
                      <w:color w:val="auto"/>
                      <w:sz w:val="21"/>
                      <w:szCs w:val="21"/>
                      <w:highlight w:val="none"/>
                    </w:rPr>
                    <w:t>）的粉质粘土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w:t>
                  </w:r>
                  <w:r>
                    <w:rPr>
                      <w:rFonts w:hint="default" w:ascii="Times New Roman" w:hAnsi="Times New Roman" w:eastAsia="宋体" w:cs="Times New Roman"/>
                      <w:color w:val="auto"/>
                      <w:sz w:val="21"/>
                      <w:szCs w:val="21"/>
                      <w:highlight w:val="none"/>
                      <w:lang w:eastAsia="zh-CN"/>
                    </w:rPr>
                    <w:t>安福堰</w:t>
                  </w:r>
                  <w:r>
                    <w:rPr>
                      <w:rFonts w:hint="default" w:ascii="Times New Roman" w:hAnsi="Times New Roman" w:eastAsia="宋体" w:cs="Times New Roman"/>
                      <w:color w:val="auto"/>
                      <w:sz w:val="21"/>
                      <w:szCs w:val="21"/>
                      <w:highlight w:val="none"/>
                    </w:rPr>
                    <w:t>条件</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 正常蓄水位</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371.</w:t>
                  </w: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0</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371.</w:t>
                  </w:r>
                  <w:r>
                    <w:rPr>
                      <w:rFonts w:hint="default" w:ascii="Times New Roman" w:hAnsi="Times New Roman" w:eastAsia="宋体" w:cs="Times New Roman"/>
                      <w:color w:val="auto"/>
                      <w:sz w:val="21"/>
                      <w:szCs w:val="21"/>
                      <w:highlight w:val="none"/>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 正常水位库容</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万m</w:t>
                  </w:r>
                  <w:r>
                    <w:rPr>
                      <w:rFonts w:hint="default" w:ascii="Times New Roman" w:hAnsi="Times New Roman" w:eastAsia="宋体" w:cs="Times New Roman"/>
                      <w:color w:val="auto"/>
                      <w:sz w:val="21"/>
                      <w:szCs w:val="21"/>
                      <w:highlight w:val="none"/>
                      <w:vertAlign w:val="superscript"/>
                    </w:rPr>
                    <w:t>3</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18.</w:t>
                  </w:r>
                  <w:r>
                    <w:rPr>
                      <w:rFonts w:hint="default" w:ascii="Times New Roman" w:hAnsi="Times New Roman" w:eastAsia="宋体" w:cs="Times New Roman"/>
                      <w:color w:val="auto"/>
                      <w:sz w:val="21"/>
                      <w:szCs w:val="21"/>
                      <w:highlight w:val="none"/>
                      <w:lang w:val="en-US" w:eastAsia="zh-CN"/>
                    </w:rPr>
                    <w:t>2</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3死水位</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370.7</w:t>
                  </w:r>
                  <w:r>
                    <w:rPr>
                      <w:rFonts w:hint="default" w:ascii="Times New Roman" w:hAnsi="Times New Roman" w:eastAsia="宋体" w:cs="Times New Roman"/>
                      <w:color w:val="auto"/>
                      <w:sz w:val="21"/>
                      <w:szCs w:val="21"/>
                      <w:highlight w:val="none"/>
                      <w:lang w:val="en-US" w:eastAsia="zh-CN"/>
                    </w:rPr>
                    <w:t>0</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370.70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 死库容</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万m</w:t>
                  </w:r>
                  <w:r>
                    <w:rPr>
                      <w:rFonts w:hint="default" w:ascii="Times New Roman" w:hAnsi="Times New Roman" w:eastAsia="宋体" w:cs="Times New Roman"/>
                      <w:color w:val="auto"/>
                      <w:sz w:val="21"/>
                      <w:szCs w:val="21"/>
                      <w:highlight w:val="none"/>
                      <w:vertAlign w:val="superscript"/>
                    </w:rPr>
                    <w:t>3</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6校核洪水位</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374.62</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374.62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7总库容</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万m</w:t>
                  </w:r>
                  <w:r>
                    <w:rPr>
                      <w:rFonts w:hint="default" w:ascii="Times New Roman" w:hAnsi="Times New Roman" w:eastAsia="宋体" w:cs="Times New Roman"/>
                      <w:color w:val="auto"/>
                      <w:sz w:val="21"/>
                      <w:szCs w:val="21"/>
                      <w:highlight w:val="none"/>
                      <w:vertAlign w:val="superscript"/>
                    </w:rPr>
                    <w:t>3</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89.8</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9</w:t>
                  </w:r>
                  <w:r>
                    <w:rPr>
                      <w:rFonts w:hint="default" w:ascii="Times New Roman" w:hAnsi="Times New Roman" w:eastAsia="宋体" w:cs="Times New Roman"/>
                      <w:color w:val="auto"/>
                      <w:sz w:val="21"/>
                      <w:szCs w:val="21"/>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三、枢纽建筑物</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1坝顶轴线长</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120</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130.828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2最大坝高</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4.7</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27"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3工程布置</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坝线河道转弯段</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坝线下游有一段顺直河段，有利于泄洪消能建筑布置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四、</w:t>
                  </w:r>
                  <w:r>
                    <w:rPr>
                      <w:rFonts w:hint="default" w:ascii="Times New Roman" w:hAnsi="Times New Roman" w:eastAsia="宋体" w:cs="Times New Roman"/>
                      <w:color w:val="auto"/>
                      <w:sz w:val="21"/>
                      <w:szCs w:val="21"/>
                      <w:highlight w:val="none"/>
                      <w:lang w:eastAsia="zh-CN"/>
                    </w:rPr>
                    <w:t>安福堰</w:t>
                  </w:r>
                  <w:r>
                    <w:rPr>
                      <w:rFonts w:hint="default" w:ascii="Times New Roman" w:hAnsi="Times New Roman" w:eastAsia="宋体" w:cs="Times New Roman"/>
                      <w:color w:val="auto"/>
                      <w:sz w:val="21"/>
                      <w:szCs w:val="21"/>
                      <w:highlight w:val="none"/>
                    </w:rPr>
                    <w:t>淹没及征占地</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2征地面积</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亩</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48.2</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48.91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3搬迁人口</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0</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4移民征地费用</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万元</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14.0</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五施工条件</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1施工导流</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可分期导流</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可分期导流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1572"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2施工交通</w:t>
                  </w:r>
                </w:p>
              </w:tc>
              <w:tc>
                <w:tcPr>
                  <w:tcW w:w="540"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离场外砼路近</w:t>
                  </w:r>
                </w:p>
              </w:tc>
              <w:tc>
                <w:tcPr>
                  <w:tcW w:w="1443" w:type="pct"/>
                  <w:tcBorders>
                    <w:tl2br w:val="nil"/>
                    <w:tr2bl w:val="nil"/>
                  </w:tcBorders>
                  <w:noWrap w:val="0"/>
                  <w:vAlign w:val="center"/>
                </w:tcPr>
                <w:p>
                  <w:pPr>
                    <w:pStyle w:val="90"/>
                    <w:keepNext w:val="0"/>
                    <w:keepLines w:val="0"/>
                    <w:pageBreakBefore w:val="0"/>
                    <w:widowControl w:val="0"/>
                    <w:kinsoku/>
                    <w:wordWrap/>
                    <w:overflowPunct/>
                    <w:topLinePunct w:val="0"/>
                    <w:autoSpaceDE/>
                    <w:autoSpaceDN/>
                    <w:bidi w:val="0"/>
                    <w:spacing w:beforeLines="0" w:afterLines="0"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离场外砼路近</w:t>
                  </w:r>
                </w:p>
              </w:tc>
            </w:tr>
          </w:tbl>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由表</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可知，两坝线均具建低坝的工程地质条件，不存在建坝成库的地质制约因素。从工程地质</w:t>
            </w:r>
            <w:r>
              <w:rPr>
                <w:rFonts w:hint="default" w:ascii="Times New Roman" w:hAnsi="Times New Roman" w:eastAsia="宋体" w:cs="Times New Roman"/>
                <w:color w:val="auto"/>
                <w:spacing w:val="-2"/>
                <w:sz w:val="24"/>
                <w:szCs w:val="24"/>
                <w:highlight w:val="none"/>
              </w:rPr>
              <w:t>条件</w:t>
            </w:r>
            <w:r>
              <w:rPr>
                <w:rFonts w:hint="default" w:ascii="Times New Roman" w:hAnsi="Times New Roman" w:eastAsia="宋体" w:cs="Times New Roman"/>
                <w:color w:val="auto"/>
                <w:sz w:val="24"/>
                <w:szCs w:val="24"/>
                <w:highlight w:val="none"/>
              </w:rPr>
              <w:t>而言，上下坝线基本相同，地形条件</w:t>
            </w:r>
            <w:r>
              <w:rPr>
                <w:rFonts w:hint="default" w:ascii="Times New Roman" w:hAnsi="Times New Roman" w:eastAsia="宋体"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rPr>
              <w:t>坝线优于</w:t>
            </w:r>
            <w:r>
              <w:rPr>
                <w:rFonts w:hint="default" w:ascii="Times New Roman" w:hAnsi="Times New Roman" w:eastAsia="宋体" w:cs="Times New Roman"/>
                <w:color w:val="auto"/>
                <w:sz w:val="24"/>
                <w:szCs w:val="24"/>
                <w:highlight w:val="none"/>
                <w:lang w:val="en-US" w:eastAsia="zh-CN"/>
              </w:rPr>
              <w:t>上</w:t>
            </w:r>
            <w:r>
              <w:rPr>
                <w:rFonts w:hint="default" w:ascii="Times New Roman" w:hAnsi="Times New Roman" w:eastAsia="宋体" w:cs="Times New Roman"/>
                <w:color w:val="auto"/>
                <w:sz w:val="24"/>
                <w:szCs w:val="24"/>
                <w:highlight w:val="none"/>
              </w:rPr>
              <w:t>坝线。</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从工程布置合理性上，</w:t>
            </w:r>
            <w:r>
              <w:rPr>
                <w:rFonts w:hint="default" w:ascii="Times New Roman" w:hAnsi="Times New Roman" w:eastAsia="宋体" w:cs="Times New Roman"/>
                <w:color w:val="auto"/>
                <w:sz w:val="24"/>
                <w:szCs w:val="24"/>
                <w:highlight w:val="none"/>
                <w:lang w:val="en-US" w:eastAsia="zh-CN"/>
              </w:rPr>
              <w:t>上</w:t>
            </w:r>
            <w:r>
              <w:rPr>
                <w:rFonts w:hint="default" w:ascii="Times New Roman" w:hAnsi="Times New Roman" w:eastAsia="宋体" w:cs="Times New Roman"/>
                <w:color w:val="auto"/>
                <w:sz w:val="24"/>
                <w:szCs w:val="24"/>
                <w:highlight w:val="none"/>
              </w:rPr>
              <w:t>坝线位于</w:t>
            </w:r>
            <w:r>
              <w:rPr>
                <w:rFonts w:hint="default" w:ascii="Times New Roman" w:hAnsi="Times New Roman" w:eastAsia="宋体" w:cs="Times New Roman"/>
                <w:color w:val="auto"/>
                <w:spacing w:val="-2"/>
                <w:sz w:val="24"/>
                <w:szCs w:val="24"/>
                <w:highlight w:val="none"/>
              </w:rPr>
              <w:t>河道</w:t>
            </w:r>
            <w:r>
              <w:rPr>
                <w:rFonts w:hint="default" w:ascii="Times New Roman" w:hAnsi="Times New Roman" w:eastAsia="宋体" w:cs="Times New Roman"/>
                <w:color w:val="auto"/>
                <w:sz w:val="24"/>
                <w:szCs w:val="24"/>
                <w:highlight w:val="none"/>
              </w:rPr>
              <w:t>弯段，不利于下游消能建筑物的布置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rPr>
              <w:t>坝线下游有一段顺直河段，有利于泄洪消能建筑布置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且河道宽度较大，有利于布置安福堰取水口。</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两坝线相距约80m，</w:t>
            </w:r>
            <w:r>
              <w:rPr>
                <w:rFonts w:hint="default" w:ascii="Times New Roman" w:hAnsi="Times New Roman" w:eastAsia="宋体" w:cs="Times New Roman"/>
                <w:color w:val="auto"/>
                <w:spacing w:val="-2"/>
                <w:sz w:val="24"/>
                <w:szCs w:val="24"/>
                <w:highlight w:val="none"/>
              </w:rPr>
              <w:t>区间</w:t>
            </w:r>
            <w:r>
              <w:rPr>
                <w:rFonts w:hint="default" w:ascii="Times New Roman" w:hAnsi="Times New Roman" w:eastAsia="宋体" w:cs="Times New Roman"/>
                <w:color w:val="auto"/>
                <w:sz w:val="24"/>
                <w:szCs w:val="24"/>
                <w:highlight w:val="none"/>
              </w:rPr>
              <w:t>无较大支沟汇入，上下坝线集雨面积基本相当，来水情况基本相当。</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工程建筑布置上坝线坝顶轴线长度120m，最大坝高</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m；下坝线坝顶轴线长度</w:t>
            </w:r>
            <w:r>
              <w:rPr>
                <w:rFonts w:hint="default" w:ascii="Times New Roman" w:hAnsi="Times New Roman" w:eastAsia="宋体" w:cs="Times New Roman"/>
                <w:color w:val="auto"/>
                <w:sz w:val="24"/>
                <w:szCs w:val="24"/>
                <w:highlight w:val="none"/>
                <w:lang w:val="en-US" w:eastAsia="zh-CN"/>
              </w:rPr>
              <w:t>130.828</w:t>
            </w:r>
            <w:r>
              <w:rPr>
                <w:rFonts w:hint="default" w:ascii="Times New Roman" w:hAnsi="Times New Roman" w:eastAsia="宋体" w:cs="Times New Roman"/>
                <w:color w:val="auto"/>
                <w:sz w:val="24"/>
                <w:szCs w:val="24"/>
                <w:highlight w:val="none"/>
              </w:rPr>
              <w:t>m，最大坝高</w:t>
            </w:r>
            <w:r>
              <w:rPr>
                <w:rFonts w:hint="default" w:ascii="Times New Roman" w:hAnsi="Times New Roman" w:eastAsia="宋体" w:cs="Times New Roman"/>
                <w:color w:val="auto"/>
                <w:sz w:val="24"/>
                <w:szCs w:val="24"/>
                <w:highlight w:val="none"/>
                <w:lang w:val="en-US" w:eastAsia="zh-CN"/>
              </w:rPr>
              <w:t>4.7</w:t>
            </w:r>
            <w:r>
              <w:rPr>
                <w:rFonts w:hint="default" w:ascii="Times New Roman" w:hAnsi="Times New Roman" w:eastAsia="宋体" w:cs="Times New Roman"/>
                <w:color w:val="auto"/>
                <w:sz w:val="24"/>
                <w:szCs w:val="24"/>
                <w:highlight w:val="none"/>
              </w:rPr>
              <w:t>m，工程枢纽投资上坝线要少于下坝线。</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交通条件上下坝线相当。上、下坝线河段地形地质条件相当，施工导流工程的方式，施工场地条件以及风、水、电供应条件基本相当。</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b/>
                <w:bCs/>
                <w:i w:val="0"/>
                <w:iCs w:val="0"/>
                <w:color w:val="auto"/>
                <w:sz w:val="24"/>
                <w:szCs w:val="24"/>
                <w:highlight w:val="none"/>
              </w:rPr>
            </w:pPr>
            <w:r>
              <w:rPr>
                <w:rFonts w:hint="default" w:ascii="Times New Roman" w:hAnsi="Times New Roman" w:eastAsia="宋体" w:cs="Times New Roman"/>
                <w:color w:val="auto"/>
                <w:sz w:val="24"/>
                <w:szCs w:val="24"/>
                <w:highlight w:val="none"/>
              </w:rPr>
              <w:t>经综合分析比较，上、下坝线均具备建坝条件；枢纽工程布置条件下坝线优</w:t>
            </w:r>
            <w:r>
              <w:rPr>
                <w:rFonts w:hint="default" w:ascii="Times New Roman" w:hAnsi="Times New Roman" w:eastAsia="宋体" w:cs="Times New Roman"/>
                <w:color w:val="auto"/>
                <w:sz w:val="24"/>
                <w:szCs w:val="24"/>
                <w:highlight w:val="none"/>
                <w:lang w:val="en-US" w:eastAsia="zh-CN"/>
              </w:rPr>
              <w:t>于上坝线</w:t>
            </w:r>
            <w:r>
              <w:rPr>
                <w:rFonts w:hint="default" w:ascii="Times New Roman" w:hAnsi="Times New Roman" w:eastAsia="宋体" w:cs="Times New Roman"/>
                <w:color w:val="auto"/>
                <w:sz w:val="24"/>
                <w:szCs w:val="24"/>
                <w:highlight w:val="none"/>
              </w:rPr>
              <w:t>；建坝条件上下坝线相当；来水与</w:t>
            </w:r>
            <w:r>
              <w:rPr>
                <w:rFonts w:hint="default" w:ascii="Times New Roman" w:hAnsi="Times New Roman" w:eastAsia="宋体" w:cs="Times New Roman"/>
                <w:color w:val="auto"/>
                <w:sz w:val="24"/>
                <w:szCs w:val="24"/>
                <w:highlight w:val="none"/>
                <w:lang w:eastAsia="zh-CN"/>
              </w:rPr>
              <w:t>安福堰</w:t>
            </w:r>
            <w:r>
              <w:rPr>
                <w:rFonts w:hint="default" w:ascii="Times New Roman" w:hAnsi="Times New Roman" w:eastAsia="宋体" w:cs="Times New Roman"/>
                <w:color w:val="auto"/>
                <w:sz w:val="24"/>
                <w:szCs w:val="24"/>
                <w:highlight w:val="none"/>
              </w:rPr>
              <w:t>条件上下坝线相当；</w:t>
            </w:r>
            <w:r>
              <w:rPr>
                <w:rFonts w:hint="default" w:ascii="Times New Roman" w:hAnsi="Times New Roman" w:eastAsia="宋体" w:cs="Times New Roman"/>
                <w:color w:val="auto"/>
                <w:sz w:val="24"/>
                <w:szCs w:val="24"/>
                <w:highlight w:val="none"/>
                <w:lang w:eastAsia="zh-CN"/>
              </w:rPr>
              <w:t>安福堰</w:t>
            </w:r>
            <w:r>
              <w:rPr>
                <w:rFonts w:hint="default" w:ascii="Times New Roman" w:hAnsi="Times New Roman" w:eastAsia="宋体" w:cs="Times New Roman"/>
                <w:color w:val="auto"/>
                <w:sz w:val="24"/>
                <w:szCs w:val="24"/>
                <w:highlight w:val="none"/>
              </w:rPr>
              <w:t>淹没及占地投资</w:t>
            </w:r>
            <w:r>
              <w:rPr>
                <w:rFonts w:hint="default" w:ascii="Times New Roman" w:hAnsi="Times New Roman" w:eastAsia="宋体" w:cs="Times New Roman"/>
                <w:color w:val="auto"/>
                <w:sz w:val="24"/>
                <w:szCs w:val="24"/>
                <w:highlight w:val="none"/>
                <w:lang w:eastAsia="zh-CN"/>
              </w:rPr>
              <w:t>上</w:t>
            </w:r>
            <w:r>
              <w:rPr>
                <w:rFonts w:hint="default" w:ascii="Times New Roman" w:hAnsi="Times New Roman" w:eastAsia="宋体" w:cs="Times New Roman"/>
                <w:color w:val="auto"/>
                <w:sz w:val="24"/>
                <w:szCs w:val="24"/>
                <w:highlight w:val="none"/>
              </w:rPr>
              <w:t>下坝线优</w:t>
            </w:r>
            <w:r>
              <w:rPr>
                <w:rFonts w:hint="default" w:ascii="Times New Roman" w:hAnsi="Times New Roman" w:eastAsia="宋体" w:cs="Times New Roman"/>
                <w:color w:val="auto"/>
                <w:sz w:val="24"/>
                <w:szCs w:val="24"/>
                <w:highlight w:val="none"/>
                <w:lang w:eastAsia="zh-CN"/>
              </w:rPr>
              <w:t>相当</w:t>
            </w:r>
            <w:r>
              <w:rPr>
                <w:rFonts w:hint="default" w:ascii="Times New Roman" w:hAnsi="Times New Roman" w:eastAsia="宋体" w:cs="Times New Roman"/>
                <w:color w:val="auto"/>
                <w:sz w:val="24"/>
                <w:szCs w:val="24"/>
                <w:highlight w:val="none"/>
              </w:rPr>
              <w:t>；施工交通条件上下坝线相当，施工导流条件相当，综合分析下坝线优，</w:t>
            </w:r>
            <w:r>
              <w:rPr>
                <w:rFonts w:hint="default" w:ascii="Times New Roman" w:hAnsi="Times New Roman" w:eastAsia="宋体" w:cs="Times New Roman"/>
                <w:b/>
                <w:bCs/>
                <w:i w:val="0"/>
                <w:iCs w:val="0"/>
                <w:color w:val="auto"/>
                <w:sz w:val="24"/>
                <w:szCs w:val="24"/>
                <w:highlight w:val="none"/>
              </w:rPr>
              <w:t>因此，本阶段推荐下坝线方案。</w:t>
            </w:r>
          </w:p>
          <w:p>
            <w:pPr>
              <w:keepNext w:val="0"/>
              <w:keepLines w:val="0"/>
              <w:pageBreakBefore w:val="0"/>
              <w:widowControl w:val="0"/>
              <w:numPr>
                <w:ilvl w:val="0"/>
                <w:numId w:val="11"/>
              </w:numPr>
              <w:kinsoku/>
              <w:wordWrap/>
              <w:overflowPunct/>
              <w:topLinePunct w:val="0"/>
              <w:autoSpaceDE/>
              <w:autoSpaceDN/>
              <w:bidi w:val="0"/>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坝型选定</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根据地质勘探表明，工程区无建当地材料坝的条件，且因地形平坦及征地困难等限制，无法提供单独排洪位置，只能选先坝顶溢洪的刚性坝。原安福堰在设计洪水20年一遇工况下，洪水水位已达到右岸一级阶地，因此本次大坝坝顶高程不能高于原安福堰高程，为了达到枯期挡水，汛期安全行洪的要求，经多方案比较，推荐选用汛期可全部倒伏的气盾坝方案。</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p>
          <w:p>
            <w:pPr>
              <w:pStyle w:val="2"/>
              <w:rPr>
                <w:rFonts w:hint="default" w:ascii="Times New Roman" w:hAnsi="Times New Roman" w:eastAsia="宋体" w:cs="Times New Roman"/>
                <w:color w:val="auto"/>
                <w:sz w:val="24"/>
                <w:szCs w:val="24"/>
                <w:highlight w:val="none"/>
                <w:lang w:val="en-US" w:eastAsia="zh-CN"/>
              </w:rPr>
            </w:pPr>
          </w:p>
          <w:p>
            <w:pPr>
              <w:pStyle w:val="2"/>
              <w:rPr>
                <w:rFonts w:hint="default" w:ascii="Times New Roman" w:hAnsi="Times New Roman" w:eastAsia="宋体" w:cs="Times New Roman"/>
                <w:color w:val="auto"/>
                <w:sz w:val="24"/>
                <w:szCs w:val="24"/>
                <w:highlight w:val="none"/>
                <w:lang w:val="en-US" w:eastAsia="zh-CN"/>
              </w:rPr>
            </w:pPr>
          </w:p>
          <w:p>
            <w:pPr>
              <w:pStyle w:val="2"/>
              <w:rPr>
                <w:rFonts w:hint="default" w:ascii="Times New Roman" w:hAnsi="Times New Roman" w:eastAsia="宋体" w:cs="Times New Roman"/>
                <w:color w:val="auto"/>
                <w:sz w:val="24"/>
                <w:szCs w:val="24"/>
                <w:highlight w:val="none"/>
                <w:lang w:val="en-US" w:eastAsia="zh-CN"/>
              </w:rPr>
            </w:pPr>
          </w:p>
          <w:p>
            <w:pPr>
              <w:pStyle w:val="2"/>
              <w:rPr>
                <w:rFonts w:hint="default" w:ascii="Times New Roman" w:hAnsi="Times New Roman" w:eastAsia="宋体" w:cs="Times New Roman"/>
                <w:color w:val="auto"/>
                <w:sz w:val="24"/>
                <w:szCs w:val="24"/>
                <w:highlight w:val="none"/>
                <w:lang w:val="en-US" w:eastAsia="zh-CN"/>
              </w:rPr>
            </w:pPr>
          </w:p>
          <w:p>
            <w:pPr>
              <w:pStyle w:val="2"/>
              <w:rPr>
                <w:rFonts w:hint="default" w:ascii="Times New Roman" w:hAnsi="Times New Roman" w:eastAsia="宋体" w:cs="Times New Roman"/>
                <w:color w:val="auto"/>
                <w:sz w:val="24"/>
                <w:szCs w:val="24"/>
                <w:highlight w:val="none"/>
                <w:lang w:val="en-US" w:eastAsia="zh-CN"/>
              </w:rPr>
            </w:pPr>
          </w:p>
          <w:p>
            <w:pPr>
              <w:pStyle w:val="2"/>
              <w:rPr>
                <w:rFonts w:hint="default" w:ascii="Times New Roman" w:hAnsi="Times New Roman" w:eastAsia="宋体" w:cs="Times New Roman"/>
                <w:color w:val="auto"/>
                <w:sz w:val="24"/>
                <w:szCs w:val="24"/>
                <w:highlight w:val="none"/>
                <w:lang w:val="en-US" w:eastAsia="zh-CN"/>
              </w:rPr>
            </w:pPr>
          </w:p>
          <w:p>
            <w:pPr>
              <w:pStyle w:val="2"/>
              <w:rPr>
                <w:rFonts w:hint="default" w:ascii="Times New Roman" w:hAnsi="Times New Roman" w:eastAsia="宋体" w:cs="Times New Roman"/>
                <w:color w:val="auto"/>
                <w:sz w:val="24"/>
                <w:szCs w:val="24"/>
                <w:highlight w:val="none"/>
                <w:lang w:val="en-US" w:eastAsia="zh-CN"/>
              </w:rPr>
            </w:pPr>
          </w:p>
          <w:p>
            <w:pPr>
              <w:pStyle w:val="2"/>
              <w:rPr>
                <w:rFonts w:hint="default" w:ascii="Times New Roman" w:hAnsi="Times New Roman" w:eastAsia="宋体" w:cs="Times New Roman"/>
                <w:color w:val="auto"/>
                <w:sz w:val="24"/>
                <w:szCs w:val="24"/>
                <w:highlight w:val="none"/>
                <w:lang w:val="en-US" w:eastAsia="zh-CN"/>
              </w:rPr>
            </w:pPr>
          </w:p>
          <w:p>
            <w:pPr>
              <w:pStyle w:val="2"/>
              <w:rPr>
                <w:rFonts w:hint="default" w:ascii="Times New Roman" w:hAnsi="Times New Roman" w:eastAsia="宋体" w:cs="Times New Roman"/>
                <w:color w:val="auto"/>
                <w:sz w:val="24"/>
                <w:szCs w:val="24"/>
                <w:highlight w:val="none"/>
                <w:lang w:val="en-US" w:eastAsia="zh-CN"/>
              </w:rPr>
            </w:pPr>
          </w:p>
          <w:p>
            <w:pPr>
              <w:pStyle w:val="2"/>
              <w:rPr>
                <w:rFonts w:hint="default" w:ascii="Times New Roman" w:hAnsi="Times New Roman" w:eastAsia="宋体" w:cs="Times New Roman"/>
                <w:color w:val="auto"/>
                <w:sz w:val="24"/>
                <w:szCs w:val="24"/>
                <w:highlight w:val="none"/>
                <w:lang w:val="en-US" w:eastAsia="zh-CN"/>
              </w:rPr>
            </w:pPr>
          </w:p>
          <w:p>
            <w:pPr>
              <w:pStyle w:val="2"/>
              <w:rPr>
                <w:rFonts w:hint="default" w:ascii="Times New Roman" w:hAnsi="Times New Roman" w:eastAsia="宋体" w:cs="Times New Roman"/>
                <w:color w:val="auto"/>
                <w:sz w:val="24"/>
                <w:szCs w:val="24"/>
                <w:highlight w:val="none"/>
                <w:lang w:val="en-US" w:eastAsia="zh-CN"/>
              </w:rPr>
            </w:pPr>
          </w:p>
          <w:p>
            <w:pPr>
              <w:pStyle w:val="2"/>
              <w:rPr>
                <w:rFonts w:hint="default" w:ascii="Times New Roman" w:hAnsi="Times New Roman" w:eastAsia="宋体" w:cs="Times New Roman"/>
                <w:color w:val="auto"/>
                <w:sz w:val="24"/>
                <w:szCs w:val="24"/>
                <w:highlight w:val="none"/>
                <w:lang w:val="en-US" w:eastAsia="zh-CN"/>
              </w:rPr>
            </w:pPr>
          </w:p>
          <w:p>
            <w:pPr>
              <w:pStyle w:val="2"/>
              <w:rPr>
                <w:rFonts w:hint="default" w:ascii="Times New Roman" w:hAnsi="Times New Roman" w:eastAsia="宋体" w:cs="Times New Roman"/>
                <w:color w:val="auto"/>
                <w:sz w:val="24"/>
                <w:szCs w:val="24"/>
                <w:highlight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FF"/>
                <w:kern w:val="0"/>
                <w:szCs w:val="21"/>
                <w:lang w:eastAsia="zh-CN"/>
              </w:rPr>
            </w:pPr>
          </w:p>
        </w:tc>
      </w:tr>
    </w:tbl>
    <w:p>
      <w:pPr>
        <w:pStyle w:val="34"/>
        <w:keepNext w:val="0"/>
        <w:keepLines w:val="0"/>
        <w:pageBreakBefore w:val="0"/>
        <w:kinsoku/>
        <w:wordWrap/>
        <w:overflowPunct/>
        <w:topLinePunct w:val="0"/>
        <w:bidi w:val="0"/>
        <w:adjustRightInd w:val="0"/>
        <w:snapToGrid w:val="0"/>
        <w:jc w:val="center"/>
        <w:textAlignment w:val="auto"/>
        <w:outlineLvl w:val="0"/>
        <w:rPr>
          <w:rFonts w:hint="default" w:ascii="Times New Roman" w:hAnsi="Times New Roman" w:eastAsia="黑体" w:cs="Times New Roman"/>
          <w:snapToGrid w:val="0"/>
          <w:sz w:val="30"/>
          <w:szCs w:val="30"/>
        </w:rPr>
      </w:pPr>
      <w:r>
        <w:rPr>
          <w:rFonts w:hint="default" w:ascii="Times New Roman" w:hAnsi="Times New Roman" w:eastAsia="仿宋_GB2312" w:cs="Times New Roman"/>
          <w:b/>
          <w:bCs/>
        </w:rPr>
        <w:br w:type="page"/>
      </w:r>
      <w:r>
        <w:rPr>
          <w:rFonts w:hint="default" w:ascii="Times New Roman" w:hAnsi="Times New Roman" w:eastAsia="黑体" w:cs="Times New Roman"/>
          <w:snapToGrid w:val="0"/>
          <w:sz w:val="30"/>
          <w:szCs w:val="30"/>
        </w:rPr>
        <w:t>三、生态环境现状、保护目标及评价标准</w:t>
      </w:r>
    </w:p>
    <w:tbl>
      <w:tblPr>
        <w:tblStyle w:val="39"/>
        <w:tblW w:w="850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806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1"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kern w:val="0"/>
                <w:szCs w:val="21"/>
              </w:rPr>
            </w:pPr>
            <w:r>
              <w:rPr>
                <w:rFonts w:hint="default" w:ascii="Times New Roman" w:hAnsi="Times New Roman" w:cs="Times New Roman"/>
                <w:kern w:val="0"/>
                <w:szCs w:val="21"/>
              </w:rPr>
              <w:t>生态环境现状</w:t>
            </w:r>
          </w:p>
        </w:tc>
        <w:tc>
          <w:tcPr>
            <w:tcW w:w="7663"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center"/>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、生态环境质量</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（1）主体功能区规划和生态功能区划情况</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0000FF"/>
                <w:kern w:val="0"/>
                <w:szCs w:val="21"/>
              </w:rPr>
            </w:pPr>
            <w:r>
              <w:rPr>
                <w:rFonts w:hint="default" w:ascii="Times New Roman" w:hAnsi="Times New Roman" w:eastAsia="宋体" w:cs="Times New Roman"/>
                <w:b w:val="0"/>
                <w:bCs w:val="0"/>
                <w:color w:val="auto"/>
                <w:sz w:val="24"/>
                <w:szCs w:val="24"/>
                <w:lang w:val="en-US" w:eastAsia="zh-CN"/>
              </w:rPr>
              <w:t>本项目位于</w:t>
            </w:r>
            <w:r>
              <w:rPr>
                <w:sz w:val="24"/>
              </w:rPr>
              <w:t>乐山市</w:t>
            </w:r>
            <w:r>
              <w:rPr>
                <w:rFonts w:hint="eastAsia"/>
                <w:sz w:val="24"/>
                <w:lang w:eastAsia="zh-CN"/>
              </w:rPr>
              <w:t>市中区</w:t>
            </w:r>
            <w:r>
              <w:rPr>
                <w:rFonts w:hint="eastAsia"/>
                <w:sz w:val="24"/>
                <w:lang w:val="en-US" w:eastAsia="zh-CN"/>
              </w:rPr>
              <w:t>苏稽镇</w:t>
            </w:r>
            <w:r>
              <w:rPr>
                <w:rFonts w:hint="default" w:ascii="Times New Roman" w:hAnsi="Times New Roman" w:eastAsia="宋体" w:cs="Times New Roman"/>
                <w:color w:val="auto"/>
                <w:kern w:val="21"/>
                <w:sz w:val="24"/>
                <w:szCs w:val="24"/>
                <w:lang w:eastAsia="zh-CN"/>
              </w:rPr>
              <w:t>，</w:t>
            </w:r>
            <w:r>
              <w:rPr>
                <w:rFonts w:hint="default" w:ascii="Times New Roman" w:hAnsi="Times New Roman" w:eastAsia="宋体" w:cs="Times New Roman"/>
                <w:color w:val="auto"/>
                <w:kern w:val="21"/>
                <w:sz w:val="24"/>
                <w:szCs w:val="24"/>
                <w:lang w:val="en-US" w:eastAsia="zh-CN"/>
              </w:rPr>
              <w:t>根据《四川省生态功能区划》，本项目所在区域属四川盆地亚热带湿润气候生态区，生态功能区属Ⅰ1-3，即盆北秦巴山地常绿阔叶林-针阔混交林生态亚区生态功能区。四川省生态功能区划见图3-1。</w:t>
            </w:r>
          </w:p>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default" w:ascii="Times New Roman" w:hAnsi="Times New Roman" w:eastAsia="宋体" w:cs="Times New Roman"/>
                <w:color w:val="0000FF"/>
                <w:kern w:val="0"/>
                <w:szCs w:val="21"/>
                <w:lang w:eastAsia="zh-CN"/>
              </w:rPr>
            </w:pPr>
            <w:r>
              <w:rPr>
                <w:rFonts w:hint="default" w:ascii="Times New Roman" w:hAnsi="Times New Roman" w:cs="Times New Roman"/>
                <w:color w:val="auto"/>
                <w:spacing w:val="0"/>
                <w:sz w:val="24"/>
              </w:rPr>
              <mc:AlternateContent>
                <mc:Choice Requires="wps">
                  <w:drawing>
                    <wp:anchor distT="0" distB="0" distL="114300" distR="114300" simplePos="0" relativeHeight="251660288" behindDoc="0" locked="0" layoutInCell="1" allowOverlap="1">
                      <wp:simplePos x="0" y="0"/>
                      <wp:positionH relativeFrom="column">
                        <wp:posOffset>596265</wp:posOffset>
                      </wp:positionH>
                      <wp:positionV relativeFrom="paragraph">
                        <wp:posOffset>701040</wp:posOffset>
                      </wp:positionV>
                      <wp:extent cx="961390" cy="327660"/>
                      <wp:effectExtent l="12700" t="12700" r="340360" b="364490"/>
                      <wp:wrapNone/>
                      <wp:docPr id="77" name="矩形标注 77"/>
                      <wp:cNvGraphicFramePr/>
                      <a:graphic xmlns:a="http://schemas.openxmlformats.org/drawingml/2006/main">
                        <a:graphicData uri="http://schemas.microsoft.com/office/word/2010/wordprocessingShape">
                          <wps:wsp>
                            <wps:cNvSpPr/>
                            <wps:spPr>
                              <a:xfrm>
                                <a:off x="1962150" y="2066925"/>
                                <a:ext cx="961390" cy="327660"/>
                              </a:xfrm>
                              <a:prstGeom prst="wedgeRectCallout">
                                <a:avLst>
                                  <a:gd name="adj1" fmla="val 82584"/>
                                  <a:gd name="adj2" fmla="val 155620"/>
                                </a:avLst>
                              </a:prstGeom>
                              <a:solidFill>
                                <a:srgbClr val="FFFFFF"/>
                              </a:solidFill>
                              <a:ln w="25400" cap="flat" cmpd="sng" algn="ctr">
                                <a:solidFill>
                                  <a:srgbClr val="F79646"/>
                                </a:solidFill>
                                <a:prstDash val="solid"/>
                              </a:ln>
                              <a:effectLst/>
                            </wps:spPr>
                            <wps:txbx>
                              <w:txbxContent>
                                <w:p>
                                  <w:pPr>
                                    <w:ind w:left="0" w:leftChars="0" w:firstLine="0" w:firstLineChars="0"/>
                                    <w:jc w:val="both"/>
                                    <w:rPr>
                                      <w:rFonts w:hint="eastAsia" w:eastAsia="宋体"/>
                                      <w:lang w:eastAsia="zh-CN"/>
                                    </w:rPr>
                                  </w:pPr>
                                  <w:r>
                                    <w:rPr>
                                      <w:rFonts w:hint="eastAsia"/>
                                      <w:lang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6.95pt;margin-top:55.2pt;height:25.8pt;width:75.7pt;z-index:251660288;v-text-anchor:middle;mso-width-relative:page;mso-height-relative:page;" fillcolor="#FFFFFF" filled="t" stroked="t" coordsize="21600,21600" o:gfxdata="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DP9TTQ1wAAAAoBAAAPAAAAAAAAAAEAIAAAACIA&#10;AABkcnMvZG93bnJldi54bWxQSwECFAAUAAAACACHTuJAsjkY27UCAABnBQAADgAAAAAAAAABACAA&#10;AAAmAQAAZHJzL2Uyb0RvYy54bWxQSwUGAAAAAAYABgBZAQAATQYAAAAA&#10;" adj="28638,44414">
                      <v:path/>
                      <v:fill on="t" focussize="0,0"/>
                      <v:stroke weight="2pt" color="#F79646" joinstyle="round"/>
                      <v:imagedata o:title=""/>
                      <o:lock v:ext="edit" aspectratio="f"/>
                      <v:textbox>
                        <w:txbxContent>
                          <w:p>
                            <w:pPr>
                              <w:ind w:left="0" w:leftChars="0" w:firstLine="0" w:firstLineChars="0"/>
                              <w:jc w:val="both"/>
                              <w:rPr>
                                <w:rFonts w:hint="eastAsia" w:eastAsia="宋体"/>
                                <w:lang w:eastAsia="zh-CN"/>
                              </w:rPr>
                            </w:pPr>
                            <w:r>
                              <w:rPr>
                                <w:rFonts w:hint="eastAsia"/>
                                <w:lang w:eastAsia="zh-CN"/>
                              </w:rPr>
                              <w:t>项目所在地</w:t>
                            </w:r>
                          </w:p>
                        </w:txbxContent>
                      </v:textbox>
                    </v:shape>
                  </w:pict>
                </mc:Fallback>
              </mc:AlternateContent>
            </w:r>
            <w:r>
              <w:rPr>
                <w:rFonts w:hint="default" w:ascii="Times New Roman" w:hAnsi="Times New Roman" w:eastAsia="宋体" w:cs="Times New Roman"/>
                <w:color w:val="0000FF"/>
                <w:kern w:val="0"/>
                <w:szCs w:val="21"/>
                <w:lang w:eastAsia="zh-CN"/>
              </w:rPr>
              <w:drawing>
                <wp:inline distT="0" distB="0" distL="114300" distR="114300">
                  <wp:extent cx="5006340" cy="2720975"/>
                  <wp:effectExtent l="0" t="0" r="3810" b="3175"/>
                  <wp:docPr id="38" name="图片 4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4" descr="图片1"/>
                          <pic:cNvPicPr>
                            <a:picLocks noChangeAspect="1"/>
                          </pic:cNvPicPr>
                        </pic:nvPicPr>
                        <pic:blipFill>
                          <a:blip r:embed="rId38"/>
                          <a:stretch>
                            <a:fillRect/>
                          </a:stretch>
                        </pic:blipFill>
                        <pic:spPr>
                          <a:xfrm>
                            <a:off x="0" y="0"/>
                            <a:ext cx="5006340" cy="27209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color w:val="0000FF"/>
                <w:kern w:val="0"/>
                <w:szCs w:val="21"/>
              </w:rPr>
            </w:pPr>
            <w:r>
              <w:rPr>
                <w:rFonts w:hint="default" w:ascii="Times New Roman" w:hAnsi="Times New Roman" w:eastAsia="宋体" w:cs="Times New Roman"/>
                <w:b/>
                <w:bCs/>
                <w:color w:val="auto"/>
                <w:spacing w:val="0"/>
                <w:sz w:val="21"/>
                <w:szCs w:val="21"/>
                <w:lang w:val="en-US" w:eastAsia="zh-CN" w:bidi="ar-SA"/>
              </w:rPr>
              <w:t>图3-1  四川省生态功能区划图</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cs="Times New Roman"/>
                <w:b/>
                <w:bCs/>
                <w:color w:val="auto"/>
                <w:kern w:val="0"/>
                <w:sz w:val="24"/>
                <w:szCs w:val="24"/>
              </w:rPr>
            </w:pPr>
            <w:r>
              <w:rPr>
                <w:rFonts w:hint="default" w:ascii="Times New Roman" w:hAnsi="Times New Roman" w:cs="Times New Roman"/>
                <w:b/>
                <w:bCs/>
                <w:color w:val="auto"/>
                <w:kern w:val="0"/>
                <w:sz w:val="24"/>
                <w:szCs w:val="24"/>
              </w:rPr>
              <w:t>（2）水生生态环境质量现状</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kern w:val="0"/>
                <w:sz w:val="24"/>
                <w:szCs w:val="24"/>
                <w:lang w:val="en-US" w:eastAsia="zh-CN"/>
              </w:rPr>
            </w:pPr>
            <w:r>
              <w:rPr>
                <w:rFonts w:hint="eastAsia" w:ascii="Times New Roman" w:hAnsi="Times New Roman" w:eastAsia="宋体" w:cs="Times New Roman"/>
                <w:b/>
                <w:bCs/>
                <w:color w:val="auto"/>
                <w:kern w:val="0"/>
                <w:sz w:val="24"/>
                <w:szCs w:val="24"/>
                <w:lang w:val="en-US" w:eastAsia="zh-CN"/>
              </w:rPr>
              <w:t>1）水文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项目周围地表水主要为</w:t>
            </w:r>
            <w:r>
              <w:rPr>
                <w:rFonts w:hint="eastAsia" w:ascii="Times New Roman" w:hAnsi="Times New Roman" w:eastAsia="宋体" w:cs="Times New Roman"/>
                <w:color w:val="auto"/>
                <w:kern w:val="0"/>
                <w:sz w:val="24"/>
                <w:szCs w:val="24"/>
                <w:lang w:val="en-US" w:eastAsia="zh-CN"/>
              </w:rPr>
              <w:t>峨眉河</w:t>
            </w:r>
            <w:r>
              <w:rPr>
                <w:rFonts w:hint="default" w:ascii="Times New Roman" w:hAnsi="Times New Roman" w:eastAsia="宋体" w:cs="Times New Roman"/>
                <w:color w:val="auto"/>
                <w:kern w:val="0"/>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峨眉河古称铁桥河，符汶河，是大渡河下游左岸一级支流。干流全长61.5km，河流平均比降5.1‰，流域面积484.4km</w:t>
            </w:r>
            <w:r>
              <w:rPr>
                <w:rFonts w:hint="default" w:ascii="Times New Roman" w:hAnsi="Times New Roman" w:eastAsia="宋体" w:cs="Times New Roman"/>
                <w:color w:val="auto"/>
                <w:kern w:val="0"/>
                <w:sz w:val="24"/>
                <w:szCs w:val="24"/>
                <w:vertAlign w:val="superscript"/>
              </w:rPr>
              <w:t>2</w:t>
            </w:r>
            <w:r>
              <w:rPr>
                <w:rFonts w:hint="default" w:ascii="Times New Roman" w:hAnsi="Times New Roman" w:eastAsia="宋体" w:cs="Times New Roman"/>
                <w:color w:val="auto"/>
                <w:kern w:val="0"/>
                <w:sz w:val="24"/>
                <w:szCs w:val="24"/>
              </w:rPr>
              <w:t>。其中峨眉山市境内418.4km</w:t>
            </w:r>
            <w:r>
              <w:rPr>
                <w:rFonts w:hint="default" w:ascii="Times New Roman" w:hAnsi="Times New Roman" w:eastAsia="宋体" w:cs="Times New Roman"/>
                <w:color w:val="auto"/>
                <w:kern w:val="0"/>
                <w:sz w:val="24"/>
                <w:szCs w:val="24"/>
                <w:vertAlign w:val="superscript"/>
              </w:rPr>
              <w:t>2</w:t>
            </w:r>
            <w:r>
              <w:rPr>
                <w:rFonts w:hint="default" w:ascii="Times New Roman" w:hAnsi="Times New Roman" w:eastAsia="宋体" w:cs="Times New Roman"/>
                <w:color w:val="auto"/>
                <w:kern w:val="0"/>
                <w:sz w:val="24"/>
                <w:szCs w:val="24"/>
              </w:rPr>
              <w:t>（占86.4%），夹江县境内19.6km</w:t>
            </w:r>
            <w:r>
              <w:rPr>
                <w:rFonts w:hint="default" w:ascii="Times New Roman" w:hAnsi="Times New Roman" w:eastAsia="宋体" w:cs="Times New Roman"/>
                <w:color w:val="auto"/>
                <w:kern w:val="0"/>
                <w:sz w:val="24"/>
                <w:szCs w:val="24"/>
                <w:vertAlign w:val="superscript"/>
              </w:rPr>
              <w:t>2</w:t>
            </w:r>
            <w:r>
              <w:rPr>
                <w:rFonts w:hint="default" w:ascii="Times New Roman" w:hAnsi="Times New Roman" w:eastAsia="宋体" w:cs="Times New Roman"/>
                <w:color w:val="auto"/>
                <w:kern w:val="0"/>
                <w:sz w:val="24"/>
                <w:szCs w:val="24"/>
              </w:rPr>
              <w:t>（占4%），乐山市市中区境内46.4km</w:t>
            </w:r>
            <w:r>
              <w:rPr>
                <w:rFonts w:hint="default" w:ascii="Times New Roman" w:hAnsi="Times New Roman" w:eastAsia="宋体" w:cs="Times New Roman"/>
                <w:color w:val="auto"/>
                <w:kern w:val="0"/>
                <w:sz w:val="24"/>
                <w:szCs w:val="24"/>
                <w:vertAlign w:val="superscript"/>
              </w:rPr>
              <w:t>2</w:t>
            </w:r>
            <w:r>
              <w:rPr>
                <w:rFonts w:hint="default" w:ascii="Times New Roman" w:hAnsi="Times New Roman" w:eastAsia="宋体" w:cs="Times New Roman"/>
                <w:color w:val="auto"/>
                <w:kern w:val="0"/>
                <w:sz w:val="24"/>
                <w:szCs w:val="24"/>
              </w:rPr>
              <w:t>（占9.6%）。峨眉河有南北二源，其中北源为主源，名黑水河，集水面积56.3km</w:t>
            </w:r>
            <w:r>
              <w:rPr>
                <w:rFonts w:hint="default" w:ascii="Times New Roman" w:hAnsi="Times New Roman" w:eastAsia="宋体" w:cs="Times New Roman"/>
                <w:color w:val="auto"/>
                <w:kern w:val="0"/>
                <w:sz w:val="24"/>
                <w:szCs w:val="24"/>
                <w:vertAlign w:val="superscript"/>
              </w:rPr>
              <w:t>2</w:t>
            </w:r>
            <w:r>
              <w:rPr>
                <w:rFonts w:hint="default" w:ascii="Times New Roman" w:hAnsi="Times New Roman" w:eastAsia="宋体" w:cs="Times New Roman"/>
                <w:color w:val="auto"/>
                <w:kern w:val="0"/>
                <w:sz w:val="24"/>
                <w:szCs w:val="24"/>
              </w:rPr>
              <w:t>，河长13.6km。河流平均比降46.6‰，发源峨眉山市黄湾乡桅杆村神桂山（海拔高程1592m），至尖峰顶（海拔高程1568m）山岭东侧。南源名石笋沟，干流长8.8km，平均比降99.2‰，集水面积19.7km</w:t>
            </w:r>
            <w:r>
              <w:rPr>
                <w:rFonts w:hint="default" w:ascii="Times New Roman" w:hAnsi="Times New Roman" w:eastAsia="宋体" w:cs="Times New Roman"/>
                <w:color w:val="auto"/>
                <w:kern w:val="0"/>
                <w:sz w:val="24"/>
                <w:szCs w:val="24"/>
                <w:vertAlign w:val="superscript"/>
              </w:rPr>
              <w:t>2</w:t>
            </w:r>
            <w:r>
              <w:rPr>
                <w:rFonts w:hint="default" w:ascii="Times New Roman" w:hAnsi="Times New Roman" w:eastAsia="宋体" w:cs="Times New Roman"/>
                <w:color w:val="auto"/>
                <w:kern w:val="0"/>
                <w:sz w:val="24"/>
                <w:szCs w:val="24"/>
              </w:rPr>
              <w:t>，其上游分为黑白二水，白水在左是主流，发源于峨眉山洗衣象池至大乘寺一带山岭东坡，主峰海拔高程2545m；黑水发源九老洞以上，主峰海拔高程2201km，东北流经红椿坪、一线天，与百水汇合于清音阁，继续东北流2.7km与北流相汇于两河口始称峨眉河。再东流3.2km经龙门洞出峡口，穿流于山间平坝，在川主乡纳左支袁溪河（也叫川主河），在绥山镇乔河坝进入峨眉平原，经峨眉城区，在胜利镇梅河坝纳右支虹溪河，经符溪镇在新平乡观音寺纳左支双福河后，进入丘陵区，在徐河口纳右支黑桥河（又名长滩河），在岩面槽子流入乐山市市中区苏稽镇，于程碥村大转弯处折向东南流，经苏稽镇，最后在水口镇魏与罗李坝之间注入大渡河生态河，后汇入大渡河干流。</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峨眉河流域近似平行四边形，东西长约36km，南北宽约26km，流域内水床呈树枝状分布。地势西高东低，分水岭高程西部在1520~2500m，东部在380~450m。峨眉河在龙门洞以上为上游，河段长16.2km，河流平均比降40.5‰，山高谷深，河道狭窄，水流湍急，落差大。龙门洞至双福河口为中游，河段长25.2km，河流平均比降3.34‰，此河段两岸为峨眉平原，水流较平缓。双福河口以下为下游，河段长20km，河流平均比降1.45‰，该河段为丘陵地带。全流域主要支流有袁溪河、虹溪河、双福河和黑桥河。</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kern w:val="0"/>
                <w:sz w:val="24"/>
                <w:szCs w:val="24"/>
                <w:lang w:val="en-US" w:eastAsia="zh-CN"/>
              </w:rPr>
            </w:pPr>
            <w:r>
              <w:rPr>
                <w:rFonts w:hint="eastAsia" w:ascii="Times New Roman" w:hAnsi="Times New Roman" w:eastAsia="宋体" w:cs="Times New Roman"/>
                <w:b/>
                <w:bCs/>
                <w:color w:val="auto"/>
                <w:kern w:val="0"/>
                <w:sz w:val="24"/>
                <w:szCs w:val="24"/>
                <w:lang w:val="en-US" w:eastAsia="zh-CN"/>
              </w:rPr>
              <w:t>2</w:t>
            </w:r>
            <w:r>
              <w:rPr>
                <w:rFonts w:hint="default" w:ascii="Times New Roman" w:hAnsi="Times New Roman" w:eastAsia="宋体" w:cs="Times New Roman"/>
                <w:b/>
                <w:bCs/>
                <w:color w:val="auto"/>
                <w:kern w:val="0"/>
                <w:sz w:val="24"/>
                <w:szCs w:val="24"/>
                <w:lang w:val="en-US" w:eastAsia="zh-CN"/>
              </w:rPr>
              <w:t>）浮游植物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经调查，评价河段水生藻类植物4门20科28属53种，其中硅藻门最多，有38种，占种类总数的71.70%；绿藻门10种，占种类总数的18.87%；蓝藻门4种，占种类总数的7.55%；裸藻门1种，占种类总数的1.89%。</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spacing w:val="0"/>
                <w:sz w:val="24"/>
                <w:szCs w:val="20"/>
                <w:lang w:val="en-US" w:eastAsia="zh-CN" w:bidi="ar-SA"/>
              </w:rPr>
            </w:pPr>
            <w:r>
              <w:rPr>
                <w:rFonts w:hint="eastAsia" w:ascii="Times New Roman" w:hAnsi="Times New Roman" w:eastAsia="宋体" w:cs="Times New Roman"/>
                <w:b/>
                <w:bCs/>
                <w:color w:val="auto"/>
                <w:spacing w:val="0"/>
                <w:sz w:val="24"/>
                <w:szCs w:val="20"/>
                <w:lang w:val="en-US" w:eastAsia="zh-CN" w:bidi="ar-SA"/>
              </w:rPr>
              <w:t>3</w:t>
            </w:r>
            <w:r>
              <w:rPr>
                <w:rFonts w:hint="default" w:ascii="Times New Roman" w:hAnsi="Times New Roman" w:eastAsia="宋体" w:cs="Times New Roman"/>
                <w:b/>
                <w:bCs/>
                <w:color w:val="auto"/>
                <w:spacing w:val="0"/>
                <w:sz w:val="24"/>
                <w:szCs w:val="20"/>
                <w:lang w:val="en-US" w:eastAsia="zh-CN" w:bidi="ar-SA"/>
              </w:rPr>
              <w:t>）浮游动物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区域浮游动物71种。其中原生动物28种，占总种数的38.03%；轮虫28种，占总种数的380.3%；枝角类8种，占总种数的11.27%；桡足类7种，占总种数的8.86%。经调查，评价河段内浮游动物总共10种，由原生动物、轮形动物门、节肢动物和轮虫组成。</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spacing w:val="0"/>
                <w:sz w:val="24"/>
                <w:szCs w:val="20"/>
                <w:lang w:val="en-US" w:eastAsia="zh-CN" w:bidi="ar-SA"/>
              </w:rPr>
            </w:pPr>
            <w:r>
              <w:rPr>
                <w:rFonts w:hint="eastAsia" w:ascii="Times New Roman" w:hAnsi="Times New Roman" w:eastAsia="宋体" w:cs="Times New Roman"/>
                <w:b/>
                <w:bCs/>
                <w:color w:val="auto"/>
                <w:spacing w:val="0"/>
                <w:sz w:val="24"/>
                <w:szCs w:val="20"/>
                <w:lang w:val="en-US" w:eastAsia="zh-CN" w:bidi="ar-SA"/>
              </w:rPr>
              <w:t>4</w:t>
            </w:r>
            <w:r>
              <w:rPr>
                <w:rFonts w:hint="default" w:ascii="Times New Roman" w:hAnsi="Times New Roman" w:eastAsia="宋体" w:cs="Times New Roman"/>
                <w:b/>
                <w:bCs/>
                <w:color w:val="auto"/>
                <w:spacing w:val="0"/>
                <w:sz w:val="24"/>
                <w:szCs w:val="20"/>
                <w:lang w:val="en-US" w:eastAsia="zh-CN" w:bidi="ar-SA"/>
              </w:rPr>
              <w:t>）底栖动物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sz w:val="24"/>
                <w:szCs w:val="20"/>
                <w:lang w:val="en-US" w:eastAsia="zh-CN" w:bidi="ar-SA"/>
              </w:rPr>
            </w:pPr>
            <w:r>
              <w:rPr>
                <w:rFonts w:hint="default" w:ascii="Times New Roman" w:hAnsi="Times New Roman" w:eastAsia="宋体" w:cs="Times New Roman"/>
                <w:color w:val="auto"/>
                <w:spacing w:val="0"/>
                <w:sz w:val="24"/>
                <w:szCs w:val="20"/>
                <w:lang w:val="en-US" w:eastAsia="zh-CN" w:bidi="ar-SA"/>
              </w:rPr>
              <w:t>区域底栖动物计3门28种(属)，其中节肢动物门15种(属)，</w:t>
            </w:r>
            <w:r>
              <w:rPr>
                <w:rFonts w:hint="eastAsia" w:ascii="Times New Roman" w:hAnsi="Times New Roman" w:eastAsia="宋体" w:cs="Times New Roman"/>
                <w:color w:val="auto"/>
                <w:spacing w:val="0"/>
                <w:sz w:val="24"/>
                <w:szCs w:val="20"/>
                <w:lang w:val="en-US" w:eastAsia="zh-CN" w:bidi="ar-SA"/>
              </w:rPr>
              <w:t>占</w:t>
            </w:r>
            <w:r>
              <w:rPr>
                <w:rFonts w:hint="default" w:ascii="Times New Roman" w:hAnsi="Times New Roman" w:eastAsia="宋体" w:cs="Times New Roman"/>
                <w:color w:val="auto"/>
                <w:spacing w:val="0"/>
                <w:sz w:val="24"/>
                <w:szCs w:val="20"/>
                <w:lang w:val="en-US" w:eastAsia="zh-CN" w:bidi="ar-SA"/>
              </w:rPr>
              <w:t>总种数的 53.57％；软体动物门7种(属)，占25％；环节动物门6种(属)，占</w:t>
            </w:r>
            <w:r>
              <w:rPr>
                <w:rFonts w:hint="eastAsia" w:ascii="Times New Roman" w:hAnsi="Times New Roman" w:eastAsia="宋体" w:cs="Times New Roman"/>
                <w:color w:val="auto"/>
                <w:spacing w:val="0"/>
                <w:sz w:val="24"/>
                <w:szCs w:val="20"/>
                <w:lang w:val="en-US" w:eastAsia="zh-CN" w:bidi="ar-SA"/>
              </w:rPr>
              <w:t>21.</w:t>
            </w:r>
            <w:r>
              <w:rPr>
                <w:rFonts w:hint="default" w:ascii="Times New Roman" w:hAnsi="Times New Roman" w:eastAsia="宋体" w:cs="Times New Roman"/>
                <w:color w:val="auto"/>
                <w:spacing w:val="0"/>
                <w:sz w:val="24"/>
                <w:szCs w:val="20"/>
                <w:lang w:val="en-US" w:eastAsia="zh-CN" w:bidi="ar-SA"/>
              </w:rPr>
              <w:t>4</w:t>
            </w:r>
            <w:r>
              <w:rPr>
                <w:rFonts w:hint="eastAsia" w:ascii="Times New Roman" w:hAnsi="Times New Roman" w:eastAsia="宋体" w:cs="Times New Roman"/>
                <w:color w:val="auto"/>
                <w:spacing w:val="0"/>
                <w:sz w:val="24"/>
                <w:szCs w:val="20"/>
                <w:lang w:val="en-US" w:eastAsia="zh-CN" w:bidi="ar-SA"/>
              </w:rPr>
              <w:t>3%。</w:t>
            </w:r>
            <w:r>
              <w:rPr>
                <w:rFonts w:hint="default" w:ascii="Times New Roman" w:hAnsi="Times New Roman" w:eastAsia="宋体" w:cs="Times New Roman"/>
                <w:color w:val="auto"/>
                <w:spacing w:val="0"/>
                <w:sz w:val="24"/>
                <w:szCs w:val="20"/>
                <w:lang w:val="en-US" w:eastAsia="zh-CN" w:bidi="ar-SA"/>
              </w:rPr>
              <w:t>底栖动物优势种类有水丝蚓、泽蛭、湖沼股蛤、沼虾、多足摇蚊、羽摇蚊、粗腹摇蚊等。</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spacing w:val="0"/>
                <w:sz w:val="24"/>
                <w:szCs w:val="20"/>
                <w:lang w:val="en-US" w:eastAsia="zh-CN" w:bidi="ar-SA"/>
              </w:rPr>
            </w:pPr>
            <w:r>
              <w:rPr>
                <w:rFonts w:hint="eastAsia" w:ascii="Times New Roman" w:hAnsi="Times New Roman" w:eastAsia="宋体" w:cs="Times New Roman"/>
                <w:b/>
                <w:bCs/>
                <w:color w:val="auto"/>
                <w:spacing w:val="0"/>
                <w:sz w:val="24"/>
                <w:szCs w:val="20"/>
                <w:lang w:val="en-US" w:eastAsia="zh-CN" w:bidi="ar-SA"/>
              </w:rPr>
              <w:t>5）鱼类资源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sz w:val="24"/>
                <w:szCs w:val="20"/>
                <w:lang w:val="en-US" w:eastAsia="zh-CN" w:bidi="ar-SA"/>
              </w:rPr>
            </w:pPr>
            <w:r>
              <w:rPr>
                <w:rFonts w:hint="default" w:ascii="Times New Roman" w:hAnsi="Times New Roman" w:eastAsia="宋体" w:cs="Times New Roman"/>
                <w:color w:val="auto"/>
                <w:spacing w:val="0"/>
                <w:sz w:val="24"/>
                <w:szCs w:val="20"/>
                <w:lang w:val="en-US" w:eastAsia="zh-CN" w:bidi="ar-SA"/>
              </w:rPr>
              <w:t>鱼类67种，分别隶属于4目13科55属。其中鲤形目胭脂鱼科1属1 种， 鳅科6属7种，鲤科30属37种，平鳍鳅科4属4种；鲇形目鲇科1属2种， 鲿科4属 6种，钝头鮠科1属1种，鮡科 2 属 3 种，鮰科 1属1种 (外来种)； 合鳃鱼目合鳃鱼科1属1种；鲈形目鮨科2属2种，鰕虎鱼科1属1种，鳢科1属1种。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sz w:val="24"/>
                <w:szCs w:val="20"/>
                <w:lang w:val="en-US" w:eastAsia="zh-CN" w:bidi="ar-SA"/>
              </w:rPr>
            </w:pPr>
            <w:r>
              <w:rPr>
                <w:rFonts w:hint="default" w:ascii="Times New Roman" w:hAnsi="Times New Roman" w:eastAsia="宋体" w:cs="Times New Roman"/>
                <w:color w:val="auto"/>
                <w:spacing w:val="0"/>
                <w:sz w:val="24"/>
                <w:szCs w:val="20"/>
                <w:lang w:val="en-US" w:eastAsia="zh-CN" w:bidi="ar-SA"/>
              </w:rPr>
              <w:t>鲤形目鱼类是本江段的主要构成类群，共有41属49 种，占鱼类种数的73. 1%；鲇形目次之，共有9属13种， 占19.4% 。在组成该江段鱼类的 13个科中，以鲤科鱼类种类最多，计有37种，占鱼类种数的55.2%，其中鮈亚科11种，鲌亚科6种；鳅科7种，约占 10.4% ，鲿科6种，约占9.0%；平鳍鳅科4种，约占6.0%。</w:t>
            </w:r>
          </w:p>
          <w:p>
            <w:pPr>
              <w:snapToGrid w:val="0"/>
              <w:jc w:val="center"/>
              <w:outlineLvl w:val="9"/>
              <w:rPr>
                <w:rFonts w:hint="default" w:ascii="Times New Roman" w:hAnsi="Times New Roman" w:cs="Times New Roman"/>
                <w:color w:val="auto"/>
                <w:spacing w:val="0"/>
              </w:rPr>
            </w:pPr>
            <w:r>
              <w:rPr>
                <w:sz w:val="20"/>
              </w:rPr>
              <mc:AlternateContent>
                <mc:Choice Requires="wps">
                  <w:drawing>
                    <wp:anchor distT="0" distB="0" distL="114300" distR="114300" simplePos="0" relativeHeight="251665408" behindDoc="0" locked="0" layoutInCell="1" allowOverlap="1">
                      <wp:simplePos x="0" y="0"/>
                      <wp:positionH relativeFrom="column">
                        <wp:posOffset>1109345</wp:posOffset>
                      </wp:positionH>
                      <wp:positionV relativeFrom="paragraph">
                        <wp:posOffset>245110</wp:posOffset>
                      </wp:positionV>
                      <wp:extent cx="873125" cy="278130"/>
                      <wp:effectExtent l="4445" t="5080" r="17780" b="478790"/>
                      <wp:wrapNone/>
                      <wp:docPr id="48" name="矩形标注 48"/>
                      <wp:cNvGraphicFramePr/>
                      <a:graphic xmlns:a="http://schemas.openxmlformats.org/drawingml/2006/main">
                        <a:graphicData uri="http://schemas.microsoft.com/office/word/2010/wordprocessingShape">
                          <wps:wsp>
                            <wps:cNvSpPr/>
                            <wps:spPr>
                              <a:xfrm>
                                <a:off x="0" y="0"/>
                                <a:ext cx="873125" cy="278130"/>
                              </a:xfrm>
                              <a:prstGeom prst="wedgeRectCallout">
                                <a:avLst>
                                  <a:gd name="adj1" fmla="val -13782"/>
                                  <a:gd name="adj2" fmla="val 209819"/>
                                </a:avLst>
                              </a:prstGeom>
                              <a:noFill/>
                              <a:ln w="9525" cap="flat" cmpd="sng">
                                <a:solidFill>
                                  <a:srgbClr val="FF0000"/>
                                </a:solidFill>
                                <a:prstDash val="solid"/>
                                <a:miter/>
                                <a:headEnd type="none" w="med" len="med"/>
                                <a:tailEnd type="none" w="med" len="med"/>
                              </a:ln>
                            </wps:spPr>
                            <wps:txbx>
                              <w:txbxContent>
                                <w:p>
                                  <w:pPr>
                                    <w:rPr>
                                      <w:rFonts w:hint="eastAsia" w:eastAsia="宋体"/>
                                      <w:color w:val="FF0000"/>
                                      <w:lang w:val="en-US" w:eastAsia="zh-CN"/>
                                    </w:rPr>
                                  </w:pPr>
                                  <w:r>
                                    <w:rPr>
                                      <w:rFonts w:hint="eastAsia"/>
                                      <w:color w:val="FF0000"/>
                                      <w:lang w:val="en-US" w:eastAsia="zh-CN"/>
                                    </w:rPr>
                                    <w:t>本项目</w:t>
                                  </w:r>
                                </w:p>
                              </w:txbxContent>
                            </wps:txbx>
                            <wps:bodyPr upright="1"/>
                          </wps:wsp>
                        </a:graphicData>
                      </a:graphic>
                    </wp:anchor>
                  </w:drawing>
                </mc:Choice>
                <mc:Fallback>
                  <w:pict>
                    <v:shape id="_x0000_s1026" o:spid="_x0000_s1026" o:spt="61" type="#_x0000_t61" style="position:absolute;left:0pt;margin-left:87.35pt;margin-top:19.3pt;height:21.9pt;width:68.75pt;z-index:251665408;mso-width-relative:page;mso-height-relative:page;" filled="f" stroked="t" coordsize="21600,21600" o:gfxdata="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FaSejraAAAACQEAAA8AAAAAAAAAAQAgAAAAIgAAAGRycy9kb3du&#10;cmV2LnhtbFBLAQIUABQAAAAIAIdO4kATD8aENgIAAGYEAAAOAAAAAAAAAAEAIAAAACkBAABkcnMv&#10;ZTJvRG9jLnhtbFBLBQYAAAAABgAGAFkBAADRBQAAAAA=&#10;" adj="7823,56121">
                      <v:path/>
                      <v:fill on="f" focussize="0,0"/>
                      <v:stroke color="#FF0000"/>
                      <v:imagedata o:title=""/>
                      <o:lock v:ext="edit" aspectratio="f"/>
                      <v:textbox>
                        <w:txbxContent>
                          <w:p>
                            <w:pPr>
                              <w:rPr>
                                <w:rFonts w:hint="eastAsia" w:eastAsia="宋体"/>
                                <w:color w:val="FF0000"/>
                                <w:lang w:val="en-US" w:eastAsia="zh-CN"/>
                              </w:rPr>
                            </w:pPr>
                            <w:r>
                              <w:rPr>
                                <w:rFonts w:hint="eastAsia"/>
                                <w:color w:val="FF0000"/>
                                <w:lang w:val="en-US" w:eastAsia="zh-CN"/>
                              </w:rPr>
                              <w:t>本项目</w:t>
                            </w:r>
                          </w:p>
                        </w:txbxContent>
                      </v:textbox>
                    </v:shape>
                  </w:pict>
                </mc:Fallback>
              </mc:AlternateContent>
            </w:r>
            <w:r>
              <w:rPr>
                <w:rFonts w:hint="default" w:ascii="Times New Roman" w:hAnsi="Times New Roman" w:cs="Times New Roman"/>
                <w:color w:val="auto"/>
                <w:spacing w:val="0"/>
                <w:sz w:val="20"/>
              </w:rPr>
              <w:drawing>
                <wp:inline distT="0" distB="0" distL="114300" distR="114300">
                  <wp:extent cx="3943350" cy="4156075"/>
                  <wp:effectExtent l="0" t="0" r="0" b="15875"/>
                  <wp:docPr id="3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5"/>
                          <pic:cNvPicPr>
                            <a:picLocks noChangeAspect="1"/>
                          </pic:cNvPicPr>
                        </pic:nvPicPr>
                        <pic:blipFill>
                          <a:blip r:embed="rId39"/>
                          <a:stretch>
                            <a:fillRect/>
                          </a:stretch>
                        </pic:blipFill>
                        <pic:spPr>
                          <a:xfrm>
                            <a:off x="0" y="0"/>
                            <a:ext cx="3943350" cy="4156075"/>
                          </a:xfrm>
                          <a:prstGeom prst="rect">
                            <a:avLst/>
                          </a:prstGeom>
                          <a:noFill/>
                          <a:ln>
                            <a:noFill/>
                          </a:ln>
                        </pic:spPr>
                      </pic:pic>
                    </a:graphicData>
                  </a:graphic>
                </wp:inline>
              </w:drawing>
            </w:r>
          </w:p>
          <w:p>
            <w:pPr>
              <w:pStyle w:val="254"/>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outlineLvl w:val="9"/>
              <w:rPr>
                <w:rFonts w:hint="default" w:ascii="Times New Roman" w:hAnsi="Times New Roman" w:eastAsia="宋体" w:cs="Times New Roman"/>
                <w:b/>
                <w:bCs w:val="0"/>
                <w:color w:val="auto"/>
                <w:spacing w:val="0"/>
                <w:sz w:val="21"/>
                <w:szCs w:val="21"/>
              </w:rPr>
            </w:pPr>
            <w:r>
              <w:rPr>
                <w:rFonts w:hint="default" w:ascii="Times New Roman" w:hAnsi="Times New Roman" w:eastAsia="宋体" w:cs="Times New Roman"/>
                <w:b/>
                <w:bCs w:val="0"/>
                <w:color w:val="auto"/>
                <w:spacing w:val="0"/>
                <w:kern w:val="0"/>
                <w:sz w:val="21"/>
                <w:szCs w:val="21"/>
                <w:lang w:eastAsia="zh-CN"/>
              </w:rPr>
              <w:t>图</w:t>
            </w:r>
            <w:r>
              <w:rPr>
                <w:rFonts w:hint="default" w:ascii="Times New Roman" w:hAnsi="Times New Roman" w:eastAsia="宋体" w:cs="Times New Roman"/>
                <w:b/>
                <w:bCs w:val="0"/>
                <w:color w:val="auto"/>
                <w:spacing w:val="0"/>
                <w:kern w:val="0"/>
                <w:sz w:val="21"/>
                <w:szCs w:val="21"/>
                <w:lang w:val="en-US" w:eastAsia="zh-CN"/>
              </w:rPr>
              <w:t xml:space="preserve">3-2  </w:t>
            </w:r>
            <w:r>
              <w:rPr>
                <w:rFonts w:hint="default" w:ascii="Times New Roman" w:hAnsi="Times New Roman" w:eastAsia="宋体" w:cs="Times New Roman"/>
                <w:b/>
                <w:bCs w:val="0"/>
                <w:color w:val="auto"/>
                <w:spacing w:val="0"/>
                <w:kern w:val="0"/>
                <w:sz w:val="21"/>
                <w:szCs w:val="21"/>
                <w:lang w:eastAsia="zh-CN"/>
              </w:rPr>
              <w:t>急流水域产粘沉性产卵分布示意图</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spacing w:val="0"/>
                <w:sz w:val="24"/>
                <w:szCs w:val="20"/>
                <w:lang w:val="en-US" w:eastAsia="zh-CN" w:bidi="ar-SA"/>
              </w:rPr>
            </w:pPr>
            <w:r>
              <w:rPr>
                <w:rFonts w:hint="default" w:ascii="Times New Roman" w:hAnsi="Times New Roman" w:eastAsia="宋体" w:cs="Times New Roman"/>
                <w:b/>
                <w:bCs/>
                <w:color w:val="auto"/>
                <w:spacing w:val="0"/>
                <w:sz w:val="24"/>
                <w:szCs w:val="20"/>
                <w:lang w:val="en-US" w:eastAsia="zh-CN" w:bidi="ar-SA"/>
              </w:rPr>
              <w:t>根据查阅资料，项目区不涉及“鱼类三场”的分布。</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w:t>
            </w:r>
            <w:r>
              <w:rPr>
                <w:rFonts w:hint="eastAsia" w:ascii="Times New Roman" w:hAnsi="Times New Roman" w:eastAsia="宋体" w:cs="Times New Roman"/>
                <w:b/>
                <w:bCs/>
                <w:color w:val="auto"/>
                <w:kern w:val="0"/>
                <w:sz w:val="24"/>
                <w:szCs w:val="24"/>
                <w:lang w:val="en-US" w:eastAsia="zh-CN"/>
              </w:rPr>
              <w:t>2</w:t>
            </w:r>
            <w:r>
              <w:rPr>
                <w:rFonts w:hint="default" w:ascii="Times New Roman" w:hAnsi="Times New Roman" w:eastAsia="宋体" w:cs="Times New Roman"/>
                <w:b/>
                <w:bCs/>
                <w:color w:val="auto"/>
                <w:kern w:val="0"/>
                <w:sz w:val="24"/>
                <w:szCs w:val="24"/>
              </w:rPr>
              <w:t>）陆生生态环境质量现状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乐山市市中区</w:t>
            </w:r>
            <w:r>
              <w:rPr>
                <w:rFonts w:hint="eastAsia" w:ascii="Times New Roman" w:hAnsi="Times New Roman" w:eastAsia="宋体" w:cs="Times New Roman"/>
                <w:color w:val="auto"/>
                <w:kern w:val="0"/>
                <w:sz w:val="24"/>
                <w:szCs w:val="24"/>
                <w:lang w:val="en-US" w:eastAsia="zh-CN"/>
              </w:rPr>
              <w:t>苏稽镇，</w:t>
            </w:r>
            <w:r>
              <w:rPr>
                <w:rFonts w:hint="eastAsia" w:ascii="Times New Roman" w:hAnsi="Times New Roman" w:eastAsia="宋体" w:cs="Times New Roman"/>
                <w:color w:val="auto"/>
                <w:kern w:val="0"/>
                <w:sz w:val="24"/>
                <w:szCs w:val="24"/>
              </w:rPr>
              <w:t>评价区域没有特别生态系统或生境等生态敏感保护目标。生态系统较稳定，承受干扰的能力较强，目前受人类活动影响明显，生态系统单一，结构简单，环境异质性差。区域以人工生境为主，易于恢复，评价区域无自然保 护区，风景名胜区，文物古迹等。项目所在地动物较少，主要有少量人工饲养的猪、牛、羊、兔、鸡、鹅等家禽和少量野生鼠类、鸟类动物，未见大型野生哺乳动物，未见珍稀濒危保护野生动物分布。区域内无天然珍稀野生动植物分布，该区域缺少生物物种的种群源，自然组分的调控能力弱。</w:t>
            </w:r>
          </w:p>
          <w:p>
            <w:pPr>
              <w:adjustRightInd w:val="0"/>
              <w:snapToGrid w:val="0"/>
              <w:spacing w:line="360" w:lineRule="auto"/>
              <w:ind w:firstLine="482" w:firstLineChars="200"/>
              <w:textAlignment w:val="center"/>
              <w:rPr>
                <w:rFonts w:hint="default" w:ascii="Times New Roman" w:hAnsi="Times New Roman" w:cs="Times New Roman"/>
                <w:b/>
                <w:bCs/>
                <w:kern w:val="0"/>
                <w:sz w:val="24"/>
              </w:rPr>
            </w:pPr>
            <w:r>
              <w:rPr>
                <w:rFonts w:hint="default" w:ascii="Times New Roman" w:hAnsi="Times New Roman" w:cs="Times New Roman"/>
                <w:b/>
                <w:bCs/>
                <w:sz w:val="24"/>
              </w:rPr>
              <w:t>2、环境空气质量现状调查与评价</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根据乐山市生态环境局发布的《2021年乐山市年度环境质量状况》结论，乐山市主城区环境空气有效监测天数为365天，达标天数314天，达标率86.0％ 。全年优125天、良189天、轻度污染45天、中度污染6天、重度污染0天。乐山市11个县 (市、区) 环境空气中二氧化硫、二氧化氮、臭氧、 一氧化碳、可吸入颗粒物和细颗粒物浓度分别为 9μg/m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 xml:space="preserve"> 、23 μg/m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 xml:space="preserve"> 、118 μ g/m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 xml:space="preserve"> 、1.0mg/m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 xml:space="preserve"> 、54μg/m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和35μg/m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，均达到国家环境空气二级标准，其中除二氧化氮浓度持平，细颗粒物浓度同比上升了1.9％外，其余4项污染物同比下降了16.2％、6.7％、8.9％和1.2％。乐山市市中区为达标区。</w:t>
            </w:r>
          </w:p>
          <w:p>
            <w:pPr>
              <w:keepNext w:val="0"/>
              <w:keepLines w:val="0"/>
              <w:pageBreakBefore w:val="0"/>
              <w:kinsoku/>
              <w:wordWrap/>
              <w:overflowPunct/>
              <w:topLinePunct w:val="0"/>
              <w:autoSpaceDE w:val="0"/>
              <w:autoSpaceDN w:val="0"/>
              <w:bidi w:val="0"/>
              <w:adjustRightInd w:val="0"/>
              <w:snapToGrid w:val="0"/>
              <w:spacing w:line="360" w:lineRule="auto"/>
              <w:ind w:right="0" w:firstLine="482" w:firstLineChars="200"/>
              <w:textAlignment w:val="center"/>
              <w:rPr>
                <w:rFonts w:hint="default" w:ascii="Times New Roman" w:hAnsi="Times New Roman" w:cs="Times New Roman"/>
                <w:b/>
                <w:bCs/>
                <w:sz w:val="24"/>
              </w:rPr>
            </w:pPr>
            <w:r>
              <w:rPr>
                <w:rFonts w:hint="default" w:ascii="Times New Roman" w:hAnsi="Times New Roman" w:cs="Times New Roman"/>
                <w:b/>
                <w:bCs/>
                <w:sz w:val="24"/>
              </w:rPr>
              <w:t>3、地表水环境质量现状调查与评价</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根据《环境影响评价技术导则 地表水环境》 (HJ2.3-2018)分析可知，应优先采用国务院生态环境保护主管部门统一发布的水环境状况信息。</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rPr>
              <w:t>本项目地表水体为</w:t>
            </w:r>
            <w:r>
              <w:rPr>
                <w:rFonts w:hint="eastAsia" w:ascii="Times New Roman" w:hAnsi="Times New Roman" w:eastAsia="宋体" w:cs="Times New Roman"/>
                <w:color w:val="auto"/>
                <w:kern w:val="0"/>
                <w:sz w:val="24"/>
                <w:szCs w:val="24"/>
                <w:lang w:val="en-US" w:eastAsia="zh-CN"/>
              </w:rPr>
              <w:t>峨眉河</w:t>
            </w:r>
            <w:r>
              <w:rPr>
                <w:rFonts w:hint="default" w:ascii="Times New Roman" w:hAnsi="Times New Roman" w:eastAsia="宋体" w:cs="Times New Roman"/>
                <w:color w:val="auto"/>
                <w:kern w:val="0"/>
                <w:sz w:val="24"/>
                <w:szCs w:val="24"/>
              </w:rPr>
              <w:t>，</w:t>
            </w:r>
            <w:r>
              <w:rPr>
                <w:rFonts w:hint="eastAsia" w:ascii="Times New Roman" w:hAnsi="Times New Roman" w:eastAsia="宋体" w:cs="Times New Roman"/>
                <w:color w:val="auto"/>
                <w:kern w:val="0"/>
                <w:sz w:val="24"/>
                <w:szCs w:val="24"/>
                <w:lang w:val="en-US" w:eastAsia="zh-CN"/>
              </w:rPr>
              <w:t>引用乐山市峨眉生态环境监测站于2021年对峨眉河曾河坝断面的监测，监测结果如下表。</w:t>
            </w:r>
          </w:p>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bCs/>
                <w:color w:val="auto"/>
                <w:kern w:val="0"/>
                <w:sz w:val="21"/>
                <w:szCs w:val="21"/>
                <w:lang w:val="en-US" w:eastAsia="zh-CN"/>
              </w:rPr>
            </w:pPr>
            <w:r>
              <w:rPr>
                <w:rFonts w:hint="eastAsia" w:ascii="Times New Roman" w:hAnsi="Times New Roman" w:eastAsia="宋体" w:cs="Times New Roman"/>
                <w:b/>
                <w:bCs/>
                <w:color w:val="auto"/>
                <w:kern w:val="0"/>
                <w:sz w:val="21"/>
                <w:szCs w:val="21"/>
                <w:lang w:val="en-US" w:eastAsia="zh-CN"/>
              </w:rPr>
              <w:t>表3-1  地表水监测结果  单位：mg/L</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6"/>
              <w:gridCol w:w="3148"/>
              <w:gridCol w:w="34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0"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监测点位</w:t>
                  </w:r>
                </w:p>
              </w:tc>
              <w:tc>
                <w:tcPr>
                  <w:tcW w:w="3161"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检测因子</w:t>
                  </w:r>
                </w:p>
              </w:tc>
              <w:tc>
                <w:tcPr>
                  <w:tcW w:w="3489"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0" w:type="dxa"/>
                  <w:vMerge w:val="restart"/>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峨眉河曾河坝</w:t>
                  </w:r>
                </w:p>
              </w:tc>
              <w:tc>
                <w:tcPr>
                  <w:tcW w:w="3161"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PH</w:t>
                  </w:r>
                </w:p>
              </w:tc>
              <w:tc>
                <w:tcPr>
                  <w:tcW w:w="3489"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0" w:type="dxa"/>
                  <w:vMerge w:val="continue"/>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61"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溶解氧</w:t>
                  </w:r>
                </w:p>
              </w:tc>
              <w:tc>
                <w:tcPr>
                  <w:tcW w:w="3489"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0" w:type="dxa"/>
                  <w:vMerge w:val="continue"/>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61"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高锰酸盐指数</w:t>
                  </w:r>
                </w:p>
              </w:tc>
              <w:tc>
                <w:tcPr>
                  <w:tcW w:w="3489"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0" w:type="dxa"/>
                  <w:vMerge w:val="continue"/>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61"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化学需氧量</w:t>
                  </w:r>
                </w:p>
              </w:tc>
              <w:tc>
                <w:tcPr>
                  <w:tcW w:w="3489"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0" w:type="dxa"/>
                  <w:vMerge w:val="continue"/>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61"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五日生化需氧量</w:t>
                  </w:r>
                </w:p>
              </w:tc>
              <w:tc>
                <w:tcPr>
                  <w:tcW w:w="3489"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0" w:type="dxa"/>
                  <w:vMerge w:val="continue"/>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61"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氨氮</w:t>
                  </w:r>
                </w:p>
              </w:tc>
              <w:tc>
                <w:tcPr>
                  <w:tcW w:w="3489"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0" w:type="dxa"/>
                  <w:vMerge w:val="continue"/>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61"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总磷</w:t>
                  </w:r>
                </w:p>
              </w:tc>
              <w:tc>
                <w:tcPr>
                  <w:tcW w:w="3489"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0" w:type="dxa"/>
                  <w:vMerge w:val="continue"/>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61"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挥发酚</w:t>
                  </w:r>
                </w:p>
              </w:tc>
              <w:tc>
                <w:tcPr>
                  <w:tcW w:w="3489"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0.0003L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0" w:type="dxa"/>
                  <w:vMerge w:val="continue"/>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61"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石油类</w:t>
                  </w:r>
                </w:p>
              </w:tc>
              <w:tc>
                <w:tcPr>
                  <w:tcW w:w="3489"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0" w:type="dxa"/>
                  <w:vMerge w:val="continue"/>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color w:val="auto"/>
                      <w:kern w:val="0"/>
                      <w:sz w:val="21"/>
                      <w:szCs w:val="21"/>
                      <w:vertAlign w:val="baseline"/>
                      <w:lang w:val="en-US" w:eastAsia="zh-CN"/>
                    </w:rPr>
                  </w:pPr>
                </w:p>
              </w:tc>
              <w:tc>
                <w:tcPr>
                  <w:tcW w:w="3161"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阴离子表面活性剂</w:t>
                  </w:r>
                </w:p>
              </w:tc>
              <w:tc>
                <w:tcPr>
                  <w:tcW w:w="3489"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0.05L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0" w:type="dxa"/>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执行标准</w:t>
                  </w:r>
                </w:p>
              </w:tc>
              <w:tc>
                <w:tcPr>
                  <w:tcW w:w="6650" w:type="dxa"/>
                  <w:gridSpan w:val="2"/>
                  <w:noWrap w:val="0"/>
                  <w:vAlign w:val="top"/>
                </w:tcPr>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行《地表水环境质量标准》（GB3838-2002）中的Ⅲ 类水域标准限值。</w:t>
                  </w:r>
                </w:p>
              </w:tc>
            </w:tr>
          </w:tbl>
          <w:p>
            <w:pPr>
              <w:pStyle w:val="2"/>
              <w:rPr>
                <w:rFonts w:hint="eastAsia" w:ascii="Times New Roman" w:hAnsi="Times New Roman" w:eastAsia="宋体" w:cs="Times New Roman"/>
                <w:color w:val="auto"/>
                <w:kern w:val="0"/>
                <w:sz w:val="24"/>
                <w:szCs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rFonts w:hint="eastAsia" w:ascii="Times New Roman" w:hAnsi="Times New Roman" w:eastAsia="宋体" w:cs="Times New Roman"/>
                <w:color w:val="auto"/>
                <w:kern w:val="0"/>
                <w:sz w:val="24"/>
                <w:szCs w:val="24"/>
                <w:lang w:val="en-US" w:eastAsia="zh-CN"/>
              </w:rPr>
              <w:t>由上表可知，</w:t>
            </w:r>
            <w:r>
              <w:rPr>
                <w:rFonts w:hint="default" w:ascii="Times New Roman" w:hAnsi="Times New Roman" w:eastAsia="宋体" w:cs="Times New Roman"/>
                <w:b w:val="0"/>
                <w:bCs w:val="0"/>
                <w:color w:val="auto"/>
                <w:spacing w:val="0"/>
                <w:sz w:val="24"/>
                <w:szCs w:val="24"/>
                <w:lang w:val="en-US" w:eastAsia="zh-CN"/>
              </w:rPr>
              <w:t>省考</w:t>
            </w:r>
            <w:r>
              <w:rPr>
                <w:rFonts w:hint="eastAsia" w:ascii="Times New Roman" w:hAnsi="Times New Roman" w:eastAsia="宋体" w:cs="Times New Roman"/>
                <w:b w:val="0"/>
                <w:bCs w:val="0"/>
                <w:color w:val="auto"/>
                <w:spacing w:val="0"/>
                <w:sz w:val="24"/>
                <w:szCs w:val="24"/>
                <w:lang w:val="en-US" w:eastAsia="zh-CN"/>
              </w:rPr>
              <w:t>峨眉河曾河坝</w:t>
            </w:r>
            <w:r>
              <w:rPr>
                <w:rFonts w:hint="default" w:ascii="Times New Roman" w:hAnsi="Times New Roman" w:eastAsia="宋体" w:cs="Times New Roman"/>
                <w:b w:val="0"/>
                <w:bCs w:val="0"/>
                <w:color w:val="auto"/>
                <w:spacing w:val="0"/>
                <w:sz w:val="24"/>
                <w:szCs w:val="24"/>
                <w:lang w:val="en-US" w:eastAsia="zh-CN"/>
              </w:rPr>
              <w:t>断面地表水质为Ⅱ</w:t>
            </w:r>
            <w:r>
              <w:rPr>
                <w:rFonts w:hint="eastAsia" w:ascii="Times New Roman" w:hAnsi="Times New Roman" w:eastAsia="宋体" w:cs="Times New Roman"/>
                <w:b w:val="0"/>
                <w:bCs w:val="0"/>
                <w:color w:val="auto"/>
                <w:spacing w:val="0"/>
                <w:sz w:val="24"/>
                <w:szCs w:val="24"/>
                <w:lang w:val="en-US" w:eastAsia="zh-CN"/>
              </w:rPr>
              <w:t>I</w:t>
            </w:r>
            <w:r>
              <w:rPr>
                <w:rFonts w:hint="default" w:ascii="Times New Roman" w:hAnsi="Times New Roman" w:eastAsia="宋体" w:cs="Times New Roman"/>
                <w:b w:val="0"/>
                <w:bCs w:val="0"/>
                <w:color w:val="auto"/>
                <w:spacing w:val="0"/>
                <w:sz w:val="24"/>
                <w:szCs w:val="24"/>
                <w:lang w:val="en-US" w:eastAsia="zh-CN"/>
              </w:rPr>
              <w:t>类</w:t>
            </w:r>
            <w:r>
              <w:rPr>
                <w:rFonts w:hint="eastAsia" w:ascii="Times New Roman" w:hAnsi="Times New Roman" w:eastAsia="宋体" w:cs="Times New Roman"/>
                <w:b w:val="0"/>
                <w:bCs w:val="0"/>
                <w:color w:val="auto"/>
                <w:spacing w:val="0"/>
                <w:sz w:val="24"/>
                <w:szCs w:val="24"/>
                <w:lang w:val="en-US" w:eastAsia="zh-CN"/>
              </w:rPr>
              <w:t>，本项目所在地地表水水质良好</w:t>
            </w:r>
            <w:r>
              <w:rPr>
                <w:rFonts w:hint="default" w:ascii="Times New Roman" w:hAnsi="Times New Roman" w:eastAsia="宋体" w:cs="Times New Roman"/>
                <w:b w:val="0"/>
                <w:bCs w:val="0"/>
                <w:color w:val="auto"/>
                <w:spacing w:val="0"/>
                <w:sz w:val="24"/>
                <w:szCs w:val="24"/>
                <w:lang w:val="en-US" w:eastAsia="zh-CN"/>
              </w:rPr>
              <w:t>。</w:t>
            </w:r>
          </w:p>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360" w:lineRule="auto"/>
              <w:ind w:left="0" w:leftChars="0" w:firstLine="482" w:firstLineChars="200"/>
              <w:textAlignment w:val="baseline"/>
              <w:rPr>
                <w:rFonts w:hint="default" w:ascii="Times New Roman" w:hAnsi="Times New Roman" w:eastAsia="宋体" w:cs="Times New Roman"/>
                <w:b/>
                <w:bCs/>
                <w:snapToGrid/>
                <w:color w:val="auto"/>
                <w:spacing w:val="0"/>
                <w:kern w:val="0"/>
                <w:sz w:val="24"/>
                <w:szCs w:val="24"/>
                <w:lang w:val="en-US" w:eastAsia="zh-CN" w:bidi="ar-SA"/>
              </w:rPr>
            </w:pPr>
            <w:r>
              <w:rPr>
                <w:rFonts w:hint="default" w:ascii="Times New Roman" w:hAnsi="Times New Roman" w:eastAsia="宋体" w:cs="Times New Roman"/>
                <w:b/>
                <w:bCs/>
                <w:snapToGrid/>
                <w:color w:val="auto"/>
                <w:spacing w:val="0"/>
                <w:kern w:val="0"/>
                <w:sz w:val="24"/>
                <w:szCs w:val="24"/>
                <w:lang w:val="en-US" w:eastAsia="zh-CN" w:bidi="ar-SA"/>
              </w:rPr>
              <w:t>4、声环境质量现状评价</w:t>
            </w:r>
          </w:p>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360" w:lineRule="auto"/>
              <w:ind w:left="0" w:leftChars="0" w:firstLine="482" w:firstLineChars="200"/>
              <w:textAlignment w:val="baseline"/>
              <w:rPr>
                <w:rFonts w:hint="default" w:ascii="Times New Roman" w:hAnsi="Times New Roman" w:eastAsia="宋体" w:cs="Times New Roman"/>
                <w:b/>
                <w:bCs/>
                <w:snapToGrid/>
                <w:color w:val="auto"/>
                <w:spacing w:val="0"/>
                <w:kern w:val="0"/>
                <w:sz w:val="24"/>
                <w:szCs w:val="24"/>
                <w:lang w:val="en-US" w:eastAsia="zh-CN" w:bidi="ar-SA"/>
              </w:rPr>
            </w:pPr>
            <w:r>
              <w:rPr>
                <w:rFonts w:hint="default" w:ascii="Times New Roman" w:hAnsi="Times New Roman" w:eastAsia="宋体" w:cs="Times New Roman"/>
                <w:b/>
                <w:bCs/>
                <w:snapToGrid/>
                <w:color w:val="auto"/>
                <w:spacing w:val="0"/>
                <w:kern w:val="0"/>
                <w:sz w:val="24"/>
                <w:szCs w:val="24"/>
                <w:lang w:val="en-US" w:eastAsia="zh-CN" w:bidi="ar-SA"/>
              </w:rPr>
              <w:t>（1）监测点位布设及监测频次</w:t>
            </w:r>
          </w:p>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360" w:lineRule="auto"/>
              <w:ind w:leftChars="0" w:firstLine="567"/>
              <w:textAlignment w:val="baseline"/>
              <w:rPr>
                <w:rFonts w:hint="default" w:ascii="Times New Roman" w:hAnsi="Times New Roman" w:eastAsia="宋体" w:cs="Times New Roman"/>
                <w:snapToGrid/>
                <w:color w:val="auto"/>
                <w:spacing w:val="0"/>
                <w:kern w:val="0"/>
                <w:sz w:val="24"/>
                <w:szCs w:val="24"/>
                <w:lang w:val="en-US" w:eastAsia="zh-CN" w:bidi="ar-SA"/>
              </w:rPr>
            </w:pPr>
            <w:r>
              <w:rPr>
                <w:rFonts w:hint="default" w:ascii="Times New Roman" w:hAnsi="Times New Roman" w:eastAsia="宋体" w:cs="Times New Roman"/>
                <w:snapToGrid/>
                <w:color w:val="auto"/>
                <w:spacing w:val="0"/>
                <w:kern w:val="0"/>
                <w:sz w:val="24"/>
                <w:szCs w:val="24"/>
                <w:lang w:val="en-US" w:eastAsia="zh-CN" w:bidi="ar-SA"/>
              </w:rPr>
              <w:t>为查明评价区声环境现状，根据建设项目所在地实际情况，现状监测共设置</w:t>
            </w:r>
            <w:r>
              <w:rPr>
                <w:rFonts w:hint="eastAsia" w:ascii="Times New Roman" w:hAnsi="Times New Roman" w:eastAsia="宋体" w:cs="Times New Roman"/>
                <w:snapToGrid/>
                <w:color w:val="auto"/>
                <w:spacing w:val="0"/>
                <w:kern w:val="0"/>
                <w:sz w:val="24"/>
                <w:szCs w:val="24"/>
                <w:lang w:val="en-US" w:eastAsia="zh-CN" w:bidi="ar-SA"/>
              </w:rPr>
              <w:t>6</w:t>
            </w:r>
            <w:r>
              <w:rPr>
                <w:rFonts w:hint="default" w:ascii="Times New Roman" w:hAnsi="Times New Roman" w:eastAsia="宋体" w:cs="Times New Roman"/>
                <w:snapToGrid/>
                <w:color w:val="auto"/>
                <w:spacing w:val="0"/>
                <w:kern w:val="0"/>
                <w:sz w:val="24"/>
                <w:szCs w:val="24"/>
                <w:lang w:val="en-US" w:eastAsia="zh-CN" w:bidi="ar-SA"/>
              </w:rPr>
              <w:t>个噪声监测点。</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黑体" w:cs="Times New Roman"/>
                <w:b/>
                <w:bCs/>
                <w:color w:val="auto"/>
                <w:spacing w:val="0"/>
                <w:kern w:val="2"/>
                <w:sz w:val="21"/>
                <w:szCs w:val="21"/>
                <w:lang w:val="en-US" w:eastAsia="zh-CN" w:bidi="ar-SA"/>
              </w:rPr>
            </w:pPr>
            <w:r>
              <w:rPr>
                <w:rFonts w:hint="default" w:ascii="Times New Roman" w:hAnsi="Times New Roman" w:eastAsia="黑体" w:cs="Times New Roman"/>
                <w:b/>
                <w:bCs/>
                <w:color w:val="auto"/>
                <w:spacing w:val="0"/>
                <w:kern w:val="2"/>
                <w:sz w:val="21"/>
                <w:szCs w:val="21"/>
                <w:lang w:val="en-US" w:eastAsia="zh-CN" w:bidi="ar-SA"/>
              </w:rPr>
              <w:t>表3-</w:t>
            </w:r>
            <w:r>
              <w:rPr>
                <w:rFonts w:hint="eastAsia" w:ascii="Times New Roman" w:hAnsi="Times New Roman" w:eastAsia="黑体" w:cs="Times New Roman"/>
                <w:b/>
                <w:bCs/>
                <w:color w:val="auto"/>
                <w:spacing w:val="0"/>
                <w:kern w:val="2"/>
                <w:sz w:val="21"/>
                <w:szCs w:val="21"/>
                <w:lang w:val="en-US" w:eastAsia="zh-CN" w:bidi="ar-SA"/>
              </w:rPr>
              <w:t>2</w:t>
            </w:r>
            <w:r>
              <w:rPr>
                <w:rFonts w:hint="default" w:ascii="Times New Roman" w:hAnsi="Times New Roman" w:eastAsia="黑体" w:cs="Times New Roman"/>
                <w:b/>
                <w:bCs/>
                <w:color w:val="auto"/>
                <w:spacing w:val="0"/>
                <w:kern w:val="2"/>
                <w:sz w:val="21"/>
                <w:szCs w:val="21"/>
                <w:lang w:val="en-US" w:eastAsia="zh-CN" w:bidi="ar-SA"/>
              </w:rPr>
              <w:t xml:space="preserve">  检测项目、点位及频次</w:t>
            </w:r>
          </w:p>
          <w:tbl>
            <w:tblPr>
              <w:tblStyle w:val="39"/>
              <w:tblW w:w="789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362"/>
              <w:gridCol w:w="3152"/>
              <w:gridCol w:w="338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0" w:hRule="atLeast"/>
                <w:tblHeader/>
                <w:jc w:val="center"/>
              </w:trPr>
              <w:tc>
                <w:tcPr>
                  <w:tcW w:w="862" w:type="pct"/>
                  <w:tcBorders>
                    <w:lef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类  别</w:t>
                  </w:r>
                </w:p>
              </w:tc>
              <w:tc>
                <w:tcPr>
                  <w:tcW w:w="1995"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检测项目</w:t>
                  </w:r>
                </w:p>
              </w:tc>
              <w:tc>
                <w:tcPr>
                  <w:tcW w:w="2142" w:type="pct"/>
                  <w:tcBorders>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检测点位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0" w:hRule="atLeast"/>
                <w:tblHeader/>
                <w:jc w:val="center"/>
              </w:trPr>
              <w:tc>
                <w:tcPr>
                  <w:tcW w:w="862" w:type="pct"/>
                  <w:vMerge w:val="restart"/>
                  <w:tcBorders>
                    <w:lef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eastAsia="zh-CN"/>
                    </w:rPr>
                    <w:t>环境</w:t>
                  </w:r>
                  <w:r>
                    <w:rPr>
                      <w:rFonts w:hint="default" w:ascii="Times New Roman" w:hAnsi="Times New Roman" w:eastAsia="宋体" w:cs="Times New Roman"/>
                      <w:color w:val="auto"/>
                      <w:spacing w:val="0"/>
                      <w:sz w:val="21"/>
                      <w:szCs w:val="21"/>
                    </w:rPr>
                    <w:t>噪声</w:t>
                  </w:r>
                </w:p>
              </w:tc>
              <w:tc>
                <w:tcPr>
                  <w:tcW w:w="1995" w:type="pct"/>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eastAsia="zh-CN"/>
                    </w:rPr>
                    <w:t>等效连续</w:t>
                  </w:r>
                  <w:r>
                    <w:rPr>
                      <w:rFonts w:hint="default" w:ascii="Times New Roman" w:hAnsi="Times New Roman" w:eastAsia="宋体" w:cs="Times New Roman"/>
                      <w:color w:val="auto"/>
                      <w:spacing w:val="0"/>
                      <w:sz w:val="21"/>
                      <w:szCs w:val="21"/>
                      <w:lang w:val="en-US" w:eastAsia="zh-CN"/>
                    </w:rPr>
                    <w:t>A声级</w:t>
                  </w:r>
                </w:p>
              </w:tc>
              <w:tc>
                <w:tcPr>
                  <w:tcW w:w="2142" w:type="pct"/>
                  <w:tcBorders>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sz w:val="21"/>
                      <w:szCs w:val="21"/>
                      <w:lang w:val="en-US" w:eastAsia="zh-CN"/>
                    </w:rPr>
                    <w:t>右岸新建护岸起点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0" w:hRule="atLeast"/>
                <w:tblHeader/>
                <w:jc w:val="center"/>
              </w:trPr>
              <w:tc>
                <w:tcPr>
                  <w:tcW w:w="862" w:type="pct"/>
                  <w:vMerge w:val="continue"/>
                  <w:tcBorders>
                    <w:lef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pacing w:val="0"/>
                      <w:sz w:val="21"/>
                      <w:szCs w:val="21"/>
                    </w:rPr>
                  </w:pPr>
                </w:p>
              </w:tc>
              <w:tc>
                <w:tcPr>
                  <w:tcW w:w="1995"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pacing w:val="0"/>
                      <w:sz w:val="21"/>
                      <w:szCs w:val="21"/>
                    </w:rPr>
                  </w:pPr>
                </w:p>
              </w:tc>
              <w:tc>
                <w:tcPr>
                  <w:tcW w:w="2142" w:type="pct"/>
                  <w:tcBorders>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sz w:val="21"/>
                      <w:szCs w:val="21"/>
                      <w:lang w:val="en-US" w:eastAsia="zh-CN"/>
                    </w:rPr>
                    <w:t>右岸气盾坝</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0" w:hRule="atLeast"/>
                <w:tblHeader/>
                <w:jc w:val="center"/>
              </w:trPr>
              <w:tc>
                <w:tcPr>
                  <w:tcW w:w="862" w:type="pct"/>
                  <w:vMerge w:val="continue"/>
                  <w:tcBorders>
                    <w:lef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pacing w:val="0"/>
                      <w:sz w:val="21"/>
                      <w:szCs w:val="21"/>
                    </w:rPr>
                  </w:pPr>
                </w:p>
              </w:tc>
              <w:tc>
                <w:tcPr>
                  <w:tcW w:w="1995"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pacing w:val="0"/>
                      <w:sz w:val="21"/>
                      <w:szCs w:val="21"/>
                    </w:rPr>
                  </w:pPr>
                </w:p>
              </w:tc>
              <w:tc>
                <w:tcPr>
                  <w:tcW w:w="2142" w:type="pct"/>
                  <w:tcBorders>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pacing w:val="0"/>
                      <w:sz w:val="21"/>
                      <w:szCs w:val="21"/>
                      <w:lang w:val="en-US" w:eastAsia="zh-CN" w:bidi="ar-SA"/>
                    </w:rPr>
                  </w:pPr>
                  <w:r>
                    <w:rPr>
                      <w:rFonts w:hint="eastAsia" w:ascii="Times New Roman" w:hAnsi="Times New Roman" w:eastAsia="宋体" w:cs="Times New Roman"/>
                      <w:color w:val="auto"/>
                      <w:spacing w:val="0"/>
                      <w:sz w:val="21"/>
                      <w:szCs w:val="21"/>
                      <w:lang w:val="en-US" w:eastAsia="zh-CN"/>
                    </w:rPr>
                    <w:t>右岸住户处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0" w:hRule="atLeast"/>
                <w:tblHeader/>
                <w:jc w:val="center"/>
              </w:trPr>
              <w:tc>
                <w:tcPr>
                  <w:tcW w:w="862" w:type="pct"/>
                  <w:vMerge w:val="continue"/>
                  <w:tcBorders>
                    <w:lef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pacing w:val="0"/>
                      <w:sz w:val="21"/>
                      <w:szCs w:val="21"/>
                    </w:rPr>
                  </w:pPr>
                </w:p>
              </w:tc>
              <w:tc>
                <w:tcPr>
                  <w:tcW w:w="1995"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pacing w:val="0"/>
                      <w:sz w:val="21"/>
                      <w:szCs w:val="21"/>
                    </w:rPr>
                  </w:pPr>
                </w:p>
              </w:tc>
              <w:tc>
                <w:tcPr>
                  <w:tcW w:w="2142" w:type="pct"/>
                  <w:tcBorders>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左岸护坡起点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0" w:hRule="atLeast"/>
                <w:tblHeader/>
                <w:jc w:val="center"/>
              </w:trPr>
              <w:tc>
                <w:tcPr>
                  <w:tcW w:w="862" w:type="pct"/>
                  <w:vMerge w:val="continue"/>
                  <w:tcBorders>
                    <w:lef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pacing w:val="0"/>
                      <w:sz w:val="21"/>
                      <w:szCs w:val="21"/>
                    </w:rPr>
                  </w:pPr>
                </w:p>
              </w:tc>
              <w:tc>
                <w:tcPr>
                  <w:tcW w:w="1995"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pacing w:val="0"/>
                      <w:sz w:val="21"/>
                      <w:szCs w:val="21"/>
                    </w:rPr>
                  </w:pPr>
                </w:p>
              </w:tc>
              <w:tc>
                <w:tcPr>
                  <w:tcW w:w="2142" w:type="pct"/>
                  <w:tcBorders>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左岸住户处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0" w:hRule="atLeast"/>
                <w:tblHeader/>
                <w:jc w:val="center"/>
              </w:trPr>
              <w:tc>
                <w:tcPr>
                  <w:tcW w:w="862" w:type="pct"/>
                  <w:vMerge w:val="continue"/>
                  <w:tcBorders>
                    <w:lef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pacing w:val="0"/>
                      <w:sz w:val="21"/>
                      <w:szCs w:val="21"/>
                    </w:rPr>
                  </w:pPr>
                </w:p>
              </w:tc>
              <w:tc>
                <w:tcPr>
                  <w:tcW w:w="1995"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pacing w:val="0"/>
                      <w:sz w:val="21"/>
                      <w:szCs w:val="21"/>
                    </w:rPr>
                  </w:pPr>
                </w:p>
              </w:tc>
              <w:tc>
                <w:tcPr>
                  <w:tcW w:w="2142" w:type="pct"/>
                  <w:tcBorders>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施工工区处</w:t>
                  </w:r>
                </w:p>
              </w:tc>
            </w:tr>
          </w:tbl>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360" w:lineRule="auto"/>
              <w:ind w:left="0" w:leftChars="0" w:firstLine="482" w:firstLineChars="200"/>
              <w:textAlignment w:val="baseline"/>
              <w:rPr>
                <w:rFonts w:hint="default" w:ascii="Times New Roman" w:hAnsi="Times New Roman" w:eastAsia="黑体" w:cs="Times New Roman"/>
                <w:b/>
                <w:bCs/>
                <w:color w:val="auto"/>
                <w:spacing w:val="0"/>
                <w:kern w:val="2"/>
                <w:sz w:val="21"/>
                <w:szCs w:val="21"/>
                <w:lang w:val="en-US" w:eastAsia="zh-CN" w:bidi="ar-SA"/>
              </w:rPr>
            </w:pPr>
            <w:r>
              <w:rPr>
                <w:rFonts w:hint="default" w:ascii="Times New Roman" w:hAnsi="Times New Roman" w:eastAsia="宋体" w:cs="Times New Roman"/>
                <w:b/>
                <w:bCs/>
                <w:snapToGrid/>
                <w:color w:val="auto"/>
                <w:spacing w:val="0"/>
                <w:kern w:val="0"/>
                <w:sz w:val="24"/>
                <w:szCs w:val="24"/>
                <w:lang w:val="en-US" w:eastAsia="zh-CN" w:bidi="ar-SA"/>
              </w:rPr>
              <w:t>（2）检测结果及评价</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黑体" w:cs="Times New Roman"/>
                <w:b/>
                <w:bCs/>
                <w:color w:val="auto"/>
                <w:spacing w:val="0"/>
                <w:kern w:val="2"/>
                <w:sz w:val="21"/>
                <w:szCs w:val="21"/>
                <w:lang w:val="en-US" w:eastAsia="zh-CN" w:bidi="ar-SA"/>
              </w:rPr>
            </w:pPr>
            <w:r>
              <w:rPr>
                <w:rFonts w:hint="default" w:ascii="Times New Roman" w:hAnsi="Times New Roman" w:eastAsia="黑体" w:cs="Times New Roman"/>
                <w:b/>
                <w:bCs/>
                <w:color w:val="auto"/>
                <w:spacing w:val="0"/>
                <w:kern w:val="2"/>
                <w:sz w:val="21"/>
                <w:szCs w:val="21"/>
                <w:lang w:val="en-US" w:eastAsia="zh-CN" w:bidi="ar-SA"/>
              </w:rPr>
              <w:t>表3-</w:t>
            </w:r>
            <w:r>
              <w:rPr>
                <w:rFonts w:hint="eastAsia" w:ascii="Times New Roman" w:hAnsi="Times New Roman" w:eastAsia="黑体" w:cs="Times New Roman"/>
                <w:b/>
                <w:bCs/>
                <w:color w:val="auto"/>
                <w:spacing w:val="0"/>
                <w:kern w:val="2"/>
                <w:sz w:val="21"/>
                <w:szCs w:val="21"/>
                <w:lang w:val="en-US" w:eastAsia="zh-CN" w:bidi="ar-SA"/>
              </w:rPr>
              <w:t>3</w:t>
            </w:r>
            <w:r>
              <w:rPr>
                <w:rFonts w:hint="default" w:ascii="Times New Roman" w:hAnsi="Times New Roman" w:eastAsia="黑体" w:cs="Times New Roman"/>
                <w:b/>
                <w:bCs/>
                <w:color w:val="auto"/>
                <w:spacing w:val="0"/>
                <w:kern w:val="2"/>
                <w:sz w:val="21"/>
                <w:szCs w:val="21"/>
                <w:lang w:val="en-US" w:eastAsia="zh-CN" w:bidi="ar-SA"/>
              </w:rPr>
              <w:t xml:space="preserve">  噪声监测结果  </w:t>
            </w:r>
            <w:r>
              <w:rPr>
                <w:rFonts w:hint="eastAsia" w:ascii="Times New Roman" w:hAnsi="Times New Roman" w:eastAsia="黑体" w:cs="Times New Roman"/>
                <w:b/>
                <w:bCs/>
                <w:color w:val="auto"/>
                <w:spacing w:val="0"/>
                <w:kern w:val="2"/>
                <w:sz w:val="21"/>
                <w:szCs w:val="21"/>
                <w:lang w:val="en-US" w:eastAsia="zh-CN" w:bidi="ar-SA"/>
              </w:rPr>
              <w:t xml:space="preserve"> </w:t>
            </w:r>
            <w:r>
              <w:rPr>
                <w:rFonts w:hint="default" w:ascii="Times New Roman" w:hAnsi="Times New Roman" w:eastAsia="黑体" w:cs="Times New Roman"/>
                <w:b/>
                <w:bCs/>
                <w:color w:val="auto"/>
                <w:spacing w:val="0"/>
                <w:kern w:val="2"/>
                <w:sz w:val="21"/>
                <w:szCs w:val="21"/>
                <w:lang w:val="en-US" w:eastAsia="zh-CN" w:bidi="ar-SA"/>
              </w:rPr>
              <w:t>单位：dB（A）</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0"/>
              <w:gridCol w:w="1950"/>
              <w:gridCol w:w="1567"/>
              <w:gridCol w:w="1567"/>
              <w:gridCol w:w="15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1192"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监测日期</w:t>
                  </w:r>
                </w:p>
              </w:tc>
              <w:tc>
                <w:tcPr>
                  <w:tcW w:w="1966"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监测点位</w:t>
                  </w:r>
                </w:p>
              </w:tc>
              <w:tc>
                <w:tcPr>
                  <w:tcW w:w="1579"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点位编号</w:t>
                  </w:r>
                </w:p>
              </w:tc>
              <w:tc>
                <w:tcPr>
                  <w:tcW w:w="3158" w:type="dxa"/>
                  <w:gridSpan w:val="2"/>
                  <w:tcBorders>
                    <w:bottom w:val="single" w:color="000000"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1192"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黑体" w:cs="Times New Roman"/>
                      <w:color w:val="auto"/>
                      <w:spacing w:val="0"/>
                      <w:kern w:val="2"/>
                      <w:sz w:val="21"/>
                      <w:szCs w:val="21"/>
                      <w:vertAlign w:val="baseline"/>
                      <w:lang w:val="en-US" w:eastAsia="zh-CN" w:bidi="ar-SA"/>
                    </w:rPr>
                  </w:pPr>
                </w:p>
              </w:tc>
              <w:tc>
                <w:tcPr>
                  <w:tcW w:w="1966"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黑体" w:cs="Times New Roman"/>
                      <w:color w:val="auto"/>
                      <w:spacing w:val="0"/>
                      <w:kern w:val="2"/>
                      <w:sz w:val="21"/>
                      <w:szCs w:val="21"/>
                      <w:vertAlign w:val="baseline"/>
                      <w:lang w:val="en-US" w:eastAsia="zh-CN" w:bidi="ar-SA"/>
                    </w:rPr>
                  </w:pPr>
                </w:p>
              </w:tc>
              <w:tc>
                <w:tcPr>
                  <w:tcW w:w="1579"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黑体" w:cs="Times New Roman"/>
                      <w:color w:val="auto"/>
                      <w:spacing w:val="0"/>
                      <w:kern w:val="2"/>
                      <w:sz w:val="21"/>
                      <w:szCs w:val="21"/>
                      <w:vertAlign w:val="baseline"/>
                      <w:lang w:val="en-US" w:eastAsia="zh-CN" w:bidi="ar-SA"/>
                    </w:rPr>
                  </w:pPr>
                </w:p>
              </w:tc>
              <w:tc>
                <w:tcPr>
                  <w:tcW w:w="1579" w:type="dxa"/>
                  <w:tcBorders>
                    <w:top w:val="single" w:color="000000"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昼间</w:t>
                  </w:r>
                </w:p>
              </w:tc>
              <w:tc>
                <w:tcPr>
                  <w:tcW w:w="1579" w:type="dxa"/>
                  <w:tcBorders>
                    <w:top w:val="single" w:color="000000"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2"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2022.6.13</w:t>
                  </w:r>
                </w:p>
              </w:tc>
              <w:tc>
                <w:tcPr>
                  <w:tcW w:w="1966"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宋体" w:cs="Times New Roman"/>
                      <w:color w:val="auto"/>
                      <w:spacing w:val="0"/>
                      <w:sz w:val="21"/>
                      <w:szCs w:val="21"/>
                      <w:lang w:val="en-US" w:eastAsia="zh-CN"/>
                    </w:rPr>
                    <w:t>右岸新建护岸起点</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1#</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51</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2"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p>
              </w:tc>
              <w:tc>
                <w:tcPr>
                  <w:tcW w:w="1966"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宋体" w:cs="Times New Roman"/>
                      <w:color w:val="auto"/>
                      <w:spacing w:val="0"/>
                      <w:sz w:val="21"/>
                      <w:szCs w:val="21"/>
                      <w:lang w:val="en-US" w:eastAsia="zh-CN"/>
                    </w:rPr>
                    <w:t>右岸气盾坝</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2#</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54</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2"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p>
              </w:tc>
              <w:tc>
                <w:tcPr>
                  <w:tcW w:w="1966"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宋体" w:cs="Times New Roman"/>
                      <w:color w:val="auto"/>
                      <w:spacing w:val="0"/>
                      <w:sz w:val="21"/>
                      <w:szCs w:val="21"/>
                      <w:lang w:val="en-US" w:eastAsia="zh-CN"/>
                    </w:rPr>
                    <w:t>右岸住户处</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3#</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50</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2"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p>
              </w:tc>
              <w:tc>
                <w:tcPr>
                  <w:tcW w:w="1966"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宋体" w:cs="Times New Roman"/>
                      <w:color w:val="auto"/>
                      <w:spacing w:val="0"/>
                      <w:sz w:val="21"/>
                      <w:szCs w:val="21"/>
                      <w:lang w:val="en-US" w:eastAsia="zh-CN"/>
                    </w:rPr>
                    <w:t>左岸护坡起点</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4#</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53</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2"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p>
              </w:tc>
              <w:tc>
                <w:tcPr>
                  <w:tcW w:w="1966"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宋体" w:cs="Times New Roman"/>
                      <w:color w:val="auto"/>
                      <w:spacing w:val="0"/>
                      <w:sz w:val="21"/>
                      <w:szCs w:val="21"/>
                      <w:lang w:val="en-US" w:eastAsia="zh-CN"/>
                    </w:rPr>
                    <w:t>左岸住户处</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5#</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52</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2"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p>
              </w:tc>
              <w:tc>
                <w:tcPr>
                  <w:tcW w:w="1966"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宋体" w:cs="Times New Roman"/>
                      <w:color w:val="auto"/>
                      <w:spacing w:val="0"/>
                      <w:sz w:val="21"/>
                      <w:szCs w:val="21"/>
                      <w:lang w:val="en-US" w:eastAsia="zh-CN"/>
                    </w:rPr>
                    <w:t>施工工区处</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6#</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57</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2"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2022.6.14</w:t>
                  </w:r>
                </w:p>
              </w:tc>
              <w:tc>
                <w:tcPr>
                  <w:tcW w:w="1966"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右岸新建护岸起点</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1#</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52</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2"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p>
              </w:tc>
              <w:tc>
                <w:tcPr>
                  <w:tcW w:w="1966"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右岸气盾坝</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2#</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57</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2"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p>
              </w:tc>
              <w:tc>
                <w:tcPr>
                  <w:tcW w:w="1966"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右岸住户处</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3#</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52</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2"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p>
              </w:tc>
              <w:tc>
                <w:tcPr>
                  <w:tcW w:w="1966"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左岸护坡起点</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4#</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52</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2"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p>
              </w:tc>
              <w:tc>
                <w:tcPr>
                  <w:tcW w:w="1966"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左岸住户处</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5#</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48</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2"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p>
              </w:tc>
              <w:tc>
                <w:tcPr>
                  <w:tcW w:w="1966"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施工工区处</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6#</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55</w:t>
                  </w:r>
                </w:p>
              </w:tc>
              <w:tc>
                <w:tcPr>
                  <w:tcW w:w="1579"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黑体" w:cs="Times New Roman"/>
                      <w:color w:val="auto"/>
                      <w:spacing w:val="0"/>
                      <w:kern w:val="2"/>
                      <w:sz w:val="21"/>
                      <w:szCs w:val="21"/>
                      <w:vertAlign w:val="baseline"/>
                      <w:lang w:val="en-US" w:eastAsia="zh-CN" w:bidi="ar-SA"/>
                    </w:rPr>
                  </w:pPr>
                  <w:r>
                    <w:rPr>
                      <w:rFonts w:hint="eastAsia" w:ascii="Times New Roman" w:hAnsi="Times New Roman" w:eastAsia="黑体" w:cs="Times New Roman"/>
                      <w:color w:val="auto"/>
                      <w:spacing w:val="0"/>
                      <w:kern w:val="2"/>
                      <w:sz w:val="21"/>
                      <w:szCs w:val="21"/>
                      <w:vertAlign w:val="baseline"/>
                      <w:lang w:val="en-US" w:eastAsia="zh-CN" w:bidi="ar-SA"/>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95" w:type="dxa"/>
                  <w:gridSpan w:val="5"/>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sz w:val="21"/>
                    </w:rPr>
                    <w:t>《声环境质量标准》（</w:t>
                  </w:r>
                  <w:r>
                    <w:rPr>
                      <w:rFonts w:hint="default" w:ascii="Times New Roman" w:hAnsi="Times New Roman" w:eastAsia="Times New Roman" w:cs="Times New Roman"/>
                      <w:color w:val="auto"/>
                      <w:spacing w:val="0"/>
                      <w:sz w:val="21"/>
                    </w:rPr>
                    <w:t>GB3096-2008</w:t>
                  </w:r>
                  <w:r>
                    <w:rPr>
                      <w:rFonts w:hint="default" w:ascii="Times New Roman" w:hAnsi="Times New Roman" w:cs="Times New Roman"/>
                      <w:color w:val="auto"/>
                      <w:spacing w:val="0"/>
                      <w:sz w:val="21"/>
                    </w:rPr>
                    <w:t>）</w:t>
                  </w:r>
                  <w:r>
                    <w:rPr>
                      <w:rFonts w:hint="default" w:ascii="Times New Roman" w:hAnsi="Times New Roman" w:eastAsia="Times New Roman" w:cs="Times New Roman"/>
                      <w:color w:val="auto"/>
                      <w:spacing w:val="0"/>
                      <w:sz w:val="21"/>
                    </w:rPr>
                    <w:t xml:space="preserve">2 </w:t>
                  </w:r>
                  <w:r>
                    <w:rPr>
                      <w:rFonts w:hint="default" w:ascii="Times New Roman" w:hAnsi="Times New Roman" w:cs="Times New Roman"/>
                      <w:color w:val="auto"/>
                      <w:spacing w:val="0"/>
                      <w:sz w:val="21"/>
                    </w:rPr>
                    <w:t>类标准：昼间：</w:t>
                  </w:r>
                  <w:r>
                    <w:rPr>
                      <w:rFonts w:hint="default" w:ascii="Times New Roman" w:hAnsi="Times New Roman" w:eastAsia="Times New Roman" w:cs="Times New Roman"/>
                      <w:color w:val="auto"/>
                      <w:spacing w:val="0"/>
                      <w:sz w:val="21"/>
                    </w:rPr>
                    <w:t>60dB</w:t>
                  </w:r>
                  <w:r>
                    <w:rPr>
                      <w:rFonts w:hint="default" w:ascii="Times New Roman" w:hAnsi="Times New Roman" w:cs="Times New Roman"/>
                      <w:color w:val="auto"/>
                      <w:spacing w:val="0"/>
                      <w:sz w:val="21"/>
                    </w:rPr>
                    <w:t>（</w:t>
                  </w:r>
                  <w:r>
                    <w:rPr>
                      <w:rFonts w:hint="default" w:ascii="Times New Roman" w:hAnsi="Times New Roman" w:eastAsia="Times New Roman" w:cs="Times New Roman"/>
                      <w:color w:val="auto"/>
                      <w:spacing w:val="0"/>
                      <w:sz w:val="21"/>
                    </w:rPr>
                    <w:t>A</w:t>
                  </w:r>
                  <w:r>
                    <w:rPr>
                      <w:rFonts w:hint="default" w:ascii="Times New Roman" w:hAnsi="Times New Roman" w:cs="Times New Roman"/>
                      <w:color w:val="auto"/>
                      <w:spacing w:val="0"/>
                      <w:sz w:val="21"/>
                    </w:rPr>
                    <w:t>）</w:t>
                  </w:r>
                  <w:r>
                    <w:rPr>
                      <w:rFonts w:hint="default" w:ascii="Times New Roman" w:hAnsi="Times New Roman" w:cs="Times New Roman"/>
                      <w:color w:val="auto"/>
                      <w:spacing w:val="0"/>
                      <w:sz w:val="21"/>
                      <w:lang w:val="en-US" w:eastAsia="zh-CN"/>
                    </w:rPr>
                    <w:t xml:space="preserve">  </w:t>
                  </w:r>
                  <w:r>
                    <w:rPr>
                      <w:rFonts w:hint="default" w:ascii="Times New Roman" w:hAnsi="Times New Roman" w:cs="Times New Roman"/>
                      <w:color w:val="auto"/>
                      <w:spacing w:val="0"/>
                      <w:w w:val="95"/>
                      <w:sz w:val="21"/>
                    </w:rPr>
                    <w:t>夜间：</w:t>
                  </w:r>
                  <w:r>
                    <w:rPr>
                      <w:rFonts w:hint="default" w:ascii="Times New Roman" w:hAnsi="Times New Roman" w:eastAsia="Times New Roman" w:cs="Times New Roman"/>
                      <w:color w:val="auto"/>
                      <w:spacing w:val="0"/>
                      <w:w w:val="95"/>
                      <w:sz w:val="21"/>
                    </w:rPr>
                    <w:t>50B</w:t>
                  </w:r>
                  <w:r>
                    <w:rPr>
                      <w:rFonts w:hint="default" w:ascii="Times New Roman" w:hAnsi="Times New Roman" w:cs="Times New Roman"/>
                      <w:color w:val="auto"/>
                      <w:spacing w:val="0"/>
                      <w:w w:val="95"/>
                      <w:sz w:val="21"/>
                    </w:rPr>
                    <w:t>（</w:t>
                  </w:r>
                  <w:r>
                    <w:rPr>
                      <w:rFonts w:hint="default" w:ascii="Times New Roman" w:hAnsi="Times New Roman" w:eastAsia="Times New Roman" w:cs="Times New Roman"/>
                      <w:color w:val="auto"/>
                      <w:spacing w:val="0"/>
                      <w:w w:val="95"/>
                      <w:sz w:val="21"/>
                    </w:rPr>
                    <w:t>A</w:t>
                  </w:r>
                  <w:r>
                    <w:rPr>
                      <w:rFonts w:hint="default" w:ascii="Times New Roman" w:hAnsi="Times New Roman" w:cs="Times New Roman"/>
                      <w:color w:val="auto"/>
                      <w:spacing w:val="0"/>
                      <w:w w:val="95"/>
                      <w:sz w:val="21"/>
                    </w:rPr>
                    <w:t>）</w:t>
                  </w:r>
                </w:p>
              </w:tc>
            </w:tr>
          </w:tbl>
          <w:p>
            <w:pPr>
              <w:pStyle w:val="38"/>
              <w:keepNext w:val="0"/>
              <w:keepLines w:val="0"/>
              <w:pageBreakBefore w:val="0"/>
              <w:widowControl w:val="0"/>
              <w:tabs>
                <w:tab w:val="left" w:pos="420"/>
                <w:tab w:val="left" w:pos="870"/>
                <w:tab w:val="left" w:pos="3150"/>
              </w:tabs>
              <w:kinsoku/>
              <w:wordWrap/>
              <w:overflowPunct/>
              <w:topLinePunct w:val="0"/>
              <w:autoSpaceDE w:val="0"/>
              <w:autoSpaceDN w:val="0"/>
              <w:bidi w:val="0"/>
              <w:adjustRightInd w:val="0"/>
              <w:snapToGrid w:val="0"/>
              <w:spacing w:after="0" w:line="360" w:lineRule="auto"/>
              <w:ind w:leftChars="0" w:firstLine="567"/>
              <w:textAlignment w:val="baseline"/>
              <w:rPr>
                <w:rFonts w:hint="default" w:ascii="Times New Roman" w:hAnsi="Times New Roman" w:cs="Times New Roman"/>
                <w:color w:val="0000FF"/>
                <w:kern w:val="0"/>
                <w:szCs w:val="21"/>
              </w:rPr>
            </w:pPr>
            <w:r>
              <w:rPr>
                <w:rFonts w:hint="default" w:ascii="Times New Roman" w:hAnsi="Times New Roman" w:eastAsia="宋体" w:cs="Times New Roman"/>
                <w:snapToGrid/>
                <w:color w:val="auto"/>
                <w:spacing w:val="0"/>
                <w:kern w:val="0"/>
                <w:sz w:val="24"/>
                <w:szCs w:val="24"/>
                <w:lang w:val="en-US" w:eastAsia="zh-CN" w:bidi="ar-SA"/>
              </w:rPr>
              <w:t>监测统计结果表明，项目评价范围内昼、夜声环境质量满足《声环境质量标准》（GB3096－2008）的2类标准，本项目所在地声环境质量现状良好。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1"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kern w:val="0"/>
                <w:szCs w:val="21"/>
              </w:rPr>
            </w:pPr>
            <w:r>
              <w:rPr>
                <w:rFonts w:hint="default" w:ascii="Times New Roman" w:hAnsi="Times New Roman" w:cs="Times New Roman"/>
                <w:bCs/>
                <w:szCs w:val="21"/>
              </w:rPr>
              <w:t>与项目有关的原有环境污染和生态破坏问题</w:t>
            </w:r>
          </w:p>
        </w:tc>
        <w:tc>
          <w:tcPr>
            <w:tcW w:w="766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580" w:firstLineChars="242"/>
              <w:jc w:val="left"/>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本次苏稽安福堰综合整治工程河段位于峨眉河下游，地处峨眉河平原和浅丘地带、乐山市市中区苏稽镇场镇下游。安福堰建于解放前，取水口为</w:t>
            </w:r>
            <w:r>
              <w:rPr>
                <w:rFonts w:hint="default" w:ascii="Times New Roman" w:hAnsi="Times New Roman" w:cs="Times New Roman"/>
                <w:color w:val="auto"/>
                <w:sz w:val="24"/>
                <w:highlight w:val="none"/>
                <w:lang w:val="en-US" w:eastAsia="zh-CN"/>
              </w:rPr>
              <w:t>浆砌条石</w:t>
            </w:r>
            <w:r>
              <w:rPr>
                <w:rFonts w:hint="default" w:ascii="Times New Roman" w:hAnsi="Times New Roman" w:cs="Times New Roman"/>
                <w:color w:val="auto"/>
                <w:sz w:val="24"/>
                <w:highlight w:val="none"/>
              </w:rPr>
              <w:t>低坝，堰顶高程</w:t>
            </w:r>
            <w:r>
              <w:rPr>
                <w:rFonts w:hint="default" w:ascii="Times New Roman" w:hAnsi="Times New Roman" w:cs="Times New Roman"/>
                <w:color w:val="auto"/>
                <w:sz w:val="24"/>
                <w:highlight w:val="none"/>
                <w:lang w:eastAsia="zh-CN"/>
              </w:rPr>
              <w:t>370.</w:t>
            </w:r>
            <w:r>
              <w:rPr>
                <w:rFonts w:hint="default" w:ascii="Times New Roman" w:hAnsi="Times New Roman" w:cs="Times New Roman"/>
                <w:color w:val="auto"/>
                <w:sz w:val="24"/>
                <w:highlight w:val="none"/>
                <w:lang w:val="en-US" w:eastAsia="zh-CN"/>
              </w:rPr>
              <w:t>8</w:t>
            </w:r>
            <w:r>
              <w:rPr>
                <w:rFonts w:hint="default" w:ascii="Times New Roman" w:hAnsi="Times New Roman" w:cs="Times New Roman"/>
                <w:color w:val="auto"/>
                <w:sz w:val="24"/>
                <w:highlight w:val="none"/>
                <w:lang w:eastAsia="zh-CN"/>
              </w:rPr>
              <w:t>0</w:t>
            </w:r>
            <w:r>
              <w:rPr>
                <w:rFonts w:hint="default" w:ascii="Times New Roman" w:hAnsi="Times New Roman" w:cs="Times New Roman"/>
                <w:color w:val="auto"/>
                <w:sz w:val="24"/>
                <w:highlight w:val="none"/>
              </w:rPr>
              <w:t>m，目前堰体局部遭破坏，水位无法满足引水需求。本次拟将安福堰大坝拆除</w:t>
            </w:r>
            <w:r>
              <w:rPr>
                <w:rFonts w:hint="default" w:ascii="Times New Roman" w:hAnsi="Times New Roman" w:cs="Times New Roman"/>
                <w:color w:val="auto"/>
                <w:sz w:val="24"/>
                <w:highlight w:val="none"/>
                <w:lang w:val="en-US" w:eastAsia="zh-CN"/>
              </w:rPr>
              <w:t>重建为气盾坝</w:t>
            </w:r>
            <w:r>
              <w:rPr>
                <w:rFonts w:hint="default" w:ascii="Times New Roman" w:hAnsi="Times New Roman" w:cs="Times New Roman"/>
                <w:color w:val="auto"/>
                <w:sz w:val="24"/>
                <w:highlight w:val="none"/>
              </w:rPr>
              <w:t>，在该坝</w:t>
            </w:r>
            <w:r>
              <w:rPr>
                <w:rFonts w:hint="default" w:ascii="Times New Roman" w:hAnsi="Times New Roman" w:cs="Times New Roman"/>
                <w:color w:val="auto"/>
                <w:sz w:val="24"/>
                <w:highlight w:val="none"/>
                <w:lang w:val="en-US" w:eastAsia="zh-CN"/>
              </w:rPr>
              <w:t>右段</w:t>
            </w:r>
            <w:r>
              <w:rPr>
                <w:rFonts w:hint="default" w:ascii="Times New Roman" w:hAnsi="Times New Roman" w:cs="Times New Roman"/>
                <w:color w:val="auto"/>
                <w:sz w:val="24"/>
                <w:highlight w:val="none"/>
              </w:rPr>
              <w:t>新建取水口，</w:t>
            </w:r>
            <w:r>
              <w:rPr>
                <w:rFonts w:hint="default" w:ascii="Times New Roman" w:hAnsi="Times New Roman" w:cs="Times New Roman"/>
                <w:color w:val="auto"/>
                <w:sz w:val="24"/>
                <w:highlight w:val="none"/>
                <w:lang w:val="en-US" w:eastAsia="zh-CN"/>
              </w:rPr>
              <w:t>取水口后接</w:t>
            </w:r>
            <w:r>
              <w:rPr>
                <w:rFonts w:hint="default" w:ascii="Times New Roman" w:hAnsi="Times New Roman" w:cs="Times New Roman"/>
                <w:color w:val="auto"/>
                <w:sz w:val="24"/>
                <w:highlight w:val="none"/>
              </w:rPr>
              <w:t>安福堰。该取水口同时满足安福堰灌溉取水以及该段景观坝的预留景观用水。</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683" w:type="dxa"/>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hint="eastAsia"/>
                      <w:lang w:eastAsia="zh-CN"/>
                    </w:rPr>
                  </w:pPr>
                  <w:r>
                    <w:rPr>
                      <w:rFonts w:hint="eastAsia"/>
                      <w:lang w:eastAsia="zh-CN"/>
                    </w:rPr>
                    <w:drawing>
                      <wp:inline distT="0" distB="0" distL="114300" distR="114300">
                        <wp:extent cx="4639945" cy="2322195"/>
                        <wp:effectExtent l="0" t="0" r="8255" b="1905"/>
                        <wp:docPr id="40" name="图片 46" descr="IMG_20210225_110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6" descr="IMG_20210225_110918"/>
                                <pic:cNvPicPr>
                                  <a:picLocks noChangeAspect="1"/>
                                </pic:cNvPicPr>
                              </pic:nvPicPr>
                              <pic:blipFill>
                                <a:blip r:embed="rId40"/>
                                <a:stretch>
                                  <a:fillRect/>
                                </a:stretch>
                              </pic:blipFill>
                              <pic:spPr>
                                <a:xfrm>
                                  <a:off x="0" y="0"/>
                                  <a:ext cx="4639945" cy="2322195"/>
                                </a:xfrm>
                                <a:prstGeom prst="rect">
                                  <a:avLst/>
                                </a:prstGeom>
                                <a:noFill/>
                                <a:ln>
                                  <a:noFill/>
                                </a:ln>
                              </pic:spPr>
                            </pic:pic>
                          </a:graphicData>
                        </a:graphic>
                      </wp:inline>
                    </w:drawing>
                  </w:r>
                </w:p>
                <w:p>
                  <w:pPr>
                    <w:pStyle w:val="2"/>
                    <w:jc w:val="center"/>
                    <w:rPr>
                      <w:rFonts w:hint="default"/>
                      <w:lang w:val="en-US" w:eastAsia="zh-CN"/>
                    </w:rPr>
                  </w:pPr>
                  <w:r>
                    <w:rPr>
                      <w:rFonts w:hint="eastAsia" w:eastAsia="宋体"/>
                      <w:b/>
                      <w:bCs/>
                      <w:color w:val="auto"/>
                      <w:lang w:val="en-US" w:eastAsia="zh-CN"/>
                    </w:rPr>
                    <w:t>图3-3  现有引水渠道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83" w:type="dxa"/>
                  <w:noWrap w:val="0"/>
                  <w:vAlign w:val="top"/>
                </w:tcPr>
                <w:p>
                  <w:pPr>
                    <w:pStyle w:val="2"/>
                    <w:jc w:val="center"/>
                  </w:pPr>
                  <w:r>
                    <w:rPr>
                      <w:sz w:val="18"/>
                    </w:rPr>
                    <mc:AlternateContent>
                      <mc:Choice Requires="wps">
                        <w:drawing>
                          <wp:anchor distT="0" distB="0" distL="114300" distR="114300" simplePos="0" relativeHeight="251666432" behindDoc="0" locked="0" layoutInCell="1" allowOverlap="1">
                            <wp:simplePos x="0" y="0"/>
                            <wp:positionH relativeFrom="column">
                              <wp:posOffset>2672715</wp:posOffset>
                            </wp:positionH>
                            <wp:positionV relativeFrom="paragraph">
                              <wp:posOffset>1189990</wp:posOffset>
                            </wp:positionV>
                            <wp:extent cx="643255" cy="285750"/>
                            <wp:effectExtent l="173990" t="4445" r="20955" b="300355"/>
                            <wp:wrapNone/>
                            <wp:docPr id="41" name="矩形标注 41"/>
                            <wp:cNvGraphicFramePr/>
                            <a:graphic xmlns:a="http://schemas.openxmlformats.org/drawingml/2006/main">
                              <a:graphicData uri="http://schemas.microsoft.com/office/word/2010/wordprocessingShape">
                                <wps:wsp>
                                  <wps:cNvSpPr/>
                                  <wps:spPr>
                                    <a:xfrm>
                                      <a:off x="0" y="0"/>
                                      <a:ext cx="643255" cy="285750"/>
                                    </a:xfrm>
                                    <a:prstGeom prst="wedgeRectCallout">
                                      <a:avLst>
                                        <a:gd name="adj1" fmla="val -72444"/>
                                        <a:gd name="adj2" fmla="val 143111"/>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现坝址</w:t>
                                        </w:r>
                                      </w:p>
                                    </w:txbxContent>
                                  </wps:txbx>
                                  <wps:bodyPr upright="1"/>
                                </wps:wsp>
                              </a:graphicData>
                            </a:graphic>
                          </wp:anchor>
                        </w:drawing>
                      </mc:Choice>
                      <mc:Fallback>
                        <w:pict>
                          <v:shape id="_x0000_s1026" o:spid="_x0000_s1026" o:spt="61" type="#_x0000_t61" style="position:absolute;left:0pt;margin-left:210.45pt;margin-top:93.7pt;height:22.5pt;width:50.65pt;z-index:251666432;mso-width-relative:page;mso-height-relative:page;" fillcolor="#FFFFFF" filled="t" stroked="t" coordsize="21600,21600" o:gfxdata="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E7ELL7XAAAACwEAAA8AAAAAAAAAAQAgAAAAIgAAAGRycy9kb3du&#10;cmV2LnhtbFBLAQIUABQAAAAIAIdO4kCq4jQNOQIAAI8EAAAOAAAAAAAAAAEAIAAAACYBAABkcnMv&#10;ZTJvRG9jLnhtbFBLBQYAAAAABgAGAFkBAADRBQAAAAA=&#10;" adj="-4848,41712">
                            <v:path/>
                            <v:fill on="t" focussize="0,0"/>
                            <v:stroke/>
                            <v:imagedata o:title=""/>
                            <o:lock v:ext="edit" aspectratio="f"/>
                            <v:textbox>
                              <w:txbxContent>
                                <w:p>
                                  <w:pPr>
                                    <w:rPr>
                                      <w:rFonts w:hint="default" w:eastAsia="宋体"/>
                                      <w:lang w:val="en-US" w:eastAsia="zh-CN"/>
                                    </w:rPr>
                                  </w:pPr>
                                  <w:r>
                                    <w:rPr>
                                      <w:rFonts w:hint="eastAsia"/>
                                      <w:lang w:val="en-US" w:eastAsia="zh-CN"/>
                                    </w:rPr>
                                    <w:t>现坝址</w:t>
                                  </w:r>
                                </w:p>
                              </w:txbxContent>
                            </v:textbox>
                          </v:shape>
                        </w:pict>
                      </mc:Fallback>
                    </mc:AlternateContent>
                  </w:r>
                  <w:r>
                    <w:rPr>
                      <w:sz w:val="18"/>
                    </w:rPr>
                    <mc:AlternateContent>
                      <mc:Choice Requires="wps">
                        <w:drawing>
                          <wp:anchor distT="0" distB="0" distL="114300" distR="114300" simplePos="0" relativeHeight="251664384" behindDoc="0" locked="0" layoutInCell="1" allowOverlap="1">
                            <wp:simplePos x="0" y="0"/>
                            <wp:positionH relativeFrom="column">
                              <wp:posOffset>1245870</wp:posOffset>
                            </wp:positionH>
                            <wp:positionV relativeFrom="paragraph">
                              <wp:posOffset>856615</wp:posOffset>
                            </wp:positionV>
                            <wp:extent cx="2905125" cy="2214880"/>
                            <wp:effectExtent l="19050" t="25400" r="28575" b="26670"/>
                            <wp:wrapNone/>
                            <wp:docPr id="42" name="直接连接符 42"/>
                            <wp:cNvGraphicFramePr/>
                            <a:graphic xmlns:a="http://schemas.openxmlformats.org/drawingml/2006/main">
                              <a:graphicData uri="http://schemas.microsoft.com/office/word/2010/wordprocessingShape">
                                <wps:wsp>
                                  <wps:cNvSpPr/>
                                  <wps:spPr>
                                    <a:xfrm>
                                      <a:off x="0" y="0"/>
                                      <a:ext cx="2905125" cy="2214880"/>
                                    </a:xfrm>
                                    <a:prstGeom prst="line">
                                      <a:avLst/>
                                    </a:prstGeom>
                                    <a:ln w="635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98.1pt;margin-top:67.45pt;height:174.4pt;width:228.75pt;z-index:251664384;mso-width-relative:page;mso-height-relative:page;" filled="f" stroked="t" coordsize="21600,21600" o:gfxdata="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41qOXWAAAACwEAAA8AAAAAAAAAAQAgAAAAIgAAAGRycy9kb3du&#10;cmV2LnhtbFBLAQIUABQAAAAIAIdO4kAeTewpAQIAAO0DAAAOAAAAAAAAAAEAIAAAACUBAABkcnMv&#10;ZTJvRG9jLnhtbFBLBQYAAAAABgAGAFkBAACYBQAAAAA=&#10;">
                            <v:path arrowok="t"/>
                            <v:fill on="f" focussize="0,0"/>
                            <v:stroke weight="5pt" color="#FF0000"/>
                            <v:imagedata o:title=""/>
                            <o:lock v:ext="edit" aspectratio="f"/>
                          </v:line>
                        </w:pict>
                      </mc:Fallback>
                    </mc:AlternateContent>
                  </w:r>
                  <w:r>
                    <w:drawing>
                      <wp:inline distT="0" distB="0" distL="114300" distR="114300">
                        <wp:extent cx="4701540" cy="3232785"/>
                        <wp:effectExtent l="0" t="0" r="3810" b="5715"/>
                        <wp:docPr id="4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7"/>
                                <pic:cNvPicPr>
                                  <a:picLocks noChangeAspect="1"/>
                                </pic:cNvPicPr>
                              </pic:nvPicPr>
                              <pic:blipFill>
                                <a:blip r:embed="rId41"/>
                                <a:stretch>
                                  <a:fillRect/>
                                </a:stretch>
                              </pic:blipFill>
                              <pic:spPr>
                                <a:xfrm>
                                  <a:off x="0" y="0"/>
                                  <a:ext cx="4701540" cy="3232785"/>
                                </a:xfrm>
                                <a:prstGeom prst="rect">
                                  <a:avLst/>
                                </a:prstGeom>
                                <a:noFill/>
                                <a:ln>
                                  <a:noFill/>
                                </a:ln>
                              </pic:spPr>
                            </pic:pic>
                          </a:graphicData>
                        </a:graphic>
                      </wp:inline>
                    </w:drawing>
                  </w:r>
                </w:p>
                <w:p>
                  <w:pPr>
                    <w:pStyle w:val="2"/>
                    <w:jc w:val="center"/>
                    <w:rPr>
                      <w:rFonts w:hint="default" w:eastAsia="宋体"/>
                      <w:lang w:val="en-US" w:eastAsia="zh-CN"/>
                    </w:rPr>
                  </w:pPr>
                  <w:r>
                    <w:rPr>
                      <w:rFonts w:hint="eastAsia"/>
                      <w:b/>
                      <w:bCs/>
                      <w:sz w:val="21"/>
                      <w:szCs w:val="21"/>
                      <w:lang w:val="en-US" w:eastAsia="zh-CN"/>
                    </w:rPr>
                    <w:t>图3-4  现坝址</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580" w:firstLineChars="242"/>
              <w:jc w:val="left"/>
              <w:textAlignment w:val="auto"/>
              <w:rPr>
                <w:rFonts w:hint="default" w:ascii="宋体" w:hAnsi="宋体"/>
                <w:color w:val="auto"/>
                <w:sz w:val="24"/>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1"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kern w:val="0"/>
                <w:szCs w:val="21"/>
              </w:rPr>
            </w:pPr>
            <w:r>
              <w:rPr>
                <w:rFonts w:hint="default" w:ascii="Times New Roman" w:hAnsi="Times New Roman" w:cs="Times New Roman"/>
                <w:kern w:val="0"/>
                <w:szCs w:val="21"/>
              </w:rPr>
              <w:t>生态环境保护目标</w:t>
            </w:r>
          </w:p>
        </w:tc>
        <w:tc>
          <w:tcPr>
            <w:tcW w:w="766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0"/>
                <w:sz w:val="24"/>
                <w:szCs w:val="24"/>
              </w:rPr>
            </w:pPr>
            <w:r>
              <w:rPr>
                <w:rFonts w:hint="eastAsia" w:ascii="Times New Roman" w:hAnsi="Times New Roman" w:eastAsia="宋体" w:cs="Times New Roman"/>
                <w:color w:val="auto"/>
                <w:kern w:val="0"/>
                <w:sz w:val="24"/>
                <w:szCs w:val="24"/>
                <w:lang w:val="en-US" w:eastAsia="zh-CN"/>
              </w:rPr>
              <w:t>项目线路没有穿越重要文物、 自然保护区、风景名胜区，因此本项目环境保护目标为评价区域生态环境。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0"/>
                <w:sz w:val="24"/>
                <w:szCs w:val="24"/>
              </w:rPr>
            </w:pPr>
            <w:r>
              <w:rPr>
                <w:rFonts w:hint="eastAsia" w:ascii="Times New Roman" w:hAnsi="Times New Roman" w:eastAsia="宋体" w:cs="Times New Roman"/>
                <w:color w:val="auto"/>
                <w:kern w:val="0"/>
                <w:sz w:val="24"/>
                <w:szCs w:val="24"/>
                <w:lang w:val="en-US" w:eastAsia="zh-CN"/>
              </w:rPr>
              <w:t>大气环境：保护目标为项目所在区域的大气环境质量，应达到《环境空 气质量标准》(</w:t>
            </w:r>
            <w:r>
              <w:rPr>
                <w:rFonts w:hint="default" w:ascii="Times New Roman" w:hAnsi="Times New Roman" w:eastAsia="宋体" w:cs="Times New Roman"/>
                <w:color w:val="auto"/>
                <w:kern w:val="0"/>
                <w:sz w:val="24"/>
                <w:szCs w:val="24"/>
                <w:lang w:val="en-US" w:eastAsia="zh-CN"/>
              </w:rPr>
              <w:t>GB3095-2012</w:t>
            </w:r>
            <w:r>
              <w:rPr>
                <w:rFonts w:hint="eastAsia" w:ascii="Times New Roman" w:hAnsi="Times New Roman" w:eastAsia="宋体" w:cs="Times New Roman"/>
                <w:color w:val="auto"/>
                <w:kern w:val="0"/>
                <w:sz w:val="24"/>
                <w:szCs w:val="24"/>
                <w:lang w:val="en-US" w:eastAsia="zh-CN"/>
              </w:rPr>
              <w:t>) 中二级标准要求。本次大气环境影响评价范围 为项目边界向外</w:t>
            </w:r>
            <w:r>
              <w:rPr>
                <w:rFonts w:hint="default" w:ascii="Times New Roman" w:hAnsi="Times New Roman" w:eastAsia="宋体" w:cs="Times New Roman"/>
                <w:color w:val="auto"/>
                <w:kern w:val="0"/>
                <w:sz w:val="24"/>
                <w:szCs w:val="24"/>
                <w:lang w:val="en-US" w:eastAsia="zh-CN"/>
              </w:rPr>
              <w:t>500m</w:t>
            </w:r>
            <w:r>
              <w:rPr>
                <w:rFonts w:hint="eastAsia" w:ascii="Times New Roman" w:hAnsi="Times New Roman" w:eastAsia="宋体" w:cs="Times New Roman"/>
                <w:color w:val="auto"/>
                <w:kern w:val="0"/>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0"/>
                <w:sz w:val="24"/>
                <w:szCs w:val="24"/>
              </w:rPr>
            </w:pPr>
            <w:r>
              <w:rPr>
                <w:rFonts w:hint="eastAsia" w:ascii="Times New Roman" w:hAnsi="Times New Roman" w:eastAsia="宋体" w:cs="Times New Roman"/>
                <w:color w:val="auto"/>
                <w:kern w:val="0"/>
                <w:sz w:val="24"/>
                <w:szCs w:val="24"/>
                <w:lang w:val="en-US" w:eastAsia="zh-CN"/>
              </w:rPr>
              <w:t>地表水环境：项目地表水为峨眉河，应保证峨眉河满足《地表水环 境质量标准》(</w:t>
            </w:r>
            <w:r>
              <w:rPr>
                <w:rFonts w:hint="default" w:ascii="Times New Roman" w:hAnsi="Times New Roman" w:eastAsia="宋体" w:cs="Times New Roman"/>
                <w:color w:val="auto"/>
                <w:kern w:val="0"/>
                <w:sz w:val="24"/>
                <w:szCs w:val="24"/>
                <w:lang w:val="en-US" w:eastAsia="zh-CN"/>
              </w:rPr>
              <w:t>GB 3838-2002</w:t>
            </w:r>
            <w:r>
              <w:rPr>
                <w:rFonts w:hint="eastAsia" w:ascii="Times New Roman" w:hAnsi="Times New Roman" w:eastAsia="宋体" w:cs="Times New Roman"/>
                <w:color w:val="auto"/>
                <w:kern w:val="0"/>
                <w:sz w:val="24"/>
                <w:szCs w:val="24"/>
                <w:lang w:val="en-US" w:eastAsia="zh-CN"/>
              </w:rPr>
              <w:t>) 中Ⅲ类标准要求，不因本项目建设而受到污染，其水体功能不被破坏。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rPr>
            </w:pPr>
            <w:r>
              <w:rPr>
                <w:rFonts w:hint="eastAsia" w:ascii="Times New Roman" w:hAnsi="Times New Roman" w:eastAsia="宋体" w:cs="Times New Roman"/>
                <w:color w:val="auto"/>
                <w:kern w:val="0"/>
                <w:sz w:val="24"/>
                <w:szCs w:val="24"/>
                <w:lang w:val="en-US" w:eastAsia="zh-CN"/>
              </w:rPr>
              <w:t>声环境：项目所在区域声环境质量应达到国家《声环境质量标准》 (</w:t>
            </w:r>
            <w:r>
              <w:rPr>
                <w:rFonts w:hint="default" w:ascii="Times New Roman" w:hAnsi="Times New Roman" w:eastAsia="宋体" w:cs="Times New Roman"/>
                <w:color w:val="auto"/>
                <w:kern w:val="0"/>
                <w:sz w:val="24"/>
                <w:szCs w:val="24"/>
                <w:lang w:val="en-US" w:eastAsia="zh-CN"/>
              </w:rPr>
              <w:t>GB3096-2008</w:t>
            </w:r>
            <w:r>
              <w:rPr>
                <w:rFonts w:hint="eastAsia" w:ascii="Times New Roman" w:hAnsi="Times New Roman" w:eastAsia="宋体" w:cs="Times New Roman"/>
                <w:color w:val="auto"/>
                <w:kern w:val="0"/>
                <w:sz w:val="24"/>
                <w:szCs w:val="24"/>
                <w:lang w:val="en-US" w:eastAsia="zh-CN"/>
              </w:rPr>
              <w:t>) 中</w:t>
            </w:r>
            <w:r>
              <w:rPr>
                <w:rFonts w:hint="default" w:ascii="Times New Roman" w:hAnsi="Times New Roman" w:eastAsia="宋体" w:cs="Times New Roman"/>
                <w:color w:val="auto"/>
                <w:kern w:val="0"/>
                <w:sz w:val="24"/>
                <w:szCs w:val="24"/>
                <w:lang w:val="en-US" w:eastAsia="zh-CN"/>
              </w:rPr>
              <w:t>2</w:t>
            </w:r>
            <w:r>
              <w:rPr>
                <w:rFonts w:hint="eastAsia" w:ascii="Times New Roman" w:hAnsi="Times New Roman" w:eastAsia="宋体" w:cs="Times New Roman"/>
                <w:color w:val="auto"/>
                <w:kern w:val="0"/>
                <w:sz w:val="24"/>
                <w:szCs w:val="24"/>
                <w:lang w:val="en-US" w:eastAsia="zh-CN"/>
              </w:rPr>
              <w:t>类标准要求。本次声环境影响评价范围为项目边界向外</w:t>
            </w:r>
            <w:r>
              <w:rPr>
                <w:rFonts w:hint="default" w:ascii="Times New Roman" w:hAnsi="Times New Roman" w:eastAsia="宋体" w:cs="Times New Roman"/>
                <w:color w:val="auto"/>
                <w:kern w:val="0"/>
                <w:sz w:val="24"/>
                <w:szCs w:val="24"/>
                <w:lang w:val="en-US" w:eastAsia="zh-CN"/>
              </w:rPr>
              <w:t>50m</w:t>
            </w:r>
            <w:r>
              <w:rPr>
                <w:rFonts w:hint="eastAsia" w:ascii="Times New Roman" w:hAnsi="Times New Roman" w:eastAsia="宋体" w:cs="Times New Roman"/>
                <w:color w:val="auto"/>
                <w:kern w:val="0"/>
                <w:sz w:val="24"/>
                <w:szCs w:val="24"/>
                <w:lang w:val="en-US" w:eastAsia="zh-CN"/>
              </w:rPr>
              <w:t>作为声环境影响评价范围。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固体废物：项目产生的固体废物能得到妥善处置，不造成二次污染。</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生态环境及水土流失：根据《环境影响评价技术导则  生态环境》 (</w:t>
            </w:r>
            <w:r>
              <w:rPr>
                <w:rFonts w:hint="default" w:ascii="Times New Roman" w:hAnsi="Times New Roman" w:eastAsia="宋体" w:cs="Times New Roman"/>
                <w:color w:val="auto"/>
                <w:kern w:val="0"/>
                <w:sz w:val="24"/>
                <w:szCs w:val="24"/>
                <w:lang w:val="en-US" w:eastAsia="zh-CN"/>
              </w:rPr>
              <w:t>HJ19-2022</w:t>
            </w:r>
            <w:r>
              <w:rPr>
                <w:rFonts w:hint="eastAsia" w:ascii="Times New Roman" w:hAnsi="Times New Roman" w:eastAsia="宋体" w:cs="Times New Roman"/>
                <w:color w:val="auto"/>
                <w:kern w:val="0"/>
                <w:sz w:val="24"/>
                <w:szCs w:val="24"/>
                <w:lang w:val="en-US" w:eastAsia="zh-CN"/>
              </w:rPr>
              <w:t>) ，本项目为线性工程，生态评价范围为中心线向外延</w:t>
            </w:r>
            <w:r>
              <w:rPr>
                <w:rFonts w:hint="default" w:ascii="Times New Roman" w:hAnsi="Times New Roman" w:eastAsia="宋体" w:cs="Times New Roman"/>
                <w:color w:val="auto"/>
                <w:kern w:val="0"/>
                <w:sz w:val="24"/>
                <w:szCs w:val="24"/>
                <w:lang w:val="en-US" w:eastAsia="zh-CN"/>
              </w:rPr>
              <w:t xml:space="preserve">300m </w:t>
            </w:r>
            <w:r>
              <w:rPr>
                <w:rFonts w:hint="eastAsia" w:ascii="Times New Roman" w:hAnsi="Times New Roman" w:eastAsia="宋体" w:cs="Times New Roman"/>
                <w:color w:val="auto"/>
                <w:kern w:val="0"/>
                <w:sz w:val="24"/>
                <w:szCs w:val="24"/>
                <w:lang w:val="en-US" w:eastAsia="zh-CN"/>
              </w:rPr>
              <w:t>，根据现场踏勘，本项目所在区域内主要为城市生态系统，原生植被分布较少。 区内无大型野生动物及珍稀植物，无特殊文物保护单位，区域生态系统敏感 程度低。项目区域生态环境不会因本工程的实施受到较大影响，不会导致水土流失加剧。</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项目周边分布有居民，项目东南侧75m为青峨村约600户1500人；东侧253m为青衣人家小区约800户约2400人，东北侧95m有10户住户约30人；北侧160m分别有乐山青峨屠宰有限公司、石材批发公司、乐山安捷汽车销售公司；西侧20m是吴村约80户约240人；西南侧460m是乐山商务学校约600人；西南侧178m是新联村商住户约1000户3000人；东北侧460m是罗村约60户180人；西侧480m是苏沙路；北侧510m是乐峨大桥。</w:t>
            </w:r>
          </w:p>
          <w:p>
            <w:pPr>
              <w:adjustRightInd w:val="0"/>
              <w:snapToGrid w:val="0"/>
              <w:spacing w:line="360" w:lineRule="auto"/>
              <w:ind w:firstLine="480" w:firstLineChars="200"/>
              <w:rPr>
                <w:rFonts w:hint="default" w:ascii="Times New Roman" w:hAnsi="Times New Roman" w:cs="Times New Roman"/>
                <w:bCs/>
                <w:sz w:val="24"/>
              </w:rPr>
            </w:pPr>
            <w:r>
              <w:rPr>
                <w:rFonts w:hint="default" w:ascii="Times New Roman" w:hAnsi="Times New Roman" w:cs="Times New Roman"/>
                <w:bCs/>
                <w:sz w:val="24"/>
              </w:rPr>
              <w:t>项目</w:t>
            </w:r>
            <w:r>
              <w:rPr>
                <w:rFonts w:hint="eastAsia" w:ascii="Times New Roman" w:hAnsi="Times New Roman" w:cs="Times New Roman"/>
                <w:bCs/>
                <w:sz w:val="24"/>
                <w:lang w:val="en-US" w:eastAsia="zh-CN"/>
              </w:rPr>
              <w:t>主要</w:t>
            </w:r>
            <w:r>
              <w:rPr>
                <w:rFonts w:hint="default" w:ascii="Times New Roman" w:hAnsi="Times New Roman" w:cs="Times New Roman"/>
                <w:bCs/>
                <w:sz w:val="24"/>
              </w:rPr>
              <w:t>环境保护目标见下表</w:t>
            </w:r>
            <w:r>
              <w:rPr>
                <w:rFonts w:hint="eastAsia" w:ascii="Times New Roman" w:hAnsi="Times New Roman" w:cs="Times New Roman"/>
                <w:bCs/>
                <w:sz w:val="24"/>
                <w:lang w:val="en-US" w:eastAsia="zh-CN"/>
              </w:rPr>
              <w:t>3-4</w:t>
            </w:r>
            <w:r>
              <w:rPr>
                <w:rFonts w:hint="default" w:ascii="Times New Roman" w:hAnsi="Times New Roman" w:cs="Times New Roman"/>
                <w:bCs/>
                <w:sz w:val="24"/>
              </w:rPr>
              <w:t>。</w:t>
            </w:r>
          </w:p>
          <w:p>
            <w:pPr>
              <w:pStyle w:val="2"/>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cs="Times New Roman"/>
              </w:rPr>
            </w:pPr>
            <w:r>
              <w:rPr>
                <w:rFonts w:hint="default" w:ascii="Times New Roman" w:hAnsi="Times New Roman" w:cs="Times New Roman"/>
                <w:b/>
                <w:sz w:val="21"/>
                <w:szCs w:val="21"/>
              </w:rPr>
              <w:t>表3-</w:t>
            </w:r>
            <w:r>
              <w:rPr>
                <w:rFonts w:hint="eastAsia" w:ascii="Times New Roman" w:hAnsi="Times New Roman" w:cs="Times New Roman"/>
                <w:b/>
                <w:sz w:val="21"/>
                <w:szCs w:val="21"/>
                <w:lang w:val="en-US" w:eastAsia="zh-CN"/>
              </w:rPr>
              <w:t>4</w:t>
            </w:r>
            <w:r>
              <w:rPr>
                <w:rFonts w:hint="default" w:ascii="Times New Roman" w:hAnsi="Times New Roman" w:cs="Times New Roman"/>
                <w:b/>
                <w:sz w:val="21"/>
                <w:szCs w:val="21"/>
              </w:rPr>
              <w:t xml:space="preserve">  生态环境保护目标一览表</w:t>
            </w:r>
          </w:p>
          <w:tbl>
            <w:tblPr>
              <w:tblStyle w:val="39"/>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367"/>
              <w:gridCol w:w="1593"/>
              <w:gridCol w:w="1767"/>
              <w:gridCol w:w="1835"/>
              <w:gridCol w:w="22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4"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类别</w:t>
                  </w:r>
                </w:p>
              </w:tc>
              <w:tc>
                <w:tcPr>
                  <w:tcW w:w="1017"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保护目标</w:t>
                  </w:r>
                </w:p>
              </w:tc>
              <w:tc>
                <w:tcPr>
                  <w:tcW w:w="1128"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方位、距离</w:t>
                  </w:r>
                </w:p>
              </w:tc>
              <w:tc>
                <w:tcPr>
                  <w:tcW w:w="1170"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规模</w:t>
                  </w:r>
                </w:p>
              </w:tc>
              <w:tc>
                <w:tcPr>
                  <w:tcW w:w="1449"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环境功能及要求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92" w:hRule="atLeast"/>
                <w:jc w:val="center"/>
              </w:trPr>
              <w:tc>
                <w:tcPr>
                  <w:tcW w:w="234"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地表水环境</w:t>
                  </w:r>
                </w:p>
              </w:tc>
              <w:tc>
                <w:tcPr>
                  <w:tcW w:w="1017"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val="en-US" w:eastAsia="zh-CN"/>
                    </w:rPr>
                    <w:t>峨眉河</w:t>
                  </w:r>
                </w:p>
              </w:tc>
              <w:tc>
                <w:tcPr>
                  <w:tcW w:w="1128"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1170"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灌溉、行洪</w:t>
                  </w:r>
                </w:p>
              </w:tc>
              <w:tc>
                <w:tcPr>
                  <w:tcW w:w="1449"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bCs/>
                      <w:sz w:val="21"/>
                      <w:szCs w:val="21"/>
                    </w:rPr>
                    <w:t>《地表水环境质量标准》</w:t>
                  </w:r>
                  <w:r>
                    <w:rPr>
                      <w:rFonts w:hint="default" w:ascii="Times New Roman" w:hAnsi="Times New Roman" w:cs="Times New Roman"/>
                      <w:bCs/>
                      <w:sz w:val="21"/>
                      <w:szCs w:val="21"/>
                      <w:lang w:eastAsia="zh-CN"/>
                    </w:rPr>
                    <w:t>（</w:t>
                  </w:r>
                  <w:r>
                    <w:rPr>
                      <w:rFonts w:hint="default" w:ascii="Times New Roman" w:hAnsi="Times New Roman" w:cs="Times New Roman"/>
                      <w:bCs/>
                      <w:sz w:val="21"/>
                      <w:szCs w:val="21"/>
                    </w:rPr>
                    <w:t>GB3838-</w:t>
                  </w:r>
                  <w:r>
                    <w:rPr>
                      <w:rFonts w:hint="default" w:ascii="Times New Roman" w:hAnsi="Times New Roman" w:cs="Times New Roman"/>
                      <w:sz w:val="21"/>
                      <w:szCs w:val="21"/>
                    </w:rPr>
                    <w:t>2002</w:t>
                  </w:r>
                  <w:r>
                    <w:rPr>
                      <w:rFonts w:hint="default" w:ascii="Times New Roman" w:hAnsi="Times New Roman" w:cs="Times New Roman"/>
                      <w:bCs/>
                      <w:sz w:val="21"/>
                      <w:szCs w:val="21"/>
                      <w:lang w:eastAsia="zh-CN"/>
                    </w:rPr>
                    <w:t>）</w:t>
                  </w:r>
                  <w:r>
                    <w:rPr>
                      <w:rFonts w:hint="default" w:ascii="Times New Roman" w:hAnsi="Times New Roman" w:cs="Times New Roman"/>
                      <w:sz w:val="21"/>
                      <w:szCs w:val="21"/>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1" w:hRule="atLeast"/>
                <w:jc w:val="center"/>
              </w:trPr>
              <w:tc>
                <w:tcPr>
                  <w:tcW w:w="234" w:type="pct"/>
                  <w:vMerge w:val="restar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sz w:val="21"/>
                      <w:szCs w:val="21"/>
                      <w:lang w:eastAsia="zh-CN"/>
                    </w:rPr>
                  </w:pPr>
                  <w:r>
                    <w:rPr>
                      <w:rFonts w:hint="default" w:ascii="Times New Roman" w:hAnsi="Times New Roman" w:cs="Times New Roman"/>
                      <w:b/>
                      <w:bCs/>
                      <w:sz w:val="21"/>
                      <w:szCs w:val="21"/>
                      <w:lang w:eastAsia="zh-CN"/>
                    </w:rPr>
                    <w:t>大气环境</w:t>
                  </w:r>
                </w:p>
              </w:tc>
              <w:tc>
                <w:tcPr>
                  <w:tcW w:w="1017"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color w:val="auto"/>
                      <w:kern w:val="0"/>
                      <w:sz w:val="21"/>
                      <w:szCs w:val="21"/>
                      <w:lang w:val="en-US" w:eastAsia="zh-CN"/>
                    </w:rPr>
                    <w:t>青峨村</w:t>
                  </w:r>
                  <w:r>
                    <w:rPr>
                      <w:rFonts w:hint="default" w:ascii="Times New Roman" w:hAnsi="Times New Roman" w:eastAsia="宋体" w:cs="Times New Roman"/>
                      <w:sz w:val="21"/>
                      <w:szCs w:val="21"/>
                    </w:rPr>
                    <w:t>居民</w:t>
                  </w:r>
                </w:p>
              </w:tc>
              <w:tc>
                <w:tcPr>
                  <w:tcW w:w="1128"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color w:val="auto"/>
                      <w:kern w:val="0"/>
                      <w:sz w:val="21"/>
                      <w:szCs w:val="21"/>
                      <w:lang w:val="en-US" w:eastAsia="zh-CN"/>
                    </w:rPr>
                    <w:t>东南侧75m</w:t>
                  </w:r>
                </w:p>
              </w:tc>
              <w:tc>
                <w:tcPr>
                  <w:tcW w:w="1170"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color w:val="auto"/>
                      <w:kern w:val="0"/>
                      <w:sz w:val="21"/>
                      <w:szCs w:val="21"/>
                      <w:lang w:val="en-US" w:eastAsia="zh-CN"/>
                    </w:rPr>
                    <w:t>600户1500人</w:t>
                  </w:r>
                </w:p>
              </w:tc>
              <w:tc>
                <w:tcPr>
                  <w:tcW w:w="1449" w:type="pct"/>
                  <w:vMerge w:val="restar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sz w:val="21"/>
                      <w:szCs w:val="21"/>
                    </w:rPr>
                  </w:pPr>
                </w:p>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bCs/>
                      <w:sz w:val="21"/>
                      <w:szCs w:val="21"/>
                    </w:rPr>
                    <w:t>《环境空气质量标准》（GB</w:t>
                  </w:r>
                  <w:r>
                    <w:rPr>
                      <w:rFonts w:hint="default" w:ascii="Times New Roman" w:hAnsi="Times New Roman" w:cs="Times New Roman"/>
                      <w:sz w:val="21"/>
                      <w:szCs w:val="21"/>
                    </w:rPr>
                    <w:t>3095</w:t>
                  </w:r>
                  <w:r>
                    <w:rPr>
                      <w:rFonts w:hint="default" w:ascii="Times New Roman" w:hAnsi="Times New Roman" w:cs="Times New Roman"/>
                      <w:bCs/>
                      <w:sz w:val="21"/>
                      <w:szCs w:val="21"/>
                    </w:rPr>
                    <w:t>-</w:t>
                  </w:r>
                  <w:r>
                    <w:rPr>
                      <w:rFonts w:hint="default" w:ascii="Times New Roman" w:hAnsi="Times New Roman" w:cs="Times New Roman"/>
                      <w:sz w:val="21"/>
                      <w:szCs w:val="21"/>
                    </w:rPr>
                    <w:t>2012</w:t>
                  </w:r>
                  <w:r>
                    <w:rPr>
                      <w:rFonts w:hint="default" w:ascii="Times New Roman" w:hAnsi="Times New Roman" w:cs="Times New Roman"/>
                      <w:bCs/>
                      <w:sz w:val="21"/>
                      <w:szCs w:val="21"/>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2" w:hRule="atLeast"/>
                <w:jc w:val="center"/>
              </w:trPr>
              <w:tc>
                <w:tcPr>
                  <w:tcW w:w="234" w:type="pct"/>
                  <w:vMerge w:val="continue"/>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sz w:val="21"/>
                      <w:szCs w:val="21"/>
                    </w:rPr>
                  </w:pPr>
                </w:p>
              </w:tc>
              <w:tc>
                <w:tcPr>
                  <w:tcW w:w="1017"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color w:val="auto"/>
                      <w:kern w:val="0"/>
                      <w:sz w:val="21"/>
                      <w:szCs w:val="21"/>
                      <w:lang w:val="en-US" w:eastAsia="zh-CN"/>
                    </w:rPr>
                    <w:t>青衣人家小区</w:t>
                  </w:r>
                </w:p>
              </w:tc>
              <w:tc>
                <w:tcPr>
                  <w:tcW w:w="1128"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color w:val="auto"/>
                      <w:kern w:val="0"/>
                      <w:sz w:val="21"/>
                      <w:szCs w:val="21"/>
                      <w:lang w:val="en-US" w:eastAsia="zh-CN"/>
                    </w:rPr>
                    <w:t>东侧253m</w:t>
                  </w:r>
                </w:p>
              </w:tc>
              <w:tc>
                <w:tcPr>
                  <w:tcW w:w="1170"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color w:val="auto"/>
                      <w:kern w:val="0"/>
                      <w:sz w:val="21"/>
                      <w:szCs w:val="21"/>
                      <w:lang w:val="en-US" w:eastAsia="zh-CN"/>
                    </w:rPr>
                    <w:t>800户约2400人</w:t>
                  </w:r>
                </w:p>
              </w:tc>
              <w:tc>
                <w:tcPr>
                  <w:tcW w:w="1449" w:type="pct"/>
                  <w:vMerge w:val="continue"/>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2" w:hRule="atLeast"/>
                <w:jc w:val="center"/>
              </w:trPr>
              <w:tc>
                <w:tcPr>
                  <w:tcW w:w="234" w:type="pct"/>
                  <w:vMerge w:val="continue"/>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sz w:val="21"/>
                      <w:szCs w:val="21"/>
                    </w:rPr>
                  </w:pPr>
                </w:p>
              </w:tc>
              <w:tc>
                <w:tcPr>
                  <w:tcW w:w="1017"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color w:val="auto"/>
                      <w:kern w:val="0"/>
                      <w:sz w:val="21"/>
                      <w:szCs w:val="21"/>
                      <w:lang w:val="en-US" w:eastAsia="zh-CN"/>
                    </w:rPr>
                    <w:t>吴村</w:t>
                  </w:r>
                  <w:r>
                    <w:rPr>
                      <w:rFonts w:hint="default" w:ascii="Times New Roman" w:hAnsi="Times New Roman" w:eastAsia="宋体" w:cs="Times New Roman"/>
                      <w:sz w:val="21"/>
                      <w:szCs w:val="21"/>
                    </w:rPr>
                    <w:t>居民</w:t>
                  </w:r>
                </w:p>
              </w:tc>
              <w:tc>
                <w:tcPr>
                  <w:tcW w:w="1128"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color w:val="auto"/>
                      <w:kern w:val="0"/>
                      <w:sz w:val="21"/>
                      <w:szCs w:val="21"/>
                      <w:lang w:val="en-US" w:eastAsia="zh-CN"/>
                    </w:rPr>
                    <w:t>西侧20m</w:t>
                  </w:r>
                </w:p>
              </w:tc>
              <w:tc>
                <w:tcPr>
                  <w:tcW w:w="1170"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color w:val="auto"/>
                      <w:kern w:val="0"/>
                      <w:sz w:val="21"/>
                      <w:szCs w:val="21"/>
                      <w:lang w:val="en-US" w:eastAsia="zh-CN"/>
                    </w:rPr>
                    <w:t>80户约240人</w:t>
                  </w:r>
                </w:p>
              </w:tc>
              <w:tc>
                <w:tcPr>
                  <w:tcW w:w="1449" w:type="pct"/>
                  <w:vMerge w:val="continue"/>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2" w:hRule="atLeast"/>
                <w:jc w:val="center"/>
              </w:trPr>
              <w:tc>
                <w:tcPr>
                  <w:tcW w:w="234" w:type="pct"/>
                  <w:vMerge w:val="continue"/>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sz w:val="21"/>
                      <w:szCs w:val="21"/>
                    </w:rPr>
                  </w:pPr>
                </w:p>
              </w:tc>
              <w:tc>
                <w:tcPr>
                  <w:tcW w:w="1017"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color w:val="auto"/>
                      <w:kern w:val="0"/>
                      <w:sz w:val="21"/>
                      <w:szCs w:val="21"/>
                      <w:lang w:val="en-US" w:eastAsia="zh-CN"/>
                    </w:rPr>
                    <w:t>乐山商务学校</w:t>
                  </w:r>
                </w:p>
              </w:tc>
              <w:tc>
                <w:tcPr>
                  <w:tcW w:w="1128"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color w:val="auto"/>
                      <w:kern w:val="0"/>
                      <w:sz w:val="21"/>
                      <w:szCs w:val="21"/>
                      <w:lang w:val="en-US" w:eastAsia="zh-CN"/>
                    </w:rPr>
                    <w:t>西南侧460m</w:t>
                  </w:r>
                </w:p>
              </w:tc>
              <w:tc>
                <w:tcPr>
                  <w:tcW w:w="1170"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color w:val="auto"/>
                      <w:kern w:val="0"/>
                      <w:sz w:val="21"/>
                      <w:szCs w:val="21"/>
                      <w:lang w:val="en-US" w:eastAsia="zh-CN"/>
                    </w:rPr>
                    <w:t>600人</w:t>
                  </w:r>
                </w:p>
              </w:tc>
              <w:tc>
                <w:tcPr>
                  <w:tcW w:w="1449" w:type="pct"/>
                  <w:vMerge w:val="continue"/>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234" w:type="pct"/>
                  <w:vMerge w:val="continue"/>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sz w:val="21"/>
                      <w:szCs w:val="21"/>
                    </w:rPr>
                  </w:pPr>
                </w:p>
              </w:tc>
              <w:tc>
                <w:tcPr>
                  <w:tcW w:w="1017"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color w:val="auto"/>
                      <w:kern w:val="0"/>
                      <w:sz w:val="21"/>
                      <w:szCs w:val="21"/>
                      <w:lang w:val="en-US" w:eastAsia="zh-CN"/>
                    </w:rPr>
                    <w:t>新联村商住户</w:t>
                  </w:r>
                </w:p>
              </w:tc>
              <w:tc>
                <w:tcPr>
                  <w:tcW w:w="1128"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color w:val="auto"/>
                      <w:kern w:val="0"/>
                      <w:sz w:val="21"/>
                      <w:szCs w:val="21"/>
                      <w:lang w:val="en-US" w:eastAsia="zh-CN"/>
                    </w:rPr>
                    <w:t>西南侧178m</w:t>
                  </w:r>
                </w:p>
              </w:tc>
              <w:tc>
                <w:tcPr>
                  <w:tcW w:w="1170"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color w:val="auto"/>
                      <w:kern w:val="0"/>
                      <w:sz w:val="21"/>
                      <w:szCs w:val="21"/>
                      <w:lang w:val="en-US" w:eastAsia="zh-CN"/>
                    </w:rPr>
                    <w:t>1000户3000人</w:t>
                  </w:r>
                </w:p>
              </w:tc>
              <w:tc>
                <w:tcPr>
                  <w:tcW w:w="1449" w:type="pct"/>
                  <w:vMerge w:val="continue"/>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2" w:hRule="atLeast"/>
                <w:jc w:val="center"/>
              </w:trPr>
              <w:tc>
                <w:tcPr>
                  <w:tcW w:w="234" w:type="pct"/>
                  <w:vMerge w:val="continue"/>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sz w:val="21"/>
                      <w:szCs w:val="21"/>
                    </w:rPr>
                  </w:pPr>
                </w:p>
              </w:tc>
              <w:tc>
                <w:tcPr>
                  <w:tcW w:w="1017"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auto"/>
                      <w:kern w:val="0"/>
                      <w:sz w:val="21"/>
                      <w:szCs w:val="21"/>
                      <w:lang w:val="en-US" w:eastAsia="zh-CN"/>
                    </w:rPr>
                    <w:t>罗村</w:t>
                  </w:r>
                  <w:r>
                    <w:rPr>
                      <w:rFonts w:hint="default" w:ascii="Times New Roman" w:hAnsi="Times New Roman" w:eastAsia="宋体" w:cs="Times New Roman"/>
                      <w:sz w:val="21"/>
                      <w:szCs w:val="21"/>
                      <w:lang w:val="en-US" w:eastAsia="zh-CN"/>
                    </w:rPr>
                    <w:t>居民</w:t>
                  </w:r>
                </w:p>
              </w:tc>
              <w:tc>
                <w:tcPr>
                  <w:tcW w:w="1128"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auto"/>
                      <w:kern w:val="0"/>
                      <w:sz w:val="21"/>
                      <w:szCs w:val="21"/>
                      <w:lang w:val="en-US" w:eastAsia="zh-CN"/>
                    </w:rPr>
                    <w:t>东北侧460m</w:t>
                  </w:r>
                </w:p>
              </w:tc>
              <w:tc>
                <w:tcPr>
                  <w:tcW w:w="1170"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auto"/>
                      <w:kern w:val="0"/>
                      <w:sz w:val="21"/>
                      <w:szCs w:val="21"/>
                      <w:lang w:val="en-US" w:eastAsia="zh-CN"/>
                    </w:rPr>
                    <w:t>60户180人</w:t>
                  </w:r>
                </w:p>
              </w:tc>
              <w:tc>
                <w:tcPr>
                  <w:tcW w:w="1449" w:type="pct"/>
                  <w:vMerge w:val="continue"/>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7" w:hRule="atLeast"/>
                <w:jc w:val="center"/>
              </w:trPr>
              <w:tc>
                <w:tcPr>
                  <w:tcW w:w="234"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bCs/>
                      <w:sz w:val="21"/>
                      <w:szCs w:val="21"/>
                      <w:lang w:eastAsia="zh-CN"/>
                    </w:rPr>
                  </w:pPr>
                  <w:r>
                    <w:rPr>
                      <w:rFonts w:hint="default" w:ascii="Times New Roman" w:hAnsi="Times New Roman" w:cs="Times New Roman"/>
                      <w:b/>
                      <w:bCs/>
                      <w:sz w:val="21"/>
                      <w:szCs w:val="21"/>
                      <w:lang w:eastAsia="zh-CN"/>
                    </w:rPr>
                    <w:t>声环境</w:t>
                  </w:r>
                </w:p>
              </w:tc>
              <w:tc>
                <w:tcPr>
                  <w:tcW w:w="1017"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color w:val="auto"/>
                      <w:kern w:val="0"/>
                      <w:sz w:val="21"/>
                      <w:szCs w:val="21"/>
                      <w:lang w:val="en-US" w:eastAsia="zh-CN"/>
                    </w:rPr>
                    <w:t>吴村</w:t>
                  </w:r>
                  <w:r>
                    <w:rPr>
                      <w:rFonts w:hint="default" w:ascii="Times New Roman" w:hAnsi="Times New Roman" w:eastAsia="宋体" w:cs="Times New Roman"/>
                      <w:sz w:val="21"/>
                      <w:szCs w:val="21"/>
                    </w:rPr>
                    <w:t>居民</w:t>
                  </w:r>
                </w:p>
              </w:tc>
              <w:tc>
                <w:tcPr>
                  <w:tcW w:w="1128"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color w:val="auto"/>
                      <w:kern w:val="0"/>
                      <w:sz w:val="21"/>
                      <w:szCs w:val="21"/>
                      <w:lang w:val="en-US" w:eastAsia="zh-CN"/>
                    </w:rPr>
                    <w:t>西侧20m</w:t>
                  </w:r>
                </w:p>
              </w:tc>
              <w:tc>
                <w:tcPr>
                  <w:tcW w:w="1170"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color w:val="auto"/>
                      <w:kern w:val="0"/>
                      <w:sz w:val="21"/>
                      <w:szCs w:val="21"/>
                      <w:lang w:val="en-US" w:eastAsia="zh-CN"/>
                    </w:rPr>
                    <w:t>80户约240人</w:t>
                  </w:r>
                </w:p>
              </w:tc>
              <w:tc>
                <w:tcPr>
                  <w:tcW w:w="1449"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《声环境质量标准》</w:t>
                  </w:r>
                  <w:r>
                    <w:rPr>
                      <w:rFonts w:hint="default" w:ascii="Times New Roman" w:hAnsi="Times New Roman" w:cs="Times New Roman"/>
                      <w:sz w:val="21"/>
                      <w:szCs w:val="21"/>
                      <w:lang w:eastAsia="zh-CN"/>
                    </w:rPr>
                    <w:t>（</w:t>
                  </w:r>
                  <w:r>
                    <w:rPr>
                      <w:rFonts w:hint="default" w:ascii="Times New Roman" w:hAnsi="Times New Roman" w:cs="Times New Roman"/>
                      <w:sz w:val="21"/>
                      <w:szCs w:val="21"/>
                    </w:rPr>
                    <w:t>GB 3096-2008</w:t>
                  </w:r>
                  <w:r>
                    <w:rPr>
                      <w:rFonts w:hint="default" w:ascii="Times New Roman" w:hAnsi="Times New Roman" w:cs="Times New Roman"/>
                      <w:sz w:val="21"/>
                      <w:szCs w:val="21"/>
                      <w:lang w:eastAsia="zh-CN"/>
                    </w:rPr>
                    <w:t>）</w:t>
                  </w:r>
                  <w:r>
                    <w:rPr>
                      <w:rFonts w:hint="default" w:ascii="Times New Roman" w:hAnsi="Times New Roman" w:cs="Times New Roman"/>
                      <w:sz w:val="21"/>
                      <w:szCs w:val="21"/>
                    </w:rPr>
                    <w:t>2类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1" w:hRule="atLeast"/>
                <w:jc w:val="center"/>
              </w:trPr>
              <w:tc>
                <w:tcPr>
                  <w:tcW w:w="234" w:type="pct"/>
                  <w:noWrap w:val="0"/>
                  <w:vAlign w:val="center"/>
                </w:tcPr>
                <w:p>
                  <w:pPr>
                    <w:pStyle w:val="50"/>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生态环境</w:t>
                  </w:r>
                </w:p>
              </w:tc>
              <w:tc>
                <w:tcPr>
                  <w:tcW w:w="3316" w:type="pct"/>
                  <w:gridSpan w:val="3"/>
                  <w:noWrap w:val="0"/>
                  <w:vAlign w:val="center"/>
                </w:tcPr>
                <w:p>
                  <w:pPr>
                    <w:pStyle w:val="50"/>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color w:val="auto"/>
                      <w:sz w:val="21"/>
                      <w:szCs w:val="21"/>
                    </w:rPr>
                  </w:pPr>
                  <w:r>
                    <w:rPr>
                      <w:rFonts w:hint="eastAsia" w:ascii="Times New Roman" w:cs="Times New Roman"/>
                      <w:color w:val="auto"/>
                      <w:sz w:val="21"/>
                      <w:szCs w:val="21"/>
                      <w:lang w:val="en-US" w:eastAsia="zh-CN"/>
                    </w:rPr>
                    <w:t>峨眉河</w:t>
                  </w:r>
                  <w:r>
                    <w:rPr>
                      <w:rFonts w:hint="default" w:ascii="Times New Roman" w:hAnsi="Times New Roman" w:cs="Times New Roman"/>
                      <w:color w:val="auto"/>
                      <w:sz w:val="21"/>
                      <w:szCs w:val="21"/>
                    </w:rPr>
                    <w:t>河道内及施工周边</w:t>
                  </w:r>
                </w:p>
              </w:tc>
              <w:tc>
                <w:tcPr>
                  <w:tcW w:w="1449" w:type="pct"/>
                  <w:noWrap w:val="0"/>
                  <w:vAlign w:val="center"/>
                </w:tcPr>
                <w:p>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kern w:val="0"/>
                      <w:sz w:val="21"/>
                      <w:szCs w:val="21"/>
                    </w:rPr>
                    <w:t>生态环境以不减少区内濒危珍稀动植物和不破坏生态系统完整性为标准，水土流失以不改变土壤侵蚀类型为标准</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0000FF"/>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1"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kern w:val="0"/>
                <w:szCs w:val="21"/>
              </w:rPr>
            </w:pPr>
            <w:r>
              <w:rPr>
                <w:rFonts w:hint="default" w:ascii="Times New Roman" w:hAnsi="Times New Roman" w:cs="Times New Roman"/>
                <w:kern w:val="0"/>
                <w:szCs w:val="21"/>
              </w:rPr>
              <w:t>评价标准</w:t>
            </w:r>
          </w:p>
        </w:tc>
        <w:tc>
          <w:tcPr>
            <w:tcW w:w="7663" w:type="dxa"/>
            <w:noWrap w:val="0"/>
            <w:vAlign w:val="center"/>
          </w:tcPr>
          <w:p>
            <w:pPr>
              <w:adjustRightInd w:val="0"/>
              <w:snapToGrid w:val="0"/>
              <w:spacing w:line="360" w:lineRule="auto"/>
              <w:ind w:firstLine="482" w:firstLineChars="200"/>
              <w:rPr>
                <w:rFonts w:hint="default" w:ascii="Times New Roman" w:hAnsi="Times New Roman" w:cs="Times New Roman"/>
                <w:b/>
                <w:bCs/>
                <w:kern w:val="0"/>
                <w:sz w:val="24"/>
              </w:rPr>
            </w:pPr>
            <w:r>
              <w:rPr>
                <w:rFonts w:hint="default" w:ascii="Times New Roman" w:hAnsi="Times New Roman" w:cs="Times New Roman"/>
                <w:b/>
                <w:bCs/>
                <w:kern w:val="0"/>
                <w:sz w:val="24"/>
              </w:rPr>
              <w:t>1、</w:t>
            </w:r>
            <w:r>
              <w:rPr>
                <w:rFonts w:hint="default" w:ascii="Times New Roman" w:hAnsi="Times New Roman" w:cs="Times New Roman"/>
                <w:b/>
                <w:bCs/>
                <w:sz w:val="24"/>
              </w:rPr>
              <w:t>环境</w:t>
            </w:r>
            <w:r>
              <w:rPr>
                <w:rFonts w:hint="default" w:ascii="Times New Roman" w:hAnsi="Times New Roman" w:cs="Times New Roman"/>
                <w:b/>
                <w:bCs/>
                <w:kern w:val="0"/>
                <w:sz w:val="24"/>
              </w:rPr>
              <w:t>质量标准</w:t>
            </w:r>
          </w:p>
          <w:p>
            <w:pPr>
              <w:adjustRightInd w:val="0"/>
              <w:snapToGrid w:val="0"/>
              <w:spacing w:line="360" w:lineRule="auto"/>
              <w:ind w:firstLine="480" w:firstLineChars="200"/>
              <w:jc w:val="left"/>
              <w:rPr>
                <w:rFonts w:hint="default" w:ascii="Times New Roman" w:hAnsi="Times New Roman" w:cs="Times New Roman"/>
                <w:sz w:val="24"/>
              </w:rPr>
            </w:pPr>
            <w:r>
              <w:rPr>
                <w:rFonts w:hint="default" w:ascii="Times New Roman" w:hAnsi="Times New Roman" w:cs="Times New Roman"/>
                <w:sz w:val="24"/>
              </w:rPr>
              <w:t>（1）环境空气质量</w:t>
            </w:r>
          </w:p>
          <w:p>
            <w:pPr>
              <w:adjustRightInd w:val="0"/>
              <w:snapToGrid w:val="0"/>
              <w:spacing w:line="360" w:lineRule="auto"/>
              <w:ind w:firstLine="480" w:firstLineChars="200"/>
              <w:jc w:val="left"/>
              <w:rPr>
                <w:rFonts w:hint="default" w:ascii="Times New Roman" w:hAnsi="Times New Roman" w:eastAsia="宋体" w:cs="Times New Roman"/>
                <w:sz w:val="24"/>
              </w:rPr>
            </w:pPr>
            <w:r>
              <w:rPr>
                <w:rFonts w:hint="default" w:ascii="Times New Roman" w:hAnsi="Times New Roman" w:eastAsia="宋体" w:cs="Times New Roman"/>
                <w:sz w:val="24"/>
              </w:rPr>
              <w:t>项目所在地周围大气环境执行《环境空气质量标准》</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GB3095-2012</w:t>
            </w:r>
            <w:r>
              <w:rPr>
                <w:rFonts w:hint="default" w:ascii="Times New Roman" w:hAnsi="Times New Roman" w:eastAsia="宋体" w:cs="Times New Roman"/>
                <w:sz w:val="24"/>
                <w:lang w:eastAsia="zh-CN"/>
              </w:rPr>
              <w:t>）</w:t>
            </w:r>
            <w:r>
              <w:rPr>
                <w:rFonts w:hint="eastAsia" w:ascii="Times New Roman" w:hAnsi="Times New Roman" w:eastAsia="宋体" w:cs="Times New Roman"/>
                <w:sz w:val="24"/>
              </w:rPr>
              <w:t>《关于发布《环境空气质量标准》（GB3095-2012）修改单的公告》（生态环境部公告2018 年第29 号）中二级标准</w:t>
            </w:r>
            <w:r>
              <w:rPr>
                <w:rFonts w:hint="default" w:ascii="Times New Roman" w:hAnsi="Times New Roman" w:eastAsia="宋体" w:cs="Times New Roman"/>
                <w:sz w:val="24"/>
              </w:rPr>
              <w:t>，详见下表3-</w:t>
            </w:r>
            <w:r>
              <w:rPr>
                <w:rFonts w:hint="eastAsia" w:ascii="Times New Roman" w:hAnsi="Times New Roman" w:eastAsia="宋体" w:cs="Times New Roman"/>
                <w:sz w:val="24"/>
                <w:lang w:val="en-US" w:eastAsia="zh-CN"/>
              </w:rPr>
              <w:t>5</w:t>
            </w:r>
            <w:r>
              <w:rPr>
                <w:rFonts w:hint="default" w:ascii="Times New Roman" w:hAnsi="Times New Roman" w:eastAsia="宋体" w:cs="Times New Roman"/>
                <w:sz w:val="24"/>
              </w:rPr>
              <w:t>。</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bCs/>
                <w:szCs w:val="21"/>
              </w:rPr>
            </w:pPr>
            <w:r>
              <w:rPr>
                <w:rFonts w:hint="default" w:ascii="Times New Roman" w:hAnsi="Times New Roman" w:cs="Times New Roman"/>
                <w:b/>
                <w:bCs/>
                <w:szCs w:val="21"/>
              </w:rPr>
              <w:t>表3-</w:t>
            </w:r>
            <w:r>
              <w:rPr>
                <w:rFonts w:hint="eastAsia" w:ascii="Times New Roman" w:hAnsi="Times New Roman" w:cs="Times New Roman"/>
                <w:b/>
                <w:bCs/>
                <w:szCs w:val="21"/>
                <w:lang w:val="en-US" w:eastAsia="zh-CN"/>
              </w:rPr>
              <w:t>5</w:t>
            </w:r>
            <w:r>
              <w:rPr>
                <w:rFonts w:hint="default" w:ascii="Times New Roman" w:hAnsi="Times New Roman" w:cs="Times New Roman"/>
                <w:b/>
                <w:bCs/>
                <w:szCs w:val="21"/>
              </w:rPr>
              <w:t xml:space="preserve">  环境空气质量标准（摘录</w:t>
            </w:r>
            <w:r>
              <w:rPr>
                <w:rFonts w:hint="default" w:ascii="Times New Roman" w:hAnsi="Times New Roman" w:cs="Times New Roman"/>
                <w:b/>
                <w:bCs/>
                <w:szCs w:val="21"/>
                <w:lang w:eastAsia="zh-CN"/>
              </w:rPr>
              <w:t>）</w:t>
            </w:r>
            <w:r>
              <w:rPr>
                <w:rFonts w:hint="default" w:ascii="Times New Roman" w:hAnsi="Times New Roman" w:cs="Times New Roman"/>
                <w:b/>
                <w:bCs/>
                <w:szCs w:val="21"/>
              </w:rPr>
              <w:t xml:space="preserve">  单位：μg/m</w:t>
            </w:r>
            <w:r>
              <w:rPr>
                <w:rFonts w:hint="default" w:ascii="Times New Roman" w:hAnsi="Times New Roman" w:cs="Times New Roman"/>
                <w:b/>
                <w:bCs/>
                <w:szCs w:val="21"/>
                <w:vertAlign w:val="superscript"/>
              </w:rPr>
              <w:t>3</w:t>
            </w:r>
          </w:p>
          <w:tbl>
            <w:tblPr>
              <w:tblStyle w:val="3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3"/>
              <w:gridCol w:w="1396"/>
              <w:gridCol w:w="1537"/>
              <w:gridCol w:w="1073"/>
              <w:gridCol w:w="2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7" w:type="pct"/>
                  <w:vMerge w:val="restart"/>
                  <w:noWrap w:val="0"/>
                  <w:vAlign w:val="center"/>
                </w:tcPr>
                <w:p>
                  <w:pPr>
                    <w:adjustRightInd w:val="0"/>
                    <w:snapToGrid w:val="0"/>
                    <w:jc w:val="center"/>
                    <w:rPr>
                      <w:rFonts w:hint="default" w:ascii="Times New Roman" w:hAnsi="Times New Roman" w:cs="Times New Roman"/>
                      <w:b/>
                      <w:bCs/>
                      <w:szCs w:val="21"/>
                    </w:rPr>
                  </w:pPr>
                  <w:r>
                    <w:rPr>
                      <w:rFonts w:hint="default" w:ascii="Times New Roman" w:hAnsi="Times New Roman" w:cs="Times New Roman"/>
                      <w:b/>
                      <w:bCs/>
                      <w:szCs w:val="21"/>
                    </w:rPr>
                    <w:t>污染物</w:t>
                  </w:r>
                </w:p>
              </w:tc>
              <w:tc>
                <w:tcPr>
                  <w:tcW w:w="2590" w:type="pct"/>
                  <w:gridSpan w:val="3"/>
                  <w:noWrap w:val="0"/>
                  <w:vAlign w:val="center"/>
                </w:tcPr>
                <w:p>
                  <w:pPr>
                    <w:adjustRightInd w:val="0"/>
                    <w:snapToGrid w:val="0"/>
                    <w:jc w:val="center"/>
                    <w:rPr>
                      <w:rFonts w:hint="default" w:ascii="Times New Roman" w:hAnsi="Times New Roman" w:cs="Times New Roman"/>
                      <w:b/>
                      <w:bCs/>
                      <w:szCs w:val="21"/>
                    </w:rPr>
                  </w:pPr>
                  <w:r>
                    <w:rPr>
                      <w:rFonts w:hint="default" w:ascii="Times New Roman" w:hAnsi="Times New Roman" w:cs="Times New Roman"/>
                      <w:b/>
                      <w:bCs/>
                      <w:szCs w:val="21"/>
                    </w:rPr>
                    <w:t>污染物的浓度限值（ug/m</w:t>
                  </w:r>
                  <w:r>
                    <w:rPr>
                      <w:rFonts w:hint="default" w:ascii="Times New Roman" w:hAnsi="Times New Roman" w:cs="Times New Roman"/>
                      <w:b/>
                      <w:bCs/>
                      <w:szCs w:val="21"/>
                      <w:vertAlign w:val="superscript"/>
                    </w:rPr>
                    <w:t>3</w:t>
                  </w:r>
                  <w:r>
                    <w:rPr>
                      <w:rFonts w:hint="default" w:ascii="Times New Roman" w:hAnsi="Times New Roman" w:cs="Times New Roman"/>
                      <w:b/>
                      <w:bCs/>
                      <w:szCs w:val="21"/>
                    </w:rPr>
                    <w:t>）</w:t>
                  </w:r>
                </w:p>
              </w:tc>
              <w:tc>
                <w:tcPr>
                  <w:tcW w:w="1271" w:type="pct"/>
                  <w:vMerge w:val="restart"/>
                  <w:noWrap w:val="0"/>
                  <w:vAlign w:val="center"/>
                </w:tcPr>
                <w:p>
                  <w:pPr>
                    <w:adjustRightInd w:val="0"/>
                    <w:snapToGrid w:val="0"/>
                    <w:jc w:val="center"/>
                    <w:rPr>
                      <w:rFonts w:hint="default" w:ascii="Times New Roman" w:hAnsi="Times New Roman" w:cs="Times New Roman"/>
                      <w:b/>
                      <w:bCs/>
                      <w:szCs w:val="21"/>
                    </w:rPr>
                  </w:pPr>
                  <w:r>
                    <w:rPr>
                      <w:rFonts w:hint="default" w:ascii="Times New Roman" w:hAnsi="Times New Roman" w:cs="Times New Roman"/>
                      <w:b/>
                      <w:bCs/>
                      <w:szCs w:val="21"/>
                    </w:rPr>
                    <w:t>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7" w:type="pct"/>
                  <w:vMerge w:val="continue"/>
                  <w:noWrap w:val="0"/>
                  <w:vAlign w:val="center"/>
                </w:tcPr>
                <w:p>
                  <w:pPr>
                    <w:adjustRightInd w:val="0"/>
                    <w:snapToGrid w:val="0"/>
                    <w:jc w:val="center"/>
                    <w:rPr>
                      <w:rFonts w:hint="default" w:ascii="Times New Roman" w:hAnsi="Times New Roman" w:cs="Times New Roman"/>
                      <w:szCs w:val="21"/>
                    </w:rPr>
                  </w:pPr>
                </w:p>
              </w:tc>
              <w:tc>
                <w:tcPr>
                  <w:tcW w:w="902"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1小时平均</w:t>
                  </w:r>
                </w:p>
              </w:tc>
              <w:tc>
                <w:tcPr>
                  <w:tcW w:w="992"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24小时平均值</w:t>
                  </w:r>
                </w:p>
              </w:tc>
              <w:tc>
                <w:tcPr>
                  <w:tcW w:w="695"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年平均</w:t>
                  </w:r>
                </w:p>
              </w:tc>
              <w:tc>
                <w:tcPr>
                  <w:tcW w:w="1271" w:type="pct"/>
                  <w:vMerge w:val="continue"/>
                  <w:noWrap w:val="0"/>
                  <w:vAlign w:val="center"/>
                </w:tcPr>
                <w:p>
                  <w:pPr>
                    <w:adjustRightInd w:val="0"/>
                    <w:snapToGrid w:val="0"/>
                    <w:jc w:val="center"/>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7" w:type="pct"/>
                  <w:noWrap w:val="0"/>
                  <w:vAlign w:val="center"/>
                </w:tcPr>
                <w:p>
                  <w:pPr>
                    <w:adjustRightInd w:val="0"/>
                    <w:snapToGrid w:val="0"/>
                    <w:jc w:val="center"/>
                    <w:rPr>
                      <w:rFonts w:hint="default" w:ascii="Times New Roman" w:hAnsi="Times New Roman" w:cs="Times New Roman"/>
                      <w:szCs w:val="21"/>
                      <w:vertAlign w:val="subscript"/>
                    </w:rPr>
                  </w:pPr>
                  <w:r>
                    <w:rPr>
                      <w:rFonts w:hint="default" w:ascii="Times New Roman" w:hAnsi="Times New Roman" w:cs="Times New Roman"/>
                      <w:szCs w:val="21"/>
                    </w:rPr>
                    <w:t>SO</w:t>
                  </w:r>
                  <w:r>
                    <w:rPr>
                      <w:rFonts w:hint="default" w:ascii="Times New Roman" w:hAnsi="Times New Roman" w:cs="Times New Roman"/>
                      <w:szCs w:val="21"/>
                      <w:vertAlign w:val="subscript"/>
                    </w:rPr>
                    <w:t>2</w:t>
                  </w:r>
                </w:p>
              </w:tc>
              <w:tc>
                <w:tcPr>
                  <w:tcW w:w="902"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500</w:t>
                  </w:r>
                </w:p>
              </w:tc>
              <w:tc>
                <w:tcPr>
                  <w:tcW w:w="992"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150</w:t>
                  </w:r>
                </w:p>
              </w:tc>
              <w:tc>
                <w:tcPr>
                  <w:tcW w:w="695"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60</w:t>
                  </w:r>
                </w:p>
              </w:tc>
              <w:tc>
                <w:tcPr>
                  <w:tcW w:w="1271" w:type="pct"/>
                  <w:vMerge w:val="restar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《环境空气质量标准》（GB3095-2012）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7" w:type="pct"/>
                  <w:noWrap w:val="0"/>
                  <w:vAlign w:val="center"/>
                </w:tcPr>
                <w:p>
                  <w:pPr>
                    <w:adjustRightInd w:val="0"/>
                    <w:snapToGrid w:val="0"/>
                    <w:jc w:val="center"/>
                    <w:rPr>
                      <w:rFonts w:hint="default" w:ascii="Times New Roman" w:hAnsi="Times New Roman" w:cs="Times New Roman"/>
                      <w:szCs w:val="21"/>
                      <w:vertAlign w:val="subscript"/>
                    </w:rPr>
                  </w:pPr>
                  <w:r>
                    <w:rPr>
                      <w:rFonts w:hint="default" w:ascii="Times New Roman" w:hAnsi="Times New Roman" w:cs="Times New Roman"/>
                      <w:szCs w:val="21"/>
                    </w:rPr>
                    <w:t>NO</w:t>
                  </w:r>
                  <w:r>
                    <w:rPr>
                      <w:rFonts w:hint="default" w:ascii="Times New Roman" w:hAnsi="Times New Roman" w:cs="Times New Roman"/>
                      <w:szCs w:val="21"/>
                      <w:vertAlign w:val="subscript"/>
                    </w:rPr>
                    <w:t>2</w:t>
                  </w:r>
                </w:p>
              </w:tc>
              <w:tc>
                <w:tcPr>
                  <w:tcW w:w="902"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200</w:t>
                  </w:r>
                </w:p>
              </w:tc>
              <w:tc>
                <w:tcPr>
                  <w:tcW w:w="992"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80</w:t>
                  </w:r>
                </w:p>
              </w:tc>
              <w:tc>
                <w:tcPr>
                  <w:tcW w:w="695"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40</w:t>
                  </w:r>
                </w:p>
              </w:tc>
              <w:tc>
                <w:tcPr>
                  <w:tcW w:w="1271" w:type="pct"/>
                  <w:vMerge w:val="continue"/>
                  <w:noWrap w:val="0"/>
                  <w:vAlign w:val="center"/>
                </w:tcPr>
                <w:p>
                  <w:pPr>
                    <w:adjustRightInd w:val="0"/>
                    <w:snapToGrid w:val="0"/>
                    <w:jc w:val="center"/>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7" w:type="pct"/>
                  <w:noWrap w:val="0"/>
                  <w:vAlign w:val="center"/>
                </w:tcPr>
                <w:p>
                  <w:pPr>
                    <w:adjustRightInd w:val="0"/>
                    <w:snapToGrid w:val="0"/>
                    <w:jc w:val="center"/>
                    <w:rPr>
                      <w:rFonts w:hint="default" w:ascii="Times New Roman" w:hAnsi="Times New Roman" w:cs="Times New Roman"/>
                      <w:szCs w:val="21"/>
                      <w:vertAlign w:val="subscript"/>
                    </w:rPr>
                  </w:pPr>
                  <w:r>
                    <w:rPr>
                      <w:rFonts w:hint="default" w:ascii="Times New Roman" w:hAnsi="Times New Roman" w:cs="Times New Roman"/>
                      <w:szCs w:val="21"/>
                    </w:rPr>
                    <w:t>PM</w:t>
                  </w:r>
                  <w:r>
                    <w:rPr>
                      <w:rFonts w:hint="default" w:ascii="Times New Roman" w:hAnsi="Times New Roman" w:cs="Times New Roman"/>
                      <w:szCs w:val="21"/>
                      <w:vertAlign w:val="subscript"/>
                    </w:rPr>
                    <w:t>10</w:t>
                  </w:r>
                </w:p>
              </w:tc>
              <w:tc>
                <w:tcPr>
                  <w:tcW w:w="902"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w:t>
                  </w:r>
                </w:p>
              </w:tc>
              <w:tc>
                <w:tcPr>
                  <w:tcW w:w="992"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150</w:t>
                  </w:r>
                </w:p>
              </w:tc>
              <w:tc>
                <w:tcPr>
                  <w:tcW w:w="695"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70</w:t>
                  </w:r>
                </w:p>
              </w:tc>
              <w:tc>
                <w:tcPr>
                  <w:tcW w:w="1271" w:type="pct"/>
                  <w:vMerge w:val="continue"/>
                  <w:noWrap w:val="0"/>
                  <w:vAlign w:val="center"/>
                </w:tcPr>
                <w:p>
                  <w:pPr>
                    <w:adjustRightInd w:val="0"/>
                    <w:snapToGrid w:val="0"/>
                    <w:jc w:val="center"/>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7"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PM</w:t>
                  </w:r>
                  <w:r>
                    <w:rPr>
                      <w:rFonts w:hint="default" w:ascii="Times New Roman" w:hAnsi="Times New Roman" w:cs="Times New Roman"/>
                      <w:szCs w:val="21"/>
                      <w:vertAlign w:val="subscript"/>
                    </w:rPr>
                    <w:t>2.5</w:t>
                  </w:r>
                </w:p>
              </w:tc>
              <w:tc>
                <w:tcPr>
                  <w:tcW w:w="902"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w:t>
                  </w:r>
                </w:p>
              </w:tc>
              <w:tc>
                <w:tcPr>
                  <w:tcW w:w="992"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75</w:t>
                  </w:r>
                </w:p>
              </w:tc>
              <w:tc>
                <w:tcPr>
                  <w:tcW w:w="695"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35</w:t>
                  </w:r>
                </w:p>
              </w:tc>
              <w:tc>
                <w:tcPr>
                  <w:tcW w:w="1271" w:type="pct"/>
                  <w:vMerge w:val="continue"/>
                  <w:noWrap w:val="0"/>
                  <w:vAlign w:val="center"/>
                </w:tcPr>
                <w:p>
                  <w:pPr>
                    <w:adjustRightInd w:val="0"/>
                    <w:snapToGrid w:val="0"/>
                    <w:jc w:val="center"/>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7"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CO</w:t>
                  </w:r>
                </w:p>
              </w:tc>
              <w:tc>
                <w:tcPr>
                  <w:tcW w:w="902"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10000</w:t>
                  </w:r>
                </w:p>
              </w:tc>
              <w:tc>
                <w:tcPr>
                  <w:tcW w:w="992"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4000</w:t>
                  </w:r>
                </w:p>
              </w:tc>
              <w:tc>
                <w:tcPr>
                  <w:tcW w:w="695"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w:t>
                  </w:r>
                </w:p>
              </w:tc>
              <w:tc>
                <w:tcPr>
                  <w:tcW w:w="1271" w:type="pct"/>
                  <w:vMerge w:val="continue"/>
                  <w:noWrap w:val="0"/>
                  <w:vAlign w:val="center"/>
                </w:tcPr>
                <w:p>
                  <w:pPr>
                    <w:adjustRightInd w:val="0"/>
                    <w:snapToGrid w:val="0"/>
                    <w:jc w:val="center"/>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7"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O</w:t>
                  </w:r>
                  <w:r>
                    <w:rPr>
                      <w:rFonts w:hint="default" w:ascii="Times New Roman" w:hAnsi="Times New Roman" w:cs="Times New Roman"/>
                      <w:szCs w:val="21"/>
                      <w:vertAlign w:val="subscript"/>
                    </w:rPr>
                    <w:t>3</w:t>
                  </w:r>
                </w:p>
              </w:tc>
              <w:tc>
                <w:tcPr>
                  <w:tcW w:w="902"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200</w:t>
                  </w:r>
                </w:p>
              </w:tc>
              <w:tc>
                <w:tcPr>
                  <w:tcW w:w="992"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160</w:t>
                  </w:r>
                </w:p>
              </w:tc>
              <w:tc>
                <w:tcPr>
                  <w:tcW w:w="695"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w:t>
                  </w:r>
                </w:p>
              </w:tc>
              <w:tc>
                <w:tcPr>
                  <w:tcW w:w="1271" w:type="pct"/>
                  <w:vMerge w:val="continue"/>
                  <w:noWrap w:val="0"/>
                  <w:vAlign w:val="center"/>
                </w:tcPr>
                <w:p>
                  <w:pPr>
                    <w:adjustRightInd w:val="0"/>
                    <w:snapToGrid w:val="0"/>
                    <w:jc w:val="center"/>
                    <w:rPr>
                      <w:rFonts w:hint="default" w:ascii="Times New Roman" w:hAnsi="Times New Roman" w:cs="Times New Roman"/>
                      <w:szCs w:val="21"/>
                    </w:rPr>
                  </w:pPr>
                </w:p>
              </w:tc>
            </w:tr>
          </w:tbl>
          <w:p>
            <w:pPr>
              <w:adjustRightInd w:val="0"/>
              <w:snapToGrid w:val="0"/>
              <w:spacing w:line="360" w:lineRule="auto"/>
              <w:ind w:firstLine="480" w:firstLineChars="200"/>
              <w:jc w:val="left"/>
              <w:rPr>
                <w:rFonts w:hint="default" w:ascii="Times New Roman" w:hAnsi="Times New Roman" w:cs="Times New Roman"/>
                <w:sz w:val="24"/>
              </w:rPr>
            </w:pPr>
            <w:r>
              <w:rPr>
                <w:rFonts w:hint="default" w:ascii="Times New Roman" w:hAnsi="Times New Roman" w:cs="Times New Roman"/>
                <w:sz w:val="24"/>
              </w:rPr>
              <w:t>（2）地表水环境质量</w:t>
            </w:r>
          </w:p>
          <w:p>
            <w:pPr>
              <w:adjustRightInd w:val="0"/>
              <w:snapToGrid w:val="0"/>
              <w:spacing w:line="360" w:lineRule="auto"/>
              <w:ind w:firstLine="480" w:firstLineChars="200"/>
              <w:jc w:val="left"/>
              <w:rPr>
                <w:rFonts w:hint="default" w:ascii="Times New Roman" w:hAnsi="Times New Roman" w:cs="Times New Roman"/>
                <w:sz w:val="24"/>
              </w:rPr>
            </w:pPr>
            <w:r>
              <w:rPr>
                <w:rFonts w:hint="default" w:ascii="Times New Roman" w:hAnsi="Times New Roman" w:cs="Times New Roman"/>
                <w:sz w:val="24"/>
              </w:rPr>
              <w:t>执行《地表水环境质量标准》（GB3838-2002）Ⅲ类水域标准，详见表3-</w:t>
            </w:r>
            <w:r>
              <w:rPr>
                <w:rFonts w:hint="eastAsia" w:ascii="Times New Roman" w:hAnsi="Times New Roman" w:cs="Times New Roman"/>
                <w:sz w:val="24"/>
                <w:lang w:val="en-US" w:eastAsia="zh-CN"/>
              </w:rPr>
              <w:t>6</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bCs/>
                <w:szCs w:val="21"/>
              </w:rPr>
            </w:pPr>
            <w:r>
              <w:rPr>
                <w:rFonts w:hint="default" w:ascii="Times New Roman" w:hAnsi="Times New Roman" w:cs="Times New Roman"/>
                <w:b/>
                <w:bCs/>
                <w:szCs w:val="21"/>
              </w:rPr>
              <w:t>表3-</w:t>
            </w:r>
            <w:r>
              <w:rPr>
                <w:rFonts w:hint="eastAsia" w:ascii="Times New Roman" w:hAnsi="Times New Roman" w:cs="Times New Roman"/>
                <w:b/>
                <w:bCs/>
                <w:szCs w:val="21"/>
                <w:lang w:val="en-US" w:eastAsia="zh-CN"/>
              </w:rPr>
              <w:t>6</w:t>
            </w:r>
            <w:r>
              <w:rPr>
                <w:rFonts w:hint="default" w:ascii="Times New Roman" w:hAnsi="Times New Roman" w:cs="Times New Roman"/>
                <w:b/>
                <w:bCs/>
                <w:szCs w:val="21"/>
              </w:rPr>
              <w:t xml:space="preserve">  地表水环境质量标准（GB3838-2002）（摘录）  单位：mg/L</w:t>
            </w:r>
          </w:p>
          <w:tbl>
            <w:tblPr>
              <w:tblStyle w:val="3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246"/>
              <w:gridCol w:w="35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708"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bCs/>
                      <w:color w:val="auto"/>
                      <w:spacing w:val="0"/>
                      <w:sz w:val="21"/>
                      <w:szCs w:val="21"/>
                      <w:lang w:val="zh-CN"/>
                    </w:rPr>
                  </w:pPr>
                  <w:r>
                    <w:rPr>
                      <w:rFonts w:hint="default" w:ascii="Times New Roman" w:hAnsi="Times New Roman" w:cs="Times New Roman"/>
                      <w:b/>
                      <w:bCs/>
                      <w:color w:val="auto"/>
                      <w:spacing w:val="0"/>
                      <w:sz w:val="21"/>
                      <w:szCs w:val="21"/>
                      <w:lang w:val="zh-CN"/>
                    </w:rPr>
                    <w:t>项  目</w:t>
                  </w:r>
                </w:p>
              </w:tc>
              <w:tc>
                <w:tcPr>
                  <w:tcW w:w="229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bCs/>
                      <w:color w:val="auto"/>
                      <w:spacing w:val="0"/>
                      <w:sz w:val="21"/>
                      <w:szCs w:val="21"/>
                      <w:lang w:val="zh-CN"/>
                    </w:rPr>
                  </w:pPr>
                  <w:r>
                    <w:rPr>
                      <w:rFonts w:hint="default" w:ascii="Times New Roman" w:hAnsi="Times New Roman" w:cs="Times New Roman"/>
                      <w:b/>
                      <w:bCs/>
                      <w:color w:val="auto"/>
                      <w:spacing w:val="0"/>
                      <w:sz w:val="21"/>
                      <w:szCs w:val="21"/>
                      <w:lang w:val="zh-CN"/>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708"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pH</w:t>
                  </w:r>
                </w:p>
              </w:tc>
              <w:tc>
                <w:tcPr>
                  <w:tcW w:w="229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6～9（无量纲）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708"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溶解氧</w:t>
                  </w:r>
                </w:p>
              </w:tc>
              <w:tc>
                <w:tcPr>
                  <w:tcW w:w="229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zh-CN"/>
                    </w:rPr>
                    <w:t>≥</w:t>
                  </w:r>
                  <w:r>
                    <w:rPr>
                      <w:rFonts w:hint="default" w:ascii="Times New Roman" w:hAnsi="Times New Roman" w:cs="Times New Roman"/>
                      <w:color w:val="auto"/>
                      <w:spacing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708"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COD</w:t>
                  </w:r>
                </w:p>
              </w:tc>
              <w:tc>
                <w:tcPr>
                  <w:tcW w:w="229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zh-CN"/>
                    </w:rPr>
                    <w:t>≤</w:t>
                  </w:r>
                  <w:r>
                    <w:rPr>
                      <w:rFonts w:hint="default" w:ascii="Times New Roman" w:hAnsi="Times New Roman" w:cs="Times New Roman"/>
                      <w:color w:val="auto"/>
                      <w:spacing w:val="0"/>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708"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高锰酸盐指数</w:t>
                  </w:r>
                </w:p>
              </w:tc>
              <w:tc>
                <w:tcPr>
                  <w:tcW w:w="229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lang w:eastAsia="zh-CN"/>
                    </w:rPr>
                  </w:pPr>
                  <w:r>
                    <w:rPr>
                      <w:rFonts w:hint="default" w:ascii="Times New Roman" w:hAnsi="Times New Roman" w:cs="Times New Roman"/>
                      <w:color w:val="auto"/>
                      <w:spacing w:val="0"/>
                      <w:sz w:val="21"/>
                      <w:szCs w:val="21"/>
                      <w:lang w:val="zh-CN"/>
                    </w:rPr>
                    <w:t>≤</w:t>
                  </w:r>
                  <w:r>
                    <w:rPr>
                      <w:rFonts w:hint="default" w:ascii="Times New Roman" w:hAnsi="Times New Roman" w:cs="Times New Roman"/>
                      <w:color w:val="auto"/>
                      <w:spacing w:val="0"/>
                      <w:sz w:val="21"/>
                      <w:szCs w:val="21"/>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708"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BOD</w:t>
                  </w:r>
                  <w:r>
                    <w:rPr>
                      <w:rFonts w:hint="default" w:ascii="Times New Roman" w:hAnsi="Times New Roman" w:cs="Times New Roman"/>
                      <w:color w:val="auto"/>
                      <w:spacing w:val="0"/>
                      <w:sz w:val="21"/>
                      <w:szCs w:val="21"/>
                      <w:vertAlign w:val="subscript"/>
                      <w:lang w:val="zh-CN"/>
                    </w:rPr>
                    <w:t>5</w:t>
                  </w:r>
                </w:p>
              </w:tc>
              <w:tc>
                <w:tcPr>
                  <w:tcW w:w="229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lang w:val="zh-CN"/>
                    </w:rPr>
                    <w:t>≤</w:t>
                  </w:r>
                  <w:r>
                    <w:rPr>
                      <w:rFonts w:hint="default" w:ascii="Times New Roman" w:hAnsi="Times New Roman" w:cs="Times New Roman"/>
                      <w:color w:val="auto"/>
                      <w:spacing w:val="0"/>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708"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氨氮（NH</w:t>
                  </w:r>
                  <w:r>
                    <w:rPr>
                      <w:rFonts w:hint="default" w:ascii="Times New Roman" w:hAnsi="Times New Roman" w:cs="Times New Roman"/>
                      <w:color w:val="auto"/>
                      <w:spacing w:val="0"/>
                      <w:sz w:val="21"/>
                      <w:szCs w:val="21"/>
                      <w:vertAlign w:val="subscript"/>
                      <w:lang w:val="zh-CN"/>
                    </w:rPr>
                    <w:t>3</w:t>
                  </w:r>
                  <w:r>
                    <w:rPr>
                      <w:rFonts w:hint="default" w:ascii="Times New Roman" w:hAnsi="Times New Roman" w:cs="Times New Roman"/>
                      <w:color w:val="auto"/>
                      <w:spacing w:val="0"/>
                      <w:sz w:val="21"/>
                      <w:szCs w:val="21"/>
                      <w:lang w:val="zh-CN"/>
                    </w:rPr>
                    <w:t>-N）</w:t>
                  </w:r>
                </w:p>
              </w:tc>
              <w:tc>
                <w:tcPr>
                  <w:tcW w:w="229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lang w:val="zh-CN"/>
                    </w:rPr>
                    <w:t>≤</w:t>
                  </w:r>
                  <w:r>
                    <w:rPr>
                      <w:rFonts w:hint="default" w:ascii="Times New Roman" w:hAnsi="Times New Roman" w:cs="Times New Roman"/>
                      <w:color w:val="auto"/>
                      <w:spacing w:val="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708"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氟化物</w:t>
                  </w:r>
                </w:p>
              </w:tc>
              <w:tc>
                <w:tcPr>
                  <w:tcW w:w="229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w:t>
                  </w:r>
                  <w:r>
                    <w:rPr>
                      <w:rFonts w:hint="default" w:ascii="Times New Roman" w:hAnsi="Times New Roman" w:cs="Times New Roman"/>
                      <w:color w:val="auto"/>
                      <w:spacing w:val="0"/>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708"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总氮（以N计）</w:t>
                  </w:r>
                </w:p>
              </w:tc>
              <w:tc>
                <w:tcPr>
                  <w:tcW w:w="229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708"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总磷（以P计）</w:t>
                  </w:r>
                </w:p>
              </w:tc>
              <w:tc>
                <w:tcPr>
                  <w:tcW w:w="2291" w:type="pct"/>
                  <w:noWrap w:val="0"/>
                  <w:vAlign w:val="center"/>
                </w:tcPr>
                <w:p>
                  <w:pPr>
                    <w:pStyle w:val="255"/>
                    <w:keepNext w:val="0"/>
                    <w:keepLines w:val="0"/>
                    <w:pageBreakBefore w:val="0"/>
                    <w:widowControl w:val="0"/>
                    <w:kinsoku/>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color w:val="auto"/>
                      <w:spacing w:val="0"/>
                      <w:sz w:val="21"/>
                      <w:szCs w:val="21"/>
                      <w:lang w:val="zh-CN" w:eastAsia="zh-CN"/>
                    </w:rPr>
                  </w:pPr>
                  <w:r>
                    <w:rPr>
                      <w:rFonts w:hint="default" w:ascii="Times New Roman" w:hAnsi="Times New Roman" w:cs="Times New Roman"/>
                      <w:color w:val="auto"/>
                      <w:spacing w:val="0"/>
                      <w:sz w:val="21"/>
                      <w:szCs w:val="21"/>
                      <w:lang w:val="zh-CN"/>
                    </w:rPr>
                    <w:t>≤0.</w:t>
                  </w:r>
                  <w:r>
                    <w:rPr>
                      <w:rFonts w:hint="default" w:ascii="Times New Roman" w:hAnsi="Times New Roman" w:cs="Times New Roman"/>
                      <w:color w:val="auto"/>
                      <w:spacing w:val="0"/>
                      <w:sz w:val="21"/>
                      <w:szCs w:val="21"/>
                      <w:lang w:val="en-US" w:eastAsia="zh-CN"/>
                    </w:rPr>
                    <w:t>2</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（湖、库0.0</w:t>
                  </w:r>
                  <w:r>
                    <w:rPr>
                      <w:rFonts w:hint="default" w:ascii="Times New Roman" w:hAnsi="Times New Roman" w:cs="Times New Roman"/>
                      <w:color w:val="auto"/>
                      <w:spacing w:val="0"/>
                      <w:sz w:val="21"/>
                      <w:szCs w:val="21"/>
                      <w:lang w:val="en-US" w:eastAsia="zh-CN"/>
                    </w:rPr>
                    <w:t>05</w:t>
                  </w:r>
                  <w:r>
                    <w:rPr>
                      <w:rFonts w:hint="default" w:ascii="Times New Roman" w:hAnsi="Times New Roman" w:cs="Times New Roman"/>
                      <w:color w:val="auto"/>
                      <w:spacing w:val="0"/>
                      <w:sz w:val="21"/>
                      <w:szCs w:val="21"/>
                      <w:lang w:val="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708"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氰化物</w:t>
                  </w:r>
                </w:p>
              </w:tc>
              <w:tc>
                <w:tcPr>
                  <w:tcW w:w="229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lang w:val="zh-CN" w:eastAsia="zh-CN"/>
                    </w:rPr>
                  </w:pPr>
                  <w:r>
                    <w:rPr>
                      <w:rFonts w:hint="default" w:ascii="Times New Roman" w:hAnsi="Times New Roman" w:cs="Times New Roman"/>
                      <w:color w:val="auto"/>
                      <w:spacing w:val="0"/>
                      <w:sz w:val="21"/>
                      <w:szCs w:val="21"/>
                      <w:lang w:val="zh-CN"/>
                    </w:rPr>
                    <w:t>≤0.</w:t>
                  </w:r>
                  <w:r>
                    <w:rPr>
                      <w:rFonts w:hint="default" w:ascii="Times New Roman" w:hAnsi="Times New Roman" w:cs="Times New Roman"/>
                      <w:color w:val="auto"/>
                      <w:spacing w:val="0"/>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708"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挥发酚</w:t>
                  </w:r>
                </w:p>
              </w:tc>
              <w:tc>
                <w:tcPr>
                  <w:tcW w:w="229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zh-CN"/>
                    </w:rPr>
                    <w:t>≤0.00</w:t>
                  </w:r>
                  <w:r>
                    <w:rPr>
                      <w:rFonts w:hint="default" w:ascii="Times New Roman" w:hAnsi="Times New Roman" w:cs="Times New Roman"/>
                      <w:color w:val="auto"/>
                      <w:spacing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708"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石油类</w:t>
                  </w:r>
                </w:p>
              </w:tc>
              <w:tc>
                <w:tcPr>
                  <w:tcW w:w="229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708"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砷</w:t>
                  </w:r>
                </w:p>
              </w:tc>
              <w:tc>
                <w:tcPr>
                  <w:tcW w:w="229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708"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汞</w:t>
                  </w:r>
                </w:p>
              </w:tc>
              <w:tc>
                <w:tcPr>
                  <w:tcW w:w="229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zh-CN"/>
                    </w:rPr>
                    <w:t>≤0.000</w:t>
                  </w:r>
                  <w:r>
                    <w:rPr>
                      <w:rFonts w:hint="default" w:ascii="Times New Roman" w:hAnsi="Times New Roman" w:cs="Times New Roman"/>
                      <w:color w:val="auto"/>
                      <w:spacing w:val="0"/>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708"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六价铬</w:t>
                  </w:r>
                </w:p>
              </w:tc>
              <w:tc>
                <w:tcPr>
                  <w:tcW w:w="229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708"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阴离子表面活性剂</w:t>
                  </w:r>
                </w:p>
              </w:tc>
              <w:tc>
                <w:tcPr>
                  <w:tcW w:w="229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708" w:type="pct"/>
                  <w:noWrap w:val="0"/>
                  <w:vAlign w:val="center"/>
                </w:tcPr>
                <w:p>
                  <w:pPr>
                    <w:pStyle w:val="255"/>
                    <w:keepNext w:val="0"/>
                    <w:keepLines w:val="0"/>
                    <w:pageBreakBefore w:val="0"/>
                    <w:widowControl w:val="0"/>
                    <w:kinsoku/>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粪大肠菌群</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（个/L）</w:t>
                  </w:r>
                </w:p>
              </w:tc>
              <w:tc>
                <w:tcPr>
                  <w:tcW w:w="229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lang w:val="zh-CN"/>
                    </w:rPr>
                  </w:pPr>
                  <w:r>
                    <w:rPr>
                      <w:rFonts w:hint="default" w:ascii="Times New Roman" w:hAnsi="Times New Roman" w:cs="Times New Roman"/>
                      <w:color w:val="auto"/>
                      <w:spacing w:val="0"/>
                      <w:sz w:val="21"/>
                      <w:szCs w:val="21"/>
                      <w:lang w:val="zh-CN"/>
                    </w:rPr>
                    <w:t>≤</w:t>
                  </w:r>
                  <w:r>
                    <w:rPr>
                      <w:rFonts w:hint="default" w:ascii="Times New Roman" w:hAnsi="Times New Roman" w:cs="Times New Roman"/>
                      <w:color w:val="auto"/>
                      <w:spacing w:val="0"/>
                      <w:sz w:val="21"/>
                      <w:szCs w:val="21"/>
                      <w:lang w:val="en-US" w:eastAsia="zh-CN"/>
                    </w:rPr>
                    <w:t>10</w:t>
                  </w:r>
                  <w:r>
                    <w:rPr>
                      <w:rFonts w:hint="default" w:ascii="Times New Roman" w:hAnsi="Times New Roman" w:cs="Times New Roman"/>
                      <w:color w:val="auto"/>
                      <w:spacing w:val="0"/>
                      <w:sz w:val="21"/>
                      <w:szCs w:val="21"/>
                      <w:lang w:val="zh-CN"/>
                    </w:rPr>
                    <w:t>000</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sz w:val="24"/>
              </w:rPr>
            </w:pPr>
            <w:r>
              <w:rPr>
                <w:rFonts w:hint="default" w:ascii="Times New Roman" w:hAnsi="Times New Roman" w:cs="Times New Roman"/>
                <w:sz w:val="24"/>
              </w:rPr>
              <w:t>（3）声环境质量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sz w:val="24"/>
              </w:rPr>
            </w:pPr>
            <w:r>
              <w:rPr>
                <w:rFonts w:hint="default" w:ascii="Times New Roman" w:hAnsi="Times New Roman" w:cs="Times New Roman"/>
                <w:sz w:val="24"/>
              </w:rPr>
              <w:t>执行《声环境质量标准》（GB3096-2008）2类标准，标准限值见下表3-</w:t>
            </w:r>
            <w:r>
              <w:rPr>
                <w:rFonts w:hint="eastAsia" w:ascii="Times New Roman" w:hAnsi="Times New Roman" w:cs="Times New Roman"/>
                <w:sz w:val="24"/>
                <w:lang w:val="en-US" w:eastAsia="zh-CN"/>
              </w:rPr>
              <w:t>7</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rPr>
            </w:pPr>
            <w:r>
              <w:rPr>
                <w:rFonts w:hint="default" w:ascii="Times New Roman" w:hAnsi="Times New Roman" w:cs="Times New Roman"/>
                <w:b/>
                <w:bCs/>
                <w:szCs w:val="21"/>
              </w:rPr>
              <w:t>表3-</w:t>
            </w:r>
            <w:r>
              <w:rPr>
                <w:rFonts w:hint="eastAsia" w:ascii="Times New Roman" w:hAnsi="Times New Roman" w:cs="Times New Roman"/>
                <w:b/>
                <w:bCs/>
                <w:szCs w:val="21"/>
                <w:lang w:val="en-US" w:eastAsia="zh-CN"/>
              </w:rPr>
              <w:t>7</w:t>
            </w:r>
            <w:r>
              <w:rPr>
                <w:rFonts w:hint="default" w:ascii="Times New Roman" w:hAnsi="Times New Roman" w:cs="Times New Roman"/>
                <w:b/>
                <w:bCs/>
                <w:szCs w:val="21"/>
              </w:rPr>
              <w:t xml:space="preserve">  《声环境质量标准》（GB3096-2008）（摘录）  单位：dB（A）</w:t>
            </w:r>
          </w:p>
          <w:tbl>
            <w:tblPr>
              <w:tblStyle w:val="39"/>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286"/>
              <w:gridCol w:w="2593"/>
              <w:gridCol w:w="2949"/>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2" w:hRule="atLeast"/>
                <w:jc w:val="center"/>
              </w:trPr>
              <w:tc>
                <w:tcPr>
                  <w:tcW w:w="1460" w:type="pct"/>
                  <w:noWrap w:val="0"/>
                  <w:vAlign w:val="center"/>
                </w:tcPr>
                <w:p>
                  <w:pPr>
                    <w:pStyle w:val="90"/>
                    <w:tabs>
                      <w:tab w:val="left" w:pos="480"/>
                    </w:tabs>
                    <w:snapToGrid w:val="0"/>
                    <w:spacing w:after="0" w:line="240" w:lineRule="auto"/>
                    <w:ind w:left="0" w:firstLine="0"/>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类别</w:t>
                  </w:r>
                </w:p>
              </w:tc>
              <w:tc>
                <w:tcPr>
                  <w:tcW w:w="1656" w:type="pct"/>
                  <w:noWrap w:val="0"/>
                  <w:vAlign w:val="center"/>
                </w:tcPr>
                <w:p>
                  <w:pPr>
                    <w:pStyle w:val="90"/>
                    <w:tabs>
                      <w:tab w:val="left" w:pos="480"/>
                    </w:tabs>
                    <w:snapToGrid w:val="0"/>
                    <w:spacing w:after="0" w:line="240" w:lineRule="auto"/>
                    <w:ind w:left="0" w:firstLine="0"/>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昼间</w:t>
                  </w:r>
                </w:p>
              </w:tc>
              <w:tc>
                <w:tcPr>
                  <w:tcW w:w="1883" w:type="pct"/>
                  <w:noWrap w:val="0"/>
                  <w:vAlign w:val="center"/>
                </w:tcPr>
                <w:p>
                  <w:pPr>
                    <w:pStyle w:val="90"/>
                    <w:tabs>
                      <w:tab w:val="left" w:pos="480"/>
                    </w:tabs>
                    <w:snapToGrid w:val="0"/>
                    <w:spacing w:after="0" w:line="240" w:lineRule="auto"/>
                    <w:ind w:left="0" w:firstLine="0"/>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夜间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2" w:hRule="atLeast"/>
                <w:jc w:val="center"/>
              </w:trPr>
              <w:tc>
                <w:tcPr>
                  <w:tcW w:w="1460" w:type="pct"/>
                  <w:noWrap w:val="0"/>
                  <w:vAlign w:val="center"/>
                </w:tcPr>
                <w:p>
                  <w:pPr>
                    <w:pStyle w:val="90"/>
                    <w:tabs>
                      <w:tab w:val="left" w:pos="480"/>
                    </w:tabs>
                    <w:snapToGrid w:val="0"/>
                    <w:spacing w:after="0" w:line="240" w:lineRule="auto"/>
                    <w:ind w:left="0" w:firstLine="0"/>
                    <w:rPr>
                      <w:rFonts w:hint="default" w:ascii="Times New Roman" w:hAnsi="Times New Roman" w:eastAsia="宋体" w:cs="Times New Roman"/>
                      <w:b w:val="0"/>
                      <w:bCs/>
                      <w:color w:val="auto"/>
                      <w:spacing w:val="0"/>
                      <w:sz w:val="21"/>
                      <w:szCs w:val="21"/>
                    </w:rPr>
                  </w:pPr>
                  <w:r>
                    <w:rPr>
                      <w:rFonts w:hint="default" w:ascii="Times New Roman" w:hAnsi="Times New Roman" w:eastAsia="宋体" w:cs="Times New Roman"/>
                      <w:b w:val="0"/>
                      <w:bCs/>
                      <w:color w:val="auto"/>
                      <w:spacing w:val="0"/>
                      <w:sz w:val="21"/>
                      <w:szCs w:val="21"/>
                    </w:rPr>
                    <w:t>2类</w:t>
                  </w:r>
                </w:p>
              </w:tc>
              <w:tc>
                <w:tcPr>
                  <w:tcW w:w="1656" w:type="pct"/>
                  <w:noWrap w:val="0"/>
                  <w:vAlign w:val="center"/>
                </w:tcPr>
                <w:p>
                  <w:pPr>
                    <w:pStyle w:val="90"/>
                    <w:tabs>
                      <w:tab w:val="left" w:pos="480"/>
                    </w:tabs>
                    <w:snapToGrid w:val="0"/>
                    <w:spacing w:after="0" w:line="240" w:lineRule="auto"/>
                    <w:ind w:left="0" w:firstLine="0"/>
                    <w:rPr>
                      <w:rFonts w:hint="default" w:ascii="Times New Roman" w:hAnsi="Times New Roman" w:eastAsia="宋体" w:cs="Times New Roman"/>
                      <w:b w:val="0"/>
                      <w:bCs/>
                      <w:color w:val="auto"/>
                      <w:spacing w:val="0"/>
                      <w:sz w:val="21"/>
                      <w:szCs w:val="21"/>
                    </w:rPr>
                  </w:pPr>
                  <w:r>
                    <w:rPr>
                      <w:rFonts w:hint="default" w:ascii="Times New Roman" w:hAnsi="Times New Roman" w:eastAsia="宋体" w:cs="Times New Roman"/>
                      <w:b w:val="0"/>
                      <w:bCs/>
                      <w:color w:val="auto"/>
                      <w:spacing w:val="0"/>
                      <w:sz w:val="21"/>
                      <w:szCs w:val="21"/>
                    </w:rPr>
                    <w:t>60</w:t>
                  </w:r>
                </w:p>
              </w:tc>
              <w:tc>
                <w:tcPr>
                  <w:tcW w:w="1883" w:type="pct"/>
                  <w:noWrap w:val="0"/>
                  <w:vAlign w:val="center"/>
                </w:tcPr>
                <w:p>
                  <w:pPr>
                    <w:pStyle w:val="90"/>
                    <w:tabs>
                      <w:tab w:val="left" w:pos="480"/>
                    </w:tabs>
                    <w:snapToGrid w:val="0"/>
                    <w:spacing w:after="0" w:line="240" w:lineRule="auto"/>
                    <w:ind w:left="0" w:firstLine="0"/>
                    <w:rPr>
                      <w:rFonts w:hint="default" w:ascii="Times New Roman" w:hAnsi="Times New Roman" w:eastAsia="宋体" w:cs="Times New Roman"/>
                      <w:b w:val="0"/>
                      <w:bCs/>
                      <w:color w:val="auto"/>
                      <w:spacing w:val="0"/>
                      <w:sz w:val="21"/>
                      <w:szCs w:val="21"/>
                    </w:rPr>
                  </w:pPr>
                  <w:r>
                    <w:rPr>
                      <w:rFonts w:hint="default" w:ascii="Times New Roman" w:hAnsi="Times New Roman" w:eastAsia="宋体" w:cs="Times New Roman"/>
                      <w:b w:val="0"/>
                      <w:bCs/>
                      <w:color w:val="auto"/>
                      <w:spacing w:val="0"/>
                      <w:sz w:val="21"/>
                      <w:szCs w:val="21"/>
                    </w:rPr>
                    <w:t>50</w:t>
                  </w:r>
                </w:p>
              </w:tc>
            </w:tr>
          </w:tbl>
          <w:p>
            <w:pPr>
              <w:pStyle w:val="2"/>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jc w:val="left"/>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（4）底泥环境</w:t>
            </w:r>
          </w:p>
          <w:p>
            <w:pPr>
              <w:pStyle w:val="2"/>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参照执行《土壤环境质量 农用地土壤污染风险管控标准（试行）》（GB15618-2018）农用地土壤污染风险筛选值标准。</w:t>
            </w:r>
          </w:p>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表3-</w:t>
            </w:r>
            <w:r>
              <w:rPr>
                <w:rFonts w:hint="eastAsia" w:ascii="Times New Roman" w:hAnsi="Times New Roman" w:eastAsia="宋体" w:cs="Times New Roman"/>
                <w:b/>
                <w:bCs/>
                <w:color w:val="auto"/>
                <w:sz w:val="21"/>
                <w:szCs w:val="21"/>
                <w:lang w:val="en-US" w:eastAsia="zh-CN"/>
              </w:rPr>
              <w:t>8</w:t>
            </w:r>
            <w:r>
              <w:rPr>
                <w:rFonts w:hint="default" w:ascii="Times New Roman" w:hAnsi="Times New Roman" w:eastAsia="宋体" w:cs="Times New Roman"/>
                <w:b/>
                <w:bCs/>
                <w:color w:val="auto"/>
                <w:sz w:val="21"/>
                <w:szCs w:val="21"/>
                <w:lang w:val="en-US" w:eastAsia="zh-CN"/>
              </w:rPr>
              <w:t xml:space="preserve">  《土壤环境质量 农用地土壤污染风险管控标准》风险筛选值</w:t>
            </w:r>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9"/>
              <w:gridCol w:w="686"/>
              <w:gridCol w:w="686"/>
              <w:gridCol w:w="610"/>
              <w:gridCol w:w="760"/>
              <w:gridCol w:w="760"/>
              <w:gridCol w:w="760"/>
              <w:gridCol w:w="760"/>
              <w:gridCol w:w="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97" w:type="dxa"/>
                  <w:vMerge w:val="restart"/>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eastAsia="宋体" w:cs="Times New Roman"/>
                      <w:b/>
                      <w:bCs/>
                      <w:color w:val="auto"/>
                      <w:sz w:val="21"/>
                      <w:szCs w:val="21"/>
                    </w:rPr>
                    <w:t>类别</w:t>
                  </w:r>
                  <w:r>
                    <w:rPr>
                      <w:rFonts w:hint="default" w:ascii="Times New Roman" w:hAnsi="Times New Roman" w:cs="Times New Roman"/>
                      <w:b/>
                      <w:bCs/>
                      <w:color w:val="auto"/>
                      <w:sz w:val="21"/>
                      <w:szCs w:val="21"/>
                    </w:rPr>
                    <w:t>（其他）</w:t>
                  </w:r>
                </w:p>
              </w:tc>
              <w:tc>
                <w:tcPr>
                  <w:tcW w:w="6538" w:type="dxa"/>
                  <w:gridSpan w:val="8"/>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eastAsia="宋体" w:cs="Times New Roman"/>
                      <w:b/>
                      <w:bCs/>
                      <w:color w:val="auto"/>
                      <w:sz w:val="21"/>
                      <w:szCs w:val="21"/>
                    </w:rPr>
                    <w:t>风险筛选值</w:t>
                  </w:r>
                  <w:r>
                    <w:rPr>
                      <w:rFonts w:hint="default" w:ascii="Times New Roman" w:hAnsi="Times New Roman" w:cs="Times New Roman"/>
                      <w:b/>
                      <w:bCs/>
                      <w:color w:val="auto"/>
                      <w:sz w:val="21"/>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97" w:type="dxa"/>
                  <w:vMerge w:val="continue"/>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p>
              </w:tc>
              <w:tc>
                <w:tcPr>
                  <w:tcW w:w="774"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镉</w:t>
                  </w:r>
                </w:p>
              </w:tc>
              <w:tc>
                <w:tcPr>
                  <w:tcW w:w="774"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汞</w:t>
                  </w:r>
                </w:p>
              </w:tc>
              <w:tc>
                <w:tcPr>
                  <w:tcW w:w="68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砷</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铅</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铬</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铜</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镍</w:t>
                  </w:r>
                </w:p>
              </w:tc>
              <w:tc>
                <w:tcPr>
                  <w:tcW w:w="870"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97"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pacing w:val="20"/>
                      <w:kern w:val="0"/>
                      <w:sz w:val="21"/>
                      <w:szCs w:val="21"/>
                    </w:rPr>
                  </w:pPr>
                  <w:r>
                    <w:rPr>
                      <w:rFonts w:hint="default" w:ascii="Times New Roman" w:hAnsi="Times New Roman" w:cs="Times New Roman"/>
                      <w:color w:val="auto"/>
                      <w:sz w:val="21"/>
                      <w:szCs w:val="21"/>
                    </w:rPr>
                    <w:t>pH≤5.5</w:t>
                  </w:r>
                </w:p>
              </w:tc>
              <w:tc>
                <w:tcPr>
                  <w:tcW w:w="774"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0.3</w:t>
                  </w:r>
                </w:p>
              </w:tc>
              <w:tc>
                <w:tcPr>
                  <w:tcW w:w="774"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w:t>
                  </w:r>
                </w:p>
              </w:tc>
              <w:tc>
                <w:tcPr>
                  <w:tcW w:w="68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150</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w:t>
                  </w:r>
                </w:p>
              </w:tc>
              <w:tc>
                <w:tcPr>
                  <w:tcW w:w="870"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97"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pacing w:val="20"/>
                      <w:kern w:val="0"/>
                      <w:sz w:val="21"/>
                      <w:szCs w:val="21"/>
                    </w:rPr>
                  </w:pPr>
                  <w:r>
                    <w:rPr>
                      <w:rFonts w:hint="default" w:ascii="Times New Roman" w:hAnsi="Times New Roman" w:cs="Times New Roman"/>
                      <w:color w:val="auto"/>
                      <w:sz w:val="21"/>
                      <w:szCs w:val="21"/>
                    </w:rPr>
                    <w:t>5.5&lt;pH≤6.5</w:t>
                  </w:r>
                </w:p>
              </w:tc>
              <w:tc>
                <w:tcPr>
                  <w:tcW w:w="774"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0.3</w:t>
                  </w:r>
                </w:p>
              </w:tc>
              <w:tc>
                <w:tcPr>
                  <w:tcW w:w="774"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w:t>
                  </w:r>
                </w:p>
              </w:tc>
              <w:tc>
                <w:tcPr>
                  <w:tcW w:w="68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90</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150</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w:t>
                  </w:r>
                </w:p>
              </w:tc>
              <w:tc>
                <w:tcPr>
                  <w:tcW w:w="870"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97"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pacing w:val="20"/>
                      <w:kern w:val="0"/>
                      <w:sz w:val="21"/>
                      <w:szCs w:val="21"/>
                    </w:rPr>
                  </w:pPr>
                  <w:r>
                    <w:rPr>
                      <w:rFonts w:hint="default" w:ascii="Times New Roman" w:hAnsi="Times New Roman" w:cs="Times New Roman"/>
                      <w:color w:val="auto"/>
                      <w:sz w:val="21"/>
                      <w:szCs w:val="21"/>
                    </w:rPr>
                    <w:t>6.5&lt;pH≤7.5</w:t>
                  </w:r>
                </w:p>
              </w:tc>
              <w:tc>
                <w:tcPr>
                  <w:tcW w:w="774"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0.3</w:t>
                  </w:r>
                </w:p>
              </w:tc>
              <w:tc>
                <w:tcPr>
                  <w:tcW w:w="774"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w:t>
                  </w:r>
                </w:p>
              </w:tc>
              <w:tc>
                <w:tcPr>
                  <w:tcW w:w="68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120</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w:t>
                  </w:r>
                </w:p>
              </w:tc>
              <w:tc>
                <w:tcPr>
                  <w:tcW w:w="870"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97"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pacing w:val="20"/>
                      <w:kern w:val="0"/>
                      <w:sz w:val="21"/>
                      <w:szCs w:val="21"/>
                    </w:rPr>
                  </w:pPr>
                  <w:r>
                    <w:rPr>
                      <w:rFonts w:hint="default" w:ascii="Times New Roman" w:hAnsi="Times New Roman" w:cs="Times New Roman"/>
                      <w:color w:val="auto"/>
                      <w:sz w:val="21"/>
                      <w:szCs w:val="21"/>
                    </w:rPr>
                    <w:t>pH&gt;7.5</w:t>
                  </w:r>
                </w:p>
              </w:tc>
              <w:tc>
                <w:tcPr>
                  <w:tcW w:w="774"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0.6</w:t>
                  </w:r>
                </w:p>
              </w:tc>
              <w:tc>
                <w:tcPr>
                  <w:tcW w:w="774"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w:t>
                  </w:r>
                </w:p>
              </w:tc>
              <w:tc>
                <w:tcPr>
                  <w:tcW w:w="68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170</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250</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w:t>
                  </w:r>
                </w:p>
              </w:tc>
              <w:tc>
                <w:tcPr>
                  <w:tcW w:w="858"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190</w:t>
                  </w:r>
                </w:p>
              </w:tc>
              <w:tc>
                <w:tcPr>
                  <w:tcW w:w="870"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300</w:t>
                  </w:r>
                </w:p>
              </w:tc>
            </w:tr>
          </w:tbl>
          <w:p>
            <w:pPr>
              <w:spacing w:line="360" w:lineRule="auto"/>
              <w:ind w:right="41" w:rightChars="17" w:firstLine="480" w:firstLineChars="200"/>
              <w:jc w:val="left"/>
              <w:rPr>
                <w:rFonts w:hint="default" w:ascii="Times New Roman" w:hAnsi="Times New Roman" w:cs="Times New Roman"/>
                <w:kern w:val="0"/>
                <w:sz w:val="24"/>
                <w:lang w:bidi="ar"/>
              </w:rPr>
            </w:pPr>
            <w:r>
              <w:rPr>
                <w:rFonts w:hint="default" w:ascii="Times New Roman" w:hAnsi="Times New Roman" w:cs="Times New Roman"/>
                <w:kern w:val="0"/>
                <w:sz w:val="24"/>
                <w:lang w:bidi="ar"/>
              </w:rPr>
              <w:t>（</w:t>
            </w:r>
            <w:r>
              <w:rPr>
                <w:rFonts w:hint="default" w:ascii="Times New Roman" w:hAnsi="Times New Roman" w:cs="Times New Roman"/>
                <w:kern w:val="0"/>
                <w:sz w:val="24"/>
                <w:lang w:val="en-US" w:eastAsia="zh-CN" w:bidi="ar"/>
              </w:rPr>
              <w:t>5</w:t>
            </w:r>
            <w:r>
              <w:rPr>
                <w:rFonts w:hint="default" w:ascii="Times New Roman" w:hAnsi="Times New Roman" w:cs="Times New Roman"/>
                <w:kern w:val="0"/>
                <w:sz w:val="24"/>
                <w:lang w:bidi="ar"/>
              </w:rPr>
              <w:t>）生态环境</w:t>
            </w:r>
          </w:p>
          <w:p>
            <w:pPr>
              <w:adjustRightInd w:val="0"/>
              <w:snapToGrid w:val="0"/>
              <w:spacing w:line="360" w:lineRule="auto"/>
              <w:ind w:firstLine="480" w:firstLineChars="200"/>
              <w:rPr>
                <w:rFonts w:hint="default" w:ascii="Times New Roman" w:hAnsi="Times New Roman" w:cs="Times New Roman"/>
                <w:kern w:val="0"/>
                <w:szCs w:val="21"/>
              </w:rPr>
            </w:pPr>
            <w:r>
              <w:rPr>
                <w:rFonts w:hint="default" w:ascii="Times New Roman" w:hAnsi="Times New Roman" w:cs="Times New Roman"/>
                <w:kern w:val="0"/>
                <w:sz w:val="24"/>
                <w:lang w:bidi="ar"/>
              </w:rPr>
              <w:t>以不减少区域内濒危珍稀动植物和不破坏当地生态系统完整性为标准。</w:t>
            </w:r>
          </w:p>
          <w:p>
            <w:pPr>
              <w:adjustRightInd w:val="0"/>
              <w:snapToGrid w:val="0"/>
              <w:spacing w:line="360" w:lineRule="auto"/>
              <w:ind w:firstLine="482" w:firstLineChars="200"/>
              <w:rPr>
                <w:rFonts w:hint="default" w:ascii="Times New Roman" w:hAnsi="Times New Roman" w:cs="Times New Roman"/>
                <w:b/>
                <w:bCs/>
                <w:kern w:val="0"/>
                <w:sz w:val="24"/>
              </w:rPr>
            </w:pPr>
            <w:r>
              <w:rPr>
                <w:rFonts w:hint="default" w:ascii="Times New Roman" w:hAnsi="Times New Roman" w:cs="Times New Roman"/>
                <w:b/>
                <w:bCs/>
                <w:kern w:val="0"/>
                <w:sz w:val="24"/>
              </w:rPr>
              <w:t>2、</w:t>
            </w:r>
            <w:r>
              <w:rPr>
                <w:rFonts w:hint="default" w:ascii="Times New Roman" w:hAnsi="Times New Roman" w:cs="Times New Roman"/>
                <w:b/>
                <w:bCs/>
                <w:sz w:val="24"/>
              </w:rPr>
              <w:t>污染物</w:t>
            </w:r>
            <w:r>
              <w:rPr>
                <w:rFonts w:hint="default" w:ascii="Times New Roman" w:hAnsi="Times New Roman" w:cs="Times New Roman"/>
                <w:b/>
                <w:bCs/>
                <w:kern w:val="0"/>
                <w:sz w:val="24"/>
              </w:rPr>
              <w:t>排放标准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sz w:val="24"/>
              </w:rPr>
            </w:pPr>
            <w:r>
              <w:rPr>
                <w:rFonts w:hint="default" w:ascii="Times New Roman" w:hAnsi="Times New Roman" w:cs="Times New Roman"/>
                <w:sz w:val="24"/>
              </w:rPr>
              <w:t>（1）废气排放标准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sz w:val="24"/>
              </w:rPr>
            </w:pPr>
            <w:r>
              <w:rPr>
                <w:rFonts w:hint="default" w:ascii="Times New Roman" w:hAnsi="Times New Roman" w:cs="Times New Roman"/>
                <w:sz w:val="24"/>
              </w:rPr>
              <w:t>本项目施工期废气排放执行《四川省施工场地扬尘排放标准》（DB51/2682-2020）中规定的各施工阶段的废气限值标准。具体标准值见表3-</w:t>
            </w:r>
            <w:r>
              <w:rPr>
                <w:rFonts w:hint="eastAsia" w:ascii="Times New Roman" w:hAnsi="Times New Roman" w:cs="Times New Roman"/>
                <w:sz w:val="24"/>
                <w:lang w:val="en-US" w:eastAsia="zh-CN"/>
              </w:rPr>
              <w:t>9</w:t>
            </w:r>
            <w:r>
              <w:rPr>
                <w:rFonts w:hint="default" w:ascii="Times New Roman" w:hAnsi="Times New Roman" w:cs="Times New Roman"/>
                <w:sz w:val="24"/>
              </w:rPr>
              <w:t>。</w:t>
            </w:r>
          </w:p>
          <w:p>
            <w:pPr>
              <w:pStyle w:val="38"/>
              <w:keepNext w:val="0"/>
              <w:keepLines w:val="0"/>
              <w:pageBreakBefore w:val="0"/>
              <w:widowControl w:val="0"/>
              <w:tabs>
                <w:tab w:val="left" w:pos="420"/>
                <w:tab w:val="left" w:pos="870"/>
                <w:tab w:val="left" w:pos="3150"/>
              </w:tabs>
              <w:kinsoku/>
              <w:wordWrap/>
              <w:overflowPunct/>
              <w:topLinePunct w:val="0"/>
              <w:bidi w:val="0"/>
              <w:spacing w:after="0" w:line="240" w:lineRule="auto"/>
              <w:ind w:left="0" w:leftChars="0" w:firstLine="0" w:firstLineChars="0"/>
              <w:jc w:val="center"/>
              <w:rPr>
                <w:rFonts w:hint="default" w:ascii="Times New Roman" w:hAnsi="Times New Roman" w:cs="Times New Roman"/>
                <w:b/>
                <w:bCs/>
                <w:sz w:val="18"/>
                <w:szCs w:val="21"/>
              </w:rPr>
            </w:pPr>
            <w:r>
              <w:rPr>
                <w:rFonts w:hint="default" w:ascii="Times New Roman" w:hAnsi="Times New Roman" w:cs="Times New Roman"/>
                <w:b/>
                <w:bCs/>
                <w:szCs w:val="21"/>
              </w:rPr>
              <w:t>表3-</w:t>
            </w:r>
            <w:r>
              <w:rPr>
                <w:rFonts w:hint="eastAsia" w:ascii="Times New Roman" w:hAnsi="Times New Roman" w:cs="Times New Roman"/>
                <w:b/>
                <w:bCs/>
                <w:szCs w:val="21"/>
                <w:lang w:val="en-US" w:eastAsia="zh-CN"/>
              </w:rPr>
              <w:t>9</w:t>
            </w:r>
            <w:r>
              <w:rPr>
                <w:rFonts w:hint="default" w:ascii="Times New Roman" w:hAnsi="Times New Roman" w:cs="Times New Roman"/>
                <w:b/>
                <w:bCs/>
                <w:szCs w:val="21"/>
              </w:rPr>
              <w:t xml:space="preserve">  四川省施工场地扬尘排放标准  单位：μg/m</w:t>
            </w:r>
            <w:r>
              <w:rPr>
                <w:rFonts w:hint="default" w:ascii="Times New Roman" w:hAnsi="Times New Roman" w:cs="Times New Roman"/>
                <w:b/>
                <w:bCs/>
                <w:szCs w:val="21"/>
                <w:vertAlign w:val="superscript"/>
              </w:rPr>
              <w:t>3</w:t>
            </w:r>
          </w:p>
          <w:tbl>
            <w:tblPr>
              <w:tblStyle w:val="250"/>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22"/>
              <w:gridCol w:w="2318"/>
              <w:gridCol w:w="2561"/>
              <w:gridCol w:w="184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3" w:hRule="atLeast"/>
              </w:trPr>
              <w:tc>
                <w:tcPr>
                  <w:tcW w:w="715"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7"/>
                      <w:sz w:val="21"/>
                      <w:szCs w:val="21"/>
                    </w:rPr>
                    <w:t>监测项目</w:t>
                  </w:r>
                </w:p>
              </w:tc>
              <w:tc>
                <w:tcPr>
                  <w:tcW w:w="1477"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9"/>
                      <w:sz w:val="21"/>
                      <w:szCs w:val="21"/>
                    </w:rPr>
                    <w:t>施</w:t>
                  </w:r>
                  <w:r>
                    <w:rPr>
                      <w:rFonts w:ascii="宋体" w:hAnsi="宋体" w:eastAsia="宋体" w:cs="宋体"/>
                      <w:spacing w:val="7"/>
                      <w:sz w:val="21"/>
                      <w:szCs w:val="21"/>
                    </w:rPr>
                    <w:t>工阶段</w:t>
                  </w:r>
                </w:p>
              </w:tc>
              <w:tc>
                <w:tcPr>
                  <w:tcW w:w="1632"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2"/>
                      <w:position w:val="2"/>
                      <w:sz w:val="21"/>
                      <w:szCs w:val="21"/>
                    </w:rPr>
                    <w:t>监</w:t>
                  </w:r>
                  <w:r>
                    <w:rPr>
                      <w:rFonts w:ascii="宋体" w:hAnsi="宋体" w:eastAsia="宋体" w:cs="宋体"/>
                      <w:spacing w:val="7"/>
                      <w:position w:val="2"/>
                      <w:sz w:val="21"/>
                      <w:szCs w:val="21"/>
                    </w:rPr>
                    <w:t>测</w:t>
                  </w:r>
                  <w:r>
                    <w:rPr>
                      <w:rFonts w:ascii="宋体" w:hAnsi="宋体" w:eastAsia="宋体" w:cs="宋体"/>
                      <w:spacing w:val="6"/>
                      <w:position w:val="2"/>
                      <w:sz w:val="21"/>
                      <w:szCs w:val="21"/>
                    </w:rPr>
                    <w:t>点排放限值 (</w:t>
                  </w:r>
                  <w:r>
                    <w:rPr>
                      <w:rFonts w:ascii="Times New Roman" w:hAnsi="Times New Roman" w:eastAsia="Times New Roman" w:cs="Times New Roman"/>
                      <w:spacing w:val="6"/>
                      <w:position w:val="2"/>
                      <w:sz w:val="21"/>
                      <w:szCs w:val="21"/>
                    </w:rPr>
                    <w:t>μ</w:t>
                  </w:r>
                  <w:r>
                    <w:rPr>
                      <w:rFonts w:ascii="Times New Roman" w:hAnsi="Times New Roman" w:eastAsia="Times New Roman" w:cs="Times New Roman"/>
                      <w:position w:val="2"/>
                      <w:sz w:val="21"/>
                      <w:szCs w:val="21"/>
                    </w:rPr>
                    <w:t>g</w:t>
                  </w:r>
                  <w:r>
                    <w:rPr>
                      <w:rFonts w:ascii="Times New Roman" w:hAnsi="Times New Roman" w:eastAsia="Times New Roman" w:cs="Times New Roman"/>
                      <w:spacing w:val="6"/>
                      <w:position w:val="2"/>
                      <w:sz w:val="21"/>
                      <w:szCs w:val="21"/>
                    </w:rPr>
                    <w:t>/</w:t>
                  </w:r>
                  <w:r>
                    <w:rPr>
                      <w:rFonts w:ascii="Times New Roman" w:hAnsi="Times New Roman" w:eastAsia="Times New Roman" w:cs="Times New Roman"/>
                      <w:position w:val="2"/>
                      <w:sz w:val="21"/>
                      <w:szCs w:val="21"/>
                    </w:rPr>
                    <w:t>m</w:t>
                  </w:r>
                  <w:r>
                    <w:rPr>
                      <w:rFonts w:ascii="Times New Roman" w:hAnsi="Times New Roman" w:eastAsia="Times New Roman" w:cs="Times New Roman"/>
                      <w:spacing w:val="6"/>
                      <w:position w:val="8"/>
                      <w:sz w:val="21"/>
                      <w:szCs w:val="21"/>
                    </w:rPr>
                    <w:t xml:space="preserve">3 </w:t>
                  </w:r>
                  <w:r>
                    <w:rPr>
                      <w:rFonts w:ascii="宋体" w:hAnsi="宋体" w:eastAsia="宋体" w:cs="宋体"/>
                      <w:spacing w:val="6"/>
                      <w:position w:val="2"/>
                      <w:sz w:val="21"/>
                      <w:szCs w:val="21"/>
                    </w:rPr>
                    <w:t>)</w:t>
                  </w:r>
                </w:p>
              </w:tc>
              <w:tc>
                <w:tcPr>
                  <w:tcW w:w="1174"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7"/>
                      <w:sz w:val="21"/>
                      <w:szCs w:val="21"/>
                    </w:rPr>
                    <w:t>监测时间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715" w:type="pct"/>
                  <w:vMerge w:val="restar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9"/>
                      <w:sz w:val="21"/>
                      <w:szCs w:val="21"/>
                    </w:rPr>
                    <w:t>总</w:t>
                  </w:r>
                  <w:r>
                    <w:rPr>
                      <w:rFonts w:ascii="宋体" w:hAnsi="宋体" w:eastAsia="宋体" w:cs="宋体"/>
                      <w:spacing w:val="6"/>
                      <w:sz w:val="21"/>
                      <w:szCs w:val="21"/>
                    </w:rPr>
                    <w:t>悬浮颗</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5"/>
                      <w:sz w:val="21"/>
                      <w:szCs w:val="21"/>
                    </w:rPr>
                    <w:t>粒</w:t>
                  </w:r>
                  <w:r>
                    <w:rPr>
                      <w:rFonts w:ascii="宋体" w:hAnsi="宋体" w:eastAsia="宋体" w:cs="宋体"/>
                      <w:spacing w:val="4"/>
                      <w:sz w:val="21"/>
                      <w:szCs w:val="21"/>
                    </w:rPr>
                    <w:t>物</w:t>
                  </w:r>
                </w:p>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53"/>
                      <w:sz w:val="21"/>
                      <w:szCs w:val="21"/>
                    </w:rPr>
                    <w:t>(</w:t>
                  </w:r>
                  <w:r>
                    <w:rPr>
                      <w:rFonts w:ascii="Times New Roman" w:hAnsi="Times New Roman" w:eastAsia="Times New Roman" w:cs="Times New Roman"/>
                      <w:sz w:val="21"/>
                      <w:szCs w:val="21"/>
                    </w:rPr>
                    <w:t>TSP</w:t>
                  </w:r>
                  <w:r>
                    <w:rPr>
                      <w:rFonts w:ascii="宋体" w:hAnsi="宋体" w:eastAsia="宋体" w:cs="宋体"/>
                      <w:spacing w:val="53"/>
                      <w:sz w:val="21"/>
                      <w:szCs w:val="21"/>
                    </w:rPr>
                    <w:t>)</w:t>
                  </w:r>
                </w:p>
              </w:tc>
              <w:tc>
                <w:tcPr>
                  <w:tcW w:w="1477"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13"/>
                      <w:sz w:val="21"/>
                      <w:szCs w:val="21"/>
                    </w:rPr>
                    <w:t>拆</w:t>
                  </w:r>
                  <w:r>
                    <w:rPr>
                      <w:rFonts w:ascii="宋体" w:hAnsi="宋体" w:eastAsia="宋体" w:cs="宋体"/>
                      <w:spacing w:val="7"/>
                      <w:sz w:val="21"/>
                      <w:szCs w:val="21"/>
                    </w:rPr>
                    <w:t>除工程</w:t>
                  </w:r>
                  <w:r>
                    <w:rPr>
                      <w:rFonts w:ascii="Times New Roman" w:hAnsi="Times New Roman" w:eastAsia="Times New Roman" w:cs="Times New Roman"/>
                      <w:spacing w:val="7"/>
                      <w:sz w:val="21"/>
                      <w:szCs w:val="21"/>
                    </w:rPr>
                    <w:t>/</w:t>
                  </w:r>
                  <w:r>
                    <w:rPr>
                      <w:rFonts w:ascii="宋体" w:hAnsi="宋体" w:eastAsia="宋体" w:cs="宋体"/>
                      <w:spacing w:val="7"/>
                      <w:sz w:val="21"/>
                      <w:szCs w:val="21"/>
                    </w:rPr>
                    <w:t>土方开挖</w:t>
                  </w:r>
                  <w:r>
                    <w:rPr>
                      <w:rFonts w:ascii="Times New Roman" w:hAnsi="Times New Roman" w:eastAsia="Times New Roman" w:cs="Times New Roman"/>
                      <w:spacing w:val="7"/>
                      <w:sz w:val="21"/>
                      <w:szCs w:val="21"/>
                    </w:rPr>
                    <w:t>/</w:t>
                  </w:r>
                  <w:r>
                    <w:rPr>
                      <w:rFonts w:ascii="Times New Roman" w:hAnsi="Times New Roman" w:eastAsia="Times New Roman" w:cs="Times New Roman"/>
                      <w:sz w:val="21"/>
                      <w:szCs w:val="21"/>
                    </w:rPr>
                    <w:t xml:space="preserve"> </w:t>
                  </w:r>
                  <w:r>
                    <w:rPr>
                      <w:rFonts w:ascii="宋体" w:hAnsi="宋体" w:eastAsia="宋体" w:cs="宋体"/>
                      <w:spacing w:val="8"/>
                      <w:sz w:val="21"/>
                      <w:szCs w:val="21"/>
                    </w:rPr>
                    <w:t>土方回填阶段</w:t>
                  </w:r>
                </w:p>
              </w:tc>
              <w:tc>
                <w:tcPr>
                  <w:tcW w:w="1632"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600</w:t>
                  </w:r>
                </w:p>
              </w:tc>
              <w:tc>
                <w:tcPr>
                  <w:tcW w:w="1174" w:type="pct"/>
                  <w:vMerge w:val="restar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4"/>
                      <w:sz w:val="21"/>
                      <w:szCs w:val="21"/>
                    </w:rPr>
                    <w:t>自</w:t>
                  </w:r>
                  <w:r>
                    <w:rPr>
                      <w:rFonts w:ascii="宋体" w:hAnsi="宋体" w:eastAsia="宋体" w:cs="宋体"/>
                      <w:spacing w:val="3"/>
                      <w:sz w:val="21"/>
                      <w:szCs w:val="21"/>
                    </w:rPr>
                    <w:t>监</w:t>
                  </w:r>
                  <w:r>
                    <w:rPr>
                      <w:rFonts w:ascii="宋体" w:hAnsi="宋体" w:eastAsia="宋体" w:cs="宋体"/>
                      <w:spacing w:val="2"/>
                      <w:sz w:val="21"/>
                      <w:szCs w:val="21"/>
                    </w:rPr>
                    <w:t>测起持续</w:t>
                  </w:r>
                  <w:r>
                    <w:rPr>
                      <w:rFonts w:ascii="宋体" w:hAnsi="宋体" w:eastAsia="宋体" w:cs="宋体"/>
                      <w:sz w:val="21"/>
                      <w:szCs w:val="21"/>
                    </w:rPr>
                    <w:t xml:space="preserve"> </w:t>
                  </w:r>
                  <w:r>
                    <w:rPr>
                      <w:rFonts w:ascii="Times New Roman" w:hAnsi="Times New Roman" w:eastAsia="Times New Roman" w:cs="Times New Roman"/>
                      <w:spacing w:val="1"/>
                      <w:sz w:val="21"/>
                      <w:szCs w:val="21"/>
                    </w:rPr>
                    <w:t xml:space="preserve">15 </w:t>
                  </w:r>
                  <w:r>
                    <w:rPr>
                      <w:rFonts w:ascii="宋体" w:hAnsi="宋体" w:eastAsia="宋体" w:cs="宋体"/>
                      <w:spacing w:val="1"/>
                      <w:sz w:val="21"/>
                      <w:szCs w:val="21"/>
                    </w:rPr>
                    <w:t>分</w:t>
                  </w:r>
                  <w:r>
                    <w:rPr>
                      <w:rFonts w:ascii="宋体" w:hAnsi="宋体" w:eastAsia="宋体" w:cs="宋体"/>
                      <w:sz w:val="21"/>
                      <w:szCs w:val="21"/>
                    </w:rPr>
                    <w:t>钟</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0" w:hRule="atLeast"/>
              </w:trPr>
              <w:tc>
                <w:tcPr>
                  <w:tcW w:w="715"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szCs w:val="21"/>
                    </w:rPr>
                  </w:pPr>
                </w:p>
              </w:tc>
              <w:tc>
                <w:tcPr>
                  <w:tcW w:w="1477"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z w:val="21"/>
                      <w:szCs w:val="21"/>
                    </w:rPr>
                  </w:pPr>
                  <w:r>
                    <w:rPr>
                      <w:rFonts w:ascii="宋体" w:hAnsi="宋体" w:eastAsia="宋体" w:cs="宋体"/>
                      <w:spacing w:val="8"/>
                      <w:sz w:val="21"/>
                      <w:szCs w:val="21"/>
                    </w:rPr>
                    <w:t>其他工程阶段</w:t>
                  </w:r>
                </w:p>
              </w:tc>
              <w:tc>
                <w:tcPr>
                  <w:tcW w:w="1632"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2</w:t>
                  </w:r>
                  <w:r>
                    <w:rPr>
                      <w:rFonts w:ascii="Times New Roman" w:hAnsi="Times New Roman" w:eastAsia="Times New Roman" w:cs="Times New Roman"/>
                      <w:spacing w:val="3"/>
                      <w:sz w:val="21"/>
                      <w:szCs w:val="21"/>
                    </w:rPr>
                    <w:t>50</w:t>
                  </w:r>
                </w:p>
              </w:tc>
              <w:tc>
                <w:tcPr>
                  <w:tcW w:w="1174"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sz w:val="21"/>
                      <w:szCs w:val="21"/>
                    </w:rPr>
                  </w:pP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2</w:t>
            </w:r>
            <w:r>
              <w:rPr>
                <w:rFonts w:hint="eastAsia" w:ascii="Times New Roman" w:hAnsi="Times New Roman" w:eastAsia="宋体" w:cs="Times New Roman"/>
                <w:sz w:val="24"/>
                <w:lang w:eastAsia="zh-CN"/>
              </w:rPr>
              <w:t>）</w:t>
            </w:r>
            <w:r>
              <w:rPr>
                <w:rFonts w:hint="default" w:ascii="Times New Roman" w:hAnsi="Times New Roman" w:eastAsia="宋体" w:cs="Times New Roman"/>
                <w:sz w:val="24"/>
              </w:rPr>
              <w:t>废水排放标准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rPr>
            </w:pPr>
            <w:r>
              <w:rPr>
                <w:rFonts w:hint="default" w:ascii="Times New Roman" w:hAnsi="Times New Roman" w:eastAsia="宋体" w:cs="Times New Roman"/>
                <w:sz w:val="24"/>
              </w:rPr>
              <w:t>施工期污水不外排，营运期无废水排放。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rPr>
            </w:pPr>
            <w:r>
              <w:rPr>
                <w:rFonts w:hint="default" w:ascii="Times New Roman" w:hAnsi="Times New Roman" w:eastAsia="宋体" w:cs="Times New Roman"/>
                <w:sz w:val="24"/>
              </w:rPr>
              <w:t>（3）噪声排放标准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sz w:val="24"/>
              </w:rPr>
            </w:pPr>
            <w:r>
              <w:rPr>
                <w:rFonts w:hint="default" w:ascii="Times New Roman" w:hAnsi="Times New Roman" w:eastAsia="宋体" w:cs="Times New Roman"/>
                <w:sz w:val="24"/>
              </w:rPr>
              <w:t>项目施工期执行《建筑施工场界环境</w:t>
            </w:r>
            <w:r>
              <w:rPr>
                <w:rFonts w:hint="default" w:ascii="Times New Roman" w:hAnsi="Times New Roman" w:cs="Times New Roman"/>
                <w:sz w:val="24"/>
              </w:rPr>
              <w:t>噪声排放标准》（GB12523-2011）标准。运行期执行《工业企业厂界环境噪声排放标准》（GB12348-2008）中</w:t>
            </w:r>
            <w:r>
              <w:rPr>
                <w:rFonts w:hint="eastAsia" w:ascii="Times New Roman" w:hAnsi="Times New Roman" w:cs="Times New Roman"/>
                <w:sz w:val="24"/>
                <w:lang w:val="en-US" w:eastAsia="zh-CN"/>
              </w:rPr>
              <w:t>2</w:t>
            </w:r>
            <w:r>
              <w:rPr>
                <w:rFonts w:hint="default" w:ascii="Times New Roman" w:hAnsi="Times New Roman" w:cs="Times New Roman"/>
                <w:sz w:val="24"/>
              </w:rPr>
              <w:t>类标准</w:t>
            </w:r>
            <w:r>
              <w:rPr>
                <w:rFonts w:hint="eastAsia" w:ascii="Times New Roman" w:hAnsi="Times New Roman" w:cs="Times New Roman"/>
                <w:sz w:val="24"/>
                <w:lang w:eastAsia="zh-CN"/>
              </w:rPr>
              <w:t>。</w:t>
            </w:r>
            <w:r>
              <w:rPr>
                <w:rFonts w:hint="default" w:ascii="Times New Roman" w:hAnsi="Times New Roman" w:cs="Times New Roman"/>
                <w:sz w:val="24"/>
              </w:rPr>
              <w:t>标准限值见下表3-</w:t>
            </w:r>
            <w:r>
              <w:rPr>
                <w:rFonts w:hint="eastAsia" w:ascii="Times New Roman" w:hAnsi="Times New Roman" w:cs="Times New Roman"/>
                <w:sz w:val="24"/>
                <w:lang w:val="en-US" w:eastAsia="zh-CN"/>
              </w:rPr>
              <w:t>10、3-11</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kern w:val="2"/>
                <w:sz w:val="21"/>
                <w:szCs w:val="21"/>
                <w:lang w:val="en-US" w:eastAsia="zh-CN" w:bidi="ar-SA"/>
              </w:rPr>
              <w:t>表3-</w:t>
            </w:r>
            <w:r>
              <w:rPr>
                <w:rFonts w:hint="eastAsia" w:ascii="Times New Roman" w:hAnsi="Times New Roman" w:eastAsia="宋体" w:cs="Times New Roman"/>
                <w:b/>
                <w:bCs/>
                <w:kern w:val="2"/>
                <w:sz w:val="21"/>
                <w:szCs w:val="21"/>
                <w:lang w:val="en-US" w:eastAsia="zh-CN" w:bidi="ar-SA"/>
              </w:rPr>
              <w:t>10</w:t>
            </w:r>
            <w:r>
              <w:rPr>
                <w:rFonts w:hint="default" w:ascii="Times New Roman" w:hAnsi="Times New Roman" w:eastAsia="宋体" w:cs="Times New Roman"/>
                <w:b/>
                <w:bCs/>
                <w:kern w:val="2"/>
                <w:sz w:val="21"/>
                <w:szCs w:val="21"/>
                <w:lang w:val="en-US" w:eastAsia="zh-CN" w:bidi="ar-SA"/>
              </w:rPr>
              <w:t xml:space="preserve">  建筑施工场界环境噪声排放标准  单位：dB（A）</w:t>
            </w:r>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19"/>
              <w:gridCol w:w="39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21" w:type="dxa"/>
                  <w:noWrap w:val="0"/>
                  <w:vAlign w:val="center"/>
                </w:tcPr>
                <w:p>
                  <w:pPr>
                    <w:tabs>
                      <w:tab w:val="left" w:pos="2592"/>
                    </w:tabs>
                    <w:jc w:val="center"/>
                    <w:rPr>
                      <w:rFonts w:hint="default" w:ascii="Times New Roman" w:hAnsi="Times New Roman" w:cs="Times New Roman"/>
                      <w:b/>
                      <w:bCs/>
                      <w:szCs w:val="21"/>
                    </w:rPr>
                  </w:pPr>
                  <w:r>
                    <w:rPr>
                      <w:rFonts w:hint="default" w:ascii="Times New Roman" w:hAnsi="Times New Roman" w:cs="Times New Roman"/>
                      <w:b/>
                      <w:bCs/>
                      <w:szCs w:val="21"/>
                    </w:rPr>
                    <w:t>昼间</w:t>
                  </w:r>
                </w:p>
              </w:tc>
              <w:tc>
                <w:tcPr>
                  <w:tcW w:w="4524" w:type="dxa"/>
                  <w:noWrap w:val="0"/>
                  <w:vAlign w:val="center"/>
                </w:tcPr>
                <w:p>
                  <w:pPr>
                    <w:tabs>
                      <w:tab w:val="left" w:pos="2592"/>
                    </w:tabs>
                    <w:jc w:val="center"/>
                    <w:rPr>
                      <w:rFonts w:hint="default" w:ascii="Times New Roman" w:hAnsi="Times New Roman" w:cs="Times New Roman"/>
                      <w:b/>
                      <w:bCs/>
                      <w:szCs w:val="21"/>
                    </w:rPr>
                  </w:pPr>
                  <w:r>
                    <w:rPr>
                      <w:rFonts w:hint="default" w:ascii="Times New Roman" w:hAnsi="Times New Roman" w:cs="Times New Roman"/>
                      <w:b/>
                      <w:bCs/>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21" w:type="dxa"/>
                  <w:noWrap w:val="0"/>
                  <w:vAlign w:val="center"/>
                </w:tcPr>
                <w:p>
                  <w:pPr>
                    <w:tabs>
                      <w:tab w:val="left" w:pos="2592"/>
                    </w:tabs>
                    <w:jc w:val="center"/>
                    <w:rPr>
                      <w:rFonts w:hint="default" w:ascii="Times New Roman" w:hAnsi="Times New Roman" w:cs="Times New Roman"/>
                      <w:szCs w:val="21"/>
                    </w:rPr>
                  </w:pPr>
                  <w:r>
                    <w:rPr>
                      <w:rFonts w:hint="default" w:ascii="Times New Roman" w:hAnsi="Times New Roman" w:cs="Times New Roman"/>
                      <w:szCs w:val="21"/>
                    </w:rPr>
                    <w:t>70</w:t>
                  </w:r>
                </w:p>
              </w:tc>
              <w:tc>
                <w:tcPr>
                  <w:tcW w:w="4524" w:type="dxa"/>
                  <w:noWrap w:val="0"/>
                  <w:vAlign w:val="center"/>
                </w:tcPr>
                <w:p>
                  <w:pPr>
                    <w:tabs>
                      <w:tab w:val="left" w:pos="2592"/>
                    </w:tabs>
                    <w:jc w:val="center"/>
                    <w:rPr>
                      <w:rFonts w:hint="default" w:ascii="Times New Roman" w:hAnsi="Times New Roman" w:cs="Times New Roman"/>
                      <w:szCs w:val="21"/>
                    </w:rPr>
                  </w:pPr>
                  <w:r>
                    <w:rPr>
                      <w:rFonts w:hint="default" w:ascii="Times New Roman" w:hAnsi="Times New Roman" w:cs="Times New Roman"/>
                      <w:szCs w:val="21"/>
                    </w:rPr>
                    <w:t>55</w:t>
                  </w:r>
                </w:p>
              </w:tc>
            </w:tr>
          </w:tbl>
          <w:p>
            <w:pPr>
              <w:adjustRightInd w:val="0"/>
              <w:snapToGrid w:val="0"/>
              <w:spacing w:line="360" w:lineRule="auto"/>
              <w:jc w:val="center"/>
              <w:textAlignment w:val="baseline"/>
              <w:rPr>
                <w:rFonts w:hint="default" w:ascii="Times New Roman" w:hAnsi="Times New Roman" w:cs="Times New Roman"/>
                <w:b/>
                <w:bCs/>
                <w:szCs w:val="21"/>
              </w:rPr>
            </w:pPr>
          </w:p>
          <w:p>
            <w:pPr>
              <w:adjustRightInd w:val="0"/>
              <w:snapToGrid w:val="0"/>
              <w:spacing w:line="360" w:lineRule="auto"/>
              <w:jc w:val="center"/>
              <w:textAlignment w:val="baseline"/>
              <w:rPr>
                <w:rFonts w:hint="default" w:ascii="Times New Roman" w:hAnsi="Times New Roman" w:eastAsia="宋体" w:cs="Times New Roman"/>
                <w:b/>
                <w:bCs/>
                <w:szCs w:val="21"/>
                <w:lang w:eastAsia="zh-CN"/>
              </w:rPr>
            </w:pPr>
            <w:r>
              <w:rPr>
                <w:rFonts w:hint="default" w:ascii="Times New Roman" w:hAnsi="Times New Roman" w:cs="Times New Roman"/>
                <w:b/>
                <w:bCs/>
                <w:szCs w:val="21"/>
              </w:rPr>
              <w:t>表3-</w:t>
            </w:r>
            <w:r>
              <w:rPr>
                <w:rFonts w:hint="default" w:ascii="Times New Roman" w:hAnsi="Times New Roman" w:cs="Times New Roman"/>
                <w:b/>
                <w:bCs/>
                <w:szCs w:val="21"/>
                <w:lang w:val="en-US" w:eastAsia="zh-CN"/>
              </w:rPr>
              <w:t>1</w:t>
            </w:r>
            <w:r>
              <w:rPr>
                <w:rFonts w:hint="eastAsia" w:ascii="Times New Roman" w:hAnsi="Times New Roman" w:cs="Times New Roman"/>
                <w:b/>
                <w:bCs/>
                <w:szCs w:val="21"/>
                <w:lang w:val="en-US" w:eastAsia="zh-CN"/>
              </w:rPr>
              <w:t>1</w:t>
            </w:r>
            <w:r>
              <w:rPr>
                <w:rFonts w:hint="default" w:ascii="Times New Roman" w:hAnsi="Times New Roman" w:cs="Times New Roman"/>
                <w:b/>
                <w:bCs/>
                <w:szCs w:val="21"/>
              </w:rPr>
              <w:t xml:space="preserve">  工业企业厂界环境噪声排放标准  单位：dB</w:t>
            </w:r>
            <w:r>
              <w:rPr>
                <w:rFonts w:hint="default" w:ascii="Times New Roman" w:hAnsi="Times New Roman" w:cs="Times New Roman"/>
                <w:b/>
                <w:bCs/>
                <w:szCs w:val="21"/>
                <w:lang w:eastAsia="zh-CN"/>
              </w:rPr>
              <w:t>（</w:t>
            </w:r>
            <w:r>
              <w:rPr>
                <w:rFonts w:hint="default" w:ascii="Times New Roman" w:hAnsi="Times New Roman" w:cs="Times New Roman"/>
                <w:b/>
                <w:bCs/>
                <w:szCs w:val="21"/>
              </w:rPr>
              <w:t>A</w:t>
            </w:r>
            <w:r>
              <w:rPr>
                <w:rFonts w:hint="default" w:ascii="Times New Roman" w:hAnsi="Times New Roman" w:cs="Times New Roman"/>
                <w:b/>
                <w:bCs/>
                <w:szCs w:val="21"/>
                <w:lang w:eastAsia="zh-CN"/>
              </w:rPr>
              <w:t>）</w:t>
            </w:r>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13"/>
              <w:gridCol w:w="2613"/>
              <w:gridCol w:w="26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24" w:type="dxa"/>
                  <w:noWrap w:val="0"/>
                  <w:vAlign w:val="center"/>
                </w:tcPr>
                <w:p>
                  <w:pPr>
                    <w:tabs>
                      <w:tab w:val="left" w:pos="2592"/>
                    </w:tabs>
                    <w:jc w:val="center"/>
                    <w:rPr>
                      <w:rFonts w:hint="default" w:ascii="Times New Roman" w:hAnsi="Times New Roman" w:eastAsia="宋体" w:cs="Times New Roman"/>
                      <w:b/>
                      <w:bCs/>
                      <w:szCs w:val="21"/>
                      <w:lang w:eastAsia="zh-CN"/>
                    </w:rPr>
                  </w:pPr>
                  <w:r>
                    <w:rPr>
                      <w:rFonts w:hint="default" w:ascii="Times New Roman" w:hAnsi="Times New Roman" w:cs="Times New Roman"/>
                      <w:b/>
                      <w:bCs/>
                      <w:szCs w:val="21"/>
                      <w:lang w:eastAsia="zh-CN"/>
                    </w:rPr>
                    <w:t>类别</w:t>
                  </w:r>
                </w:p>
              </w:tc>
              <w:tc>
                <w:tcPr>
                  <w:tcW w:w="2624" w:type="dxa"/>
                  <w:noWrap w:val="0"/>
                  <w:vAlign w:val="center"/>
                </w:tcPr>
                <w:p>
                  <w:pPr>
                    <w:tabs>
                      <w:tab w:val="left" w:pos="2592"/>
                    </w:tabs>
                    <w:jc w:val="center"/>
                    <w:rPr>
                      <w:rFonts w:hint="default" w:ascii="Times New Roman" w:hAnsi="Times New Roman" w:cs="Times New Roman"/>
                      <w:b/>
                      <w:bCs/>
                      <w:szCs w:val="21"/>
                    </w:rPr>
                  </w:pPr>
                  <w:r>
                    <w:rPr>
                      <w:rFonts w:hint="default" w:ascii="Times New Roman" w:hAnsi="Times New Roman" w:cs="Times New Roman"/>
                      <w:b/>
                      <w:bCs/>
                      <w:szCs w:val="21"/>
                    </w:rPr>
                    <w:t>昼间</w:t>
                  </w:r>
                </w:p>
              </w:tc>
              <w:tc>
                <w:tcPr>
                  <w:tcW w:w="2626" w:type="dxa"/>
                  <w:noWrap w:val="0"/>
                  <w:vAlign w:val="center"/>
                </w:tcPr>
                <w:p>
                  <w:pPr>
                    <w:tabs>
                      <w:tab w:val="left" w:pos="2592"/>
                    </w:tabs>
                    <w:jc w:val="center"/>
                    <w:rPr>
                      <w:rFonts w:hint="default" w:ascii="Times New Roman" w:hAnsi="Times New Roman" w:cs="Times New Roman"/>
                      <w:b/>
                      <w:bCs/>
                      <w:szCs w:val="21"/>
                    </w:rPr>
                  </w:pPr>
                  <w:r>
                    <w:rPr>
                      <w:rFonts w:hint="default" w:ascii="Times New Roman" w:hAnsi="Times New Roman" w:cs="Times New Roman"/>
                      <w:b/>
                      <w:bCs/>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24" w:type="dxa"/>
                  <w:noWrap w:val="0"/>
                  <w:vAlign w:val="center"/>
                </w:tcPr>
                <w:p>
                  <w:pPr>
                    <w:tabs>
                      <w:tab w:val="left" w:pos="2592"/>
                    </w:tabs>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2</w:t>
                  </w:r>
                  <w:r>
                    <w:rPr>
                      <w:rFonts w:hint="default" w:ascii="Times New Roman" w:hAnsi="Times New Roman" w:cs="Times New Roman"/>
                      <w:szCs w:val="21"/>
                      <w:lang w:val="en-US" w:eastAsia="zh-CN"/>
                    </w:rPr>
                    <w:t>类</w:t>
                  </w:r>
                </w:p>
              </w:tc>
              <w:tc>
                <w:tcPr>
                  <w:tcW w:w="2624" w:type="dxa"/>
                  <w:noWrap w:val="0"/>
                  <w:vAlign w:val="center"/>
                </w:tcPr>
                <w:p>
                  <w:pPr>
                    <w:tabs>
                      <w:tab w:val="left" w:pos="2592"/>
                    </w:tabs>
                    <w:jc w:val="center"/>
                    <w:rPr>
                      <w:rFonts w:hint="default" w:ascii="Times New Roman" w:hAnsi="Times New Roman" w:cs="Times New Roman"/>
                      <w:szCs w:val="21"/>
                    </w:rPr>
                  </w:pPr>
                  <w:r>
                    <w:rPr>
                      <w:rFonts w:hint="eastAsia" w:ascii="Times New Roman" w:hAnsi="Times New Roman" w:cs="Times New Roman"/>
                      <w:szCs w:val="21"/>
                      <w:lang w:val="en-US" w:eastAsia="zh-CN"/>
                    </w:rPr>
                    <w:t>6</w:t>
                  </w:r>
                  <w:r>
                    <w:rPr>
                      <w:rFonts w:hint="default" w:ascii="Times New Roman" w:hAnsi="Times New Roman" w:cs="Times New Roman"/>
                      <w:szCs w:val="21"/>
                    </w:rPr>
                    <w:t>0</w:t>
                  </w:r>
                </w:p>
              </w:tc>
              <w:tc>
                <w:tcPr>
                  <w:tcW w:w="2626" w:type="dxa"/>
                  <w:noWrap w:val="0"/>
                  <w:vAlign w:val="center"/>
                </w:tcPr>
                <w:p>
                  <w:pPr>
                    <w:tabs>
                      <w:tab w:val="left" w:pos="2592"/>
                    </w:tabs>
                    <w:jc w:val="center"/>
                    <w:rPr>
                      <w:rFonts w:hint="eastAsia" w:ascii="Times New Roman" w:hAnsi="Times New Roman" w:eastAsia="宋体" w:cs="Times New Roman"/>
                      <w:szCs w:val="21"/>
                      <w:lang w:eastAsia="zh-CN"/>
                    </w:rPr>
                  </w:pPr>
                  <w:r>
                    <w:rPr>
                      <w:rFonts w:hint="default" w:ascii="Times New Roman" w:hAnsi="Times New Roman" w:cs="Times New Roman"/>
                      <w:szCs w:val="21"/>
                    </w:rPr>
                    <w:t>5</w:t>
                  </w:r>
                  <w:r>
                    <w:rPr>
                      <w:rFonts w:hint="eastAsia" w:ascii="Times New Roman" w:hAnsi="Times New Roman" w:cs="Times New Roman"/>
                      <w:szCs w:val="21"/>
                      <w:lang w:val="en-US" w:eastAsia="zh-CN"/>
                    </w:rPr>
                    <w:t>0</w:t>
                  </w:r>
                </w:p>
              </w:tc>
            </w:tr>
          </w:tbl>
          <w:p>
            <w:pPr>
              <w:adjustRightInd w:val="0"/>
              <w:snapToGrid w:val="0"/>
              <w:spacing w:line="360" w:lineRule="auto"/>
              <w:ind w:firstLine="480" w:firstLineChars="200"/>
              <w:jc w:val="left"/>
              <w:rPr>
                <w:rFonts w:hint="default" w:ascii="Times New Roman" w:hAnsi="Times New Roman" w:eastAsia="宋体" w:cs="Times New Roman"/>
                <w:sz w:val="24"/>
              </w:rPr>
            </w:pPr>
            <w:r>
              <w:rPr>
                <w:rFonts w:hint="default" w:ascii="Times New Roman" w:hAnsi="Times New Roman" w:eastAsia="宋体" w:cs="Times New Roman"/>
                <w:sz w:val="24"/>
              </w:rPr>
              <w:t>（4）固废</w:t>
            </w:r>
          </w:p>
          <w:p>
            <w:pPr>
              <w:adjustRightInd w:val="0"/>
              <w:snapToGrid w:val="0"/>
              <w:spacing w:line="360" w:lineRule="auto"/>
              <w:ind w:firstLine="480" w:firstLineChars="200"/>
              <w:jc w:val="left"/>
              <w:rPr>
                <w:rFonts w:hint="default" w:ascii="Times New Roman" w:hAnsi="Times New Roman" w:eastAsia="宋体" w:cs="Times New Roman"/>
                <w:sz w:val="24"/>
                <w:lang w:val="en-US" w:eastAsia="zh-CN"/>
              </w:rPr>
            </w:pPr>
            <w:r>
              <w:rPr>
                <w:rFonts w:hint="default" w:ascii="Times New Roman" w:hAnsi="Times New Roman" w:eastAsia="宋体" w:cs="Times New Roman"/>
                <w:sz w:val="24"/>
              </w:rPr>
              <w:t>执行《一般工业固体废物贮存和填埋污染控制标准》（GB18599-2020）。危险废物执行《危险废物贮存污染物控制标准》（GB18597-2001）及修订单。</w:t>
            </w:r>
            <w:r>
              <w:rPr>
                <w:rFonts w:hint="default" w:ascii="Times New Roman" w:hAnsi="Times New Roman" w:eastAsia="宋体" w:cs="Times New Roman"/>
                <w:sz w:val="24"/>
                <w:lang w:val="en-US" w:eastAsia="zh-CN"/>
              </w:rPr>
              <w:t xml:space="preserve"> </w:t>
            </w:r>
          </w:p>
          <w:p>
            <w:pPr>
              <w:numPr>
                <w:ilvl w:val="0"/>
                <w:numId w:val="12"/>
              </w:numPr>
              <w:adjustRightInd w:val="0"/>
              <w:snapToGrid w:val="0"/>
              <w:spacing w:line="360" w:lineRule="auto"/>
              <w:ind w:firstLine="480" w:firstLineChars="200"/>
              <w:jc w:val="left"/>
              <w:rPr>
                <w:rFonts w:hint="default" w:ascii="Times New Roman" w:hAnsi="Times New Roman" w:eastAsia="宋体" w:cs="Times New Roman"/>
                <w:sz w:val="24"/>
              </w:rPr>
            </w:pPr>
            <w:r>
              <w:rPr>
                <w:rFonts w:hint="default" w:ascii="Times New Roman" w:hAnsi="Times New Roman" w:eastAsia="宋体" w:cs="Times New Roman"/>
                <w:sz w:val="24"/>
              </w:rPr>
              <w:t>生态环境</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0000FF"/>
                <w:kern w:val="0"/>
                <w:szCs w:val="21"/>
              </w:rPr>
            </w:pPr>
            <w:r>
              <w:rPr>
                <w:rFonts w:hint="default" w:ascii="Times New Roman" w:hAnsi="Times New Roman" w:eastAsia="宋体" w:cs="Times New Roman"/>
                <w:sz w:val="24"/>
              </w:rPr>
              <w:t>生态环境以不减少工程区域内动植物种类和不破坏生态系统完整性为目标。水土流失以加剧土壤侵蚀强度为标准，土壤侵蚀标准执行《土壤侵蚀分类分级标准》（SL190-2007）中相关限值。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91" w:hRule="atLeast"/>
          <w:jc w:val="center"/>
        </w:trPr>
        <w:tc>
          <w:tcPr>
            <w:tcW w:w="841"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kern w:val="0"/>
                <w:szCs w:val="21"/>
              </w:rPr>
            </w:pPr>
            <w:r>
              <w:rPr>
                <w:rFonts w:hint="default" w:ascii="Times New Roman" w:hAnsi="Times New Roman" w:cs="Times New Roman"/>
                <w:kern w:val="0"/>
                <w:szCs w:val="21"/>
              </w:rPr>
              <w:t>其他</w:t>
            </w:r>
          </w:p>
        </w:tc>
        <w:tc>
          <w:tcPr>
            <w:tcW w:w="766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color w:val="0000FF"/>
                <w:kern w:val="0"/>
                <w:szCs w:val="21"/>
              </w:rPr>
            </w:pPr>
            <w:r>
              <w:rPr>
                <w:rFonts w:hint="default" w:ascii="Times New Roman" w:hAnsi="Times New Roman" w:cs="Times New Roman"/>
                <w:sz w:val="24"/>
              </w:rPr>
              <w:t>本项目属非污染类项目，不设置总量控制指标。</w:t>
            </w:r>
          </w:p>
        </w:tc>
      </w:tr>
    </w:tbl>
    <w:p>
      <w:pPr>
        <w:pStyle w:val="34"/>
        <w:keepNext w:val="0"/>
        <w:keepLines w:val="0"/>
        <w:pageBreakBefore w:val="0"/>
        <w:kinsoku/>
        <w:wordWrap/>
        <w:overflowPunct/>
        <w:topLinePunct w:val="0"/>
        <w:bidi w:val="0"/>
        <w:adjustRightInd w:val="0"/>
        <w:snapToGrid w:val="0"/>
        <w:spacing w:before="0" w:beforeAutospacing="0" w:after="0" w:afterAutospacing="0" w:line="14" w:lineRule="auto"/>
        <w:jc w:val="center"/>
        <w:textAlignment w:val="auto"/>
        <w:outlineLvl w:val="0"/>
        <w:rPr>
          <w:rFonts w:hint="default" w:ascii="Times New Roman" w:hAnsi="Times New Roman" w:eastAsia="黑体" w:cs="Times New Roman"/>
          <w:snapToGrid w:val="0"/>
          <w:kern w:val="2"/>
          <w:sz w:val="36"/>
          <w:szCs w:val="36"/>
        </w:rPr>
      </w:pPr>
    </w:p>
    <w:p>
      <w:pPr>
        <w:pStyle w:val="34"/>
        <w:keepNext w:val="0"/>
        <w:keepLines w:val="0"/>
        <w:pageBreakBefore w:val="0"/>
        <w:widowControl/>
        <w:kinsoku/>
        <w:wordWrap/>
        <w:overflowPunct/>
        <w:topLinePunct w:val="0"/>
        <w:autoSpaceDE/>
        <w:autoSpaceDN/>
        <w:bidi w:val="0"/>
        <w:adjustRightInd w:val="0"/>
        <w:snapToGrid w:val="0"/>
        <w:jc w:val="center"/>
        <w:textAlignment w:val="auto"/>
        <w:outlineLvl w:val="0"/>
        <w:rPr>
          <w:rFonts w:hint="default" w:ascii="Times New Roman" w:hAnsi="Times New Roman" w:eastAsia="黑体" w:cs="Times New Roman"/>
          <w:snapToGrid w:val="0"/>
          <w:sz w:val="30"/>
          <w:szCs w:val="30"/>
        </w:rPr>
      </w:pPr>
      <w:r>
        <w:rPr>
          <w:rFonts w:hint="default" w:ascii="Times New Roman" w:hAnsi="Times New Roman" w:eastAsia="黑体" w:cs="Times New Roman"/>
          <w:snapToGrid w:val="0"/>
          <w:kern w:val="2"/>
          <w:sz w:val="36"/>
          <w:szCs w:val="36"/>
        </w:rPr>
        <w:br w:type="page"/>
      </w:r>
      <w:r>
        <w:rPr>
          <w:rFonts w:hint="default" w:ascii="Times New Roman" w:hAnsi="Times New Roman" w:eastAsia="黑体" w:cs="Times New Roman"/>
          <w:snapToGrid w:val="0"/>
          <w:sz w:val="30"/>
          <w:szCs w:val="30"/>
        </w:rPr>
        <w:t>四、生态环境影响分析</w:t>
      </w:r>
    </w:p>
    <w:tbl>
      <w:tblPr>
        <w:tblStyle w:val="39"/>
        <w:tblW w:w="850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40"/>
        <w:gridCol w:w="756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39" w:hRule="atLeast"/>
          <w:jc w:val="center"/>
        </w:trPr>
        <w:tc>
          <w:tcPr>
            <w:tcW w:w="940" w:type="dxa"/>
            <w:noWrap w:val="0"/>
            <w:tcMar>
              <w:left w:w="28" w:type="dxa"/>
              <w:right w:w="28" w:type="dxa"/>
            </w:tcMar>
            <w:vAlign w:val="center"/>
          </w:tcPr>
          <w:p>
            <w:pPr>
              <w:pStyle w:val="34"/>
              <w:keepNext w:val="0"/>
              <w:keepLines w:val="0"/>
              <w:pageBreakBefore w:val="0"/>
              <w:kinsoku/>
              <w:wordWrap/>
              <w:overflowPunct/>
              <w:topLinePunct w:val="0"/>
              <w:bidi w:val="0"/>
              <w:adjustRightInd w:val="0"/>
              <w:snapToGrid w:val="0"/>
              <w:spacing w:before="0" w:beforeAutospacing="0" w:after="0" w:afterAutospacing="0"/>
              <w:jc w:val="center"/>
              <w:textAlignment w:val="auto"/>
              <w:rPr>
                <w:rFonts w:hint="default" w:ascii="Times New Roman" w:hAnsi="Times New Roman" w:cs="Times New Roman"/>
                <w:bCs/>
                <w:kern w:val="2"/>
                <w:sz w:val="21"/>
                <w:szCs w:val="21"/>
              </w:rPr>
            </w:pPr>
            <w:r>
              <w:rPr>
                <w:rFonts w:hint="default" w:ascii="Times New Roman" w:hAnsi="Times New Roman" w:cs="Times New Roman"/>
                <w:bCs/>
                <w:spacing w:val="10"/>
                <w:kern w:val="2"/>
                <w:sz w:val="24"/>
                <w:szCs w:val="24"/>
              </w:rPr>
              <w:t>施工期生态环境影响分析</w:t>
            </w:r>
          </w:p>
        </w:tc>
        <w:tc>
          <w:tcPr>
            <w:tcW w:w="756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工程建设过程中，主体工程建设、疏浚开挖等施工活动，需进行土石方开挖、混凝土浇筑、各种施工机械和运输车辆（船舶）的作业，以及人员日常生活活动等，将会带来不同程度的“三废一噪”影响，并产生新的水土流失，对生态环境造成破坏，并对环境质量、社会经济、人群健康等自然和社会环境产生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cs="Times New Roman"/>
                <w:bCs/>
                <w:color w:val="auto"/>
                <w:szCs w:val="21"/>
              </w:rPr>
            </w:pPr>
            <w:r>
              <w:rPr>
                <w:rFonts w:hint="default" w:ascii="Times New Roman" w:hAnsi="Times New Roman" w:eastAsia="宋体" w:cs="Times New Roman"/>
                <w:b/>
                <w:bCs/>
                <w:color w:val="auto"/>
                <w:sz w:val="24"/>
                <w:szCs w:val="24"/>
              </w:rPr>
              <w:t>1、生态环境影响分析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（1）水土流失影响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本项目在基础开挖时，因改变表土结构，挖出的土石方因结构松散，如开挖期间遇暴雨，水土流失量将有所增大；在施工区域内，会因机具车辆碾压、施工人员的践踏和土石的堆放等因素会使土地原有植被受破坏，土壤裸露，极易被雨水冲刷，造成一定的水土流失。</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（2）植物、植被的影响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项目共设置</w:t>
            </w:r>
            <w:r>
              <w:rPr>
                <w:rFonts w:hint="eastAsia" w:ascii="Times New Roman" w:hAnsi="Times New Roman" w:cs="Times New Roman"/>
                <w:bCs/>
                <w:color w:val="auto"/>
                <w:sz w:val="24"/>
                <w:szCs w:val="24"/>
                <w:lang w:val="en-US" w:eastAsia="zh-CN"/>
              </w:rPr>
              <w:t>2</w:t>
            </w:r>
            <w:r>
              <w:rPr>
                <w:rFonts w:hint="default" w:ascii="Times New Roman" w:hAnsi="Times New Roman" w:cs="Times New Roman"/>
                <w:bCs/>
                <w:color w:val="auto"/>
                <w:sz w:val="24"/>
                <w:szCs w:val="24"/>
              </w:rPr>
              <w:t>个临时施工场地，施工场地</w:t>
            </w:r>
            <w:r>
              <w:rPr>
                <w:rFonts w:hint="default" w:ascii="Times New Roman" w:hAnsi="Times New Roman" w:cs="Times New Roman"/>
                <w:bCs/>
                <w:color w:val="auto"/>
                <w:sz w:val="24"/>
                <w:szCs w:val="24"/>
                <w:lang w:eastAsia="zh-CN"/>
              </w:rPr>
              <w:t>不涉及</w:t>
            </w:r>
            <w:r>
              <w:rPr>
                <w:rFonts w:hint="default" w:ascii="Times New Roman" w:hAnsi="Times New Roman" w:cs="Times New Roman"/>
                <w:bCs/>
                <w:color w:val="auto"/>
                <w:sz w:val="24"/>
                <w:szCs w:val="24"/>
              </w:rPr>
              <w:t>珍稀濒危动植物物种，无国家和地方重点保护野生动植物和地方特有野生动植物的生境或成片原生植被，不涉及省级及以上自然保护区或风景名胜区，施工期结束后通过迹地恢复，项目建设对生物量减少和物种的多样性减少无影响</w:t>
            </w:r>
            <w:r>
              <w:rPr>
                <w:rFonts w:hint="default" w:ascii="Times New Roman" w:hAnsi="Times New Roman" w:cs="Times New Roman"/>
                <w:bCs/>
                <w:color w:val="auto"/>
                <w:sz w:val="24"/>
                <w:szCs w:val="24"/>
                <w:lang w:eastAsia="zh-CN"/>
              </w:rPr>
              <w:t>，</w:t>
            </w:r>
            <w:r>
              <w:rPr>
                <w:rFonts w:hint="default" w:ascii="Times New Roman" w:hAnsi="Times New Roman" w:cs="Times New Roman"/>
                <w:bCs/>
                <w:color w:val="auto"/>
                <w:sz w:val="24"/>
                <w:szCs w:val="24"/>
              </w:rPr>
              <w:t>不会造成植物、植被生物量的减少。</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（3）对野生动物的影响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施工队伍进驻施工场地带来的人类活动频繁，以及各类施工活动产生的噪声、扬尘、废气等，都将对施工区及其附近的野生动物产生惊吓，干扰，使之远离施工区域。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（4）对水生生物的影响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rPr>
            </w:pPr>
            <w:r>
              <w:rPr>
                <w:rFonts w:hint="eastAsia" w:ascii="Times New Roman" w:hAnsi="Times New Roman" w:eastAsia="宋体" w:cs="Times New Roman"/>
                <w:bCs/>
                <w:color w:val="auto"/>
                <w:sz w:val="24"/>
                <w:szCs w:val="24"/>
                <w:lang w:val="en-US" w:eastAsia="zh-CN"/>
              </w:rPr>
              <w:t>1</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对</w:t>
            </w:r>
            <w:r>
              <w:rPr>
                <w:rFonts w:hint="eastAsia" w:ascii="Times New Roman" w:hAnsi="Times New Roman" w:eastAsia="宋体" w:cs="Times New Roman"/>
                <w:bCs/>
                <w:color w:val="auto"/>
                <w:sz w:val="24"/>
                <w:szCs w:val="24"/>
                <w:lang w:val="en-US" w:eastAsia="zh-CN"/>
              </w:rPr>
              <w:t>水生植物</w:t>
            </w:r>
            <w:r>
              <w:rPr>
                <w:rFonts w:hint="default" w:ascii="Times New Roman" w:hAnsi="Times New Roman" w:eastAsia="宋体" w:cs="Times New Roman"/>
                <w:bCs/>
                <w:color w:val="auto"/>
                <w:sz w:val="24"/>
                <w:szCs w:val="24"/>
              </w:rPr>
              <w:t>的影响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lang w:val="en-US" w:eastAsia="zh-CN"/>
              </w:rPr>
            </w:pPr>
            <w:r>
              <w:rPr>
                <w:rFonts w:hint="eastAsia" w:ascii="Times New Roman" w:hAnsi="Times New Roman" w:eastAsia="宋体" w:cs="Times New Roman"/>
                <w:bCs/>
                <w:color w:val="auto"/>
                <w:sz w:val="24"/>
                <w:szCs w:val="24"/>
                <w:lang w:val="en-US" w:eastAsia="zh-CN"/>
              </w:rPr>
              <w:t>本项目导流施工为局部施工而非全面铺开，且施工导流建筑的建设和拆除工期较短，导流施工在枯水期进行，因此水体浑浊度的增加仅限于局部地区的短时期内，这一不利影响将随施工导流建筑的建设和拆除结束而消失，同时项目严禁在施工期间向河道倾倒建筑垃圾、生活垃圾以及废弃土方，因此，本项目的实施对水生植物的影响较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lang w:val="en-US" w:eastAsia="zh-CN"/>
              </w:rPr>
            </w:pPr>
            <w:r>
              <w:rPr>
                <w:rFonts w:hint="eastAsia" w:ascii="Times New Roman" w:hAnsi="Times New Roman" w:eastAsia="宋体" w:cs="Times New Roman"/>
                <w:bCs/>
                <w:color w:val="auto"/>
                <w:sz w:val="24"/>
                <w:szCs w:val="24"/>
                <w:lang w:val="en-US" w:eastAsia="zh-CN"/>
              </w:rPr>
              <w:t>2</w:t>
            </w:r>
            <w:r>
              <w:rPr>
                <w:rFonts w:hint="default" w:ascii="Times New Roman" w:hAnsi="Times New Roman" w:eastAsia="宋体" w:cs="Times New Roman"/>
                <w:bCs/>
                <w:color w:val="auto"/>
                <w:sz w:val="24"/>
                <w:szCs w:val="24"/>
                <w:lang w:val="en-US" w:eastAsia="zh-CN"/>
              </w:rPr>
              <w:t>）对</w:t>
            </w:r>
            <w:r>
              <w:rPr>
                <w:rFonts w:hint="eastAsia" w:ascii="Times New Roman" w:hAnsi="Times New Roman" w:eastAsia="宋体" w:cs="Times New Roman"/>
                <w:bCs/>
                <w:color w:val="auto"/>
                <w:sz w:val="24"/>
                <w:szCs w:val="24"/>
                <w:lang w:val="en-US" w:eastAsia="zh-CN"/>
              </w:rPr>
              <w:t>水生</w:t>
            </w:r>
            <w:r>
              <w:rPr>
                <w:rFonts w:hint="default" w:ascii="Times New Roman" w:hAnsi="Times New Roman" w:eastAsia="宋体" w:cs="Times New Roman"/>
                <w:bCs/>
                <w:color w:val="auto"/>
                <w:sz w:val="24"/>
                <w:szCs w:val="24"/>
                <w:lang w:val="en-US" w:eastAsia="zh-CN"/>
              </w:rPr>
              <w:t>动物的影响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bCs/>
                <w:color w:val="auto"/>
                <w:sz w:val="24"/>
                <w:szCs w:val="24"/>
                <w:lang w:val="en-US" w:eastAsia="zh-CN"/>
              </w:rPr>
            </w:pPr>
            <w:r>
              <w:rPr>
                <w:rFonts w:hint="eastAsia" w:ascii="Times New Roman" w:hAnsi="Times New Roman" w:eastAsia="宋体" w:cs="Times New Roman"/>
                <w:bCs/>
                <w:color w:val="auto"/>
                <w:sz w:val="24"/>
                <w:szCs w:val="24"/>
                <w:lang w:val="en-US" w:eastAsia="zh-CN"/>
              </w:rPr>
              <w:t>本项目导流施工为局部施工而非全面铺开，且施工导流建筑的建设和拆除工期较短，因此水体浑浊度的增加仅限于局部地区的短时期内，这一不利影响将随施工导流建筑的建设和拆除结束而消失，待工程完工后，水生动物的资源将逐步恢复至施工前，同时项目严禁在施工期间向河道倾倒建筑垃圾、生活垃圾以及废弃土方，因此本项目的实施对水生动物的影响较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lang w:val="en-US" w:eastAsia="zh-CN"/>
              </w:rPr>
            </w:pPr>
            <w:r>
              <w:rPr>
                <w:rFonts w:hint="eastAsia" w:ascii="Times New Roman" w:hAnsi="Times New Roman" w:eastAsia="宋体" w:cs="Times New Roman"/>
                <w:bCs/>
                <w:color w:val="auto"/>
                <w:sz w:val="24"/>
                <w:szCs w:val="24"/>
                <w:lang w:val="en-US" w:eastAsia="zh-CN"/>
              </w:rPr>
              <w:t>3</w:t>
            </w:r>
            <w:r>
              <w:rPr>
                <w:rFonts w:hint="default" w:ascii="Times New Roman" w:hAnsi="Times New Roman" w:eastAsia="宋体" w:cs="Times New Roman"/>
                <w:bCs/>
                <w:color w:val="auto"/>
                <w:sz w:val="24"/>
                <w:szCs w:val="24"/>
                <w:lang w:val="en-US" w:eastAsia="zh-CN"/>
              </w:rPr>
              <w:t>）对鱼类资源的影响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lang w:eastAsia="zh-CN"/>
              </w:rPr>
            </w:pPr>
            <w:r>
              <w:rPr>
                <w:rFonts w:hint="default" w:ascii="Times New Roman" w:hAnsi="Times New Roman" w:eastAsia="宋体" w:cs="Times New Roman"/>
                <w:bCs/>
                <w:color w:val="auto"/>
                <w:sz w:val="24"/>
                <w:szCs w:val="24"/>
                <w:lang w:val="en-US" w:eastAsia="zh-CN"/>
              </w:rPr>
              <w:t>本工程施工河段不涉及长江上游珍稀、特有鱼类</w:t>
            </w:r>
            <w:r>
              <w:rPr>
                <w:rFonts w:hint="default" w:ascii="Times New Roman" w:hAnsi="Times New Roman" w:eastAsia="宋体" w:cs="Times New Roman"/>
                <w:bCs/>
                <w:color w:val="auto"/>
                <w:sz w:val="24"/>
                <w:szCs w:val="24"/>
                <w:lang w:eastAsia="zh-CN"/>
              </w:rPr>
              <w:t>国家级自然保护区、鱼类产卵场，不会对珍稀、特有鱼类造成影响。施工区疏浚作业会暂时驱散在工程水域栖息活动的鱼，施工噪声对施工区鱼类产生惊吓效果，但不会对鱼类造成明显的伤害或导致其死亡。施工导致河段内鱼类选择性回避，由于鱼类具备较强的主动游泳能力，施工产生的直接伤害较小。项目施工对鱼类的影响主要是悬浮物浓度的增加对施工区域的部分鱼类造成直接伤害，降低了该区域的鱼类密度。由于施工区所占水域面积较小，且大多数鱼类在评价范围内外</w:t>
            </w:r>
            <w:r>
              <w:rPr>
                <w:rFonts w:hint="eastAsia" w:ascii="Times New Roman" w:hAnsi="Times New Roman" w:eastAsia="宋体" w:cs="Times New Roman"/>
                <w:bCs/>
                <w:color w:val="auto"/>
                <w:sz w:val="24"/>
                <w:szCs w:val="24"/>
                <w:lang w:val="en-US" w:eastAsia="zh-CN"/>
              </w:rPr>
              <w:t>河段</w:t>
            </w:r>
            <w:r>
              <w:rPr>
                <w:rFonts w:hint="default" w:ascii="Times New Roman" w:hAnsi="Times New Roman" w:eastAsia="宋体" w:cs="Times New Roman"/>
                <w:bCs/>
                <w:color w:val="auto"/>
                <w:sz w:val="24"/>
                <w:szCs w:val="24"/>
                <w:lang w:eastAsia="zh-CN"/>
              </w:rPr>
              <w:t>有很大的生境，可以迁至附近适宜生境进行栖息、生存。项目建设将改变部分河床现状底质，从而影响浮游生物、底栖动物的种类和数量。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eastAsia="zh-CN"/>
              </w:rPr>
              <w:t>总之，施工作业会影响水质及浮游生物、底栖动物的数量，从而改变部分鱼类局部生境，进而对鱼类繁殖、觅食和栖息造成影响。但这种影响是暂时的，会随着施工结束而逐渐消失，对评价范围</w:t>
            </w:r>
            <w:r>
              <w:rPr>
                <w:rFonts w:hint="eastAsia" w:ascii="Times New Roman" w:hAnsi="Times New Roman" w:eastAsia="宋体" w:cs="Times New Roman"/>
                <w:bCs/>
                <w:color w:val="auto"/>
                <w:sz w:val="24"/>
                <w:szCs w:val="24"/>
                <w:lang w:val="en-US" w:eastAsia="zh-CN"/>
              </w:rPr>
              <w:t>河</w:t>
            </w:r>
            <w:r>
              <w:rPr>
                <w:rFonts w:hint="default" w:ascii="Times New Roman" w:hAnsi="Times New Roman" w:eastAsia="宋体" w:cs="Times New Roman"/>
                <w:bCs/>
                <w:color w:val="auto"/>
                <w:sz w:val="24"/>
                <w:szCs w:val="24"/>
                <w:lang w:eastAsia="zh-CN"/>
              </w:rPr>
              <w:t>段的鱼类影响总</w:t>
            </w:r>
            <w:r>
              <w:rPr>
                <w:rFonts w:hint="default" w:ascii="Times New Roman" w:hAnsi="Times New Roman" w:eastAsia="宋体" w:cs="Times New Roman"/>
                <w:bCs/>
                <w:color w:val="auto"/>
                <w:sz w:val="24"/>
                <w:szCs w:val="24"/>
                <w:lang w:val="en-US" w:eastAsia="zh-CN"/>
              </w:rPr>
              <w:t>体较小，且较为有限。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lang w:val="en-US" w:eastAsia="zh-CN"/>
              </w:rPr>
            </w:pPr>
            <w:r>
              <w:rPr>
                <w:rFonts w:hint="eastAsia" w:ascii="Times New Roman" w:hAnsi="Times New Roman" w:eastAsia="宋体" w:cs="Times New Roman"/>
                <w:bCs/>
                <w:color w:val="auto"/>
                <w:sz w:val="24"/>
                <w:szCs w:val="24"/>
                <w:lang w:val="en-US" w:eastAsia="zh-CN"/>
              </w:rPr>
              <w:t>4</w:t>
            </w:r>
            <w:r>
              <w:rPr>
                <w:rFonts w:hint="default" w:ascii="Times New Roman" w:hAnsi="Times New Roman" w:eastAsia="宋体" w:cs="Times New Roman"/>
                <w:bCs/>
                <w:color w:val="auto"/>
                <w:sz w:val="24"/>
                <w:szCs w:val="24"/>
                <w:lang w:val="en-US" w:eastAsia="zh-CN"/>
              </w:rPr>
              <w:t>）对鱼类重要生境的影响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bCs/>
                <w:color w:val="auto"/>
                <w:sz w:val="24"/>
                <w:szCs w:val="24"/>
                <w:lang w:val="en-US" w:eastAsia="zh-CN"/>
              </w:rPr>
            </w:pPr>
            <w:r>
              <w:rPr>
                <w:rFonts w:hint="eastAsia" w:ascii="Times New Roman" w:hAnsi="Times New Roman" w:eastAsia="宋体" w:cs="Times New Roman"/>
                <w:bCs/>
                <w:color w:val="auto"/>
                <w:sz w:val="24"/>
                <w:szCs w:val="24"/>
                <w:lang w:val="en-US" w:eastAsia="zh-CN"/>
              </w:rPr>
              <w:t>岸边土石、垃圾清理及河道挡墙、土石填筑等施工作业中，水体被搅混，影响水生生物的栖息环境，或者将鱼虾吓跑，影响正常的活动路线；对河岸的开挖和围堰，破坏河漫滩地的水生植物群落，从而影响植食性水生动物的觅食。本项目施工河道较短，水生生物可迁移到河流上下游生存，由于施工期的影响是暂时的，在施工活动结束后，水生生物生境将逐步恢复，本项目施工对水生生物生境的影响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sz w:val="24"/>
                <w:szCs w:val="24"/>
                <w:lang w:val="en-US" w:eastAsia="zh-CN"/>
              </w:rPr>
            </w:pPr>
            <w:r>
              <w:rPr>
                <w:rFonts w:hint="eastAsia" w:ascii="Times New Roman" w:hAnsi="Times New Roman" w:cs="Times New Roman"/>
                <w:bCs/>
                <w:color w:val="auto"/>
                <w:sz w:val="24"/>
                <w:szCs w:val="24"/>
                <w:lang w:val="en-US" w:eastAsia="zh-CN"/>
              </w:rPr>
              <w:t>同时，建设单位应</w:t>
            </w:r>
            <w:r>
              <w:rPr>
                <w:rFonts w:hint="default" w:ascii="Times New Roman" w:hAnsi="Times New Roman" w:cs="Times New Roman"/>
                <w:bCs/>
                <w:color w:val="auto"/>
                <w:sz w:val="24"/>
                <w:szCs w:val="24"/>
                <w:lang w:val="en-US" w:eastAsia="zh-CN"/>
              </w:rPr>
              <w:t>合理安排施工计划、时间，疏浚工程需在枯水期进行施工，减少对水体的扰动，</w:t>
            </w:r>
            <w:r>
              <w:rPr>
                <w:rFonts w:hint="eastAsia" w:ascii="Times New Roman" w:hAnsi="Times New Roman" w:cs="Times New Roman"/>
                <w:bCs/>
                <w:color w:val="auto"/>
                <w:sz w:val="24"/>
                <w:szCs w:val="24"/>
                <w:lang w:val="en-US" w:eastAsia="zh-CN"/>
              </w:rPr>
              <w:t>采取</w:t>
            </w:r>
            <w:r>
              <w:rPr>
                <w:rFonts w:hint="default" w:ascii="Times New Roman" w:hAnsi="Times New Roman" w:cs="Times New Roman"/>
                <w:bCs/>
                <w:color w:val="auto"/>
                <w:sz w:val="24"/>
                <w:szCs w:val="24"/>
                <w:lang w:val="en-US" w:eastAsia="zh-CN"/>
              </w:rPr>
              <w:t>禁渔期停止水下疏浚等施工作业</w:t>
            </w:r>
            <w:r>
              <w:rPr>
                <w:rFonts w:hint="eastAsia" w:ascii="Times New Roman" w:hAnsi="Times New Roman" w:cs="Times New Roman"/>
                <w:bCs/>
                <w:color w:val="auto"/>
                <w:sz w:val="24"/>
                <w:szCs w:val="24"/>
                <w:lang w:val="en-US" w:eastAsia="zh-CN"/>
              </w:rPr>
              <w:t>等措施减少对鱼类影响。</w:t>
            </w:r>
          </w:p>
          <w:p>
            <w:pPr>
              <w:pStyle w:val="5"/>
              <w:keepNext w:val="0"/>
              <w:keepLines w:val="0"/>
              <w:pageBreakBefore w:val="0"/>
              <w:widowControl w:val="0"/>
              <w:numPr>
                <w:ilvl w:val="2"/>
                <w:numId w:val="0"/>
              </w:numPr>
              <w:kinsoku/>
              <w:wordWrap/>
              <w:overflowPunct/>
              <w:topLinePunct w:val="0"/>
              <w:autoSpaceDE w:val="0"/>
              <w:autoSpaceDN w:val="0"/>
              <w:bidi w:val="0"/>
              <w:adjustRightInd w:val="0"/>
              <w:snapToGrid w:val="0"/>
              <w:spacing w:before="0" w:after="0" w:line="360" w:lineRule="auto"/>
              <w:ind w:leftChars="0" w:firstLine="482" w:firstLineChars="200"/>
              <w:textAlignment w:val="baseline"/>
              <w:rPr>
                <w:rFonts w:hint="default" w:ascii="Times New Roman" w:hAnsi="Times New Roman" w:eastAsia="宋体" w:cs="Times New Roman"/>
                <w:b/>
                <w:bCs w:val="0"/>
                <w:color w:val="auto"/>
                <w:spacing w:val="0"/>
                <w:sz w:val="24"/>
                <w:szCs w:val="24"/>
              </w:rPr>
            </w:pPr>
            <w:r>
              <w:rPr>
                <w:rFonts w:hint="default" w:ascii="Times New Roman" w:hAnsi="Times New Roman" w:eastAsia="宋体" w:cs="Times New Roman"/>
                <w:b/>
                <w:bCs w:val="0"/>
                <w:color w:val="auto"/>
                <w:spacing w:val="0"/>
                <w:sz w:val="24"/>
                <w:szCs w:val="24"/>
                <w:lang w:val="en-US" w:eastAsia="zh-CN"/>
              </w:rPr>
              <w:t>2、</w:t>
            </w:r>
            <w:r>
              <w:rPr>
                <w:rFonts w:hint="default" w:ascii="Times New Roman" w:hAnsi="Times New Roman" w:eastAsia="宋体" w:cs="Times New Roman"/>
                <w:b/>
                <w:bCs w:val="0"/>
                <w:color w:val="auto"/>
                <w:spacing w:val="0"/>
                <w:sz w:val="24"/>
                <w:szCs w:val="24"/>
                <w:lang w:eastAsia="zh-CN"/>
              </w:rPr>
              <w:t>水文情势</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80" w:firstLineChars="200"/>
              <w:rPr>
                <w:rFonts w:hint="default" w:ascii="Times New Roman" w:hAnsi="Times New Roman" w:eastAsia="宋体" w:cs="Times New Roman"/>
                <w:color w:val="auto"/>
                <w:spacing w:val="0"/>
                <w:sz w:val="24"/>
                <w:szCs w:val="24"/>
              </w:rPr>
            </w:pPr>
            <w:r>
              <w:rPr>
                <w:rFonts w:hint="eastAsia" w:ascii="Times New Roman" w:hAnsi="Times New Roman" w:eastAsia="宋体" w:cs="Times New Roman"/>
                <w:color w:val="auto"/>
                <w:spacing w:val="0"/>
                <w:sz w:val="24"/>
                <w:szCs w:val="24"/>
                <w:lang w:val="en-US" w:eastAsia="zh-CN"/>
              </w:rPr>
              <w:t>本工程分期围堰，施工中不需拦断河流，此导流方式的围堰工程量小，所围护基坑抽排水量小，因此，施工导流期间仅导致局部河段变窄，河水能通过另一半正常流动，不会影响下游河段的流量过程，对下游水文情势基本无影响。</w:t>
            </w:r>
          </w:p>
          <w:p>
            <w:pPr>
              <w:pStyle w:val="5"/>
              <w:keepNext w:val="0"/>
              <w:keepLines w:val="0"/>
              <w:pageBreakBefore w:val="0"/>
              <w:widowControl w:val="0"/>
              <w:numPr>
                <w:ilvl w:val="2"/>
                <w:numId w:val="0"/>
              </w:numPr>
              <w:kinsoku/>
              <w:wordWrap/>
              <w:overflowPunct/>
              <w:topLinePunct w:val="0"/>
              <w:autoSpaceDE w:val="0"/>
              <w:autoSpaceDN w:val="0"/>
              <w:bidi w:val="0"/>
              <w:adjustRightInd w:val="0"/>
              <w:snapToGrid w:val="0"/>
              <w:spacing w:before="0" w:after="0" w:line="360" w:lineRule="auto"/>
              <w:ind w:leftChars="0" w:firstLine="482" w:firstLineChars="200"/>
              <w:textAlignment w:val="baseline"/>
              <w:rPr>
                <w:rFonts w:hint="default" w:ascii="Times New Roman" w:hAnsi="Times New Roman" w:eastAsia="宋体" w:cs="Times New Roman"/>
                <w:b/>
                <w:bCs w:val="0"/>
                <w:color w:val="auto"/>
                <w:spacing w:val="0"/>
                <w:sz w:val="24"/>
                <w:szCs w:val="24"/>
                <w:lang w:val="en-US" w:eastAsia="zh-CN"/>
              </w:rPr>
            </w:pPr>
            <w:r>
              <w:rPr>
                <w:rFonts w:hint="default" w:ascii="Times New Roman" w:hAnsi="Times New Roman" w:eastAsia="宋体" w:cs="Times New Roman"/>
                <w:b/>
                <w:bCs w:val="0"/>
                <w:color w:val="auto"/>
                <w:spacing w:val="0"/>
                <w:sz w:val="24"/>
                <w:szCs w:val="24"/>
                <w:lang w:val="en-US" w:eastAsia="zh-CN"/>
              </w:rPr>
              <w:t>3、</w:t>
            </w:r>
            <w:r>
              <w:rPr>
                <w:rFonts w:hint="eastAsia" w:ascii="Times New Roman" w:hAnsi="Times New Roman" w:eastAsia="宋体" w:cs="Times New Roman"/>
                <w:b/>
                <w:bCs w:val="0"/>
                <w:color w:val="auto"/>
                <w:spacing w:val="0"/>
                <w:sz w:val="24"/>
                <w:szCs w:val="24"/>
                <w:lang w:val="en-US" w:eastAsia="zh-CN"/>
              </w:rPr>
              <w:t>施工期水污染影响分析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本工程所需砂卵石全部成品外购，故不产生砂石料冲洗废水，砼采用购买商品砼，故本项目施工期废水包括施工机械、车辆冲洗废水，基坑及淤泥渗滤废水，施工人员生活废水，主要污染物为SS、石油类、BOD</w:t>
            </w:r>
            <w:r>
              <w:rPr>
                <w:rFonts w:hint="default" w:ascii="Times New Roman" w:hAnsi="Times New Roman" w:eastAsia="宋体" w:cs="Times New Roman"/>
                <w:color w:val="auto"/>
                <w:spacing w:val="0"/>
                <w:sz w:val="24"/>
                <w:szCs w:val="24"/>
                <w:vertAlign w:val="subscript"/>
                <w:lang w:val="en-US" w:eastAsia="zh-CN"/>
              </w:rPr>
              <w:t>5</w:t>
            </w:r>
            <w:r>
              <w:rPr>
                <w:rFonts w:hint="default" w:ascii="Times New Roman" w:hAnsi="Times New Roman" w:eastAsia="宋体" w:cs="Times New Roman"/>
                <w:color w:val="auto"/>
                <w:spacing w:val="0"/>
                <w:sz w:val="24"/>
                <w:szCs w:val="24"/>
                <w:lang w:val="en-US" w:eastAsia="zh-CN"/>
              </w:rPr>
              <w:t>、COD、氨氮。</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rPr>
                <w:rFonts w:hint="default" w:ascii="Times New Roman" w:hAnsi="Times New Roman" w:cs="Times New Roman"/>
                <w:b/>
                <w:bCs/>
                <w:color w:val="auto"/>
                <w:spacing w:val="0"/>
                <w:sz w:val="24"/>
                <w:szCs w:val="24"/>
                <w:lang w:val="en-US" w:eastAsia="zh-CN"/>
              </w:rPr>
            </w:pPr>
            <w:r>
              <w:rPr>
                <w:rFonts w:hint="default" w:ascii="Times New Roman" w:hAnsi="Times New Roman" w:cs="Times New Roman"/>
                <w:b/>
                <w:bCs/>
                <w:color w:val="auto"/>
                <w:spacing w:val="0"/>
                <w:sz w:val="24"/>
                <w:szCs w:val="24"/>
                <w:lang w:val="en-US" w:eastAsia="zh-CN"/>
              </w:rPr>
              <w:t>（1）</w:t>
            </w:r>
            <w:r>
              <w:rPr>
                <w:rFonts w:hint="eastAsia" w:ascii="Times New Roman" w:hAnsi="Times New Roman" w:cs="Times New Roman"/>
                <w:b/>
                <w:bCs/>
                <w:color w:val="auto"/>
                <w:spacing w:val="0"/>
                <w:sz w:val="24"/>
                <w:szCs w:val="24"/>
                <w:lang w:val="en-US" w:eastAsia="zh-CN"/>
              </w:rPr>
              <w:t>施工废水</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80" w:firstLineChars="200"/>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施工过程中产生的生产废水主要包括施工设备冲洗废水、基坑排水</w:t>
            </w:r>
            <w:r>
              <w:rPr>
                <w:rFonts w:hint="eastAsia" w:ascii="Times New Roman" w:hAnsi="Times New Roman" w:eastAsia="宋体" w:cs="Times New Roman"/>
                <w:color w:val="auto"/>
                <w:spacing w:val="0"/>
                <w:sz w:val="24"/>
                <w:szCs w:val="24"/>
                <w:lang w:val="en-US" w:eastAsia="zh-CN"/>
              </w:rPr>
              <w:t>、疏浚料渗滤液</w:t>
            </w:r>
            <w:r>
              <w:rPr>
                <w:rFonts w:hint="default" w:ascii="Times New Roman" w:hAnsi="Times New Roman" w:eastAsia="宋体" w:cs="Times New Roman"/>
                <w:color w:val="auto"/>
                <w:spacing w:val="0"/>
                <w:sz w:val="24"/>
                <w:szCs w:val="24"/>
                <w:lang w:val="en-US" w:eastAsia="zh-CN"/>
              </w:rPr>
              <w:t>，该类废水主要含泥沙，pH值呈弱碱性，施工设备冲洗废水带有少量油污，基坑排水包括初期排水和经常性排水。初期排水主要是基坑积水(覆盖层含水)、降雨、围堰渗水和其他途径来水。经常性排水主要包括：围堰渗水、降雨等。</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80" w:firstLineChars="200"/>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针对本项目施工废水特点，评价要求施工机械和车辆在项目施工场地进出口处设置清洗设施及冲洗池，清洗和修理的施工机械、车辆所产生的含油废水不得随意排放，要求施工方配套建设排水沟和简易隔油沉淀池，施工机械及车辆冲洗废水经隔油沉淀处理后循环使用，可用于场地洒水降尘，不得随意排放。在各基坑内设置排水沟和集水坑，基坑排水经集水坑沉淀后，外排</w:t>
            </w:r>
            <w:r>
              <w:rPr>
                <w:rFonts w:hint="eastAsia" w:ascii="Times New Roman" w:hAnsi="Times New Roman" w:eastAsia="宋体" w:cs="Times New Roman"/>
                <w:color w:val="auto"/>
                <w:spacing w:val="0"/>
                <w:sz w:val="24"/>
                <w:szCs w:val="24"/>
                <w:lang w:val="en-US" w:eastAsia="zh-CN"/>
              </w:rPr>
              <w:t>峨眉河</w:t>
            </w:r>
            <w:r>
              <w:rPr>
                <w:rFonts w:hint="default" w:ascii="Times New Roman" w:hAnsi="Times New Roman" w:eastAsia="宋体" w:cs="Times New Roman"/>
                <w:color w:val="auto"/>
                <w:spacing w:val="0"/>
                <w:sz w:val="24"/>
                <w:szCs w:val="24"/>
                <w:lang w:val="en-US" w:eastAsia="zh-CN"/>
              </w:rPr>
              <w:t>，水量较小，这些废水不含有毒、有害物质，仅悬浮物含量有所增加，但废水量与</w:t>
            </w:r>
            <w:r>
              <w:rPr>
                <w:rFonts w:hint="eastAsia" w:ascii="Times New Roman" w:hAnsi="Times New Roman" w:eastAsia="宋体" w:cs="Times New Roman"/>
                <w:color w:val="auto"/>
                <w:spacing w:val="0"/>
                <w:sz w:val="24"/>
                <w:szCs w:val="24"/>
                <w:lang w:val="en-US" w:eastAsia="zh-CN"/>
              </w:rPr>
              <w:t>峨眉河</w:t>
            </w:r>
            <w:r>
              <w:rPr>
                <w:rFonts w:hint="default" w:ascii="Times New Roman" w:hAnsi="Times New Roman" w:eastAsia="宋体" w:cs="Times New Roman"/>
                <w:color w:val="auto"/>
                <w:spacing w:val="0"/>
                <w:sz w:val="24"/>
                <w:szCs w:val="24"/>
                <w:lang w:val="en-US" w:eastAsia="zh-CN"/>
              </w:rPr>
              <w:t>水量相比，污径比相当悬殊，因而pH、SS对</w:t>
            </w:r>
            <w:r>
              <w:rPr>
                <w:rFonts w:hint="eastAsia" w:ascii="Times New Roman" w:hAnsi="Times New Roman" w:eastAsia="宋体" w:cs="Times New Roman"/>
                <w:color w:val="auto"/>
                <w:spacing w:val="0"/>
                <w:sz w:val="24"/>
                <w:szCs w:val="24"/>
                <w:lang w:val="en-US" w:eastAsia="zh-CN"/>
              </w:rPr>
              <w:t>峨眉河</w:t>
            </w:r>
            <w:r>
              <w:rPr>
                <w:rFonts w:hint="default" w:ascii="Times New Roman" w:hAnsi="Times New Roman" w:eastAsia="宋体" w:cs="Times New Roman"/>
                <w:color w:val="auto"/>
                <w:spacing w:val="0"/>
                <w:sz w:val="24"/>
                <w:szCs w:val="24"/>
                <w:lang w:val="en-US" w:eastAsia="zh-CN"/>
              </w:rPr>
              <w:t>水质影响小。施工期废水全部得到有效处置，对表水体产生影响小。</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rPr>
                <w:rFonts w:hint="default" w:ascii="Times New Roman" w:hAnsi="Times New Roman" w:cs="Times New Roman"/>
                <w:b/>
                <w:bCs/>
                <w:color w:val="auto"/>
                <w:spacing w:val="0"/>
                <w:sz w:val="24"/>
                <w:szCs w:val="24"/>
                <w:lang w:val="en-US" w:eastAsia="zh-CN"/>
              </w:rPr>
            </w:pPr>
            <w:r>
              <w:rPr>
                <w:rFonts w:hint="default" w:ascii="Times New Roman" w:hAnsi="Times New Roman" w:cs="Times New Roman"/>
                <w:b/>
                <w:bCs/>
                <w:color w:val="auto"/>
                <w:spacing w:val="0"/>
                <w:sz w:val="24"/>
                <w:szCs w:val="24"/>
                <w:lang w:eastAsia="zh-CN"/>
              </w:rPr>
              <w:t>（</w:t>
            </w:r>
            <w:r>
              <w:rPr>
                <w:rFonts w:hint="default" w:ascii="Times New Roman" w:hAnsi="Times New Roman" w:cs="Times New Roman"/>
                <w:b/>
                <w:bCs/>
                <w:color w:val="auto"/>
                <w:spacing w:val="0"/>
                <w:sz w:val="24"/>
                <w:szCs w:val="24"/>
                <w:lang w:val="en-US" w:eastAsia="zh-CN"/>
              </w:rPr>
              <w:t>2</w:t>
            </w:r>
            <w:r>
              <w:rPr>
                <w:rFonts w:hint="default" w:ascii="Times New Roman" w:hAnsi="Times New Roman" w:cs="Times New Roman"/>
                <w:b/>
                <w:bCs/>
                <w:color w:val="auto"/>
                <w:spacing w:val="0"/>
                <w:sz w:val="24"/>
                <w:szCs w:val="24"/>
                <w:lang w:eastAsia="zh-CN"/>
              </w:rPr>
              <w:t>）</w:t>
            </w:r>
            <w:r>
              <w:rPr>
                <w:rFonts w:hint="default" w:ascii="Times New Roman" w:hAnsi="Times New Roman" w:cs="Times New Roman"/>
                <w:b/>
                <w:bCs/>
                <w:color w:val="auto"/>
                <w:spacing w:val="0"/>
                <w:sz w:val="24"/>
                <w:szCs w:val="24"/>
              </w:rPr>
              <w:t>施工人员的生活污水</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rPr>
                <w:rFonts w:hint="default" w:ascii="Times New Roman" w:hAnsi="Times New Roman" w:cs="Times New Roman"/>
                <w:b w:val="0"/>
                <w:bCs w:val="0"/>
                <w:color w:val="auto"/>
                <w:spacing w:val="0"/>
                <w:sz w:val="24"/>
                <w:szCs w:val="24"/>
                <w:lang w:val="en-US" w:eastAsia="zh-CN"/>
              </w:rPr>
            </w:pPr>
            <w:r>
              <w:rPr>
                <w:rFonts w:hint="default" w:ascii="Times New Roman" w:hAnsi="Times New Roman" w:cs="Times New Roman"/>
                <w:color w:val="auto"/>
                <w:spacing w:val="0"/>
                <w:sz w:val="24"/>
                <w:szCs w:val="24"/>
              </w:rPr>
              <w:t>施工过程中施工人员相对集中、稳定，将产生一定量的生活污水。</w:t>
            </w:r>
            <w:r>
              <w:rPr>
                <w:rFonts w:hint="default" w:ascii="Times New Roman" w:hAnsi="Times New Roman" w:cs="Times New Roman"/>
                <w:color w:val="auto"/>
                <w:spacing w:val="0"/>
                <w:sz w:val="24"/>
                <w:szCs w:val="24"/>
                <w:lang w:eastAsia="zh-CN"/>
              </w:rPr>
              <w:t>主</w:t>
            </w:r>
            <w:r>
              <w:rPr>
                <w:rFonts w:hint="default" w:ascii="Times New Roman" w:hAnsi="Times New Roman" w:cs="Times New Roman"/>
                <w:bCs/>
                <w:color w:val="auto"/>
                <w:sz w:val="24"/>
              </w:rPr>
              <w:t>要污染物为BOD、COD、SS</w:t>
            </w:r>
            <w:r>
              <w:rPr>
                <w:rFonts w:hint="default" w:ascii="Times New Roman" w:hAnsi="Times New Roman" w:cs="Times New Roman"/>
                <w:bCs/>
                <w:color w:val="auto"/>
                <w:sz w:val="24"/>
                <w:lang w:eastAsia="zh-CN"/>
              </w:rPr>
              <w:t>，</w:t>
            </w:r>
            <w:r>
              <w:rPr>
                <w:rFonts w:hint="default" w:ascii="Times New Roman" w:hAnsi="Times New Roman" w:cs="Times New Roman"/>
                <w:color w:val="auto"/>
                <w:spacing w:val="0"/>
                <w:sz w:val="24"/>
                <w:szCs w:val="24"/>
              </w:rPr>
              <w:t>项目施工高峰期民工约</w:t>
            </w:r>
            <w:r>
              <w:rPr>
                <w:rFonts w:hint="eastAsia" w:ascii="Times New Roman" w:hAnsi="Times New Roman" w:cs="Times New Roman"/>
                <w:color w:val="auto"/>
                <w:spacing w:val="0"/>
                <w:sz w:val="24"/>
                <w:szCs w:val="24"/>
                <w:lang w:val="en-US" w:eastAsia="zh-CN"/>
              </w:rPr>
              <w:t>8</w:t>
            </w:r>
            <w:r>
              <w:rPr>
                <w:rFonts w:hint="default" w:ascii="Times New Roman" w:hAnsi="Times New Roman" w:cs="Times New Roman"/>
                <w:color w:val="auto"/>
                <w:spacing w:val="0"/>
                <w:sz w:val="24"/>
                <w:szCs w:val="24"/>
                <w:lang w:val="en-US" w:eastAsia="zh-CN"/>
              </w:rPr>
              <w:t>0</w:t>
            </w:r>
            <w:r>
              <w:rPr>
                <w:rFonts w:hint="default" w:ascii="Times New Roman" w:hAnsi="Times New Roman" w:cs="Times New Roman"/>
                <w:color w:val="auto"/>
                <w:spacing w:val="0"/>
                <w:sz w:val="24"/>
                <w:szCs w:val="24"/>
              </w:rPr>
              <w:t>人左右，工地不设住宿和食堂，参照四川省人民政府关于印发《四川省用水定额》的通知（川府函〔2021〕8号）并结合项目实际情况，施工期人员用水定额按照50L/人·天计算，用水量为</w:t>
            </w:r>
            <w:r>
              <w:rPr>
                <w:rFonts w:hint="eastAsia" w:ascii="Times New Roman" w:hAnsi="Times New Roman" w:cs="Times New Roman"/>
                <w:color w:val="auto"/>
                <w:spacing w:val="0"/>
                <w:sz w:val="24"/>
                <w:szCs w:val="24"/>
                <w:lang w:val="en-US" w:eastAsia="zh-CN"/>
              </w:rPr>
              <w:t>4</w:t>
            </w:r>
            <w:r>
              <w:rPr>
                <w:rFonts w:hint="default" w:ascii="Times New Roman" w:hAnsi="Times New Roman" w:cs="Times New Roman"/>
                <w:color w:val="auto"/>
                <w:spacing w:val="0"/>
                <w:sz w:val="24"/>
                <w:szCs w:val="24"/>
              </w:rPr>
              <w:t>m³/d，其排放量按产生量的80%计，则民工生活污水排放量为</w:t>
            </w:r>
            <w:r>
              <w:rPr>
                <w:rFonts w:hint="eastAsia" w:ascii="Times New Roman" w:hAnsi="Times New Roman" w:cs="Times New Roman"/>
                <w:color w:val="auto"/>
                <w:spacing w:val="0"/>
                <w:sz w:val="24"/>
                <w:szCs w:val="24"/>
                <w:lang w:val="en-US" w:eastAsia="zh-CN"/>
              </w:rPr>
              <w:t>3.2</w:t>
            </w:r>
            <w:r>
              <w:rPr>
                <w:rFonts w:hint="default" w:ascii="Times New Roman" w:hAnsi="Times New Roman" w:cs="Times New Roman"/>
                <w:color w:val="auto"/>
                <w:spacing w:val="0"/>
                <w:sz w:val="24"/>
                <w:szCs w:val="24"/>
              </w:rPr>
              <w:t>m</w:t>
            </w:r>
            <w:r>
              <w:rPr>
                <w:rFonts w:hint="default" w:ascii="Times New Roman" w:hAnsi="Times New Roman" w:cs="Times New Roman"/>
                <w:color w:val="auto"/>
                <w:spacing w:val="0"/>
                <w:sz w:val="24"/>
                <w:szCs w:val="24"/>
                <w:vertAlign w:val="superscript"/>
              </w:rPr>
              <w:t>3</w:t>
            </w:r>
            <w:r>
              <w:rPr>
                <w:rFonts w:hint="default" w:ascii="Times New Roman" w:hAnsi="Times New Roman" w:cs="Times New Roman"/>
                <w:color w:val="auto"/>
                <w:spacing w:val="0"/>
                <w:sz w:val="24"/>
                <w:szCs w:val="24"/>
              </w:rPr>
              <w:t>/d。</w:t>
            </w:r>
            <w:r>
              <w:rPr>
                <w:rFonts w:hint="default" w:ascii="Times New Roman" w:hAnsi="Times New Roman" w:cs="Times New Roman"/>
                <w:b w:val="0"/>
                <w:bCs w:val="0"/>
                <w:color w:val="auto"/>
                <w:spacing w:val="0"/>
                <w:sz w:val="24"/>
                <w:szCs w:val="24"/>
                <w:lang w:val="en-US" w:eastAsia="zh-CN"/>
              </w:rPr>
              <w:t>项目施工期施工人员生活污水依托当地居民化粪池收集处理，对周围环境影响较小。</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rPr>
                <w:rFonts w:hint="default" w:ascii="Times New Roman" w:hAnsi="Times New Roman" w:cs="Times New Roman"/>
                <w:b/>
                <w:bCs/>
                <w:color w:val="auto"/>
                <w:spacing w:val="0"/>
                <w:sz w:val="24"/>
                <w:szCs w:val="24"/>
                <w:lang w:val="en-US" w:eastAsia="zh-CN"/>
              </w:rPr>
            </w:pPr>
            <w:r>
              <w:rPr>
                <w:rFonts w:hint="default" w:ascii="Times New Roman" w:hAnsi="Times New Roman" w:cs="Times New Roman"/>
                <w:b/>
                <w:bCs/>
                <w:color w:val="auto"/>
                <w:spacing w:val="0"/>
                <w:sz w:val="24"/>
                <w:szCs w:val="24"/>
                <w:lang w:val="en-US" w:eastAsia="zh-CN"/>
              </w:rPr>
              <w:t>（3）</w:t>
            </w:r>
            <w:r>
              <w:rPr>
                <w:rFonts w:hint="eastAsia" w:ascii="Times New Roman" w:hAnsi="Times New Roman" w:cs="Times New Roman"/>
                <w:b/>
                <w:bCs/>
                <w:color w:val="auto"/>
                <w:spacing w:val="0"/>
                <w:sz w:val="24"/>
                <w:szCs w:val="24"/>
                <w:lang w:val="en-US" w:eastAsia="zh-CN"/>
              </w:rPr>
              <w:t>基坑及疏浚料渗滤液</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本项目基坑排水，分为初期排水和经常性排水。围堰</w:t>
            </w:r>
            <w:r>
              <w:rPr>
                <w:rFonts w:hint="eastAsia" w:ascii="Times New Roman" w:hAnsi="Times New Roman" w:eastAsia="宋体" w:cs="Times New Roman"/>
                <w:color w:val="auto"/>
                <w:spacing w:val="0"/>
                <w:sz w:val="24"/>
                <w:szCs w:val="24"/>
                <w:lang w:val="en-US" w:eastAsia="zh-CN"/>
              </w:rPr>
              <w:t>采用自上而下填筑闭气的方式进行</w:t>
            </w:r>
            <w:r>
              <w:rPr>
                <w:rFonts w:hint="default" w:ascii="Times New Roman" w:hAnsi="Times New Roman" w:eastAsia="宋体" w:cs="Times New Roman"/>
                <w:color w:val="auto"/>
                <w:spacing w:val="0"/>
                <w:sz w:val="24"/>
                <w:szCs w:val="24"/>
                <w:lang w:val="en-US" w:eastAsia="zh-CN"/>
              </w:rPr>
              <w:t>，</w:t>
            </w:r>
            <w:r>
              <w:rPr>
                <w:rFonts w:hint="eastAsia" w:ascii="Times New Roman" w:hAnsi="Times New Roman" w:eastAsia="宋体" w:cs="Times New Roman"/>
                <w:color w:val="auto"/>
                <w:spacing w:val="0"/>
                <w:sz w:val="24"/>
                <w:szCs w:val="24"/>
                <w:lang w:val="en-US" w:eastAsia="zh-CN"/>
              </w:rPr>
              <w:t>河道坡降较大，</w:t>
            </w:r>
            <w:r>
              <w:rPr>
                <w:rFonts w:hint="default" w:ascii="Times New Roman" w:hAnsi="Times New Roman" w:eastAsia="宋体" w:cs="Times New Roman"/>
                <w:color w:val="auto"/>
                <w:spacing w:val="0"/>
                <w:sz w:val="24"/>
                <w:szCs w:val="24"/>
                <w:lang w:val="en-US" w:eastAsia="zh-CN"/>
              </w:rPr>
              <w:t>因此初期排水较小，采用水泵强制排向围堰外即可。经常性排水，根据设计排水量为100m</w:t>
            </w:r>
            <w:r>
              <w:rPr>
                <w:rFonts w:hint="default" w:ascii="Times New Roman" w:hAnsi="Times New Roman" w:eastAsia="宋体" w:cs="Times New Roman"/>
                <w:color w:val="auto"/>
                <w:spacing w:val="0"/>
                <w:sz w:val="24"/>
                <w:szCs w:val="24"/>
                <w:vertAlign w:val="superscript"/>
                <w:lang w:val="en-US" w:eastAsia="zh-CN"/>
              </w:rPr>
              <w:t>3</w:t>
            </w:r>
            <w:r>
              <w:rPr>
                <w:rFonts w:hint="default" w:ascii="Times New Roman" w:hAnsi="Times New Roman" w:eastAsia="宋体" w:cs="Times New Roman"/>
                <w:color w:val="auto"/>
                <w:spacing w:val="0"/>
                <w:sz w:val="24"/>
                <w:szCs w:val="24"/>
                <w:lang w:val="en-US" w:eastAsia="zh-CN"/>
              </w:rPr>
              <w:t>/h。</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排水布置：</w:t>
            </w:r>
            <w:r>
              <w:rPr>
                <w:rFonts w:hint="default" w:ascii="Times New Roman" w:hAnsi="Times New Roman" w:eastAsia="宋体" w:cs="Times New Roman"/>
                <w:color w:val="auto"/>
                <w:spacing w:val="0"/>
                <w:sz w:val="24"/>
                <w:szCs w:val="24"/>
                <w:lang w:val="en-US" w:eastAsia="zh-CN"/>
              </w:rPr>
              <w:t>排水沿基坑设截流槽和集水坑，一期基坑设</w:t>
            </w:r>
            <w:r>
              <w:rPr>
                <w:rFonts w:hint="eastAsia" w:ascii="Times New Roman" w:hAnsi="Times New Roman" w:eastAsia="宋体" w:cs="Times New Roman"/>
                <w:color w:val="auto"/>
                <w:spacing w:val="0"/>
                <w:sz w:val="24"/>
                <w:szCs w:val="24"/>
                <w:lang w:val="en-US" w:eastAsia="zh-CN"/>
              </w:rPr>
              <w:t>3</w:t>
            </w:r>
            <w:r>
              <w:rPr>
                <w:rFonts w:hint="default" w:ascii="Times New Roman" w:hAnsi="Times New Roman" w:eastAsia="宋体" w:cs="Times New Roman"/>
                <w:color w:val="auto"/>
                <w:spacing w:val="0"/>
                <w:sz w:val="24"/>
                <w:szCs w:val="24"/>
                <w:lang w:val="en-US" w:eastAsia="zh-CN"/>
              </w:rPr>
              <w:t>个集水坑，二期基坑设</w:t>
            </w:r>
            <w:r>
              <w:rPr>
                <w:rFonts w:hint="eastAsia" w:ascii="Times New Roman" w:hAnsi="Times New Roman" w:eastAsia="宋体" w:cs="Times New Roman"/>
                <w:color w:val="auto"/>
                <w:spacing w:val="0"/>
                <w:sz w:val="24"/>
                <w:szCs w:val="24"/>
                <w:lang w:val="en-US" w:eastAsia="zh-CN"/>
              </w:rPr>
              <w:t>5</w:t>
            </w:r>
            <w:r>
              <w:rPr>
                <w:rFonts w:hint="default" w:ascii="Times New Roman" w:hAnsi="Times New Roman" w:eastAsia="宋体" w:cs="Times New Roman"/>
                <w:color w:val="auto"/>
                <w:spacing w:val="0"/>
                <w:sz w:val="24"/>
                <w:szCs w:val="24"/>
                <w:lang w:val="en-US" w:eastAsia="zh-CN"/>
              </w:rPr>
              <w:t>个集水坑，每个集水坑设1台100BJ15A型水泵，拟配备</w:t>
            </w:r>
            <w:r>
              <w:rPr>
                <w:rFonts w:hint="eastAsia" w:ascii="Times New Roman" w:hAnsi="Times New Roman" w:eastAsia="宋体" w:cs="Times New Roman"/>
                <w:color w:val="auto"/>
                <w:spacing w:val="0"/>
                <w:sz w:val="24"/>
                <w:szCs w:val="24"/>
                <w:lang w:val="en-US" w:eastAsia="zh-CN"/>
              </w:rPr>
              <w:t>5</w:t>
            </w:r>
            <w:r>
              <w:rPr>
                <w:rFonts w:hint="default" w:ascii="Times New Roman" w:hAnsi="Times New Roman" w:eastAsia="宋体" w:cs="Times New Roman"/>
                <w:color w:val="auto"/>
                <w:spacing w:val="0"/>
                <w:sz w:val="24"/>
                <w:szCs w:val="24"/>
                <w:lang w:val="en-US" w:eastAsia="zh-CN"/>
              </w:rPr>
              <w:t>台100BJ13A型水泵（分段调节使用）。</w:t>
            </w:r>
            <w:r>
              <w:rPr>
                <w:rFonts w:hint="eastAsia" w:ascii="Times New Roman" w:hAnsi="Times New Roman" w:eastAsia="宋体" w:cs="Times New Roman"/>
                <w:color w:val="auto"/>
                <w:spacing w:val="0"/>
                <w:sz w:val="24"/>
                <w:szCs w:val="24"/>
                <w:lang w:val="en-US" w:eastAsia="zh-CN"/>
              </w:rPr>
              <w:t>其中坝体部分</w:t>
            </w:r>
            <w:r>
              <w:rPr>
                <w:rFonts w:hint="default" w:ascii="Times New Roman" w:hAnsi="Times New Roman" w:eastAsia="宋体" w:cs="Times New Roman"/>
                <w:color w:val="auto"/>
                <w:spacing w:val="0"/>
                <w:sz w:val="24"/>
                <w:szCs w:val="24"/>
                <w:lang w:val="en-US" w:eastAsia="zh-CN"/>
              </w:rPr>
              <w:t>排水时段按45天设置，二期上游护岸排水时段按</w:t>
            </w:r>
            <w:r>
              <w:rPr>
                <w:rFonts w:hint="eastAsia" w:ascii="Times New Roman" w:hAnsi="Times New Roman" w:eastAsia="宋体" w:cs="Times New Roman"/>
                <w:color w:val="auto"/>
                <w:spacing w:val="0"/>
                <w:sz w:val="24"/>
                <w:szCs w:val="24"/>
                <w:lang w:val="en-US" w:eastAsia="zh-CN"/>
              </w:rPr>
              <w:t>15天设置，</w:t>
            </w:r>
            <w:r>
              <w:rPr>
                <w:rFonts w:hint="default" w:ascii="Times New Roman" w:hAnsi="Times New Roman" w:eastAsia="宋体" w:cs="Times New Roman"/>
                <w:color w:val="auto"/>
                <w:spacing w:val="0"/>
                <w:sz w:val="24"/>
                <w:szCs w:val="24"/>
                <w:lang w:val="en-US" w:eastAsia="zh-CN"/>
              </w:rPr>
              <w:t>计排水台时</w:t>
            </w:r>
            <w:r>
              <w:rPr>
                <w:rFonts w:hint="eastAsia" w:ascii="Times New Roman" w:hAnsi="Times New Roman" w:eastAsia="宋体" w:cs="Times New Roman"/>
                <w:color w:val="auto"/>
                <w:spacing w:val="0"/>
                <w:sz w:val="24"/>
                <w:szCs w:val="24"/>
                <w:lang w:val="en-US" w:eastAsia="zh-CN"/>
              </w:rPr>
              <w:t>7200</w:t>
            </w:r>
            <w:r>
              <w:rPr>
                <w:rFonts w:hint="default" w:ascii="Times New Roman" w:hAnsi="Times New Roman" w:eastAsia="宋体" w:cs="Times New Roman"/>
                <w:color w:val="auto"/>
                <w:spacing w:val="0"/>
                <w:sz w:val="24"/>
                <w:szCs w:val="24"/>
                <w:lang w:val="en-US" w:eastAsia="zh-CN"/>
              </w:rPr>
              <w:t>台时。</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000000"/>
                <w:spacing w:val="0"/>
                <w:sz w:val="24"/>
                <w:szCs w:val="24"/>
                <w:lang w:val="en-US" w:eastAsia="zh-CN"/>
              </w:rPr>
            </w:pPr>
            <w:r>
              <w:rPr>
                <w:rFonts w:hint="default" w:ascii="Times New Roman" w:hAnsi="Times New Roman" w:eastAsia="宋体" w:cs="Times New Roman"/>
                <w:color w:val="000000"/>
                <w:spacing w:val="0"/>
                <w:sz w:val="24"/>
                <w:szCs w:val="24"/>
                <w:lang w:val="en-US" w:eastAsia="zh-CN"/>
              </w:rPr>
              <w:t>水泵特性：100BJ15A型水泵（Q=144m</w:t>
            </w:r>
            <w:r>
              <w:rPr>
                <w:rFonts w:hint="default" w:ascii="Times New Roman" w:hAnsi="Times New Roman" w:eastAsia="宋体" w:cs="Times New Roman"/>
                <w:color w:val="000000"/>
                <w:spacing w:val="0"/>
                <w:sz w:val="24"/>
                <w:szCs w:val="24"/>
                <w:vertAlign w:val="superscript"/>
                <w:lang w:val="en-US" w:eastAsia="zh-CN"/>
              </w:rPr>
              <w:t>3</w:t>
            </w:r>
            <w:r>
              <w:rPr>
                <w:rFonts w:hint="default" w:ascii="Times New Roman" w:hAnsi="Times New Roman" w:eastAsia="宋体" w:cs="Times New Roman"/>
                <w:color w:val="000000"/>
                <w:spacing w:val="0"/>
                <w:sz w:val="24"/>
                <w:szCs w:val="24"/>
                <w:lang w:val="en-US" w:eastAsia="zh-CN"/>
              </w:rPr>
              <w:t>/h，N=7.5kw，H=9.5m）。</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b/>
                <w:bCs/>
                <w:color w:val="000000"/>
                <w:spacing w:val="0"/>
                <w:sz w:val="24"/>
                <w:szCs w:val="24"/>
                <w:lang w:val="en-US" w:eastAsia="zh-CN"/>
              </w:rPr>
            </w:pPr>
            <w:r>
              <w:rPr>
                <w:rFonts w:hint="default" w:ascii="Times New Roman" w:hAnsi="Times New Roman" w:eastAsia="宋体" w:cs="Times New Roman"/>
                <w:color w:val="000000"/>
                <w:spacing w:val="0"/>
                <w:sz w:val="24"/>
                <w:szCs w:val="24"/>
                <w:lang w:val="en-US" w:eastAsia="zh-CN"/>
              </w:rPr>
              <w:t>疏浚料挖掘起来后暂存于</w:t>
            </w:r>
            <w:r>
              <w:rPr>
                <w:rFonts w:hint="eastAsia" w:ascii="Times New Roman" w:hAnsi="Times New Roman" w:eastAsia="宋体" w:cs="Times New Roman"/>
                <w:color w:val="000000"/>
                <w:spacing w:val="0"/>
                <w:sz w:val="24"/>
                <w:szCs w:val="24"/>
                <w:lang w:val="en-US" w:eastAsia="zh-CN"/>
              </w:rPr>
              <w:t>施工工区内的临时堆料场内</w:t>
            </w:r>
            <w:r>
              <w:rPr>
                <w:rFonts w:hint="default" w:ascii="Times New Roman" w:hAnsi="Times New Roman" w:eastAsia="宋体" w:cs="Times New Roman"/>
                <w:color w:val="000000"/>
                <w:spacing w:val="0"/>
                <w:sz w:val="24"/>
                <w:szCs w:val="24"/>
                <w:lang w:val="en-US" w:eastAsia="zh-CN"/>
              </w:rPr>
              <w:t>，疏浚料含水率约10%，本项目疏浚料总量约</w:t>
            </w:r>
            <w:r>
              <w:rPr>
                <w:rFonts w:hint="eastAsia" w:ascii="Times New Roman" w:hAnsi="Times New Roman" w:eastAsia="宋体" w:cs="Times New Roman"/>
                <w:color w:val="000000"/>
                <w:spacing w:val="0"/>
                <w:sz w:val="24"/>
                <w:szCs w:val="24"/>
                <w:lang w:val="en-US" w:eastAsia="zh-CN"/>
              </w:rPr>
              <w:t>2.97</w:t>
            </w:r>
            <w:r>
              <w:rPr>
                <w:rFonts w:hint="default" w:ascii="Times New Roman" w:hAnsi="Times New Roman" w:eastAsia="宋体" w:cs="Times New Roman"/>
                <w:color w:val="000000"/>
                <w:spacing w:val="0"/>
                <w:sz w:val="24"/>
                <w:szCs w:val="24"/>
                <w:lang w:val="en-US" w:eastAsia="zh-CN"/>
              </w:rPr>
              <w:t>万m³，则累计沥干水量约</w:t>
            </w:r>
            <w:r>
              <w:rPr>
                <w:rFonts w:hint="eastAsia" w:ascii="Times New Roman" w:hAnsi="Times New Roman" w:eastAsia="宋体" w:cs="Times New Roman"/>
                <w:color w:val="000000"/>
                <w:spacing w:val="0"/>
                <w:sz w:val="24"/>
                <w:szCs w:val="24"/>
                <w:lang w:val="en-US" w:eastAsia="zh-CN"/>
              </w:rPr>
              <w:t>0.3</w:t>
            </w:r>
            <w:r>
              <w:rPr>
                <w:rFonts w:hint="default" w:ascii="Times New Roman" w:hAnsi="Times New Roman" w:eastAsia="宋体" w:cs="Times New Roman"/>
                <w:color w:val="000000"/>
                <w:spacing w:val="0"/>
                <w:sz w:val="24"/>
                <w:szCs w:val="24"/>
                <w:lang w:val="en-US" w:eastAsia="zh-CN"/>
              </w:rPr>
              <w:t>万m³。本项目施工效率约为</w:t>
            </w:r>
            <w:r>
              <w:rPr>
                <w:rFonts w:hint="eastAsia" w:ascii="Times New Roman" w:hAnsi="Times New Roman" w:eastAsia="宋体" w:cs="Times New Roman"/>
                <w:color w:val="000000"/>
                <w:spacing w:val="0"/>
                <w:sz w:val="24"/>
                <w:szCs w:val="24"/>
                <w:lang w:val="en-US" w:eastAsia="zh-CN"/>
              </w:rPr>
              <w:t>1</w:t>
            </w:r>
            <w:r>
              <w:rPr>
                <w:rFonts w:hint="default" w:ascii="Times New Roman" w:hAnsi="Times New Roman" w:eastAsia="宋体" w:cs="Times New Roman"/>
                <w:color w:val="000000"/>
                <w:spacing w:val="0"/>
                <w:sz w:val="24"/>
                <w:szCs w:val="24"/>
                <w:lang w:val="en-US" w:eastAsia="zh-CN"/>
              </w:rPr>
              <w:t>000m³/d，则下渗水产生量</w:t>
            </w:r>
            <w:r>
              <w:rPr>
                <w:rFonts w:hint="default" w:ascii="Times New Roman" w:hAnsi="Times New Roman" w:cs="Times New Roman"/>
                <w:color w:val="000000"/>
                <w:spacing w:val="0"/>
                <w:sz w:val="24"/>
                <w:szCs w:val="24"/>
                <w:lang w:val="en-US" w:eastAsia="zh-CN"/>
              </w:rPr>
              <w:t>约</w:t>
            </w:r>
            <w:r>
              <w:rPr>
                <w:rFonts w:hint="eastAsia" w:ascii="Times New Roman" w:hAnsi="Times New Roman" w:cs="Times New Roman"/>
                <w:color w:val="000000"/>
                <w:spacing w:val="0"/>
                <w:sz w:val="24"/>
                <w:szCs w:val="24"/>
                <w:lang w:val="en-US" w:eastAsia="zh-CN"/>
              </w:rPr>
              <w:t>1</w:t>
            </w:r>
            <w:r>
              <w:rPr>
                <w:rFonts w:hint="default" w:ascii="Times New Roman" w:hAnsi="Times New Roman" w:cs="Times New Roman"/>
                <w:color w:val="000000"/>
                <w:spacing w:val="0"/>
                <w:sz w:val="24"/>
                <w:szCs w:val="24"/>
                <w:lang w:val="en-US" w:eastAsia="zh-CN"/>
              </w:rPr>
              <w:t>00m³/d。</w:t>
            </w:r>
            <w:r>
              <w:rPr>
                <w:rFonts w:hint="default" w:ascii="Times New Roman" w:hAnsi="Times New Roman" w:cs="Times New Roman"/>
                <w:color w:val="000000"/>
                <w:spacing w:val="0"/>
                <w:sz w:val="24"/>
                <w:szCs w:val="24"/>
                <w:lang w:eastAsia="zh-CN"/>
              </w:rPr>
              <w:t>主</w:t>
            </w:r>
            <w:r>
              <w:rPr>
                <w:rFonts w:hint="default" w:ascii="Times New Roman" w:hAnsi="Times New Roman" w:cs="Times New Roman"/>
                <w:bCs/>
                <w:color w:val="000000"/>
                <w:sz w:val="24"/>
              </w:rPr>
              <w:t>要污染物为SS</w:t>
            </w:r>
            <w:r>
              <w:rPr>
                <w:rFonts w:hint="default" w:ascii="Times New Roman" w:hAnsi="Times New Roman" w:cs="Times New Roman"/>
                <w:bCs/>
                <w:color w:val="000000"/>
                <w:sz w:val="24"/>
                <w:lang w:eastAsia="zh-CN"/>
              </w:rPr>
              <w:t>。</w:t>
            </w:r>
            <w:r>
              <w:rPr>
                <w:rFonts w:hint="default" w:ascii="Times New Roman" w:hAnsi="Times New Roman" w:cs="Times New Roman"/>
                <w:b w:val="0"/>
                <w:bCs w:val="0"/>
                <w:color w:val="000000"/>
                <w:spacing w:val="0"/>
                <w:sz w:val="24"/>
                <w:szCs w:val="24"/>
                <w:lang w:val="en-US" w:eastAsia="zh-CN"/>
              </w:rPr>
              <w:t>环评要求在疏浚料堆料区布设临时编织土袋挡墙封闭挡护</w:t>
            </w:r>
            <w:r>
              <w:rPr>
                <w:rFonts w:hint="eastAsia" w:ascii="Times New Roman" w:hAnsi="Times New Roman" w:cs="Times New Roman"/>
                <w:b w:val="0"/>
                <w:bCs w:val="0"/>
                <w:color w:val="000000"/>
                <w:spacing w:val="0"/>
                <w:sz w:val="24"/>
                <w:szCs w:val="24"/>
                <w:lang w:val="en-US" w:eastAsia="zh-CN"/>
              </w:rPr>
              <w:t>，</w:t>
            </w:r>
            <w:r>
              <w:rPr>
                <w:rFonts w:hint="default" w:ascii="Times New Roman" w:hAnsi="Times New Roman" w:cs="Times New Roman"/>
                <w:b w:val="0"/>
                <w:bCs w:val="0"/>
                <w:color w:val="000000"/>
                <w:spacing w:val="0"/>
                <w:sz w:val="24"/>
                <w:szCs w:val="24"/>
                <w:lang w:val="en-US" w:eastAsia="zh-CN"/>
              </w:rPr>
              <w:t>堆料场四周设置导水渠，并设置1个</w:t>
            </w:r>
            <w:r>
              <w:rPr>
                <w:rFonts w:hint="eastAsia" w:ascii="Times New Roman" w:hAnsi="Times New Roman" w:cs="Times New Roman"/>
                <w:b w:val="0"/>
                <w:bCs w:val="0"/>
                <w:color w:val="000000"/>
                <w:spacing w:val="0"/>
                <w:sz w:val="24"/>
                <w:szCs w:val="24"/>
                <w:lang w:val="en-US" w:eastAsia="zh-CN"/>
              </w:rPr>
              <w:t>3</w:t>
            </w:r>
            <w:r>
              <w:rPr>
                <w:rFonts w:hint="default" w:ascii="Times New Roman" w:hAnsi="Times New Roman" w:cs="Times New Roman"/>
                <w:b w:val="0"/>
                <w:bCs w:val="0"/>
                <w:color w:val="000000"/>
                <w:spacing w:val="0"/>
                <w:sz w:val="24"/>
                <w:szCs w:val="24"/>
                <w:lang w:val="en-US" w:eastAsia="zh-CN"/>
              </w:rPr>
              <w:t>0m</w:t>
            </w:r>
            <w:r>
              <w:rPr>
                <w:rFonts w:hint="default" w:ascii="Times New Roman" w:hAnsi="Times New Roman" w:cs="Times New Roman"/>
                <w:b w:val="0"/>
                <w:bCs w:val="0"/>
                <w:color w:val="000000"/>
                <w:spacing w:val="0"/>
                <w:sz w:val="24"/>
                <w:szCs w:val="24"/>
                <w:vertAlign w:val="superscript"/>
                <w:lang w:val="en-US" w:eastAsia="zh-CN"/>
              </w:rPr>
              <w:t>3</w:t>
            </w:r>
            <w:r>
              <w:rPr>
                <w:rFonts w:hint="default" w:ascii="Times New Roman" w:hAnsi="Times New Roman" w:cs="Times New Roman"/>
                <w:b w:val="0"/>
                <w:bCs w:val="0"/>
                <w:color w:val="000000"/>
                <w:spacing w:val="0"/>
                <w:sz w:val="24"/>
                <w:szCs w:val="24"/>
                <w:lang w:val="en-US" w:eastAsia="zh-CN"/>
              </w:rPr>
              <w:t>三级沉淀池，下渗水经收集后排入三级沉淀池进行自然沉淀，澄清水回用于疏浚料运输线路洒水降尘、工程车辆冲洗等</w:t>
            </w:r>
            <w:r>
              <w:rPr>
                <w:rFonts w:hint="eastAsia" w:ascii="Times New Roman" w:hAnsi="Times New Roman" w:cs="Times New Roman"/>
                <w:b w:val="0"/>
                <w:bCs w:val="0"/>
                <w:color w:val="000000"/>
                <w:spacing w:val="0"/>
                <w:sz w:val="24"/>
                <w:szCs w:val="24"/>
                <w:lang w:val="en-US" w:eastAsia="zh-CN"/>
              </w:rPr>
              <w:t>，不外排</w:t>
            </w:r>
            <w:r>
              <w:rPr>
                <w:rFonts w:hint="default" w:ascii="Times New Roman" w:hAnsi="Times New Roman" w:cs="Times New Roman"/>
                <w:b w:val="0"/>
                <w:bCs w:val="0"/>
                <w:color w:val="000000"/>
                <w:spacing w:val="0"/>
                <w:sz w:val="24"/>
                <w:szCs w:val="24"/>
                <w:lang w:val="en-US" w:eastAsia="zh-CN"/>
              </w:rPr>
              <w:t>。</w:t>
            </w:r>
          </w:p>
          <w:p>
            <w:pPr>
              <w:pStyle w:val="6"/>
              <w:keepNext w:val="0"/>
              <w:keepLines w:val="0"/>
              <w:pageBreakBefore w:val="0"/>
              <w:widowControl w:val="0"/>
              <w:numPr>
                <w:ilvl w:val="3"/>
                <w:numId w:val="0"/>
              </w:numPr>
              <w:kinsoku/>
              <w:wordWrap/>
              <w:overflowPunct/>
              <w:topLinePunct w:val="0"/>
              <w:autoSpaceDE w:val="0"/>
              <w:autoSpaceDN w:val="0"/>
              <w:bidi w:val="0"/>
              <w:adjustRightInd w:val="0"/>
              <w:snapToGrid w:val="0"/>
              <w:spacing w:before="0" w:line="360" w:lineRule="auto"/>
              <w:ind w:left="0" w:leftChars="0" w:firstLine="482" w:firstLineChars="200"/>
              <w:textAlignment w:val="baseline"/>
              <w:rPr>
                <w:rFonts w:hint="default" w:ascii="Times New Roman" w:hAnsi="Times New Roman" w:eastAsia="宋体" w:cs="Times New Roman"/>
                <w:b/>
                <w:bCs w:val="0"/>
                <w:color w:val="auto"/>
                <w:spacing w:val="0"/>
                <w:sz w:val="24"/>
                <w:lang w:val="en-US" w:eastAsia="zh-CN" w:bidi="ar-SA"/>
              </w:rPr>
            </w:pPr>
            <w:r>
              <w:rPr>
                <w:rFonts w:hint="default" w:ascii="Times New Roman" w:hAnsi="Times New Roman" w:cs="Times New Roman"/>
                <w:b/>
                <w:bCs w:val="0"/>
                <w:color w:val="auto"/>
                <w:spacing w:val="0"/>
                <w:sz w:val="24"/>
                <w:lang w:val="en-US" w:eastAsia="zh-CN" w:bidi="ar-SA"/>
              </w:rPr>
              <w:t>4、</w:t>
            </w:r>
            <w:r>
              <w:rPr>
                <w:rFonts w:hint="eastAsia" w:ascii="Times New Roman" w:hAnsi="Times New Roman" w:eastAsia="宋体" w:cs="Times New Roman"/>
                <w:b/>
                <w:bCs w:val="0"/>
                <w:color w:val="auto"/>
                <w:spacing w:val="0"/>
                <w:sz w:val="24"/>
                <w:lang w:val="en-US" w:eastAsia="zh-CN" w:bidi="ar-SA"/>
              </w:rPr>
              <w:t>施工期大气污染分析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2" w:firstLineChars="200"/>
              <w:textAlignment w:val="baseline"/>
              <w:rPr>
                <w:rFonts w:hint="default"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（1）施工扬尘</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本项目施工期对所在区域环境空气质量的影响主要是扬尘及施工机械废气，其易造成大气中TSP浓度增高，形成扬尘污染。施工期扬尘污染主要来自以下几个方面：施工开挖基坑、材料运输等。扬尘的产生量与风速、湿度、渣土分散度、抓斗倾倒的相对高度及采取的防护措施等有关。项目在施工建设过程中的大气污染主要来自施工场地的扬尘。在整个施工期，产生扬尘的作业有土地平整、开挖、回填、建材运输、露天堆放、装卸等 过程，如遇干旱无雨季节，加上大风，施工扬尘将更严重。因此，在施工过程中，施工单位必须严格依照城市扬尘防护规定进行施工，尽量减少扬尘对环境的影响程度。</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确保施工期扬尘满足《四川省施工场地扬尘排放标准》(DB51/2682-2020) 表 3 中排放限值要求。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2" w:firstLineChars="200"/>
              <w:textAlignment w:val="baseline"/>
              <w:rPr>
                <w:rFonts w:hint="default"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（2）</w:t>
            </w:r>
            <w:r>
              <w:rPr>
                <w:rFonts w:hint="default" w:ascii="Times New Roman" w:hAnsi="Times New Roman" w:eastAsia="宋体" w:cs="Times New Roman"/>
                <w:b/>
                <w:bCs/>
                <w:color w:val="auto"/>
                <w:spacing w:val="0"/>
                <w:sz w:val="24"/>
                <w:szCs w:val="24"/>
                <w:lang w:val="en-US" w:eastAsia="zh-CN"/>
              </w:rPr>
              <w:t>施工机械废气</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baseline"/>
              <w:rPr>
                <w:rFonts w:hint="eastAsia"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根据施工组织设计，本工程主要施工机械设备有挖掘机、推土机、 自 卸汽车、装载机等，施工机械使用柴油、汽油，燃油机械产生的废气中含有TSP 、NO</w:t>
            </w:r>
            <w:r>
              <w:rPr>
                <w:rFonts w:hint="default" w:ascii="Times New Roman" w:hAnsi="Times New Roman" w:eastAsia="宋体" w:cs="Times New Roman"/>
                <w:color w:val="auto"/>
                <w:spacing w:val="0"/>
                <w:sz w:val="24"/>
                <w:szCs w:val="24"/>
                <w:vertAlign w:val="subscript"/>
                <w:lang w:val="en-US" w:eastAsia="zh-CN"/>
              </w:rPr>
              <w:t>X</w:t>
            </w:r>
            <w:r>
              <w:rPr>
                <w:rFonts w:hint="default" w:ascii="Times New Roman" w:hAnsi="Times New Roman" w:eastAsia="宋体" w:cs="Times New Roman"/>
                <w:color w:val="auto"/>
                <w:spacing w:val="0"/>
                <w:sz w:val="24"/>
                <w:szCs w:val="24"/>
                <w:lang w:val="en-US" w:eastAsia="zh-CN"/>
              </w:rPr>
              <w:t>等污染物。为减少机械废气对周边环境的影响，施工单位加强机械车辆维护管理，定期对燃油机械和车辆进行检修维护，使用合格燃油，燃油机械和车辆必须保证在正常状态下使用，保证废气达标排放。</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（3）淤泥恶臭</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baseline"/>
              <w:rPr>
                <w:rFonts w:hint="eastAsia"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本项目河道疏浚量少，根据初设疏浚量为2.97万m</w:t>
            </w:r>
            <w:r>
              <w:rPr>
                <w:rFonts w:hint="eastAsia" w:ascii="Times New Roman" w:hAnsi="Times New Roman" w:eastAsia="宋体" w:cs="Times New Roman"/>
                <w:color w:val="auto"/>
                <w:spacing w:val="0"/>
                <w:sz w:val="24"/>
                <w:szCs w:val="24"/>
                <w:vertAlign w:val="superscript"/>
                <w:lang w:val="en-US" w:eastAsia="zh-CN"/>
              </w:rPr>
              <w:t>3</w:t>
            </w:r>
            <w:r>
              <w:rPr>
                <w:rFonts w:hint="eastAsia" w:ascii="Times New Roman" w:hAnsi="Times New Roman" w:eastAsia="宋体" w:cs="Times New Roman"/>
                <w:color w:val="auto"/>
                <w:spacing w:val="0"/>
                <w:sz w:val="24"/>
                <w:szCs w:val="24"/>
                <w:lang w:val="en-US" w:eastAsia="zh-CN"/>
              </w:rPr>
              <w:t>，疏浚料多为砂卵石含少量淤泥，疏浚料全部用于大坝填筑和低洼段回填。河道清淤及底泥堆存过程中散发恶臭对施工河道沿线敏感目标有一定影响。但因为施工场地开阔，大气扩散条件好，同时施工强度小，恶臭经在施工场地自由扩散后对周围环境影响较小，</w:t>
            </w:r>
            <w:r>
              <w:rPr>
                <w:rFonts w:hint="eastAsia" w:ascii="Times New Roman" w:hAnsi="Times New Roman" w:eastAsia="宋体" w:cs="Times New Roman"/>
                <w:b/>
                <w:bCs/>
                <w:color w:val="auto"/>
                <w:spacing w:val="0"/>
                <w:sz w:val="24"/>
                <w:szCs w:val="24"/>
                <w:lang w:val="en-US" w:eastAsia="zh-CN"/>
              </w:rPr>
              <w:t>环评要求疏浚料及时回填减少堆存时间并喷洒除臭剂。</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2" w:firstLineChars="200"/>
              <w:textAlignment w:val="baseline"/>
              <w:rPr>
                <w:rFonts w:hint="default" w:ascii="Times New Roman" w:hAnsi="Times New Roman" w:cs="Times New Roman"/>
                <w:b/>
                <w:bCs/>
                <w:sz w:val="24"/>
                <w:szCs w:val="24"/>
              </w:rPr>
            </w:pPr>
            <w:r>
              <w:rPr>
                <w:rFonts w:hint="default" w:ascii="Times New Roman" w:hAnsi="Times New Roman" w:cs="Times New Roman"/>
                <w:b/>
                <w:bCs/>
                <w:sz w:val="24"/>
                <w:szCs w:val="24"/>
                <w:lang w:val="en-US" w:eastAsia="zh-CN"/>
              </w:rPr>
              <w:t>5、</w:t>
            </w:r>
            <w:r>
              <w:rPr>
                <w:rFonts w:hint="eastAsia" w:ascii="Times New Roman" w:hAnsi="Times New Roman" w:cs="Times New Roman"/>
                <w:b/>
                <w:bCs/>
                <w:sz w:val="24"/>
                <w:szCs w:val="24"/>
                <w:lang w:val="en-US" w:eastAsia="zh-CN"/>
              </w:rPr>
              <w:t>施工期噪</w:t>
            </w:r>
            <w:r>
              <w:rPr>
                <w:rFonts w:hint="default" w:ascii="Times New Roman" w:hAnsi="Times New Roman" w:cs="Times New Roman"/>
                <w:b/>
                <w:bCs/>
                <w:sz w:val="24"/>
                <w:szCs w:val="24"/>
              </w:rPr>
              <w:t>声</w:t>
            </w:r>
            <w:r>
              <w:rPr>
                <w:rFonts w:hint="eastAsia" w:ascii="Times New Roman" w:hAnsi="Times New Roman" w:cs="Times New Roman"/>
                <w:b/>
                <w:bCs/>
                <w:sz w:val="24"/>
                <w:szCs w:val="24"/>
                <w:lang w:val="en-US" w:eastAsia="zh-CN"/>
              </w:rPr>
              <w:t>污染</w:t>
            </w:r>
            <w:r>
              <w:rPr>
                <w:rFonts w:hint="default" w:ascii="Times New Roman" w:hAnsi="Times New Roman" w:cs="Times New Roman"/>
                <w:b/>
                <w:bCs/>
                <w:sz w:val="24"/>
                <w:szCs w:val="24"/>
              </w:rPr>
              <w:t>源</w:t>
            </w:r>
          </w:p>
          <w:p>
            <w:pPr>
              <w:keepNext w:val="0"/>
              <w:keepLines w:val="0"/>
              <w:pageBreakBefore w:val="0"/>
              <w:widowControl/>
              <w:kinsoku/>
              <w:wordWrap/>
              <w:overflowPunct/>
              <w:topLinePunct w:val="0"/>
              <w:bidi w:val="0"/>
              <w:adjustRightInd w:val="0"/>
              <w:snapToGrid w:val="0"/>
              <w:spacing w:line="360" w:lineRule="auto"/>
              <w:ind w:firstLine="480"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施工期噪声是本项目主要的环境影响因子之一，主要可分为机械噪声、施工作业噪声和施工车辆噪声。机械噪声主要由施工机械所造成，多为点声源；施工作业噪声主要指一些零星的敲打声、装卸车辆的撞击声、混凝土浇筑振捣、拆装模板的撞击声等，多为瞬间噪声，施工车辆的噪声属于交通噪声。不同施工阶段和不同施工机械发出的噪声水平是不同的，且有大量设备交互作业，因此施工作业噪声将会对施工场地内、外环境带来一定的影响。</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kern w:val="0"/>
                <w:sz w:val="21"/>
                <w:szCs w:val="21"/>
                <w:lang w:val="en-US" w:eastAsia="zh-CN" w:bidi="ar-SA"/>
              </w:rPr>
            </w:pPr>
            <w:r>
              <w:rPr>
                <w:rFonts w:hint="default" w:ascii="Times New Roman" w:hAnsi="Times New Roman" w:eastAsia="宋体" w:cs="Times New Roman"/>
                <w:b/>
                <w:bCs/>
                <w:color w:val="auto"/>
                <w:spacing w:val="0"/>
                <w:kern w:val="0"/>
                <w:sz w:val="21"/>
                <w:szCs w:val="21"/>
                <w:lang w:val="en-US" w:eastAsia="zh-CN" w:bidi="ar-SA"/>
              </w:rPr>
              <w:t>表4-1  施工期主要噪声源及其声级值</w:t>
            </w:r>
          </w:p>
          <w:tbl>
            <w:tblPr>
              <w:tblStyle w:val="3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8"/>
              <w:gridCol w:w="1600"/>
              <w:gridCol w:w="1707"/>
              <w:gridCol w:w="1564"/>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2" w:type="pct"/>
                  <w:noWrap w:val="0"/>
                  <w:vAlign w:val="top"/>
                </w:tcPr>
                <w:p>
                  <w:pPr>
                    <w:adjustRightInd w:val="0"/>
                    <w:snapToGrid w:val="0"/>
                    <w:spacing w:line="240" w:lineRule="auto"/>
                    <w:jc w:val="center"/>
                    <w:rPr>
                      <w:rFonts w:hint="default" w:ascii="Times New Roman" w:hAnsi="Times New Roman" w:cs="Times New Roman"/>
                      <w:b/>
                      <w:bCs/>
                    </w:rPr>
                  </w:pPr>
                  <w:r>
                    <w:rPr>
                      <w:rFonts w:hint="default" w:ascii="Times New Roman" w:hAnsi="Times New Roman" w:cs="Times New Roman"/>
                      <w:b/>
                      <w:bCs/>
                    </w:rPr>
                    <w:t>序号</w:t>
                  </w:r>
                </w:p>
              </w:tc>
              <w:tc>
                <w:tcPr>
                  <w:tcW w:w="1090" w:type="pct"/>
                  <w:noWrap w:val="0"/>
                  <w:vAlign w:val="top"/>
                </w:tcPr>
                <w:p>
                  <w:pPr>
                    <w:adjustRightInd w:val="0"/>
                    <w:snapToGrid w:val="0"/>
                    <w:spacing w:line="240" w:lineRule="auto"/>
                    <w:jc w:val="center"/>
                    <w:rPr>
                      <w:rFonts w:hint="default" w:ascii="Times New Roman" w:hAnsi="Times New Roman" w:cs="Times New Roman"/>
                      <w:b/>
                      <w:bCs/>
                    </w:rPr>
                  </w:pPr>
                  <w:r>
                    <w:rPr>
                      <w:rFonts w:hint="default" w:ascii="Times New Roman" w:hAnsi="Times New Roman" w:cs="Times New Roman"/>
                      <w:b/>
                      <w:bCs/>
                    </w:rPr>
                    <w:t>设备名称</w:t>
                  </w:r>
                </w:p>
              </w:tc>
              <w:tc>
                <w:tcPr>
                  <w:tcW w:w="1163" w:type="pct"/>
                  <w:noWrap w:val="0"/>
                  <w:vAlign w:val="top"/>
                </w:tcPr>
                <w:p>
                  <w:pPr>
                    <w:adjustRightInd w:val="0"/>
                    <w:snapToGrid w:val="0"/>
                    <w:spacing w:line="240" w:lineRule="auto"/>
                    <w:jc w:val="center"/>
                    <w:rPr>
                      <w:rFonts w:hint="default" w:ascii="Times New Roman" w:hAnsi="Times New Roman" w:cs="Times New Roman"/>
                      <w:b/>
                      <w:bCs/>
                    </w:rPr>
                  </w:pPr>
                  <w:r>
                    <w:rPr>
                      <w:rFonts w:hint="default" w:ascii="Times New Roman" w:hAnsi="Times New Roman" w:cs="Times New Roman"/>
                      <w:b/>
                      <w:bCs/>
                    </w:rPr>
                    <w:t>规格型号</w:t>
                  </w:r>
                </w:p>
              </w:tc>
              <w:tc>
                <w:tcPr>
                  <w:tcW w:w="1066" w:type="pct"/>
                  <w:noWrap w:val="0"/>
                  <w:vAlign w:val="top"/>
                </w:tcPr>
                <w:p>
                  <w:pPr>
                    <w:adjustRightInd w:val="0"/>
                    <w:snapToGrid w:val="0"/>
                    <w:spacing w:line="240" w:lineRule="auto"/>
                    <w:jc w:val="center"/>
                    <w:rPr>
                      <w:rFonts w:hint="default" w:ascii="Times New Roman" w:hAnsi="Times New Roman" w:cs="Times New Roman"/>
                      <w:b/>
                      <w:bCs/>
                    </w:rPr>
                  </w:pPr>
                  <w:r>
                    <w:rPr>
                      <w:rFonts w:hint="default" w:ascii="Times New Roman" w:hAnsi="Times New Roman" w:cs="Times New Roman"/>
                      <w:b/>
                      <w:bCs/>
                    </w:rPr>
                    <w:t>噪声强度dB（A）</w:t>
                  </w:r>
                </w:p>
              </w:tc>
              <w:tc>
                <w:tcPr>
                  <w:tcW w:w="1066" w:type="pct"/>
                  <w:noWrap w:val="0"/>
                  <w:vAlign w:val="top"/>
                </w:tcPr>
                <w:p>
                  <w:pPr>
                    <w:adjustRightInd w:val="0"/>
                    <w:snapToGrid w:val="0"/>
                    <w:spacing w:line="240" w:lineRule="auto"/>
                    <w:jc w:val="center"/>
                    <w:rPr>
                      <w:rFonts w:hint="eastAsia" w:ascii="Times New Roman" w:hAnsi="Times New Roman" w:eastAsia="宋体" w:cs="Times New Roman"/>
                      <w:b/>
                      <w:bCs/>
                      <w:lang w:val="en-US" w:eastAsia="zh-CN"/>
                    </w:rPr>
                  </w:pPr>
                  <w:r>
                    <w:rPr>
                      <w:rFonts w:hint="eastAsia" w:ascii="Times New Roman" w:hAnsi="Times New Roman" w:cs="Times New Roman"/>
                      <w:b/>
                      <w:bCs/>
                      <w:lang w:val="en-US" w:eastAsia="zh-CN"/>
                    </w:rPr>
                    <w:t>数量（台）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2" w:type="pct"/>
                  <w:noWrap w:val="0"/>
                  <w:vAlign w:val="top"/>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rPr>
                    <w:t>1</w:t>
                  </w:r>
                </w:p>
              </w:tc>
              <w:tc>
                <w:tcPr>
                  <w:tcW w:w="10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rPr>
                  </w:pPr>
                  <w:r>
                    <w:rPr>
                      <w:rFonts w:hint="default" w:ascii="Times New Roman" w:hAnsi="Times New Roman" w:eastAsia="宋体" w:cs="Times New Roman"/>
                      <w:b w:val="0"/>
                      <w:bCs/>
                      <w:color w:val="auto"/>
                      <w:spacing w:val="0"/>
                      <w:sz w:val="21"/>
                      <w:szCs w:val="21"/>
                      <w:highlight w:val="none"/>
                      <w:lang w:val="en-US" w:eastAsia="zh-CN"/>
                    </w:rPr>
                    <w:t>挖掘机</w:t>
                  </w:r>
                </w:p>
              </w:tc>
              <w:tc>
                <w:tcPr>
                  <w:tcW w:w="116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rPr>
                  </w:pPr>
                  <w:r>
                    <w:rPr>
                      <w:rFonts w:hint="default" w:ascii="Times New Roman" w:hAnsi="Times New Roman" w:eastAsia="宋体" w:cs="Times New Roman"/>
                      <w:kern w:val="2"/>
                      <w:sz w:val="21"/>
                      <w:szCs w:val="21"/>
                      <w:lang w:val="en-US" w:eastAsia="zh-CN" w:bidi="ar"/>
                    </w:rPr>
                    <w:t>1.6m</w:t>
                  </w:r>
                  <w:r>
                    <w:rPr>
                      <w:rFonts w:hint="default" w:ascii="Times New Roman" w:hAnsi="Times New Roman" w:eastAsia="宋体" w:cs="Times New Roman"/>
                      <w:kern w:val="2"/>
                      <w:sz w:val="21"/>
                      <w:szCs w:val="21"/>
                      <w:vertAlign w:val="superscript"/>
                      <w:lang w:val="en-US" w:eastAsia="zh-CN" w:bidi="ar"/>
                    </w:rPr>
                    <w:t>3</w:t>
                  </w:r>
                </w:p>
              </w:tc>
              <w:tc>
                <w:tcPr>
                  <w:tcW w:w="1066" w:type="pct"/>
                  <w:noWrap w:val="0"/>
                  <w:vAlign w:val="top"/>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rPr>
                    <w:t>85</w:t>
                  </w:r>
                </w:p>
              </w:tc>
              <w:tc>
                <w:tcPr>
                  <w:tcW w:w="1066" w:type="pct"/>
                  <w:noWrap w:val="0"/>
                  <w:vAlign w:val="top"/>
                </w:tcPr>
                <w:p>
                  <w:pPr>
                    <w:adjustRightInd w:val="0"/>
                    <w:snapToGrid w:val="0"/>
                    <w:spacing w:line="240" w:lineRule="auto"/>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2" w:type="pct"/>
                  <w:noWrap w:val="0"/>
                  <w:vAlign w:val="top"/>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rPr>
                    <w:t>2</w:t>
                  </w:r>
                </w:p>
              </w:tc>
              <w:tc>
                <w:tcPr>
                  <w:tcW w:w="10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rPr>
                  </w:pPr>
                  <w:r>
                    <w:rPr>
                      <w:rFonts w:hint="eastAsia" w:ascii="Times New Roman" w:hAnsi="Times New Roman" w:eastAsia="宋体" w:cs="Times New Roman"/>
                      <w:b w:val="0"/>
                      <w:bCs/>
                      <w:color w:val="auto"/>
                      <w:spacing w:val="0"/>
                      <w:sz w:val="21"/>
                      <w:szCs w:val="21"/>
                      <w:highlight w:val="none"/>
                      <w:lang w:val="en-US" w:eastAsia="zh-CN"/>
                    </w:rPr>
                    <w:t>推土机</w:t>
                  </w:r>
                </w:p>
              </w:tc>
              <w:tc>
                <w:tcPr>
                  <w:tcW w:w="116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rPr>
                  </w:pPr>
                  <w:r>
                    <w:rPr>
                      <w:rFonts w:hint="default" w:ascii="Times New Roman" w:hAnsi="Times New Roman" w:eastAsia="宋体" w:cs="Times New Roman"/>
                      <w:kern w:val="2"/>
                      <w:sz w:val="21"/>
                      <w:szCs w:val="21"/>
                      <w:lang w:val="en-US" w:eastAsia="zh-CN" w:bidi="ar"/>
                    </w:rPr>
                    <w:t>88KW</w:t>
                  </w:r>
                </w:p>
              </w:tc>
              <w:tc>
                <w:tcPr>
                  <w:tcW w:w="1066" w:type="pct"/>
                  <w:noWrap w:val="0"/>
                  <w:vAlign w:val="top"/>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rPr>
                    <w:t>85</w:t>
                  </w:r>
                </w:p>
              </w:tc>
              <w:tc>
                <w:tcPr>
                  <w:tcW w:w="1066" w:type="pct"/>
                  <w:noWrap w:val="0"/>
                  <w:vAlign w:val="top"/>
                </w:tcPr>
                <w:p>
                  <w:pPr>
                    <w:adjustRightInd w:val="0"/>
                    <w:snapToGrid w:val="0"/>
                    <w:spacing w:line="240" w:lineRule="auto"/>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2" w:type="pct"/>
                  <w:noWrap w:val="0"/>
                  <w:vAlign w:val="top"/>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rPr>
                    <w:t>3</w:t>
                  </w:r>
                </w:p>
              </w:tc>
              <w:tc>
                <w:tcPr>
                  <w:tcW w:w="10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rPr>
                  </w:pPr>
                  <w:r>
                    <w:rPr>
                      <w:rFonts w:hint="default" w:ascii="Times New Roman" w:hAnsi="Times New Roman" w:eastAsia="宋体" w:cs="Times New Roman"/>
                      <w:kern w:val="2"/>
                      <w:sz w:val="21"/>
                      <w:szCs w:val="21"/>
                      <w:lang w:val="en-US" w:eastAsia="zh-CN" w:bidi="ar"/>
                    </w:rPr>
                    <w:t>蛙式打夯机</w:t>
                  </w:r>
                </w:p>
              </w:tc>
              <w:tc>
                <w:tcPr>
                  <w:tcW w:w="116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rPr>
                  </w:pPr>
                  <w:r>
                    <w:rPr>
                      <w:rFonts w:hint="default" w:ascii="Times New Roman" w:hAnsi="Times New Roman" w:eastAsia="宋体" w:cs="Times New Roman"/>
                      <w:kern w:val="2"/>
                      <w:sz w:val="21"/>
                      <w:szCs w:val="21"/>
                      <w:lang w:val="en-US" w:eastAsia="zh-CN" w:bidi="ar"/>
                    </w:rPr>
                    <w:t>2.8kw</w:t>
                  </w:r>
                </w:p>
              </w:tc>
              <w:tc>
                <w:tcPr>
                  <w:tcW w:w="1066" w:type="pct"/>
                  <w:noWrap w:val="0"/>
                  <w:vAlign w:val="top"/>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rPr>
                    <w:t>85</w:t>
                  </w:r>
                </w:p>
              </w:tc>
              <w:tc>
                <w:tcPr>
                  <w:tcW w:w="1066" w:type="pct"/>
                  <w:noWrap w:val="0"/>
                  <w:vAlign w:val="top"/>
                </w:tcPr>
                <w:p>
                  <w:pPr>
                    <w:adjustRightInd w:val="0"/>
                    <w:snapToGrid w:val="0"/>
                    <w:spacing w:line="240" w:lineRule="auto"/>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612" w:type="pct"/>
                  <w:noWrap w:val="0"/>
                  <w:vAlign w:val="top"/>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rPr>
                    <w:t>4</w:t>
                  </w:r>
                </w:p>
              </w:tc>
              <w:tc>
                <w:tcPr>
                  <w:tcW w:w="10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rPr>
                  </w:pPr>
                  <w:r>
                    <w:rPr>
                      <w:rFonts w:hint="default" w:ascii="Times New Roman" w:hAnsi="Times New Roman" w:eastAsia="宋体" w:cs="Times New Roman"/>
                      <w:kern w:val="2"/>
                      <w:sz w:val="21"/>
                      <w:szCs w:val="21"/>
                      <w:lang w:val="en-US" w:eastAsia="zh-CN" w:bidi="ar"/>
                    </w:rPr>
                    <w:t>小型振动碾</w:t>
                  </w:r>
                </w:p>
              </w:tc>
              <w:tc>
                <w:tcPr>
                  <w:tcW w:w="116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rPr>
                  </w:pPr>
                  <w:r>
                    <w:rPr>
                      <w:rFonts w:hint="default" w:ascii="Times New Roman" w:hAnsi="Times New Roman" w:eastAsia="宋体" w:cs="Times New Roman"/>
                      <w:b w:val="0"/>
                      <w:bCs/>
                      <w:color w:val="auto"/>
                      <w:spacing w:val="0"/>
                      <w:sz w:val="21"/>
                      <w:szCs w:val="21"/>
                      <w:highlight w:val="none"/>
                      <w:lang w:val="en-US" w:eastAsia="zh-CN"/>
                    </w:rPr>
                    <w:t>/</w:t>
                  </w:r>
                </w:p>
              </w:tc>
              <w:tc>
                <w:tcPr>
                  <w:tcW w:w="1066" w:type="pct"/>
                  <w:noWrap w:val="0"/>
                  <w:vAlign w:val="top"/>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rPr>
                    <w:t>85</w:t>
                  </w:r>
                </w:p>
              </w:tc>
              <w:tc>
                <w:tcPr>
                  <w:tcW w:w="1066" w:type="pct"/>
                  <w:noWrap w:val="0"/>
                  <w:vAlign w:val="top"/>
                </w:tcPr>
                <w:p>
                  <w:pPr>
                    <w:adjustRightInd w:val="0"/>
                    <w:snapToGrid w:val="0"/>
                    <w:spacing w:line="240" w:lineRule="auto"/>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612" w:type="pct"/>
                  <w:noWrap w:val="0"/>
                  <w:vAlign w:val="top"/>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rPr>
                    <w:t>5</w:t>
                  </w:r>
                </w:p>
              </w:tc>
              <w:tc>
                <w:tcPr>
                  <w:tcW w:w="10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rPr>
                  </w:pPr>
                  <w:r>
                    <w:rPr>
                      <w:rFonts w:hint="default" w:ascii="Times New Roman" w:hAnsi="Times New Roman" w:eastAsia="宋体" w:cs="Times New Roman"/>
                      <w:kern w:val="2"/>
                      <w:sz w:val="21"/>
                      <w:szCs w:val="21"/>
                      <w:lang w:val="en-US" w:eastAsia="zh-CN" w:bidi="ar"/>
                    </w:rPr>
                    <w:t>轮胎碾</w:t>
                  </w:r>
                </w:p>
              </w:tc>
              <w:tc>
                <w:tcPr>
                  <w:tcW w:w="116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rPr>
                  </w:pPr>
                  <w:r>
                    <w:rPr>
                      <w:rFonts w:hint="default" w:ascii="Times New Roman" w:hAnsi="Times New Roman" w:eastAsia="宋体" w:cs="Times New Roman"/>
                      <w:b w:val="0"/>
                      <w:bCs/>
                      <w:color w:val="auto"/>
                      <w:spacing w:val="0"/>
                      <w:sz w:val="21"/>
                      <w:szCs w:val="21"/>
                      <w:highlight w:val="none"/>
                      <w:lang w:val="en-US" w:eastAsia="zh-CN"/>
                    </w:rPr>
                    <w:t>/</w:t>
                  </w:r>
                </w:p>
              </w:tc>
              <w:tc>
                <w:tcPr>
                  <w:tcW w:w="1066" w:type="pct"/>
                  <w:noWrap w:val="0"/>
                  <w:vAlign w:val="top"/>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rPr>
                    <w:t>85</w:t>
                  </w:r>
                </w:p>
              </w:tc>
              <w:tc>
                <w:tcPr>
                  <w:tcW w:w="1066" w:type="pct"/>
                  <w:noWrap w:val="0"/>
                  <w:vAlign w:val="top"/>
                </w:tcPr>
                <w:p>
                  <w:pPr>
                    <w:adjustRightInd w:val="0"/>
                    <w:snapToGrid w:val="0"/>
                    <w:spacing w:line="240" w:lineRule="auto"/>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612" w:type="pct"/>
                  <w:noWrap w:val="0"/>
                  <w:vAlign w:val="top"/>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rPr>
                    <w:t>6</w:t>
                  </w:r>
                </w:p>
              </w:tc>
              <w:tc>
                <w:tcPr>
                  <w:tcW w:w="10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rPr>
                  </w:pPr>
                  <w:r>
                    <w:rPr>
                      <w:rFonts w:hint="default" w:ascii="Times New Roman" w:hAnsi="Times New Roman" w:eastAsia="宋体" w:cs="Times New Roman"/>
                      <w:kern w:val="2"/>
                      <w:sz w:val="21"/>
                      <w:szCs w:val="21"/>
                      <w:lang w:val="en-US" w:eastAsia="zh-CN" w:bidi="ar"/>
                    </w:rPr>
                    <w:t>插入式振捣器</w:t>
                  </w:r>
                </w:p>
              </w:tc>
              <w:tc>
                <w:tcPr>
                  <w:tcW w:w="116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rPr>
                  </w:pPr>
                  <w:r>
                    <w:rPr>
                      <w:rFonts w:hint="default" w:ascii="Times New Roman" w:hAnsi="Times New Roman" w:eastAsia="宋体" w:cs="Times New Roman"/>
                      <w:kern w:val="2"/>
                      <w:sz w:val="21"/>
                      <w:szCs w:val="21"/>
                      <w:lang w:val="en-US" w:eastAsia="zh-CN" w:bidi="ar"/>
                    </w:rPr>
                    <w:t>ZN30</w:t>
                  </w:r>
                </w:p>
              </w:tc>
              <w:tc>
                <w:tcPr>
                  <w:tcW w:w="1066" w:type="pct"/>
                  <w:noWrap w:val="0"/>
                  <w:vAlign w:val="top"/>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rPr>
                    <w:t>85</w:t>
                  </w:r>
                </w:p>
              </w:tc>
              <w:tc>
                <w:tcPr>
                  <w:tcW w:w="1066" w:type="pct"/>
                  <w:noWrap w:val="0"/>
                  <w:vAlign w:val="top"/>
                </w:tcPr>
                <w:p>
                  <w:pPr>
                    <w:adjustRightInd w:val="0"/>
                    <w:snapToGrid w:val="0"/>
                    <w:spacing w:line="240" w:lineRule="auto"/>
                    <w:jc w:val="center"/>
                    <w:rPr>
                      <w:rFonts w:hint="default" w:ascii="Times New Roman" w:hAnsi="Times New Roman" w:eastAsia="宋体" w:cs="Times New Roman"/>
                      <w:lang w:val="en-US" w:eastAsia="zh-CN"/>
                    </w:rPr>
                  </w:pPr>
                  <w:r>
                    <w:rPr>
                      <w:rFonts w:hint="eastAsia" w:ascii="Times New Roman" w:hAnsi="Times New Roman" w:cs="Times New Roman"/>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612" w:type="pct"/>
                  <w:noWrap w:val="0"/>
                  <w:vAlign w:val="top"/>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rPr>
                    <w:t>7</w:t>
                  </w:r>
                </w:p>
              </w:tc>
              <w:tc>
                <w:tcPr>
                  <w:tcW w:w="10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rPr>
                  </w:pPr>
                  <w:r>
                    <w:rPr>
                      <w:rFonts w:hint="default" w:ascii="Times New Roman" w:hAnsi="Times New Roman" w:eastAsia="宋体" w:cs="Times New Roman"/>
                      <w:kern w:val="2"/>
                      <w:sz w:val="21"/>
                      <w:szCs w:val="21"/>
                      <w:lang w:val="en-US" w:eastAsia="zh-CN" w:bidi="ar"/>
                    </w:rPr>
                    <w:t>自卸汽车</w:t>
                  </w:r>
                </w:p>
              </w:tc>
              <w:tc>
                <w:tcPr>
                  <w:tcW w:w="116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rPr>
                  </w:pPr>
                  <w:r>
                    <w:rPr>
                      <w:rFonts w:hint="default" w:ascii="Times New Roman" w:hAnsi="Times New Roman" w:eastAsia="宋体" w:cs="Times New Roman"/>
                      <w:kern w:val="2"/>
                      <w:sz w:val="21"/>
                      <w:szCs w:val="21"/>
                      <w:lang w:val="en-US" w:eastAsia="zh-CN" w:bidi="ar"/>
                    </w:rPr>
                    <w:t>15t</w:t>
                  </w:r>
                </w:p>
              </w:tc>
              <w:tc>
                <w:tcPr>
                  <w:tcW w:w="1066" w:type="pct"/>
                  <w:noWrap w:val="0"/>
                  <w:vAlign w:val="top"/>
                </w:tcPr>
                <w:p>
                  <w:pPr>
                    <w:adjustRightInd w:val="0"/>
                    <w:snapToGrid w:val="0"/>
                    <w:spacing w:line="240" w:lineRule="auto"/>
                    <w:jc w:val="center"/>
                    <w:rPr>
                      <w:rFonts w:hint="default" w:ascii="Times New Roman" w:hAnsi="Times New Roman" w:eastAsia="宋体" w:cs="Times New Roman"/>
                      <w:lang w:val="en-US" w:eastAsia="zh-CN"/>
                    </w:rPr>
                  </w:pPr>
                  <w:r>
                    <w:rPr>
                      <w:rFonts w:hint="eastAsia" w:ascii="Times New Roman" w:hAnsi="Times New Roman" w:cs="Times New Roman"/>
                      <w:lang w:val="en-US" w:eastAsia="zh-CN"/>
                    </w:rPr>
                    <w:t>85</w:t>
                  </w:r>
                </w:p>
              </w:tc>
              <w:tc>
                <w:tcPr>
                  <w:tcW w:w="1066" w:type="pct"/>
                  <w:noWrap w:val="0"/>
                  <w:vAlign w:val="top"/>
                </w:tcPr>
                <w:p>
                  <w:pPr>
                    <w:adjustRightInd w:val="0"/>
                    <w:snapToGrid w:val="0"/>
                    <w:spacing w:line="240" w:lineRule="auto"/>
                    <w:jc w:val="center"/>
                    <w:rPr>
                      <w:rFonts w:hint="default" w:ascii="Times New Roman" w:hAnsi="Times New Roman" w:eastAsia="宋体" w:cs="Times New Roman"/>
                      <w:lang w:val="en-US" w:eastAsia="zh-CN"/>
                    </w:rPr>
                  </w:pPr>
                  <w:r>
                    <w:rPr>
                      <w:rFonts w:hint="eastAsia" w:ascii="Times New Roman" w:hAnsi="Times New Roman" w:cs="Times New Roman"/>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612" w:type="pct"/>
                  <w:noWrap w:val="0"/>
                  <w:vAlign w:val="top"/>
                </w:tcPr>
                <w:p>
                  <w:pPr>
                    <w:adjustRightInd w:val="0"/>
                    <w:snapToGrid w:val="0"/>
                    <w:spacing w:line="240" w:lineRule="auto"/>
                    <w:jc w:val="center"/>
                    <w:rPr>
                      <w:rFonts w:hint="default" w:ascii="Times New Roman" w:hAnsi="Times New Roman" w:eastAsia="宋体" w:cs="Times New Roman"/>
                      <w:lang w:val="en-US" w:eastAsia="zh-CN"/>
                    </w:rPr>
                  </w:pPr>
                  <w:r>
                    <w:rPr>
                      <w:rFonts w:hint="eastAsia" w:ascii="Times New Roman" w:hAnsi="Times New Roman" w:cs="Times New Roman"/>
                      <w:lang w:val="en-US" w:eastAsia="zh-CN"/>
                    </w:rPr>
                    <w:t>8</w:t>
                  </w:r>
                </w:p>
              </w:tc>
              <w:tc>
                <w:tcPr>
                  <w:tcW w:w="10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color w:val="auto"/>
                      <w:sz w:val="21"/>
                      <w:szCs w:val="21"/>
                    </w:rPr>
                    <w:t>载重汽车</w:t>
                  </w:r>
                </w:p>
              </w:tc>
              <w:tc>
                <w:tcPr>
                  <w:tcW w:w="116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kern w:val="2"/>
                      <w:sz w:val="21"/>
                      <w:szCs w:val="21"/>
                      <w:lang w:val="en-US" w:eastAsia="zh-CN" w:bidi="ar"/>
                    </w:rPr>
                    <w:t>10t/15t</w:t>
                  </w:r>
                </w:p>
              </w:tc>
              <w:tc>
                <w:tcPr>
                  <w:tcW w:w="1066" w:type="pct"/>
                  <w:noWrap w:val="0"/>
                  <w:vAlign w:val="top"/>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lang w:val="en-US" w:eastAsia="zh-CN"/>
                    </w:rPr>
                    <w:t>80</w:t>
                  </w:r>
                </w:p>
              </w:tc>
              <w:tc>
                <w:tcPr>
                  <w:tcW w:w="1066" w:type="pct"/>
                  <w:noWrap w:val="0"/>
                  <w:vAlign w:val="top"/>
                </w:tcPr>
                <w:p>
                  <w:pPr>
                    <w:adjustRightInd w:val="0"/>
                    <w:snapToGrid w:val="0"/>
                    <w:spacing w:line="240" w:lineRule="auto"/>
                    <w:jc w:val="center"/>
                    <w:rPr>
                      <w:rFonts w:hint="default" w:ascii="Times New Roman" w:hAnsi="Times New Roman" w:cs="Times New Roman"/>
                      <w:lang w:val="en-US" w:eastAsia="zh-CN"/>
                    </w:rPr>
                  </w:pPr>
                  <w:r>
                    <w:rPr>
                      <w:rFonts w:hint="eastAsia" w:ascii="Times New Roman" w:hAnsi="Times New Roman" w:cs="Times New Roman"/>
                      <w:lang w:val="en-US" w:eastAsia="zh-CN"/>
                    </w:rPr>
                    <w:t>2/5</w:t>
                  </w:r>
                </w:p>
              </w:tc>
            </w:tr>
          </w:tbl>
          <w:p>
            <w:pPr>
              <w:widowControl/>
              <w:adjustRightInd w:val="0"/>
              <w:snapToGrid w:val="0"/>
              <w:spacing w:line="360" w:lineRule="auto"/>
              <w:ind w:firstLine="480" w:firstLineChars="200"/>
              <w:jc w:val="left"/>
              <w:rPr>
                <w:rFonts w:hint="default" w:ascii="Times New Roman" w:hAnsi="Times New Roman" w:cs="Times New Roman"/>
                <w:sz w:val="24"/>
                <w:szCs w:val="24"/>
              </w:rPr>
            </w:pPr>
            <w:r>
              <w:rPr>
                <w:rFonts w:hint="default" w:ascii="Times New Roman" w:hAnsi="Times New Roman" w:cs="Times New Roman"/>
                <w:sz w:val="24"/>
                <w:szCs w:val="24"/>
              </w:rPr>
              <w:t>本预测采用点声源衰减模式，仅考虑距离衰减值、场界围墙屏障等因素，其噪声预测公式为：</w:t>
            </w:r>
          </w:p>
          <w:p>
            <w:pPr>
              <w:widowControl/>
              <w:adjustRightInd w:val="0"/>
              <w:snapToGrid w:val="0"/>
              <w:spacing w:line="360" w:lineRule="auto"/>
              <w:jc w:val="center"/>
              <w:rPr>
                <w:rFonts w:hint="default" w:ascii="Times New Roman" w:hAnsi="Times New Roman" w:cs="Times New Roman"/>
                <w:sz w:val="24"/>
                <w:szCs w:val="24"/>
              </w:rPr>
            </w:pP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2</w:t>
            </w: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1</w:t>
            </w:r>
            <w:r>
              <w:rPr>
                <w:rFonts w:hint="default" w:ascii="Times New Roman" w:hAnsi="Times New Roman" w:cs="Times New Roman"/>
                <w:sz w:val="24"/>
                <w:szCs w:val="24"/>
              </w:rPr>
              <w:t>－20lgr</w:t>
            </w:r>
            <w:r>
              <w:rPr>
                <w:rFonts w:hint="default" w:ascii="Times New Roman" w:hAnsi="Times New Roman" w:cs="Times New Roman"/>
                <w:sz w:val="24"/>
                <w:szCs w:val="24"/>
                <w:vertAlign w:val="subscript"/>
              </w:rPr>
              <w:t>2</w:t>
            </w:r>
            <w:r>
              <w:rPr>
                <w:rFonts w:hint="default" w:ascii="Times New Roman" w:hAnsi="Times New Roman" w:cs="Times New Roman"/>
                <w:sz w:val="24"/>
                <w:szCs w:val="24"/>
              </w:rPr>
              <w:t>/r</w:t>
            </w:r>
            <w:r>
              <w:rPr>
                <w:rFonts w:hint="default" w:ascii="Times New Roman" w:hAnsi="Times New Roman" w:cs="Times New Roman"/>
                <w:sz w:val="24"/>
                <w:szCs w:val="24"/>
                <w:vertAlign w:val="subscript"/>
              </w:rPr>
              <w:t>1</w:t>
            </w:r>
          </w:p>
          <w:p>
            <w:pPr>
              <w:widowControl/>
              <w:adjustRightInd w:val="0"/>
              <w:snapToGrid w:val="0"/>
              <w:spacing w:line="360" w:lineRule="auto"/>
              <w:ind w:firstLine="480" w:firstLineChars="200"/>
              <w:jc w:val="left"/>
              <w:rPr>
                <w:rFonts w:hint="default" w:ascii="Times New Roman" w:hAnsi="Times New Roman" w:cs="Times New Roman"/>
                <w:sz w:val="24"/>
                <w:szCs w:val="24"/>
              </w:rPr>
            </w:pPr>
            <w:r>
              <w:rPr>
                <w:rFonts w:hint="default" w:ascii="Times New Roman" w:hAnsi="Times New Roman" w:cs="Times New Roman"/>
                <w:sz w:val="24"/>
                <w:szCs w:val="24"/>
              </w:rPr>
              <w:t>式中：L</w:t>
            </w:r>
            <w:r>
              <w:rPr>
                <w:rFonts w:hint="default" w:ascii="Times New Roman" w:hAnsi="Times New Roman" w:cs="Times New Roman"/>
                <w:sz w:val="24"/>
                <w:szCs w:val="24"/>
                <w:vertAlign w:val="subscript"/>
              </w:rPr>
              <w:t>2</w:t>
            </w:r>
            <w:r>
              <w:rPr>
                <w:rFonts w:hint="default" w:ascii="Times New Roman" w:hAnsi="Times New Roman" w:cs="Times New Roman"/>
                <w:sz w:val="24"/>
                <w:szCs w:val="24"/>
              </w:rPr>
              <w:t>——距声源r</w:t>
            </w:r>
            <w:r>
              <w:rPr>
                <w:rFonts w:hint="default" w:ascii="Times New Roman" w:hAnsi="Times New Roman" w:cs="Times New Roman"/>
                <w:sz w:val="24"/>
                <w:szCs w:val="24"/>
                <w:vertAlign w:val="subscript"/>
              </w:rPr>
              <w:t>2</w:t>
            </w:r>
            <w:r>
              <w:rPr>
                <w:rFonts w:hint="default" w:ascii="Times New Roman" w:hAnsi="Times New Roman" w:cs="Times New Roman"/>
                <w:sz w:val="24"/>
                <w:szCs w:val="24"/>
              </w:rPr>
              <w:t>处声源值[dB（A）]；</w:t>
            </w:r>
          </w:p>
          <w:p>
            <w:pPr>
              <w:widowControl/>
              <w:adjustRightInd w:val="0"/>
              <w:snapToGrid w:val="0"/>
              <w:spacing w:line="360" w:lineRule="auto"/>
              <w:ind w:firstLine="1200" w:firstLineChars="500"/>
              <w:jc w:val="left"/>
              <w:rPr>
                <w:rFonts w:hint="default" w:ascii="Times New Roman" w:hAnsi="Times New Roman" w:cs="Times New Roman"/>
                <w:sz w:val="24"/>
                <w:szCs w:val="24"/>
              </w:rPr>
            </w:pP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1</w:t>
            </w:r>
            <w:r>
              <w:rPr>
                <w:rFonts w:hint="default" w:ascii="Times New Roman" w:hAnsi="Times New Roman" w:cs="Times New Roman"/>
                <w:sz w:val="24"/>
                <w:szCs w:val="24"/>
              </w:rPr>
              <w:t>——距声源r</w:t>
            </w:r>
            <w:r>
              <w:rPr>
                <w:rFonts w:hint="default" w:ascii="Times New Roman" w:hAnsi="Times New Roman" w:cs="Times New Roman"/>
                <w:sz w:val="24"/>
                <w:szCs w:val="24"/>
                <w:vertAlign w:val="subscript"/>
              </w:rPr>
              <w:t>1</w:t>
            </w:r>
            <w:r>
              <w:rPr>
                <w:rFonts w:hint="default" w:ascii="Times New Roman" w:hAnsi="Times New Roman" w:cs="Times New Roman"/>
                <w:sz w:val="24"/>
                <w:szCs w:val="24"/>
              </w:rPr>
              <w:t>处声源值[dB（A）]；</w:t>
            </w:r>
          </w:p>
          <w:p>
            <w:pPr>
              <w:widowControl/>
              <w:adjustRightInd w:val="0"/>
              <w:snapToGrid w:val="0"/>
              <w:spacing w:line="360" w:lineRule="auto"/>
              <w:ind w:firstLine="1200" w:firstLineChars="500"/>
              <w:jc w:val="left"/>
              <w:rPr>
                <w:rFonts w:hint="default" w:ascii="Times New Roman" w:hAnsi="Times New Roman" w:cs="Times New Roman"/>
                <w:sz w:val="24"/>
                <w:szCs w:val="24"/>
              </w:rPr>
            </w:pPr>
            <w:r>
              <w:rPr>
                <w:rFonts w:hint="default" w:ascii="Times New Roman" w:hAnsi="Times New Roman" w:cs="Times New Roman"/>
                <w:sz w:val="24"/>
                <w:szCs w:val="24"/>
              </w:rPr>
              <w:t>r</w:t>
            </w:r>
            <w:r>
              <w:rPr>
                <w:rFonts w:hint="default" w:ascii="Times New Roman" w:hAnsi="Times New Roman" w:cs="Times New Roman"/>
                <w:sz w:val="24"/>
                <w:szCs w:val="24"/>
                <w:vertAlign w:val="subscript"/>
              </w:rPr>
              <w:t>2</w:t>
            </w:r>
            <w:r>
              <w:rPr>
                <w:rFonts w:hint="default" w:ascii="Times New Roman" w:hAnsi="Times New Roman" w:cs="Times New Roman"/>
                <w:sz w:val="24"/>
                <w:szCs w:val="24"/>
              </w:rPr>
              <w:t>、r</w:t>
            </w:r>
            <w:r>
              <w:rPr>
                <w:rFonts w:hint="default" w:ascii="Times New Roman" w:hAnsi="Times New Roman" w:cs="Times New Roman"/>
                <w:sz w:val="24"/>
                <w:szCs w:val="24"/>
                <w:vertAlign w:val="subscript"/>
              </w:rPr>
              <w:t>1</w:t>
            </w:r>
            <w:r>
              <w:rPr>
                <w:rFonts w:hint="default" w:ascii="Times New Roman" w:hAnsi="Times New Roman" w:cs="Times New Roman"/>
                <w:sz w:val="24"/>
                <w:szCs w:val="24"/>
              </w:rPr>
              <w:t>——与声源的距离（m）；</w:t>
            </w:r>
          </w:p>
          <w:p>
            <w:pPr>
              <w:widowControl/>
              <w:adjustRightInd w:val="0"/>
              <w:snapToGrid w:val="0"/>
              <w:spacing w:line="360" w:lineRule="auto"/>
              <w:ind w:firstLine="480" w:firstLineChars="200"/>
              <w:jc w:val="left"/>
              <w:rPr>
                <w:rFonts w:hint="default" w:ascii="Times New Roman" w:hAnsi="Times New Roman" w:cs="Times New Roman"/>
                <w:sz w:val="24"/>
                <w:szCs w:val="24"/>
              </w:rPr>
            </w:pPr>
            <w:r>
              <w:rPr>
                <w:rFonts w:hint="default" w:ascii="Times New Roman" w:hAnsi="Times New Roman" w:cs="Times New Roman"/>
                <w:sz w:val="24"/>
                <w:szCs w:val="24"/>
              </w:rPr>
              <w:t>由上式预测单个噪声源在评价点的贡献值，再将不同声源在该点的贡献值用对数法叠加，得出多个噪声源对该点噪声的贡献值，采用的模式如下：</w:t>
            </w:r>
          </w:p>
          <w:p>
            <w:pPr>
              <w:pStyle w:val="38"/>
              <w:tabs>
                <w:tab w:val="left" w:pos="420"/>
                <w:tab w:val="left" w:pos="870"/>
                <w:tab w:val="left" w:pos="3150"/>
              </w:tabs>
              <w:adjustRightInd w:val="0"/>
              <w:snapToGrid w:val="0"/>
              <w:spacing w:after="0" w:line="360" w:lineRule="auto"/>
              <w:ind w:left="0" w:leftChars="0" w:firstLine="0" w:firstLineChars="0"/>
              <w:jc w:val="center"/>
              <w:rPr>
                <w:rFonts w:hint="default" w:ascii="Times New Roman" w:hAnsi="Times New Roman" w:cs="Times New Roman"/>
                <w:sz w:val="24"/>
                <w:szCs w:val="24"/>
              </w:rPr>
            </w:pPr>
            <w:r>
              <w:rPr>
                <w:rFonts w:hint="default" w:ascii="Times New Roman" w:hAnsi="Times New Roman" w:cs="Times New Roman"/>
                <w:sz w:val="24"/>
                <w:szCs w:val="24"/>
              </w:rPr>
              <w:t>L=10lg</w:t>
            </w:r>
            <w:r>
              <w:rPr>
                <w:rFonts w:hint="default" w:ascii="Times New Roman" w:hAnsi="Times New Roman" w:cs="Times New Roman"/>
                <w:sz w:val="24"/>
                <w:szCs w:val="24"/>
              </w:rPr>
              <w:object>
                <v:shape id="_x0000_i1072" o:spt="75" type="#_x0000_t75" style="height:33.8pt;width:45.1pt;" o:ole="t" filled="f" o:preferrelative="t" stroked="f" coordsize="21600,21600">
                  <v:path/>
                  <v:fill on="f" focussize="0,0"/>
                  <v:stroke on="f"/>
                  <v:imagedata r:id="rId43" o:title=""/>
                  <o:lock v:ext="edit" aspectratio="t"/>
                  <w10:wrap type="none"/>
                  <w10:anchorlock/>
                </v:shape>
                <o:OLEObject Type="Embed" ProgID="Equation.3" ShapeID="_x0000_i1072" DrawAspect="Content" ObjectID="_1468075727" r:id="rId42">
                  <o:LockedField>false</o:LockedField>
                </o:OLEObject>
              </w:object>
            </w:r>
          </w:p>
          <w:p>
            <w:pPr>
              <w:widowControl/>
              <w:adjustRightInd w:val="0"/>
              <w:snapToGrid w:val="0"/>
              <w:spacing w:line="360" w:lineRule="auto"/>
              <w:ind w:firstLine="480" w:firstLineChars="200"/>
              <w:jc w:val="left"/>
              <w:rPr>
                <w:rFonts w:hint="default" w:ascii="Times New Roman" w:hAnsi="Times New Roman" w:cs="Times New Roman"/>
                <w:sz w:val="24"/>
                <w:szCs w:val="24"/>
              </w:rPr>
            </w:pPr>
            <w:r>
              <w:rPr>
                <w:rFonts w:hint="default" w:ascii="Times New Roman" w:hAnsi="Times New Roman" w:cs="Times New Roman"/>
                <w:sz w:val="24"/>
                <w:szCs w:val="24"/>
              </w:rPr>
              <w:t>式中：L——叠加后总声压级[dB（A）]；</w:t>
            </w:r>
          </w:p>
          <w:p>
            <w:pPr>
              <w:widowControl/>
              <w:adjustRightInd w:val="0"/>
              <w:snapToGrid w:val="0"/>
              <w:spacing w:line="360" w:lineRule="auto"/>
              <w:ind w:firstLine="1200" w:firstLineChars="500"/>
              <w:jc w:val="left"/>
              <w:rPr>
                <w:rFonts w:hint="default" w:ascii="Times New Roman" w:hAnsi="Times New Roman" w:cs="Times New Roman"/>
                <w:sz w:val="24"/>
                <w:szCs w:val="24"/>
              </w:rPr>
            </w:pPr>
            <w:r>
              <w:rPr>
                <w:rFonts w:hint="default" w:ascii="Times New Roman" w:hAnsi="Times New Roman" w:cs="Times New Roman"/>
                <w:sz w:val="24"/>
                <w:szCs w:val="24"/>
              </w:rPr>
              <w:t>Li——各声源的噪声值[dB（A）]；</w:t>
            </w:r>
          </w:p>
          <w:p>
            <w:pPr>
              <w:widowControl/>
              <w:adjustRightInd w:val="0"/>
              <w:snapToGrid w:val="0"/>
              <w:spacing w:line="360" w:lineRule="auto"/>
              <w:ind w:firstLine="1200" w:firstLineChars="500"/>
              <w:jc w:val="left"/>
              <w:rPr>
                <w:rFonts w:hint="default" w:ascii="Times New Roman" w:hAnsi="Times New Roman" w:cs="Times New Roman"/>
                <w:sz w:val="24"/>
                <w:szCs w:val="24"/>
              </w:rPr>
            </w:pPr>
            <w:r>
              <w:rPr>
                <w:rFonts w:hint="default" w:ascii="Times New Roman" w:hAnsi="Times New Roman" w:cs="Times New Roman"/>
                <w:sz w:val="24"/>
                <w:szCs w:val="24"/>
              </w:rPr>
              <w:t>n——声源个数。</w:t>
            </w:r>
          </w:p>
          <w:p>
            <w:pPr>
              <w:widowControl/>
              <w:adjustRightInd w:val="0"/>
              <w:snapToGrid w:val="0"/>
              <w:spacing w:line="360" w:lineRule="auto"/>
              <w:ind w:firstLine="480" w:firstLineChars="200"/>
              <w:jc w:val="left"/>
              <w:rPr>
                <w:rFonts w:hint="default" w:ascii="Times New Roman" w:hAnsi="Times New Roman" w:cs="Times New Roman"/>
                <w:sz w:val="24"/>
                <w:szCs w:val="24"/>
              </w:rPr>
            </w:pPr>
            <w:r>
              <w:rPr>
                <w:rFonts w:hint="default" w:ascii="Times New Roman" w:hAnsi="Times New Roman" w:cs="Times New Roman"/>
                <w:sz w:val="24"/>
                <w:szCs w:val="24"/>
              </w:rPr>
              <w:t>施工期噪声预测结果见下表。</w:t>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rPr>
            </w:pPr>
            <w:r>
              <w:rPr>
                <w:rFonts w:hint="default" w:ascii="Times New Roman" w:hAnsi="Times New Roman" w:cs="Times New Roman"/>
                <w:b/>
                <w:bCs/>
              </w:rPr>
              <w:t>表4-</w:t>
            </w:r>
            <w:r>
              <w:rPr>
                <w:rFonts w:hint="eastAsia" w:ascii="Times New Roman" w:hAnsi="Times New Roman" w:cs="Times New Roman"/>
                <w:b/>
                <w:bCs/>
                <w:lang w:val="en-US" w:eastAsia="zh-CN"/>
              </w:rPr>
              <w:t>2</w:t>
            </w:r>
            <w:r>
              <w:rPr>
                <w:rFonts w:hint="default" w:ascii="Times New Roman" w:hAnsi="Times New Roman" w:cs="Times New Roman"/>
                <w:b/>
                <w:bCs/>
              </w:rPr>
              <w:t xml:space="preserve">  施工期噪声预测结果表</w:t>
            </w:r>
          </w:p>
          <w:tbl>
            <w:tblPr>
              <w:tblStyle w:val="3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5"/>
              <w:gridCol w:w="711"/>
              <w:gridCol w:w="621"/>
              <w:gridCol w:w="656"/>
              <w:gridCol w:w="656"/>
              <w:gridCol w:w="656"/>
              <w:gridCol w:w="673"/>
              <w:gridCol w:w="673"/>
              <w:gridCol w:w="673"/>
              <w:gridCol w:w="673"/>
              <w:gridCol w:w="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pct"/>
                  <w:vMerge w:val="restart"/>
                  <w:noWrap w:val="0"/>
                  <w:vAlign w:val="center"/>
                </w:tcPr>
                <w:p>
                  <w:pPr>
                    <w:widowControl/>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噪声源强值</w:t>
                  </w:r>
                </w:p>
              </w:tc>
              <w:tc>
                <w:tcPr>
                  <w:tcW w:w="4080" w:type="pct"/>
                  <w:gridSpan w:val="9"/>
                  <w:noWrap w:val="0"/>
                  <w:vAlign w:val="center"/>
                </w:tcPr>
                <w:p>
                  <w:pPr>
                    <w:widowControl/>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预测距离</w:t>
                  </w:r>
                </w:p>
              </w:tc>
              <w:tc>
                <w:tcPr>
                  <w:tcW w:w="291" w:type="pct"/>
                  <w:noWrap w:val="0"/>
                  <w:vAlign w:val="center"/>
                </w:tcPr>
                <w:p>
                  <w:pPr>
                    <w:widowControl/>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84" w:type="pct"/>
                  <w:noWrap w:val="0"/>
                  <w:vAlign w:val="center"/>
                </w:tcPr>
                <w:p>
                  <w:pPr>
                    <w:widowControl/>
                    <w:adjustRightInd w:val="0"/>
                    <w:snapToGrid w:val="0"/>
                    <w:spacing w:line="240" w:lineRule="auto"/>
                    <w:jc w:val="center"/>
                    <w:rPr>
                      <w:rFonts w:hint="default" w:ascii="Times New Roman" w:hAnsi="Times New Roman" w:cs="Times New Roman"/>
                      <w:b/>
                      <w:bCs/>
                      <w:sz w:val="18"/>
                      <w:szCs w:val="18"/>
                    </w:rPr>
                  </w:pPr>
                  <w:r>
                    <w:rPr>
                      <w:rFonts w:hint="default" w:ascii="Times New Roman" w:hAnsi="Times New Roman" w:cs="Times New Roman"/>
                      <w:b/>
                      <w:bCs/>
                      <w:sz w:val="18"/>
                      <w:szCs w:val="18"/>
                    </w:rPr>
                    <w:t>1m</w:t>
                  </w:r>
                </w:p>
              </w:tc>
              <w:tc>
                <w:tcPr>
                  <w:tcW w:w="391" w:type="pct"/>
                  <w:noWrap w:val="0"/>
                  <w:vAlign w:val="center"/>
                </w:tcPr>
                <w:p>
                  <w:pPr>
                    <w:widowControl/>
                    <w:adjustRightInd w:val="0"/>
                    <w:snapToGrid w:val="0"/>
                    <w:spacing w:line="240" w:lineRule="auto"/>
                    <w:jc w:val="center"/>
                    <w:rPr>
                      <w:rFonts w:hint="default" w:ascii="Times New Roman" w:hAnsi="Times New Roman" w:cs="Times New Roman"/>
                      <w:b/>
                      <w:bCs/>
                      <w:sz w:val="18"/>
                      <w:szCs w:val="18"/>
                    </w:rPr>
                  </w:pPr>
                  <w:r>
                    <w:rPr>
                      <w:rFonts w:hint="default" w:ascii="Times New Roman" w:hAnsi="Times New Roman" w:cs="Times New Roman"/>
                      <w:b/>
                      <w:bCs/>
                      <w:sz w:val="18"/>
                      <w:szCs w:val="18"/>
                    </w:rPr>
                    <w:t>10m</w:t>
                  </w:r>
                </w:p>
              </w:tc>
              <w:tc>
                <w:tcPr>
                  <w:tcW w:w="451" w:type="pct"/>
                  <w:noWrap w:val="0"/>
                  <w:vAlign w:val="center"/>
                </w:tcPr>
                <w:p>
                  <w:pPr>
                    <w:widowControl/>
                    <w:adjustRightInd w:val="0"/>
                    <w:snapToGrid w:val="0"/>
                    <w:spacing w:line="240" w:lineRule="auto"/>
                    <w:jc w:val="center"/>
                    <w:rPr>
                      <w:rFonts w:hint="default" w:ascii="Times New Roman" w:hAnsi="Times New Roman" w:cs="Times New Roman"/>
                      <w:b/>
                      <w:bCs/>
                      <w:sz w:val="18"/>
                      <w:szCs w:val="18"/>
                    </w:rPr>
                  </w:pPr>
                  <w:r>
                    <w:rPr>
                      <w:rFonts w:hint="default" w:ascii="Times New Roman" w:hAnsi="Times New Roman" w:cs="Times New Roman"/>
                      <w:b/>
                      <w:bCs/>
                      <w:sz w:val="18"/>
                      <w:szCs w:val="18"/>
                    </w:rPr>
                    <w:t>20m</w:t>
                  </w:r>
                </w:p>
              </w:tc>
              <w:tc>
                <w:tcPr>
                  <w:tcW w:w="451" w:type="pct"/>
                  <w:noWrap w:val="0"/>
                  <w:vAlign w:val="center"/>
                </w:tcPr>
                <w:p>
                  <w:pPr>
                    <w:widowControl/>
                    <w:adjustRightInd w:val="0"/>
                    <w:snapToGrid w:val="0"/>
                    <w:spacing w:line="240" w:lineRule="auto"/>
                    <w:jc w:val="center"/>
                    <w:rPr>
                      <w:rFonts w:hint="default" w:ascii="Times New Roman" w:hAnsi="Times New Roman" w:cs="Times New Roman"/>
                      <w:b/>
                      <w:bCs/>
                      <w:sz w:val="18"/>
                      <w:szCs w:val="18"/>
                    </w:rPr>
                  </w:pPr>
                  <w:r>
                    <w:rPr>
                      <w:rFonts w:hint="default" w:ascii="Times New Roman" w:hAnsi="Times New Roman" w:cs="Times New Roman"/>
                      <w:b/>
                      <w:bCs/>
                      <w:sz w:val="18"/>
                      <w:szCs w:val="18"/>
                    </w:rPr>
                    <w:t>50m</w:t>
                  </w:r>
                </w:p>
              </w:tc>
              <w:tc>
                <w:tcPr>
                  <w:tcW w:w="451" w:type="pct"/>
                  <w:noWrap w:val="0"/>
                  <w:vAlign w:val="center"/>
                </w:tcPr>
                <w:p>
                  <w:pPr>
                    <w:widowControl/>
                    <w:adjustRightInd w:val="0"/>
                    <w:snapToGrid w:val="0"/>
                    <w:spacing w:line="240" w:lineRule="auto"/>
                    <w:jc w:val="center"/>
                    <w:rPr>
                      <w:rFonts w:hint="default" w:ascii="Times New Roman" w:hAnsi="Times New Roman" w:cs="Times New Roman"/>
                      <w:b/>
                      <w:bCs/>
                      <w:sz w:val="18"/>
                      <w:szCs w:val="18"/>
                    </w:rPr>
                  </w:pPr>
                  <w:r>
                    <w:rPr>
                      <w:rFonts w:hint="default" w:ascii="Times New Roman" w:hAnsi="Times New Roman" w:cs="Times New Roman"/>
                      <w:b/>
                      <w:bCs/>
                      <w:sz w:val="18"/>
                      <w:szCs w:val="18"/>
                    </w:rPr>
                    <w:t>70m</w:t>
                  </w:r>
                </w:p>
              </w:tc>
              <w:tc>
                <w:tcPr>
                  <w:tcW w:w="463" w:type="pct"/>
                  <w:noWrap w:val="0"/>
                  <w:vAlign w:val="center"/>
                </w:tcPr>
                <w:p>
                  <w:pPr>
                    <w:widowControl/>
                    <w:adjustRightInd w:val="0"/>
                    <w:snapToGrid w:val="0"/>
                    <w:spacing w:line="240" w:lineRule="auto"/>
                    <w:jc w:val="center"/>
                    <w:rPr>
                      <w:rFonts w:hint="default" w:ascii="Times New Roman" w:hAnsi="Times New Roman" w:cs="Times New Roman"/>
                      <w:b/>
                      <w:bCs/>
                      <w:sz w:val="18"/>
                      <w:szCs w:val="18"/>
                    </w:rPr>
                  </w:pPr>
                  <w:r>
                    <w:rPr>
                      <w:rFonts w:hint="default" w:ascii="Times New Roman" w:hAnsi="Times New Roman" w:cs="Times New Roman"/>
                      <w:b/>
                      <w:bCs/>
                      <w:sz w:val="18"/>
                      <w:szCs w:val="18"/>
                    </w:rPr>
                    <w:t>100m</w:t>
                  </w:r>
                </w:p>
              </w:tc>
              <w:tc>
                <w:tcPr>
                  <w:tcW w:w="463" w:type="pct"/>
                  <w:noWrap w:val="0"/>
                  <w:vAlign w:val="center"/>
                </w:tcPr>
                <w:p>
                  <w:pPr>
                    <w:widowControl/>
                    <w:adjustRightInd w:val="0"/>
                    <w:snapToGrid w:val="0"/>
                    <w:spacing w:line="240" w:lineRule="auto"/>
                    <w:jc w:val="center"/>
                    <w:rPr>
                      <w:rFonts w:hint="default" w:ascii="Times New Roman" w:hAnsi="Times New Roman" w:cs="Times New Roman"/>
                      <w:b/>
                      <w:bCs/>
                      <w:sz w:val="18"/>
                      <w:szCs w:val="18"/>
                    </w:rPr>
                  </w:pPr>
                  <w:r>
                    <w:rPr>
                      <w:rFonts w:hint="default" w:ascii="Times New Roman" w:hAnsi="Times New Roman" w:cs="Times New Roman"/>
                      <w:b/>
                      <w:bCs/>
                      <w:sz w:val="18"/>
                      <w:szCs w:val="18"/>
                    </w:rPr>
                    <w:t>1</w:t>
                  </w:r>
                  <w:r>
                    <w:rPr>
                      <w:rFonts w:hint="eastAsia" w:ascii="Times New Roman" w:hAnsi="Times New Roman" w:cs="Times New Roman"/>
                      <w:b/>
                      <w:bCs/>
                      <w:sz w:val="18"/>
                      <w:szCs w:val="18"/>
                      <w:lang w:val="en-US" w:eastAsia="zh-CN"/>
                    </w:rPr>
                    <w:t>10</w:t>
                  </w:r>
                  <w:r>
                    <w:rPr>
                      <w:rFonts w:hint="default" w:ascii="Times New Roman" w:hAnsi="Times New Roman" w:cs="Times New Roman"/>
                      <w:b/>
                      <w:bCs/>
                      <w:sz w:val="18"/>
                      <w:szCs w:val="18"/>
                    </w:rPr>
                    <w:t>m</w:t>
                  </w:r>
                </w:p>
              </w:tc>
              <w:tc>
                <w:tcPr>
                  <w:tcW w:w="463" w:type="pct"/>
                  <w:noWrap w:val="0"/>
                  <w:vAlign w:val="center"/>
                </w:tcPr>
                <w:p>
                  <w:pPr>
                    <w:widowControl/>
                    <w:adjustRightInd w:val="0"/>
                    <w:snapToGrid w:val="0"/>
                    <w:spacing w:line="240" w:lineRule="auto"/>
                    <w:jc w:val="center"/>
                    <w:rPr>
                      <w:rFonts w:hint="default" w:ascii="Times New Roman" w:hAnsi="Times New Roman" w:cs="Times New Roman"/>
                      <w:b/>
                      <w:bCs/>
                      <w:sz w:val="18"/>
                      <w:szCs w:val="18"/>
                    </w:rPr>
                  </w:pPr>
                  <w:r>
                    <w:rPr>
                      <w:rFonts w:hint="default" w:ascii="Times New Roman" w:hAnsi="Times New Roman" w:cs="Times New Roman"/>
                      <w:b/>
                      <w:bCs/>
                      <w:sz w:val="18"/>
                      <w:szCs w:val="18"/>
                    </w:rPr>
                    <w:t>200m</w:t>
                  </w:r>
                </w:p>
              </w:tc>
              <w:tc>
                <w:tcPr>
                  <w:tcW w:w="459" w:type="pct"/>
                  <w:noWrap w:val="0"/>
                  <w:vAlign w:val="center"/>
                </w:tcPr>
                <w:p>
                  <w:pPr>
                    <w:widowControl/>
                    <w:adjustRightInd w:val="0"/>
                    <w:snapToGrid w:val="0"/>
                    <w:spacing w:line="240" w:lineRule="auto"/>
                    <w:jc w:val="center"/>
                    <w:rPr>
                      <w:rFonts w:hint="default" w:ascii="Times New Roman" w:hAnsi="Times New Roman" w:eastAsia="宋体" w:cs="Times New Roman"/>
                      <w:b/>
                      <w:bCs/>
                      <w:sz w:val="18"/>
                      <w:szCs w:val="18"/>
                      <w:lang w:val="en-US" w:eastAsia="zh-CN"/>
                    </w:rPr>
                  </w:pPr>
                  <w:r>
                    <w:rPr>
                      <w:rFonts w:hint="eastAsia" w:ascii="Times New Roman" w:hAnsi="Times New Roman" w:cs="Times New Roman"/>
                      <w:b/>
                      <w:bCs/>
                      <w:sz w:val="18"/>
                      <w:szCs w:val="18"/>
                      <w:lang w:val="en-US" w:eastAsia="zh-CN"/>
                    </w:rPr>
                    <w:t>360</w:t>
                  </w:r>
                  <w:r>
                    <w:rPr>
                      <w:rFonts w:hint="default" w:ascii="Times New Roman" w:hAnsi="Times New Roman" w:cs="Times New Roman"/>
                      <w:b/>
                      <w:bCs/>
                      <w:sz w:val="18"/>
                      <w:szCs w:val="18"/>
                      <w:lang w:val="en-US" w:eastAsia="zh-CN"/>
                    </w:rPr>
                    <w:t>m</w:t>
                  </w:r>
                </w:p>
              </w:tc>
              <w:tc>
                <w:tcPr>
                  <w:tcW w:w="291" w:type="pct"/>
                  <w:vMerge w:val="restart"/>
                  <w:noWrap w:val="0"/>
                  <w:vAlign w:val="center"/>
                </w:tcPr>
                <w:p>
                  <w:pPr>
                    <w:widowControl/>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以施工期最强噪声值预测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kern w:val="2"/>
                      <w:sz w:val="21"/>
                      <w:szCs w:val="21"/>
                      <w:lang w:val="en-US" w:eastAsia="zh-CN" w:bidi="ar-SA"/>
                    </w:rPr>
                  </w:pPr>
                  <w:r>
                    <w:rPr>
                      <w:rFonts w:hint="default" w:ascii="Times New Roman" w:hAnsi="Times New Roman" w:eastAsia="宋体" w:cs="Times New Roman"/>
                      <w:b w:val="0"/>
                      <w:bCs/>
                      <w:color w:val="auto"/>
                      <w:spacing w:val="0"/>
                      <w:sz w:val="21"/>
                      <w:szCs w:val="21"/>
                      <w:highlight w:val="none"/>
                      <w:lang w:val="en-US" w:eastAsia="zh-CN"/>
                    </w:rPr>
                    <w:t>挖掘机</w:t>
                  </w:r>
                </w:p>
              </w:tc>
              <w:tc>
                <w:tcPr>
                  <w:tcW w:w="484" w:type="pct"/>
                  <w:vMerge w:val="restart"/>
                  <w:noWrap w:val="0"/>
                  <w:vAlign w:val="center"/>
                </w:tcPr>
                <w:p>
                  <w:pPr>
                    <w:adjustRightInd w:val="0"/>
                    <w:snapToGrid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color w:val="auto"/>
                      <w:kern w:val="0"/>
                      <w:sz w:val="18"/>
                      <w:szCs w:val="18"/>
                      <w:lang w:val="en-US" w:eastAsia="zh-CN" w:bidi="ar"/>
                    </w:rPr>
                    <w:t>10</w:t>
                  </w:r>
                  <w:r>
                    <w:rPr>
                      <w:rFonts w:hint="eastAsia" w:ascii="Times New Roman" w:hAnsi="Times New Roman" w:eastAsia="宋体" w:cs="Times New Roman"/>
                      <w:color w:val="auto"/>
                      <w:kern w:val="0"/>
                      <w:sz w:val="18"/>
                      <w:szCs w:val="18"/>
                      <w:lang w:val="en-US" w:eastAsia="zh-CN" w:bidi="ar"/>
                    </w:rPr>
                    <w:t>0.91</w:t>
                  </w:r>
                </w:p>
              </w:tc>
              <w:tc>
                <w:tcPr>
                  <w:tcW w:w="391" w:type="pct"/>
                  <w:vMerge w:val="restart"/>
                  <w:noWrap w:val="0"/>
                  <w:vAlign w:val="center"/>
                </w:tcPr>
                <w:p>
                  <w:pPr>
                    <w:widowControl/>
                    <w:adjustRightInd w:val="0"/>
                    <w:snapToGrid w:val="0"/>
                    <w:jc w:val="center"/>
                    <w:rPr>
                      <w:rFonts w:hint="default" w:ascii="Times New Roman" w:hAnsi="Times New Roman" w:cs="Times New Roman"/>
                      <w:sz w:val="18"/>
                      <w:szCs w:val="18"/>
                      <w:lang w:val="en-US"/>
                    </w:rPr>
                  </w:pPr>
                  <w:r>
                    <w:rPr>
                      <w:rFonts w:hint="eastAsia" w:ascii="Times New Roman" w:hAnsi="Times New Roman" w:eastAsia="宋体" w:cs="Times New Roman"/>
                      <w:color w:val="auto"/>
                      <w:kern w:val="0"/>
                      <w:sz w:val="18"/>
                      <w:szCs w:val="18"/>
                      <w:lang w:val="en-US" w:eastAsia="zh-CN" w:bidi="ar"/>
                    </w:rPr>
                    <w:t>80.91</w:t>
                  </w:r>
                </w:p>
              </w:tc>
              <w:tc>
                <w:tcPr>
                  <w:tcW w:w="451" w:type="pct"/>
                  <w:vMerge w:val="restart"/>
                  <w:noWrap w:val="0"/>
                  <w:vAlign w:val="center"/>
                </w:tcPr>
                <w:p>
                  <w:pPr>
                    <w:widowControl/>
                    <w:adjustRightInd w:val="0"/>
                    <w:snapToGrid w:val="0"/>
                    <w:jc w:val="center"/>
                    <w:rPr>
                      <w:rFonts w:hint="default" w:ascii="Times New Roman" w:hAnsi="Times New Roman" w:cs="Times New Roman"/>
                      <w:sz w:val="18"/>
                      <w:szCs w:val="18"/>
                      <w:lang w:val="en-US"/>
                    </w:rPr>
                  </w:pPr>
                  <w:r>
                    <w:rPr>
                      <w:rFonts w:hint="eastAsia" w:ascii="Times New Roman" w:hAnsi="Times New Roman" w:eastAsia="宋体" w:cs="Times New Roman"/>
                      <w:color w:val="auto"/>
                      <w:kern w:val="0"/>
                      <w:sz w:val="18"/>
                      <w:szCs w:val="18"/>
                      <w:lang w:val="en-US" w:eastAsia="zh-CN" w:bidi="ar"/>
                    </w:rPr>
                    <w:t>74.89</w:t>
                  </w:r>
                </w:p>
              </w:tc>
              <w:tc>
                <w:tcPr>
                  <w:tcW w:w="451" w:type="pct"/>
                  <w:vMerge w:val="restart"/>
                  <w:noWrap w:val="0"/>
                  <w:vAlign w:val="center"/>
                </w:tcPr>
                <w:p>
                  <w:pPr>
                    <w:widowControl/>
                    <w:adjustRightInd w:val="0"/>
                    <w:snapToGrid w:val="0"/>
                    <w:jc w:val="center"/>
                    <w:rPr>
                      <w:rFonts w:hint="default" w:ascii="Times New Roman" w:hAnsi="Times New Roman" w:cs="Times New Roman"/>
                      <w:sz w:val="18"/>
                      <w:szCs w:val="18"/>
                      <w:lang w:val="en-US"/>
                    </w:rPr>
                  </w:pPr>
                  <w:r>
                    <w:rPr>
                      <w:rFonts w:hint="eastAsia" w:ascii="Times New Roman" w:hAnsi="Times New Roman" w:eastAsia="宋体" w:cs="Times New Roman"/>
                      <w:color w:val="auto"/>
                      <w:kern w:val="0"/>
                      <w:sz w:val="18"/>
                      <w:szCs w:val="18"/>
                      <w:lang w:val="en-US" w:eastAsia="zh-CN" w:bidi="ar"/>
                    </w:rPr>
                    <w:t>66.93</w:t>
                  </w:r>
                </w:p>
              </w:tc>
              <w:tc>
                <w:tcPr>
                  <w:tcW w:w="451" w:type="pct"/>
                  <w:vMerge w:val="restart"/>
                  <w:noWrap w:val="0"/>
                  <w:vAlign w:val="center"/>
                </w:tcPr>
                <w:p>
                  <w:pPr>
                    <w:widowControl/>
                    <w:adjustRightInd w:val="0"/>
                    <w:snapToGrid w:val="0"/>
                    <w:jc w:val="center"/>
                    <w:rPr>
                      <w:rFonts w:hint="default" w:ascii="Times New Roman" w:hAnsi="Times New Roman" w:cs="Times New Roman"/>
                      <w:sz w:val="18"/>
                      <w:szCs w:val="18"/>
                      <w:lang w:val="en-US"/>
                    </w:rPr>
                  </w:pPr>
                  <w:r>
                    <w:rPr>
                      <w:rFonts w:hint="eastAsia" w:ascii="Times New Roman" w:hAnsi="Times New Roman" w:eastAsia="宋体" w:cs="Times New Roman"/>
                      <w:color w:val="auto"/>
                      <w:kern w:val="0"/>
                      <w:sz w:val="18"/>
                      <w:szCs w:val="18"/>
                      <w:lang w:val="en-US" w:eastAsia="zh-CN" w:bidi="ar"/>
                    </w:rPr>
                    <w:t>64</w:t>
                  </w:r>
                </w:p>
              </w:tc>
              <w:tc>
                <w:tcPr>
                  <w:tcW w:w="463" w:type="pct"/>
                  <w:vMerge w:val="restart"/>
                  <w:noWrap w:val="0"/>
                  <w:vAlign w:val="center"/>
                </w:tcPr>
                <w:p>
                  <w:pPr>
                    <w:widowControl/>
                    <w:adjustRightInd w:val="0"/>
                    <w:snapToGrid w:val="0"/>
                    <w:jc w:val="center"/>
                    <w:rPr>
                      <w:rFonts w:hint="default" w:ascii="Times New Roman" w:hAnsi="Times New Roman" w:cs="Times New Roman"/>
                      <w:sz w:val="18"/>
                      <w:szCs w:val="18"/>
                      <w:lang w:val="en-US"/>
                    </w:rPr>
                  </w:pPr>
                  <w:r>
                    <w:rPr>
                      <w:rFonts w:hint="eastAsia" w:ascii="Times New Roman" w:hAnsi="Times New Roman" w:eastAsia="宋体" w:cs="Times New Roman"/>
                      <w:color w:val="auto"/>
                      <w:kern w:val="0"/>
                      <w:sz w:val="18"/>
                      <w:szCs w:val="18"/>
                      <w:lang w:val="en-US" w:eastAsia="zh-CN" w:bidi="ar"/>
                    </w:rPr>
                    <w:t>60.91</w:t>
                  </w:r>
                </w:p>
              </w:tc>
              <w:tc>
                <w:tcPr>
                  <w:tcW w:w="463" w:type="pct"/>
                  <w:vMerge w:val="restart"/>
                  <w:noWrap w:val="0"/>
                  <w:vAlign w:val="center"/>
                </w:tcPr>
                <w:p>
                  <w:pPr>
                    <w:widowControl/>
                    <w:adjustRightInd w:val="0"/>
                    <w:snapToGrid w:val="0"/>
                    <w:jc w:val="center"/>
                    <w:rPr>
                      <w:rFonts w:hint="default" w:ascii="Times New Roman" w:hAnsi="Times New Roman" w:cs="Times New Roman"/>
                      <w:sz w:val="18"/>
                      <w:szCs w:val="18"/>
                    </w:rPr>
                  </w:pPr>
                  <w:r>
                    <w:rPr>
                      <w:rFonts w:hint="default" w:ascii="Times New Roman" w:hAnsi="Times New Roman" w:eastAsia="宋体" w:cs="Times New Roman"/>
                      <w:color w:val="auto"/>
                      <w:kern w:val="0"/>
                      <w:sz w:val="18"/>
                      <w:szCs w:val="18"/>
                      <w:lang w:val="en-US" w:eastAsia="zh-CN" w:bidi="ar"/>
                    </w:rPr>
                    <w:t>6</w:t>
                  </w:r>
                  <w:r>
                    <w:rPr>
                      <w:rFonts w:hint="eastAsia" w:ascii="Times New Roman" w:hAnsi="Times New Roman" w:eastAsia="宋体" w:cs="Times New Roman"/>
                      <w:color w:val="auto"/>
                      <w:kern w:val="0"/>
                      <w:sz w:val="18"/>
                      <w:szCs w:val="18"/>
                      <w:lang w:val="en-US" w:eastAsia="zh-CN" w:bidi="ar"/>
                    </w:rPr>
                    <w:t>0</w:t>
                  </w:r>
                </w:p>
              </w:tc>
              <w:tc>
                <w:tcPr>
                  <w:tcW w:w="463" w:type="pct"/>
                  <w:vMerge w:val="restart"/>
                  <w:noWrap w:val="0"/>
                  <w:vAlign w:val="center"/>
                </w:tcPr>
                <w:p>
                  <w:pPr>
                    <w:widowControl/>
                    <w:adjustRightInd w:val="0"/>
                    <w:snapToGrid w:val="0"/>
                    <w:jc w:val="center"/>
                    <w:rPr>
                      <w:rFonts w:hint="default" w:ascii="Times New Roman" w:hAnsi="Times New Roman" w:cs="Times New Roman"/>
                      <w:sz w:val="18"/>
                      <w:szCs w:val="18"/>
                      <w:lang w:val="en-US"/>
                    </w:rPr>
                  </w:pPr>
                  <w:r>
                    <w:rPr>
                      <w:rFonts w:hint="eastAsia" w:ascii="Times New Roman" w:hAnsi="Times New Roman" w:eastAsia="宋体" w:cs="Times New Roman"/>
                      <w:color w:val="auto"/>
                      <w:kern w:val="0"/>
                      <w:sz w:val="18"/>
                      <w:szCs w:val="18"/>
                      <w:lang w:val="en-US" w:eastAsia="zh-CN" w:bidi="ar"/>
                    </w:rPr>
                    <w:t>54.89</w:t>
                  </w:r>
                </w:p>
              </w:tc>
              <w:tc>
                <w:tcPr>
                  <w:tcW w:w="459" w:type="pct"/>
                  <w:vMerge w:val="restart"/>
                  <w:noWrap w:val="0"/>
                  <w:vAlign w:val="center"/>
                </w:tcPr>
                <w:p>
                  <w:pPr>
                    <w:widowControl/>
                    <w:adjustRightInd w:val="0"/>
                    <w:snapToGrid w:val="0"/>
                    <w:jc w:val="center"/>
                    <w:rPr>
                      <w:rFonts w:hint="default" w:ascii="Times New Roman" w:hAnsi="Times New Roman" w:cs="Times New Roman"/>
                      <w:sz w:val="18"/>
                      <w:szCs w:val="18"/>
                      <w:lang w:val="en-US"/>
                    </w:rPr>
                  </w:pPr>
                  <w:r>
                    <w:rPr>
                      <w:rFonts w:hint="eastAsia" w:ascii="Times New Roman" w:hAnsi="Times New Roman" w:eastAsia="宋体" w:cs="Times New Roman"/>
                      <w:color w:val="auto"/>
                      <w:kern w:val="0"/>
                      <w:sz w:val="18"/>
                      <w:szCs w:val="18"/>
                      <w:lang w:val="en-US" w:eastAsia="zh-CN" w:bidi="ar"/>
                    </w:rPr>
                    <w:t>49.78</w:t>
                  </w:r>
                </w:p>
              </w:tc>
              <w:tc>
                <w:tcPr>
                  <w:tcW w:w="29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kern w:val="2"/>
                      <w:sz w:val="21"/>
                      <w:szCs w:val="21"/>
                      <w:lang w:val="en-US" w:eastAsia="zh-CN" w:bidi="ar-SA"/>
                    </w:rPr>
                  </w:pPr>
                  <w:r>
                    <w:rPr>
                      <w:rFonts w:hint="eastAsia" w:ascii="Times New Roman" w:hAnsi="Times New Roman" w:eastAsia="宋体" w:cs="Times New Roman"/>
                      <w:b w:val="0"/>
                      <w:bCs/>
                      <w:color w:val="auto"/>
                      <w:spacing w:val="0"/>
                      <w:sz w:val="21"/>
                      <w:szCs w:val="21"/>
                      <w:highlight w:val="none"/>
                      <w:lang w:val="en-US" w:eastAsia="zh-CN"/>
                    </w:rPr>
                    <w:t>推土机</w:t>
                  </w:r>
                </w:p>
              </w:tc>
              <w:tc>
                <w:tcPr>
                  <w:tcW w:w="484" w:type="pct"/>
                  <w:vMerge w:val="continue"/>
                  <w:noWrap w:val="0"/>
                  <w:vAlign w:val="center"/>
                </w:tcPr>
                <w:p>
                  <w:pPr>
                    <w:adjustRightInd w:val="0"/>
                    <w:snapToGrid w:val="0"/>
                    <w:spacing w:line="240" w:lineRule="auto"/>
                    <w:jc w:val="center"/>
                    <w:rPr>
                      <w:rFonts w:hint="default" w:ascii="Times New Roman" w:hAnsi="Times New Roman" w:cs="Times New Roman"/>
                      <w:sz w:val="21"/>
                      <w:szCs w:val="21"/>
                    </w:rPr>
                  </w:pPr>
                </w:p>
              </w:tc>
              <w:tc>
                <w:tcPr>
                  <w:tcW w:w="39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9"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29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
                    </w:rPr>
                    <w:t>蛙式打夯机</w:t>
                  </w:r>
                </w:p>
              </w:tc>
              <w:tc>
                <w:tcPr>
                  <w:tcW w:w="484" w:type="pct"/>
                  <w:vMerge w:val="continue"/>
                  <w:noWrap w:val="0"/>
                  <w:vAlign w:val="center"/>
                </w:tcPr>
                <w:p>
                  <w:pPr>
                    <w:adjustRightInd w:val="0"/>
                    <w:snapToGrid w:val="0"/>
                    <w:spacing w:line="240" w:lineRule="auto"/>
                    <w:jc w:val="center"/>
                    <w:rPr>
                      <w:rFonts w:hint="default" w:ascii="Times New Roman" w:hAnsi="Times New Roman" w:cs="Times New Roman"/>
                      <w:sz w:val="21"/>
                      <w:szCs w:val="21"/>
                    </w:rPr>
                  </w:pPr>
                </w:p>
              </w:tc>
              <w:tc>
                <w:tcPr>
                  <w:tcW w:w="39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9"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29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
                    </w:rPr>
                    <w:t>小型振动碾</w:t>
                  </w:r>
                </w:p>
              </w:tc>
              <w:tc>
                <w:tcPr>
                  <w:tcW w:w="484" w:type="pct"/>
                  <w:vMerge w:val="continue"/>
                  <w:noWrap w:val="0"/>
                  <w:vAlign w:val="center"/>
                </w:tcPr>
                <w:p>
                  <w:pPr>
                    <w:adjustRightInd w:val="0"/>
                    <w:snapToGrid w:val="0"/>
                    <w:spacing w:line="240" w:lineRule="auto"/>
                    <w:jc w:val="center"/>
                    <w:rPr>
                      <w:rFonts w:hint="default" w:ascii="Times New Roman" w:hAnsi="Times New Roman" w:cs="Times New Roman"/>
                      <w:sz w:val="21"/>
                      <w:szCs w:val="21"/>
                    </w:rPr>
                  </w:pPr>
                </w:p>
              </w:tc>
              <w:tc>
                <w:tcPr>
                  <w:tcW w:w="39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9"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29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
                    </w:rPr>
                    <w:t>轮胎碾</w:t>
                  </w:r>
                </w:p>
              </w:tc>
              <w:tc>
                <w:tcPr>
                  <w:tcW w:w="484" w:type="pct"/>
                  <w:vMerge w:val="continue"/>
                  <w:noWrap w:val="0"/>
                  <w:vAlign w:val="center"/>
                </w:tcPr>
                <w:p>
                  <w:pPr>
                    <w:adjustRightInd w:val="0"/>
                    <w:snapToGrid w:val="0"/>
                    <w:spacing w:line="240" w:lineRule="auto"/>
                    <w:jc w:val="center"/>
                    <w:rPr>
                      <w:rFonts w:hint="default" w:ascii="Times New Roman" w:hAnsi="Times New Roman" w:cs="Times New Roman"/>
                      <w:sz w:val="21"/>
                      <w:szCs w:val="21"/>
                    </w:rPr>
                  </w:pPr>
                </w:p>
              </w:tc>
              <w:tc>
                <w:tcPr>
                  <w:tcW w:w="39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9"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29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
                    </w:rPr>
                    <w:t>插入式振捣器</w:t>
                  </w:r>
                </w:p>
              </w:tc>
              <w:tc>
                <w:tcPr>
                  <w:tcW w:w="484" w:type="pct"/>
                  <w:vMerge w:val="continue"/>
                  <w:noWrap w:val="0"/>
                  <w:vAlign w:val="center"/>
                </w:tcPr>
                <w:p>
                  <w:pPr>
                    <w:adjustRightInd w:val="0"/>
                    <w:snapToGrid w:val="0"/>
                    <w:spacing w:line="240" w:lineRule="auto"/>
                    <w:jc w:val="center"/>
                    <w:rPr>
                      <w:rFonts w:hint="default" w:ascii="Times New Roman" w:hAnsi="Times New Roman" w:cs="Times New Roman"/>
                      <w:sz w:val="21"/>
                      <w:szCs w:val="21"/>
                    </w:rPr>
                  </w:pPr>
                </w:p>
              </w:tc>
              <w:tc>
                <w:tcPr>
                  <w:tcW w:w="39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9"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29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6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
                    </w:rPr>
                    <w:t>自卸汽车</w:t>
                  </w:r>
                </w:p>
              </w:tc>
              <w:tc>
                <w:tcPr>
                  <w:tcW w:w="484" w:type="pct"/>
                  <w:vMerge w:val="continue"/>
                  <w:noWrap w:val="0"/>
                  <w:vAlign w:val="center"/>
                </w:tcPr>
                <w:p>
                  <w:pPr>
                    <w:adjustRightInd w:val="0"/>
                    <w:snapToGrid w:val="0"/>
                    <w:spacing w:line="240" w:lineRule="auto"/>
                    <w:jc w:val="center"/>
                    <w:rPr>
                      <w:rFonts w:hint="default" w:ascii="Times New Roman" w:hAnsi="Times New Roman" w:cs="Times New Roman"/>
                      <w:sz w:val="21"/>
                      <w:szCs w:val="21"/>
                    </w:rPr>
                  </w:pPr>
                </w:p>
              </w:tc>
              <w:tc>
                <w:tcPr>
                  <w:tcW w:w="39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9"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29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kern w:val="2"/>
                      <w:sz w:val="21"/>
                      <w:szCs w:val="21"/>
                      <w:lang w:val="en-US" w:eastAsia="zh-CN" w:bidi="ar-SA"/>
                    </w:rPr>
                  </w:pPr>
                  <w:r>
                    <w:rPr>
                      <w:rFonts w:hint="default" w:ascii="Times New Roman" w:hAnsi="Times New Roman" w:eastAsia="宋体" w:cs="Times New Roman"/>
                      <w:color w:val="auto"/>
                      <w:sz w:val="21"/>
                      <w:szCs w:val="21"/>
                    </w:rPr>
                    <w:t>载重汽车</w:t>
                  </w:r>
                </w:p>
              </w:tc>
              <w:tc>
                <w:tcPr>
                  <w:tcW w:w="484" w:type="pct"/>
                  <w:vMerge w:val="continue"/>
                  <w:noWrap w:val="0"/>
                  <w:vAlign w:val="center"/>
                </w:tcPr>
                <w:p>
                  <w:pPr>
                    <w:adjustRightInd w:val="0"/>
                    <w:snapToGrid w:val="0"/>
                    <w:spacing w:line="240" w:lineRule="auto"/>
                    <w:jc w:val="center"/>
                    <w:rPr>
                      <w:rFonts w:hint="default" w:ascii="Times New Roman" w:hAnsi="Times New Roman" w:cs="Times New Roman"/>
                      <w:sz w:val="21"/>
                      <w:szCs w:val="21"/>
                    </w:rPr>
                  </w:pPr>
                </w:p>
              </w:tc>
              <w:tc>
                <w:tcPr>
                  <w:tcW w:w="39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63"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459"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c>
                <w:tcPr>
                  <w:tcW w:w="291" w:type="pct"/>
                  <w:vMerge w:val="continue"/>
                  <w:noWrap w:val="0"/>
                  <w:vAlign w:val="center"/>
                </w:tcPr>
                <w:p>
                  <w:pPr>
                    <w:widowControl/>
                    <w:adjustRightInd w:val="0"/>
                    <w:snapToGrid w:val="0"/>
                    <w:spacing w:line="240" w:lineRule="auto"/>
                    <w:jc w:val="center"/>
                    <w:rPr>
                      <w:rFonts w:hint="default" w:ascii="Times New Roman" w:hAnsi="Times New Roman" w:cs="Times New Roman"/>
                      <w:sz w:val="21"/>
                      <w:szCs w:val="21"/>
                    </w:rPr>
                  </w:pPr>
                </w:p>
              </w:tc>
            </w:tr>
          </w:tbl>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
                <w:bCs/>
                <w:sz w:val="24"/>
                <w:szCs w:val="24"/>
              </w:rPr>
            </w:pPr>
            <w:r>
              <w:rPr>
                <w:rFonts w:hint="default" w:ascii="Times New Roman" w:hAnsi="Times New Roman" w:cs="Times New Roman"/>
                <w:sz w:val="24"/>
                <w:szCs w:val="24"/>
              </w:rPr>
              <w:t>由上表中的计算结果可知，施工期间产生的施工噪声昼间将对</w:t>
            </w:r>
            <w:r>
              <w:rPr>
                <w:rFonts w:hint="eastAsia" w:ascii="Times New Roman" w:hAnsi="Times New Roman" w:cs="Times New Roman"/>
                <w:sz w:val="24"/>
                <w:szCs w:val="24"/>
                <w:lang w:val="en-US" w:eastAsia="zh-CN"/>
              </w:rPr>
              <w:t>10</w:t>
            </w:r>
            <w:r>
              <w:rPr>
                <w:rFonts w:hint="default" w:ascii="Times New Roman" w:hAnsi="Times New Roman" w:cs="Times New Roman"/>
                <w:sz w:val="24"/>
                <w:szCs w:val="24"/>
              </w:rPr>
              <w:t>0m范围内，夜间将对</w:t>
            </w:r>
            <w:r>
              <w:rPr>
                <w:rFonts w:hint="eastAsia" w:ascii="Times New Roman" w:hAnsi="Times New Roman" w:cs="Times New Roman"/>
                <w:sz w:val="24"/>
                <w:szCs w:val="24"/>
                <w:lang w:val="en-US" w:eastAsia="zh-CN"/>
              </w:rPr>
              <w:t>360</w:t>
            </w:r>
            <w:r>
              <w:rPr>
                <w:rFonts w:hint="default" w:ascii="Times New Roman" w:hAnsi="Times New Roman" w:cs="Times New Roman"/>
                <w:sz w:val="24"/>
                <w:szCs w:val="24"/>
              </w:rPr>
              <w:t>m范围内造成噪声影响</w:t>
            </w:r>
            <w:r>
              <w:rPr>
                <w:rFonts w:hint="default" w:ascii="Times New Roman" w:hAnsi="Times New Roman" w:cs="Times New Roman"/>
                <w:sz w:val="24"/>
                <w:szCs w:val="24"/>
                <w:lang w:eastAsia="zh-CN"/>
              </w:rPr>
              <w:t>，</w:t>
            </w:r>
            <w:r>
              <w:rPr>
                <w:rFonts w:hint="default" w:ascii="Times New Roman" w:hAnsi="Times New Roman" w:cs="Times New Roman"/>
                <w:b/>
                <w:bCs/>
                <w:sz w:val="24"/>
                <w:szCs w:val="24"/>
              </w:rPr>
              <w:t>本项目夜间不施工</w:t>
            </w:r>
            <w:r>
              <w:rPr>
                <w:rFonts w:hint="default" w:ascii="Times New Roman" w:hAnsi="Times New Roman" w:cs="Times New Roman"/>
                <w:b w:val="0"/>
                <w:bCs w:val="0"/>
                <w:sz w:val="24"/>
                <w:szCs w:val="24"/>
              </w:rPr>
              <w:t>。</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lang w:eastAsia="zh-CN"/>
              </w:rPr>
            </w:pPr>
            <w:r>
              <w:rPr>
                <w:rFonts w:hint="default" w:ascii="Times New Roman" w:hAnsi="Times New Roman" w:cs="Times New Roman"/>
                <w:sz w:val="24"/>
                <w:szCs w:val="24"/>
              </w:rPr>
              <w:t>本项目施工期影响是有限的、暂时的，</w:t>
            </w:r>
            <w:r>
              <w:rPr>
                <w:rFonts w:hint="default" w:ascii="Times New Roman" w:hAnsi="Times New Roman" w:cs="Times New Roman"/>
                <w:sz w:val="24"/>
                <w:szCs w:val="24"/>
                <w:lang w:eastAsia="zh-CN"/>
              </w:rPr>
              <w:t>且</w:t>
            </w:r>
            <w:r>
              <w:rPr>
                <w:rFonts w:hint="default" w:ascii="Times New Roman" w:hAnsi="Times New Roman" w:cs="Times New Roman"/>
                <w:sz w:val="24"/>
                <w:szCs w:val="24"/>
              </w:rPr>
              <w:t>会随着施工期的结束而消失，</w:t>
            </w:r>
            <w:r>
              <w:rPr>
                <w:rFonts w:hint="default" w:ascii="Times New Roman" w:hAnsi="Times New Roman" w:cs="Times New Roman"/>
                <w:sz w:val="24"/>
                <w:szCs w:val="24"/>
                <w:lang w:eastAsia="zh-CN"/>
              </w:rPr>
              <w:t>在采取环保措施后</w:t>
            </w:r>
            <w:r>
              <w:rPr>
                <w:rFonts w:hint="default" w:ascii="Times New Roman" w:hAnsi="Times New Roman" w:cs="Times New Roman"/>
                <w:sz w:val="24"/>
                <w:szCs w:val="24"/>
              </w:rPr>
              <w:t>对周围环境影响较小</w:t>
            </w:r>
            <w:r>
              <w:rPr>
                <w:rFonts w:hint="default" w:ascii="Times New Roman" w:hAnsi="Times New Roman" w:cs="Times New Roman"/>
                <w:sz w:val="24"/>
                <w:szCs w:val="24"/>
                <w:lang w:eastAsia="zh-CN"/>
              </w:rPr>
              <w:t>。</w:t>
            </w:r>
          </w:p>
          <w:p>
            <w:pPr>
              <w:pStyle w:val="6"/>
              <w:keepNext w:val="0"/>
              <w:keepLines w:val="0"/>
              <w:pageBreakBefore w:val="0"/>
              <w:widowControl w:val="0"/>
              <w:numPr>
                <w:ilvl w:val="3"/>
                <w:numId w:val="0"/>
              </w:numPr>
              <w:kinsoku/>
              <w:wordWrap/>
              <w:overflowPunct/>
              <w:topLinePunct w:val="0"/>
              <w:autoSpaceDE w:val="0"/>
              <w:autoSpaceDN w:val="0"/>
              <w:bidi w:val="0"/>
              <w:adjustRightInd w:val="0"/>
              <w:snapToGrid w:val="0"/>
              <w:spacing w:before="0" w:line="360" w:lineRule="auto"/>
              <w:ind w:left="0" w:leftChars="0" w:firstLine="482" w:firstLineChars="200"/>
              <w:textAlignment w:val="baseline"/>
              <w:rPr>
                <w:rFonts w:hint="default" w:ascii="Times New Roman" w:hAnsi="Times New Roman" w:eastAsia="宋体" w:cs="Times New Roman"/>
                <w:b/>
                <w:bCs w:val="0"/>
                <w:color w:val="auto"/>
                <w:spacing w:val="0"/>
                <w:sz w:val="24"/>
                <w:lang w:val="en-US" w:eastAsia="zh-CN" w:bidi="ar-SA"/>
              </w:rPr>
            </w:pPr>
            <w:r>
              <w:rPr>
                <w:rFonts w:hint="default" w:ascii="Times New Roman" w:hAnsi="Times New Roman" w:cs="Times New Roman"/>
                <w:b/>
                <w:bCs w:val="0"/>
                <w:color w:val="auto"/>
                <w:spacing w:val="0"/>
                <w:sz w:val="24"/>
                <w:lang w:val="en-US" w:eastAsia="zh-CN" w:bidi="ar-SA"/>
              </w:rPr>
              <w:t>6、</w:t>
            </w:r>
            <w:r>
              <w:rPr>
                <w:rFonts w:hint="eastAsia" w:ascii="Times New Roman" w:hAnsi="Times New Roman" w:eastAsia="宋体" w:cs="Times New Roman"/>
                <w:b/>
                <w:bCs w:val="0"/>
                <w:color w:val="auto"/>
                <w:spacing w:val="0"/>
                <w:sz w:val="24"/>
                <w:lang w:val="en-US" w:eastAsia="zh-CN" w:bidi="ar-SA"/>
              </w:rPr>
              <w:t>固体废物</w:t>
            </w:r>
          </w:p>
          <w:p>
            <w:pPr>
              <w:pStyle w:val="8"/>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480" w:firstLineChars="200"/>
              <w:jc w:val="both"/>
              <w:textAlignment w:val="baseline"/>
              <w:rPr>
                <w:rFonts w:hint="default" w:ascii="Times New Roman" w:hAnsi="Times New Roman" w:eastAsia="宋体" w:cs="Times New Roman"/>
                <w:color w:val="auto"/>
                <w:spacing w:val="0"/>
                <w:kern w:val="2"/>
                <w:sz w:val="24"/>
                <w:szCs w:val="24"/>
                <w:lang w:val="en-US" w:eastAsia="zh-CN" w:bidi="ar-SA"/>
              </w:rPr>
            </w:pPr>
            <w:r>
              <w:rPr>
                <w:rFonts w:hint="default" w:ascii="Times New Roman" w:hAnsi="Times New Roman" w:eastAsia="宋体" w:cs="Times New Roman"/>
                <w:color w:val="auto"/>
                <w:spacing w:val="0"/>
                <w:kern w:val="2"/>
                <w:sz w:val="24"/>
                <w:szCs w:val="24"/>
                <w:lang w:val="en-US" w:eastAsia="zh-CN" w:bidi="ar-SA"/>
              </w:rPr>
              <w:t>项目不产生工程弃渣，机械维修就近外委，施工期固体废物主要包括</w:t>
            </w:r>
            <w:r>
              <w:rPr>
                <w:rFonts w:hint="eastAsia" w:ascii="Times New Roman" w:hAnsi="Times New Roman" w:eastAsia="宋体" w:cs="Times New Roman"/>
                <w:color w:val="auto"/>
                <w:spacing w:val="0"/>
                <w:kern w:val="2"/>
                <w:sz w:val="24"/>
                <w:szCs w:val="24"/>
                <w:lang w:val="en-US" w:eastAsia="zh-CN" w:bidi="ar-SA"/>
              </w:rPr>
              <w:t>弃土、</w:t>
            </w:r>
            <w:r>
              <w:rPr>
                <w:rFonts w:hint="default" w:ascii="Times New Roman" w:hAnsi="Times New Roman" w:eastAsia="宋体" w:cs="Times New Roman"/>
                <w:color w:val="auto"/>
                <w:spacing w:val="0"/>
                <w:kern w:val="2"/>
                <w:sz w:val="24"/>
                <w:szCs w:val="24"/>
                <w:lang w:val="en-US" w:eastAsia="zh-CN" w:bidi="ar-SA"/>
              </w:rPr>
              <w:t>建筑垃圾、疏浚料、</w:t>
            </w:r>
            <w:r>
              <w:rPr>
                <w:rFonts w:hint="eastAsia" w:ascii="Times New Roman" w:hAnsi="Times New Roman" w:eastAsia="宋体" w:cs="Times New Roman"/>
                <w:color w:val="auto"/>
                <w:spacing w:val="0"/>
                <w:kern w:val="2"/>
                <w:sz w:val="24"/>
                <w:szCs w:val="24"/>
                <w:lang w:val="en-US" w:eastAsia="zh-CN" w:bidi="ar-SA"/>
              </w:rPr>
              <w:t>沉淀池底泥、</w:t>
            </w:r>
            <w:r>
              <w:rPr>
                <w:rFonts w:hint="default" w:ascii="Times New Roman" w:hAnsi="Times New Roman" w:eastAsia="宋体" w:cs="Times New Roman"/>
                <w:color w:val="auto"/>
                <w:spacing w:val="0"/>
                <w:kern w:val="2"/>
                <w:sz w:val="24"/>
                <w:szCs w:val="24"/>
                <w:lang w:val="en-US" w:eastAsia="zh-CN" w:bidi="ar-SA"/>
              </w:rPr>
              <w:t>生活垃圾。</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textAlignment w:val="baseline"/>
              <w:rPr>
                <w:rFonts w:hint="default" w:ascii="Times New Roman" w:hAnsi="Times New Roman" w:cs="Times New Roman"/>
                <w:b/>
                <w:bCs/>
                <w:color w:val="auto"/>
                <w:spacing w:val="0"/>
                <w:sz w:val="24"/>
                <w:szCs w:val="24"/>
                <w:lang w:val="en-US" w:eastAsia="zh-CN"/>
              </w:rPr>
            </w:pPr>
            <w:r>
              <w:rPr>
                <w:rFonts w:hint="default" w:ascii="Times New Roman" w:hAnsi="Times New Roman" w:cs="Times New Roman"/>
                <w:b/>
                <w:bCs/>
                <w:color w:val="auto"/>
                <w:spacing w:val="0"/>
                <w:sz w:val="24"/>
                <w:szCs w:val="24"/>
                <w:lang w:val="en-US" w:eastAsia="zh-CN"/>
              </w:rPr>
              <w:t>（1）施工人员生活垃圾</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pacing w:val="0"/>
                <w:sz w:val="24"/>
                <w:szCs w:val="24"/>
                <w:lang w:val="en-US" w:eastAsia="zh-CN"/>
              </w:rPr>
            </w:pPr>
            <w:r>
              <w:rPr>
                <w:rFonts w:hint="default" w:ascii="Times New Roman" w:hAnsi="Times New Roman" w:cs="Times New Roman"/>
                <w:color w:val="auto"/>
                <w:spacing w:val="0"/>
                <w:sz w:val="24"/>
                <w:szCs w:val="24"/>
                <w:lang w:val="en-US" w:eastAsia="zh-CN"/>
              </w:rPr>
              <w:t>施工期施工人员有</w:t>
            </w:r>
            <w:r>
              <w:rPr>
                <w:rFonts w:hint="eastAsia" w:ascii="Times New Roman" w:hAnsi="Times New Roman" w:cs="Times New Roman"/>
                <w:color w:val="auto"/>
                <w:spacing w:val="0"/>
                <w:sz w:val="24"/>
                <w:szCs w:val="24"/>
                <w:lang w:val="en-US" w:eastAsia="zh-CN"/>
              </w:rPr>
              <w:t>80</w:t>
            </w:r>
            <w:r>
              <w:rPr>
                <w:rFonts w:hint="default" w:ascii="Times New Roman" w:hAnsi="Times New Roman" w:cs="Times New Roman"/>
                <w:color w:val="auto"/>
                <w:spacing w:val="0"/>
                <w:sz w:val="24"/>
                <w:szCs w:val="24"/>
                <w:lang w:val="en-US" w:eastAsia="zh-CN"/>
              </w:rPr>
              <w:t>人，生活垃圾发生量按1.0kg/人·天计，则施工人员生活垃圾产生总量为</w:t>
            </w:r>
            <w:r>
              <w:rPr>
                <w:rFonts w:hint="eastAsia" w:ascii="Times New Roman" w:hAnsi="Times New Roman" w:cs="Times New Roman"/>
                <w:color w:val="auto"/>
                <w:spacing w:val="0"/>
                <w:sz w:val="24"/>
                <w:szCs w:val="24"/>
                <w:lang w:val="en-US" w:eastAsia="zh-CN"/>
              </w:rPr>
              <w:t>19.2</w:t>
            </w:r>
            <w:r>
              <w:rPr>
                <w:rFonts w:hint="default" w:ascii="Times New Roman" w:hAnsi="Times New Roman" w:cs="Times New Roman"/>
                <w:color w:val="auto"/>
                <w:spacing w:val="0"/>
                <w:sz w:val="24"/>
                <w:szCs w:val="24"/>
                <w:lang w:val="en-US" w:eastAsia="zh-CN"/>
              </w:rPr>
              <w:t>t。项目施工场地设置垃圾桶，集中收集后由当地环卫部门统一处理。</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textAlignment w:val="baseline"/>
              <w:rPr>
                <w:rFonts w:hint="default" w:ascii="Times New Roman" w:hAnsi="Times New Roman" w:cs="Times New Roman"/>
                <w:b/>
                <w:bCs/>
                <w:color w:val="auto"/>
                <w:spacing w:val="0"/>
                <w:sz w:val="24"/>
                <w:szCs w:val="24"/>
                <w:lang w:val="en-US" w:eastAsia="zh-CN"/>
              </w:rPr>
            </w:pPr>
            <w:r>
              <w:rPr>
                <w:rFonts w:hint="default" w:ascii="Times New Roman" w:hAnsi="Times New Roman" w:cs="Times New Roman"/>
                <w:b/>
                <w:bCs/>
                <w:color w:val="auto"/>
                <w:spacing w:val="0"/>
                <w:sz w:val="24"/>
                <w:szCs w:val="24"/>
                <w:lang w:val="en-US" w:eastAsia="zh-CN"/>
              </w:rPr>
              <w:t>（2）疏浚料</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000000"/>
                <w:spacing w:val="0"/>
                <w:sz w:val="24"/>
                <w:szCs w:val="24"/>
                <w:lang w:val="en-US" w:eastAsia="zh-CN"/>
              </w:rPr>
            </w:pPr>
            <w:r>
              <w:rPr>
                <w:rFonts w:hint="default" w:ascii="Times New Roman" w:hAnsi="Times New Roman" w:cs="Times New Roman"/>
                <w:color w:val="auto"/>
                <w:spacing w:val="0"/>
                <w:sz w:val="24"/>
                <w:szCs w:val="24"/>
                <w:lang w:val="en-US" w:eastAsia="zh-CN"/>
              </w:rPr>
              <w:t>本项目</w:t>
            </w:r>
            <w:r>
              <w:rPr>
                <w:rFonts w:hint="eastAsia" w:ascii="Times New Roman" w:hAnsi="Times New Roman" w:cs="Times New Roman"/>
                <w:color w:val="auto"/>
                <w:spacing w:val="0"/>
                <w:sz w:val="24"/>
                <w:szCs w:val="24"/>
                <w:lang w:val="en-US" w:eastAsia="zh-CN"/>
              </w:rPr>
              <w:t>疏浚长度500m，</w:t>
            </w:r>
            <w:r>
              <w:rPr>
                <w:rFonts w:hint="default" w:ascii="Times New Roman" w:hAnsi="Times New Roman" w:cs="Times New Roman"/>
                <w:color w:val="auto"/>
                <w:spacing w:val="0"/>
                <w:sz w:val="24"/>
                <w:szCs w:val="24"/>
                <w:lang w:val="en-US" w:eastAsia="zh-CN"/>
              </w:rPr>
              <w:t>疏浚量约</w:t>
            </w:r>
            <w:r>
              <w:rPr>
                <w:rFonts w:hint="eastAsia" w:ascii="Times New Roman" w:hAnsi="Times New Roman" w:cs="Times New Roman"/>
                <w:color w:val="auto"/>
                <w:spacing w:val="0"/>
                <w:sz w:val="24"/>
                <w:szCs w:val="24"/>
                <w:lang w:val="en-US" w:eastAsia="zh-CN"/>
              </w:rPr>
              <w:t>2.97</w:t>
            </w:r>
            <w:r>
              <w:rPr>
                <w:rFonts w:hint="default" w:ascii="Times New Roman" w:hAnsi="Times New Roman" w:cs="Times New Roman"/>
                <w:color w:val="auto"/>
                <w:spacing w:val="0"/>
                <w:sz w:val="24"/>
                <w:szCs w:val="24"/>
                <w:lang w:val="en-US" w:eastAsia="zh-CN"/>
              </w:rPr>
              <w:t>万m³，疏浚物为泥沙、卵石等。依据《国家危险废物名录》鉴别，疏浚料不属于危险废物，不具有腐蚀性、毒性、易燃性、反</w:t>
            </w:r>
            <w:r>
              <w:rPr>
                <w:rFonts w:hint="default" w:ascii="Times New Roman" w:hAnsi="Times New Roman" w:eastAsia="宋体" w:cs="Times New Roman"/>
                <w:color w:val="000000"/>
                <w:spacing w:val="0"/>
                <w:sz w:val="24"/>
                <w:szCs w:val="24"/>
                <w:lang w:val="en-US" w:eastAsia="zh-CN"/>
              </w:rPr>
              <w:t>应性，不会对人体健康或生态环境造成有害影响，可按照一般工业固废进行处置。本项目疏浚料全部运至</w:t>
            </w:r>
            <w:r>
              <w:rPr>
                <w:rFonts w:hint="eastAsia" w:ascii="Times New Roman" w:hAnsi="Times New Roman" w:eastAsia="宋体" w:cs="Times New Roman"/>
                <w:color w:val="000000"/>
                <w:spacing w:val="0"/>
                <w:sz w:val="24"/>
                <w:szCs w:val="24"/>
                <w:lang w:val="en-US" w:eastAsia="zh-CN"/>
              </w:rPr>
              <w:t>施工工区内的</w:t>
            </w:r>
            <w:r>
              <w:rPr>
                <w:rFonts w:hint="default" w:ascii="Times New Roman" w:hAnsi="Times New Roman" w:eastAsia="宋体" w:cs="Times New Roman"/>
                <w:color w:val="000000"/>
                <w:spacing w:val="0"/>
                <w:sz w:val="24"/>
                <w:szCs w:val="24"/>
                <w:lang w:val="en-US" w:eastAsia="zh-CN"/>
              </w:rPr>
              <w:t>堆料场暂存，沥干水分后，</w:t>
            </w:r>
            <w:r>
              <w:rPr>
                <w:rFonts w:hint="eastAsia" w:ascii="Times New Roman" w:hAnsi="Times New Roman" w:eastAsia="宋体" w:cs="Times New Roman"/>
                <w:color w:val="000000"/>
                <w:spacing w:val="0"/>
                <w:sz w:val="24"/>
                <w:szCs w:val="24"/>
                <w:lang w:val="en-US" w:eastAsia="zh-CN"/>
              </w:rPr>
              <w:t>运往苏稽镇石鼓寺村老鸦滩堆料场堆放，后期由乐山市市中区国有资产监督管理局统一拍卖或利用（协议见附件）</w:t>
            </w:r>
            <w:r>
              <w:rPr>
                <w:rFonts w:hint="default" w:ascii="Times New Roman" w:hAnsi="Times New Roman" w:eastAsia="宋体" w:cs="Times New Roman"/>
                <w:color w:val="000000"/>
                <w:spacing w:val="0"/>
                <w:sz w:val="24"/>
                <w:szCs w:val="24"/>
                <w:lang w:val="en-US" w:eastAsia="zh-CN"/>
              </w:rPr>
              <w:t>。</w:t>
            </w:r>
          </w:p>
          <w:p>
            <w:pPr>
              <w:pStyle w:val="2"/>
              <w:numPr>
                <w:ilvl w:val="0"/>
                <w:numId w:val="0"/>
              </w:numPr>
              <w:ind w:right="113" w:rightChars="0" w:firstLine="482" w:firstLineChars="200"/>
              <w:rPr>
                <w:rFonts w:hint="eastAsia" w:ascii="Times New Roman" w:hAnsi="Times New Roman" w:eastAsia="宋体" w:cs="Times New Roman"/>
                <w:b/>
                <w:bCs/>
                <w:color w:val="000000"/>
                <w:spacing w:val="0"/>
                <w:sz w:val="24"/>
                <w:szCs w:val="24"/>
                <w:lang w:val="en-US" w:eastAsia="zh-CN"/>
              </w:rPr>
            </w:pPr>
            <w:r>
              <w:rPr>
                <w:rFonts w:hint="eastAsia" w:ascii="Times New Roman" w:hAnsi="Times New Roman" w:eastAsia="宋体" w:cs="Times New Roman"/>
                <w:b/>
                <w:bCs/>
                <w:color w:val="000000"/>
                <w:spacing w:val="0"/>
                <w:sz w:val="24"/>
                <w:szCs w:val="24"/>
                <w:lang w:val="en-US" w:eastAsia="zh-CN"/>
              </w:rPr>
              <w:t>（3）沉淀池底泥</w:t>
            </w:r>
          </w:p>
          <w:p>
            <w:pPr>
              <w:pStyle w:val="2"/>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firstLine="480" w:firstLineChars="200"/>
              <w:jc w:val="both"/>
              <w:textAlignment w:val="auto"/>
              <w:rPr>
                <w:rFonts w:hint="default" w:ascii="Times New Roman" w:hAnsi="Times New Roman" w:eastAsia="宋体" w:cs="Times New Roman"/>
                <w:color w:val="auto"/>
                <w:spacing w:val="0"/>
                <w:kern w:val="2"/>
                <w:sz w:val="24"/>
                <w:szCs w:val="24"/>
                <w:lang w:val="en-US" w:eastAsia="zh-CN" w:bidi="ar-SA"/>
              </w:rPr>
            </w:pPr>
            <w:r>
              <w:rPr>
                <w:rFonts w:hint="default" w:ascii="Times New Roman" w:hAnsi="Times New Roman" w:eastAsia="宋体" w:cs="Times New Roman"/>
                <w:color w:val="auto"/>
                <w:spacing w:val="0"/>
                <w:kern w:val="2"/>
                <w:sz w:val="24"/>
                <w:szCs w:val="24"/>
                <w:lang w:val="en-US" w:eastAsia="zh-CN" w:bidi="ar-SA"/>
              </w:rPr>
              <w:t>疏浚河段河床以卵石土为主，疏浚工程共产生疏浚料</w:t>
            </w:r>
            <w:r>
              <w:rPr>
                <w:rFonts w:hint="eastAsia" w:ascii="Times New Roman" w:hAnsi="Times New Roman" w:eastAsia="宋体" w:cs="Times New Roman"/>
                <w:color w:val="auto"/>
                <w:spacing w:val="0"/>
                <w:kern w:val="2"/>
                <w:sz w:val="24"/>
                <w:szCs w:val="24"/>
                <w:lang w:val="en-US" w:eastAsia="zh-CN" w:bidi="ar-SA"/>
              </w:rPr>
              <w:t>2.97</w:t>
            </w:r>
            <w:r>
              <w:rPr>
                <w:rFonts w:hint="default" w:ascii="Times New Roman" w:hAnsi="Times New Roman" w:eastAsia="宋体" w:cs="Times New Roman"/>
                <w:color w:val="auto"/>
                <w:spacing w:val="0"/>
                <w:kern w:val="2"/>
                <w:sz w:val="24"/>
                <w:szCs w:val="24"/>
                <w:lang w:val="en-US" w:eastAsia="zh-CN" w:bidi="ar-SA"/>
              </w:rPr>
              <w:t>万m</w:t>
            </w:r>
            <w:r>
              <w:rPr>
                <w:rFonts w:hint="default" w:ascii="Times New Roman" w:hAnsi="Times New Roman" w:eastAsia="宋体" w:cs="Times New Roman"/>
                <w:color w:val="auto"/>
                <w:spacing w:val="0"/>
                <w:kern w:val="2"/>
                <w:sz w:val="24"/>
                <w:szCs w:val="24"/>
                <w:vertAlign w:val="superscript"/>
                <w:lang w:val="en-US" w:eastAsia="zh-CN" w:bidi="ar-SA"/>
              </w:rPr>
              <w:t>3</w:t>
            </w:r>
            <w:r>
              <w:rPr>
                <w:rFonts w:hint="default" w:ascii="Times New Roman" w:hAnsi="Times New Roman" w:eastAsia="宋体" w:cs="Times New Roman"/>
                <w:color w:val="auto"/>
                <w:spacing w:val="0"/>
                <w:kern w:val="2"/>
                <w:sz w:val="24"/>
                <w:szCs w:val="24"/>
                <w:lang w:val="en-US" w:eastAsia="zh-CN" w:bidi="ar-SA"/>
              </w:rPr>
              <w:t>（含水率为10%），而进入三级沉淀池沉淀的沥干水约</w:t>
            </w:r>
            <w:r>
              <w:rPr>
                <w:rFonts w:hint="eastAsia" w:ascii="Times New Roman" w:hAnsi="Times New Roman" w:eastAsia="宋体" w:cs="Times New Roman"/>
                <w:color w:val="auto"/>
                <w:spacing w:val="0"/>
                <w:kern w:val="2"/>
                <w:sz w:val="24"/>
                <w:szCs w:val="24"/>
                <w:lang w:val="en-US" w:eastAsia="zh-CN" w:bidi="ar-SA"/>
              </w:rPr>
              <w:t>0.3</w:t>
            </w:r>
            <w:r>
              <w:rPr>
                <w:rFonts w:hint="default" w:ascii="Times New Roman" w:hAnsi="Times New Roman" w:eastAsia="宋体" w:cs="Times New Roman"/>
                <w:color w:val="auto"/>
                <w:spacing w:val="0"/>
                <w:kern w:val="2"/>
                <w:sz w:val="24"/>
                <w:szCs w:val="24"/>
                <w:lang w:val="en-US" w:eastAsia="zh-CN" w:bidi="ar-SA"/>
              </w:rPr>
              <w:t>万m³。经沉淀后沉积的</w:t>
            </w:r>
            <w:r>
              <w:rPr>
                <w:rFonts w:hint="eastAsia" w:ascii="Times New Roman" w:hAnsi="Times New Roman" w:eastAsia="宋体" w:cs="Times New Roman"/>
                <w:color w:val="auto"/>
                <w:spacing w:val="0"/>
                <w:kern w:val="2"/>
                <w:sz w:val="24"/>
                <w:szCs w:val="24"/>
                <w:lang w:val="en-US" w:eastAsia="zh-CN" w:bidi="ar-SA"/>
              </w:rPr>
              <w:t>底泥</w:t>
            </w:r>
            <w:r>
              <w:rPr>
                <w:rFonts w:hint="default" w:ascii="Times New Roman" w:hAnsi="Times New Roman" w:eastAsia="宋体" w:cs="Times New Roman"/>
                <w:color w:val="auto"/>
                <w:spacing w:val="0"/>
                <w:kern w:val="2"/>
                <w:sz w:val="24"/>
                <w:szCs w:val="24"/>
                <w:lang w:val="en-US" w:eastAsia="zh-CN" w:bidi="ar-SA"/>
              </w:rPr>
              <w:t>约</w:t>
            </w:r>
            <w:r>
              <w:rPr>
                <w:rFonts w:hint="eastAsia" w:ascii="Times New Roman" w:hAnsi="Times New Roman" w:eastAsia="宋体" w:cs="Times New Roman"/>
                <w:color w:val="auto"/>
                <w:spacing w:val="0"/>
                <w:kern w:val="2"/>
                <w:sz w:val="24"/>
                <w:szCs w:val="24"/>
                <w:lang w:val="en-US" w:eastAsia="zh-CN" w:bidi="ar-SA"/>
              </w:rPr>
              <w:t>300</w:t>
            </w:r>
            <w:r>
              <w:rPr>
                <w:rFonts w:hint="default" w:ascii="Times New Roman" w:hAnsi="Times New Roman" w:eastAsia="宋体" w:cs="Times New Roman"/>
                <w:color w:val="auto"/>
                <w:spacing w:val="0"/>
                <w:kern w:val="2"/>
                <w:sz w:val="24"/>
                <w:szCs w:val="24"/>
                <w:lang w:val="en-US" w:eastAsia="zh-CN" w:bidi="ar-SA"/>
              </w:rPr>
              <w:t>m³，本项目下渗水经自然沉降产生的</w:t>
            </w:r>
            <w:r>
              <w:rPr>
                <w:rFonts w:hint="eastAsia" w:ascii="Times New Roman" w:hAnsi="Times New Roman" w:eastAsia="宋体" w:cs="Times New Roman"/>
                <w:color w:val="auto"/>
                <w:spacing w:val="0"/>
                <w:kern w:val="2"/>
                <w:sz w:val="24"/>
                <w:szCs w:val="24"/>
                <w:lang w:val="en-US" w:eastAsia="zh-CN" w:bidi="ar-SA"/>
              </w:rPr>
              <w:t>底泥</w:t>
            </w:r>
            <w:r>
              <w:rPr>
                <w:rFonts w:hint="default" w:ascii="Times New Roman" w:hAnsi="Times New Roman" w:eastAsia="宋体" w:cs="Times New Roman"/>
                <w:color w:val="auto"/>
                <w:spacing w:val="0"/>
                <w:kern w:val="2"/>
                <w:sz w:val="24"/>
                <w:szCs w:val="24"/>
                <w:lang w:val="en-US" w:eastAsia="zh-CN" w:bidi="ar-SA"/>
              </w:rPr>
              <w:t>主要是泥砂沉积物，将沉积的泥砂用长臂挖掘机挖出晾干，同疏浚料一起</w:t>
            </w:r>
            <w:r>
              <w:rPr>
                <w:rFonts w:hint="eastAsia" w:ascii="Times New Roman" w:hAnsi="Times New Roman" w:eastAsia="宋体" w:cs="Times New Roman"/>
                <w:color w:val="000000"/>
                <w:spacing w:val="0"/>
                <w:sz w:val="24"/>
                <w:szCs w:val="24"/>
                <w:lang w:val="en-US" w:eastAsia="zh-CN"/>
              </w:rPr>
              <w:t>运往苏稽镇石鼓寺村老鸦滩堆料场堆放，后期由乐山市市中区国有资产监督管理局统一拍卖或利用</w:t>
            </w:r>
            <w:r>
              <w:rPr>
                <w:rFonts w:hint="default" w:ascii="Times New Roman" w:hAnsi="Times New Roman" w:eastAsia="宋体" w:cs="Times New Roman"/>
                <w:color w:val="000000"/>
                <w:spacing w:val="0"/>
                <w:sz w:val="24"/>
                <w:szCs w:val="24"/>
                <w:lang w:val="en-US" w:eastAsia="zh-CN"/>
              </w:rPr>
              <w:t>。</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2" w:firstLineChars="200"/>
              <w:textAlignment w:val="auto"/>
              <w:rPr>
                <w:rFonts w:hint="default" w:ascii="Times New Roman" w:hAnsi="Times New Roman" w:eastAsia="宋体" w:cs="Times New Roman"/>
                <w:b/>
                <w:bCs/>
                <w:color w:val="auto"/>
                <w:spacing w:val="0"/>
                <w:sz w:val="24"/>
                <w:szCs w:val="24"/>
                <w:lang w:val="en-US" w:eastAsia="zh-CN"/>
              </w:rPr>
            </w:pPr>
            <w:r>
              <w:rPr>
                <w:rFonts w:hint="default" w:ascii="Times New Roman" w:hAnsi="Times New Roman" w:eastAsia="宋体" w:cs="Times New Roman"/>
                <w:b/>
                <w:bCs/>
                <w:color w:val="auto"/>
                <w:spacing w:val="0"/>
                <w:sz w:val="24"/>
                <w:szCs w:val="24"/>
                <w:lang w:val="en-US" w:eastAsia="zh-CN"/>
              </w:rPr>
              <w:t>（</w:t>
            </w:r>
            <w:r>
              <w:rPr>
                <w:rFonts w:hint="eastAsia" w:ascii="Times New Roman" w:hAnsi="Times New Roman" w:eastAsia="宋体" w:cs="Times New Roman"/>
                <w:b/>
                <w:bCs/>
                <w:color w:val="auto"/>
                <w:spacing w:val="0"/>
                <w:sz w:val="24"/>
                <w:szCs w:val="24"/>
                <w:lang w:val="en-US" w:eastAsia="zh-CN"/>
              </w:rPr>
              <w:t>4</w:t>
            </w:r>
            <w:r>
              <w:rPr>
                <w:rFonts w:hint="default" w:ascii="Times New Roman" w:hAnsi="Times New Roman" w:eastAsia="宋体" w:cs="Times New Roman"/>
                <w:b/>
                <w:bCs/>
                <w:color w:val="auto"/>
                <w:spacing w:val="0"/>
                <w:sz w:val="24"/>
                <w:szCs w:val="24"/>
                <w:lang w:val="en-US" w:eastAsia="zh-CN"/>
              </w:rPr>
              <w:t>）建筑垃圾</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施工期产生的建筑垃圾可回收废料如废板材、模具、支架等由施工单位回收利用；其它废弃的砖块、混凝土、灰渣及边角料等运至市政指定建筑垃圾堆场。</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2" w:firstLineChars="200"/>
              <w:textAlignment w:val="auto"/>
              <w:rPr>
                <w:rFonts w:hint="default" w:ascii="Times New Roman" w:hAnsi="Times New Roman" w:eastAsia="宋体" w:cs="Times New Roman"/>
                <w:b/>
                <w:bCs/>
                <w:color w:val="auto"/>
                <w:spacing w:val="0"/>
                <w:sz w:val="24"/>
                <w:szCs w:val="24"/>
                <w:lang w:val="en-US" w:eastAsia="zh-CN"/>
              </w:rPr>
            </w:pPr>
            <w:r>
              <w:rPr>
                <w:rFonts w:hint="default" w:ascii="Times New Roman" w:hAnsi="Times New Roman" w:eastAsia="宋体" w:cs="Times New Roman"/>
                <w:b/>
                <w:bCs/>
                <w:color w:val="auto"/>
                <w:spacing w:val="0"/>
                <w:sz w:val="24"/>
                <w:szCs w:val="24"/>
                <w:lang w:val="en-US" w:eastAsia="zh-CN"/>
              </w:rPr>
              <w:t>7、社会环境影响分析</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（1）生产安置移民社会环境影响分析</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本项目建设范围内不涉及房屋，因此，不涉及人口搬迁，无搬迁安置任务。</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（2）交通影响</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在工程沿线设宣传专栏进行宣传，设立告示牌，使项目沿线居民进一步了解项目建设的重要意义，从而理解并体谅项目建设带来的暂时影响。与此同时，项目建设和施工单位需加强与当地交通管理部门的合作，共同制定合理的运输方案和运输路线，尽量减少施工车辆对附近居民的干扰。</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（3）文物保护</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工程评价范围内未发现保护文物，但是在施工过程中不排除发现新的文物，施工过程中如发现文物应立即停止施工，并保护施工现场和文物资源，杜绝乱抢、藏匿、私分文物，并且要及时上报当地文物保护部门，待处理后再进行施工。</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（4）健康保护措施</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施工单位应为施工人员提供良好的居住和生活条件，并与当地卫生医疗部门取得联系，由其负责施工人员的医疗保健、急救及意外事故的现场急救与治疗工作。为保证工程的顺利进行，应加强传染病的预防与监测工作。具体措施如下：</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1）在工程动工以前，结合场地平整工作，对施工区进行一次清理消毒；</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2）完善处理各种废水和生活垃圾，定期进行现场消毒；</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3）为了保证施工人员的身心健康，工程建设管理部门及施工单位管理者应为施工人员提供良好的居住和生活条件；</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4）加强卫生管理和卫生防疫宣传工作，对施工人员进行定期体检；</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5）加强生活污水的管理，重视疫情监测，工地发生法定传染病时，工地负责人要尽快向上级主管部门和当地卫生防疫机构报告，并积极配合卫生防疫部门进行调查处理及落实消毒、隔离、应急接种疫苗等措施，防止传染病传播流行；</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6）施工现场应有饮水器具，由专员管理和定期清洗，保持卫生；</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7）为预防施工区传染病的流行，在施工人员进驻工地前，各施工单位应对施工人员全面进行健康调查和疫情建档，健康人员方能进场作业。调查和建档内容主要包括年龄、性别、健康状况、传染病史、来自的地区等。普查项目为传染性肝炎（包括乙肝）、痢疾、肺结核，外来施工人员还应检查来源地传染病等。</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工程施工完成后，施工人员将全部撤离，不会与当地居民发生传染病交叉感染。</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cs="Times New Roman"/>
                <w:bCs/>
                <w:color w:val="0000FF"/>
                <w:szCs w:val="21"/>
              </w:rPr>
            </w:pPr>
            <w:r>
              <w:rPr>
                <w:rFonts w:hint="default" w:ascii="Times New Roman" w:hAnsi="Times New Roman" w:eastAsia="宋体" w:cs="Times New Roman"/>
                <w:color w:val="auto"/>
                <w:spacing w:val="0"/>
                <w:sz w:val="24"/>
                <w:szCs w:val="24"/>
                <w:lang w:val="en-US" w:eastAsia="zh-CN"/>
              </w:rPr>
              <w:t>项目占地范围内不涉及到拆迁、征地，对社会环境影响很小，且施工期间雇佣当地村民，增加其收入，具有良好的社会效益。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940" w:type="dxa"/>
            <w:noWrap w:val="0"/>
            <w:tcMar>
              <w:left w:w="28" w:type="dxa"/>
              <w:right w:w="28" w:type="dxa"/>
            </w:tcMar>
            <w:vAlign w:val="center"/>
          </w:tcPr>
          <w:p>
            <w:pPr>
              <w:pStyle w:val="34"/>
              <w:keepNext w:val="0"/>
              <w:keepLines w:val="0"/>
              <w:pageBreakBefore w:val="0"/>
              <w:kinsoku/>
              <w:wordWrap/>
              <w:overflowPunct/>
              <w:topLinePunct w:val="0"/>
              <w:bidi w:val="0"/>
              <w:adjustRightInd w:val="0"/>
              <w:snapToGrid w:val="0"/>
              <w:spacing w:before="0" w:beforeAutospacing="0" w:after="0" w:afterAutospacing="0"/>
              <w:jc w:val="center"/>
              <w:textAlignment w:val="auto"/>
              <w:rPr>
                <w:rFonts w:hint="default" w:ascii="Times New Roman" w:hAnsi="Times New Roman" w:cs="Times New Roman"/>
                <w:bCs/>
                <w:kern w:val="2"/>
                <w:sz w:val="21"/>
                <w:szCs w:val="21"/>
              </w:rPr>
            </w:pPr>
            <w:r>
              <w:rPr>
                <w:rFonts w:hint="default" w:ascii="Times New Roman" w:hAnsi="Times New Roman" w:cs="Times New Roman"/>
                <w:bCs/>
                <w:spacing w:val="10"/>
                <w:kern w:val="2"/>
                <w:sz w:val="21"/>
                <w:szCs w:val="21"/>
              </w:rPr>
              <w:t>运营期生态环境影响分析</w:t>
            </w:r>
          </w:p>
        </w:tc>
        <w:tc>
          <w:tcPr>
            <w:tcW w:w="7564"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pacing w:val="0"/>
                <w:sz w:val="24"/>
                <w:szCs w:val="24"/>
                <w:lang w:eastAsia="zh-CN"/>
              </w:rPr>
            </w:pPr>
            <w:r>
              <w:rPr>
                <w:rFonts w:hint="default" w:ascii="Times New Roman" w:hAnsi="Times New Roman" w:eastAsia="宋体" w:cs="Times New Roman"/>
                <w:color w:val="auto"/>
                <w:spacing w:val="0"/>
                <w:sz w:val="24"/>
                <w:szCs w:val="24"/>
                <w:lang w:eastAsia="zh-CN"/>
              </w:rPr>
              <w:t>本项目运营期不会产生废气、废水、噪声、固废等污染，正常运行过程中不会对周围环境产生不良环境影响。</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right="0" w:firstLine="482" w:firstLineChars="200"/>
              <w:textAlignment w:val="baseline"/>
              <w:outlineLvl w:val="9"/>
              <w:rPr>
                <w:rFonts w:hint="default" w:ascii="Times New Roman" w:hAnsi="Times New Roman" w:eastAsia="宋体" w:cs="Times New Roman"/>
                <w:b/>
                <w:bCs/>
                <w:color w:val="auto"/>
                <w:spacing w:val="0"/>
                <w:kern w:val="0"/>
                <w:sz w:val="24"/>
                <w:szCs w:val="24"/>
                <w:lang w:val="en-US" w:eastAsia="zh-CN" w:bidi="ar-SA"/>
              </w:rPr>
            </w:pPr>
            <w:r>
              <w:rPr>
                <w:rFonts w:hint="eastAsia" w:ascii="Times New Roman" w:hAnsi="Times New Roman" w:eastAsia="宋体" w:cs="Times New Roman"/>
                <w:b/>
                <w:bCs/>
                <w:color w:val="auto"/>
                <w:spacing w:val="0"/>
                <w:kern w:val="0"/>
                <w:sz w:val="24"/>
                <w:szCs w:val="24"/>
                <w:lang w:val="en-US" w:eastAsia="zh-CN" w:bidi="ar-SA"/>
              </w:rPr>
              <w:t>1、对行洪范围影响分析</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根据《乐山市市中区苏稽峨眉河安福堰综合整治工程行洪论证与河势稳定评价报告》结论：本次安福堰整治后，坝型采用拦河气盾坝，汛期实施完全倒伏。工程主体设计时充分考虑了上游苏稽场镇的防洪压力，倒伏后坝顶高程比原安福堰堰顶高程低0.1m，其20 年一遇时坝前洪水位比原安福堰堰前洪水位降低0.10m，对目前评价河段因原安福堰的洪水壅水影响有所降低。总的说来，本次安福堰改造后对评价河段的防洪形势有所缓解。</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2" w:firstLineChars="200"/>
              <w:textAlignment w:val="auto"/>
              <w:rPr>
                <w:rFonts w:hint="default"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2、对苏稽水文站影响分析</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苏稽水文站位于安福堰上游2.5km、古石桥上游1.4km 处的河道左岸。本次安福堰整治后，拦河气盾坝正常水位在371.70m，产生的回水将影响至苏稽水文站基本断面以上。苏稽水文站基本断面枯季平均水位在371.20m，最低水位在371.0m 左右，新建水坝产生的回水将使苏稽水文站基本断面水位抬高0.50m～1.00m。峨眉河属典型的山溪性河流，枯季来水量较小，汛期水位受暴雨影响陡涨陡落，该站中低水占全年水位的90%以上；由于水坝根据来水不同，闸门提起、倒伏将使苏稽水文站基本断面中低水水位流量关系紊乱无序，传统的水文监测无法满足水文监测需求。因此，本次安福堰整治工程实施后将对苏稽水文站流量监测带来较大影响。</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根据《中华人民共和国水文条例》第三十三条规定：“在国家基本水文测站上下游建设影响水文监测的工程，建设单位应当采取相应措施，在征得对该站有管理权限的水行政主管部门同意后方可建设。因工程建设致使水文测站改建的，所需费用由建设单位承担”。</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为避免苏稽水文站测报功能受到影响，提出如下解决方案：采用国内外较为先进的水文测验设备解决水文站变动回水影响水文测验问题。因每年低水长达10 个月以上，传统水文缆道无法正常施测，可投入水下流量自动监测设备一套（HADCP），采用人工比测率定解决受影响问题。按照“谁影响、谁负责、谁恢复”原则，水文站功能恢复由业主或业主委托第三方完成建设。</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2" w:firstLineChars="200"/>
              <w:textAlignment w:val="auto"/>
              <w:rPr>
                <w:rFonts w:hint="default"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3、对河势稳定的影响分析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本次安福堰整治后，坝型采用拦河气盾坝。气盾坝基础底板建设及枯期拦河成库易造成坝前淤积，但一般淤积面难以超过基础底板高程；坝下游以冲刷为主，主体设计时从多种工况考虑，采取了护坦、跌水、底流消能设施及海漫等工程措施，对工程河段河势稳定影响较小。通过计算，因气盾坝完全倒伏后坝顶高程比原安福堰堰顶高程低0.1m，坝上游河段洪水位略有降低，断面流速有所增大，但造成的岸坡冲刷深最大增加值仅为0.04m，对安福堰上游河段岸坡稳定影响较小。</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因此，本工程的建设对评价河段河势稳定性的影响较小。</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Chars="200"/>
              <w:textAlignment w:val="baseline"/>
              <w:rPr>
                <w:rFonts w:hint="eastAsia"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4、社会效益、环境正效应分析</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b w:val="0"/>
                <w:bCs w:val="0"/>
                <w:color w:val="auto"/>
                <w:spacing w:val="0"/>
                <w:sz w:val="24"/>
                <w:szCs w:val="24"/>
                <w:lang w:val="en-US" w:eastAsia="zh-CN"/>
              </w:rPr>
            </w:pPr>
            <w:r>
              <w:rPr>
                <w:rFonts w:hint="eastAsia" w:ascii="Times New Roman" w:hAnsi="Times New Roman" w:eastAsia="宋体" w:cs="Times New Roman"/>
                <w:b w:val="0"/>
                <w:bCs w:val="0"/>
                <w:color w:val="auto"/>
                <w:spacing w:val="0"/>
                <w:sz w:val="24"/>
                <w:szCs w:val="24"/>
                <w:lang w:val="en-US" w:eastAsia="zh-CN"/>
              </w:rPr>
              <w:t>（1）</w:t>
            </w:r>
            <w:r>
              <w:rPr>
                <w:rFonts w:ascii="宋体" w:hAnsi="宋体" w:eastAsia="宋体" w:cs="宋体"/>
                <w:spacing w:val="12"/>
                <w:sz w:val="24"/>
                <w:szCs w:val="24"/>
              </w:rPr>
              <w:t>项目的建设</w:t>
            </w:r>
            <w:r>
              <w:rPr>
                <w:rFonts w:hint="eastAsia" w:ascii="宋体" w:hAnsi="宋体" w:eastAsia="宋体" w:cs="宋体"/>
                <w:spacing w:val="12"/>
                <w:sz w:val="24"/>
                <w:szCs w:val="24"/>
                <w:lang w:val="en-US" w:eastAsia="zh-CN"/>
              </w:rPr>
              <w:t>提高了防洪能力</w:t>
            </w:r>
            <w:r>
              <w:rPr>
                <w:rFonts w:ascii="宋体" w:hAnsi="宋体" w:eastAsia="宋体" w:cs="宋体"/>
                <w:spacing w:val="12"/>
                <w:sz w:val="24"/>
                <w:szCs w:val="24"/>
              </w:rPr>
              <w:t>，避免洪水灾害造成</w:t>
            </w:r>
            <w:r>
              <w:rPr>
                <w:rFonts w:ascii="宋体" w:hAnsi="宋体" w:eastAsia="宋体" w:cs="宋体"/>
                <w:spacing w:val="18"/>
                <w:sz w:val="24"/>
                <w:szCs w:val="24"/>
              </w:rPr>
              <w:t>了</w:t>
            </w:r>
            <w:r>
              <w:rPr>
                <w:rFonts w:ascii="宋体" w:hAnsi="宋体" w:eastAsia="宋体" w:cs="宋体"/>
                <w:spacing w:val="9"/>
                <w:sz w:val="24"/>
                <w:szCs w:val="24"/>
              </w:rPr>
              <w:t>人民生命财产损</w:t>
            </w:r>
            <w:r>
              <w:rPr>
                <w:rFonts w:hint="eastAsia" w:ascii="Times New Roman" w:hAnsi="Times New Roman" w:eastAsia="宋体" w:cs="Times New Roman"/>
                <w:b w:val="0"/>
                <w:bCs w:val="0"/>
                <w:color w:val="auto"/>
                <w:spacing w:val="0"/>
                <w:sz w:val="24"/>
                <w:szCs w:val="24"/>
                <w:lang w:val="en-US" w:eastAsia="zh-CN"/>
              </w:rPr>
              <w:t>失，避免房屋、耕地、基础设施被淹。保证工农业生产的持续发展，有利于社会的稳定。</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val="0"/>
                <w:bCs w:val="0"/>
                <w:color w:val="auto"/>
                <w:spacing w:val="0"/>
                <w:sz w:val="24"/>
                <w:szCs w:val="24"/>
                <w:lang w:val="en-US" w:eastAsia="zh-CN"/>
              </w:rPr>
              <w:t xml:space="preserve">（2）本次安福堰综合整治工程建成后，可在保证灌溉水源保证率的同时引入富余水量作为生态流，促进水体交换和水生态修复。将极大地改善当地的水生态环境，提升城镇形象。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40" w:type="dxa"/>
            <w:noWrap w:val="0"/>
            <w:vAlign w:val="center"/>
          </w:tcPr>
          <w:p>
            <w:pPr>
              <w:pStyle w:val="34"/>
              <w:keepNext w:val="0"/>
              <w:keepLines w:val="0"/>
              <w:pageBreakBefore w:val="0"/>
              <w:kinsoku/>
              <w:wordWrap/>
              <w:overflowPunct/>
              <w:topLinePunct w:val="0"/>
              <w:bidi w:val="0"/>
              <w:adjustRightInd w:val="0"/>
              <w:snapToGrid w:val="0"/>
              <w:spacing w:before="0" w:beforeAutospacing="0" w:after="0" w:afterAutospacing="0"/>
              <w:jc w:val="center"/>
              <w:textAlignment w:val="auto"/>
              <w:rPr>
                <w:rFonts w:hint="default" w:ascii="Times New Roman" w:hAnsi="Times New Roman" w:cs="Times New Roman"/>
                <w:bCs/>
                <w:kern w:val="2"/>
                <w:sz w:val="21"/>
                <w:szCs w:val="21"/>
              </w:rPr>
            </w:pPr>
            <w:r>
              <w:rPr>
                <w:rFonts w:hint="default" w:ascii="Times New Roman" w:hAnsi="Times New Roman" w:cs="Times New Roman"/>
                <w:bCs/>
                <w:kern w:val="2"/>
                <w:sz w:val="21"/>
                <w:szCs w:val="21"/>
              </w:rPr>
              <w:t>选址选线环境合理性分析</w:t>
            </w:r>
          </w:p>
        </w:tc>
        <w:tc>
          <w:tcPr>
            <w:tcW w:w="756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1、工程选址合理性分析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w:t>
            </w:r>
            <w:r>
              <w:rPr>
                <w:rFonts w:hint="eastAsia" w:ascii="Times New Roman" w:hAnsi="Times New Roman" w:eastAsia="宋体" w:cs="Times New Roman"/>
                <w:color w:val="auto"/>
                <w:sz w:val="24"/>
                <w:lang w:val="en-US" w:eastAsia="zh-CN"/>
              </w:rPr>
              <w:t>拦河气盾坝不至于原安福堰位置，拆除原安福堰大坝进行重建，</w:t>
            </w:r>
            <w:r>
              <w:rPr>
                <w:rFonts w:hint="default" w:ascii="Times New Roman" w:hAnsi="Times New Roman" w:eastAsia="宋体" w:cs="Times New Roman"/>
                <w:color w:val="auto"/>
                <w:sz w:val="24"/>
                <w:lang w:val="en-US" w:eastAsia="zh-CN"/>
              </w:rPr>
              <w:t>不涉及自然保护区、风景名胜区、饮用水源保护区等敏感区域，符合产业政策，具有良好的工程地质条件，工程建设不会影响河道行洪；工程建设过程中，虽然会对生态环境产生一定影响，但会随着时间的推移产生新的生态平衡；水域条件好，有方便的交通、运输和水电条件；工程建设过程中，采取相应环保措施后，区域环境空气、声环境、水环境质量满足功能区划要求。</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通过采取相应的环境保护措施，项目实施对外环境影响小，项目选址合理。</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2、施工场地选址合理性分析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0000FF"/>
                <w:szCs w:val="21"/>
              </w:rPr>
            </w:pPr>
            <w:r>
              <w:rPr>
                <w:rFonts w:hint="default" w:ascii="Times New Roman" w:hAnsi="Times New Roman" w:cs="Times New Roman"/>
                <w:sz w:val="24"/>
              </w:rPr>
              <w:t>本工程</w:t>
            </w:r>
            <w:r>
              <w:rPr>
                <w:rFonts w:hint="eastAsia" w:ascii="Times New Roman" w:hAnsi="Times New Roman" w:cs="Times New Roman"/>
                <w:sz w:val="24"/>
                <w:lang w:val="en-US" w:eastAsia="zh-CN"/>
              </w:rPr>
              <w:t>在河道两岸分别</w:t>
            </w:r>
            <w:r>
              <w:rPr>
                <w:rFonts w:hint="default" w:ascii="Times New Roman" w:hAnsi="Times New Roman" w:cs="Times New Roman"/>
                <w:sz w:val="24"/>
              </w:rPr>
              <w:t>设置</w:t>
            </w:r>
            <w:r>
              <w:rPr>
                <w:rFonts w:hint="eastAsia" w:ascii="Times New Roman" w:hAnsi="Times New Roman" w:cs="Times New Roman"/>
                <w:sz w:val="24"/>
                <w:lang w:val="en-US" w:eastAsia="zh-CN"/>
              </w:rPr>
              <w:t>1</w:t>
            </w:r>
            <w:r>
              <w:rPr>
                <w:rFonts w:hint="default" w:ascii="Times New Roman" w:hAnsi="Times New Roman" w:cs="Times New Roman"/>
                <w:sz w:val="24"/>
              </w:rPr>
              <w:t>处</w:t>
            </w:r>
            <w:r>
              <w:rPr>
                <w:rFonts w:hint="default" w:ascii="Times New Roman" w:hAnsi="Times New Roman" w:cs="Times New Roman"/>
                <w:sz w:val="24"/>
                <w:lang w:eastAsia="zh-CN"/>
              </w:rPr>
              <w:t>施工场地，不设置施工营地</w:t>
            </w:r>
            <w:r>
              <w:rPr>
                <w:rFonts w:hint="default" w:ascii="Times New Roman" w:hAnsi="Times New Roman" w:cs="Times New Roman"/>
                <w:sz w:val="24"/>
              </w:rPr>
              <w:t>，</w:t>
            </w:r>
            <w:r>
              <w:rPr>
                <w:rFonts w:hint="eastAsia" w:ascii="Times New Roman" w:hAnsi="Times New Roman" w:cs="Times New Roman"/>
                <w:sz w:val="24"/>
                <w:lang w:val="en-US" w:eastAsia="zh-CN"/>
              </w:rPr>
              <w:t>左岸施工工区2#占地500m</w:t>
            </w:r>
            <w:r>
              <w:rPr>
                <w:rFonts w:hint="eastAsia" w:ascii="Times New Roman" w:hAnsi="Times New Roman" w:cs="Times New Roman"/>
                <w:sz w:val="24"/>
                <w:vertAlign w:val="superscript"/>
                <w:lang w:val="en-US" w:eastAsia="zh-CN"/>
              </w:rPr>
              <w:t>2</w:t>
            </w:r>
            <w:r>
              <w:rPr>
                <w:rFonts w:hint="eastAsia" w:ascii="Times New Roman" w:hAnsi="Times New Roman" w:cs="Times New Roman"/>
                <w:sz w:val="24"/>
                <w:lang w:val="en-US" w:eastAsia="zh-CN"/>
              </w:rPr>
              <w:t>，右岸施工工区1#占地1000m</w:t>
            </w:r>
            <w:r>
              <w:rPr>
                <w:rFonts w:hint="eastAsia" w:ascii="Times New Roman" w:hAnsi="Times New Roman" w:cs="Times New Roman"/>
                <w:sz w:val="24"/>
                <w:vertAlign w:val="superscript"/>
                <w:lang w:val="en-US" w:eastAsia="zh-CN"/>
              </w:rPr>
              <w:t>2</w:t>
            </w:r>
            <w:r>
              <w:rPr>
                <w:rFonts w:hint="eastAsia" w:ascii="Times New Roman" w:hAnsi="Times New Roman" w:cs="Times New Roman"/>
                <w:sz w:val="24"/>
                <w:lang w:val="en-US" w:eastAsia="zh-CN"/>
              </w:rPr>
              <w:t>，</w:t>
            </w:r>
            <w:r>
              <w:rPr>
                <w:rFonts w:hint="default" w:ascii="Times New Roman" w:hAnsi="Times New Roman" w:eastAsia="宋体" w:cs="Times New Roman"/>
                <w:b w:val="0"/>
                <w:bCs w:val="0"/>
                <w:color w:val="auto"/>
                <w:spacing w:val="0"/>
                <w:kern w:val="2"/>
                <w:sz w:val="24"/>
                <w:szCs w:val="24"/>
                <w:highlight w:val="none"/>
                <w:lang w:val="en-US" w:eastAsia="zh-CN" w:bidi="ar-SA"/>
              </w:rPr>
              <w:t>施工区不设置砂石加工及商混站，仅作为砼结构制造场地、机械堆放场地</w:t>
            </w:r>
            <w:r>
              <w:rPr>
                <w:rFonts w:hint="eastAsia" w:ascii="Times New Roman" w:hAnsi="Times New Roman" w:eastAsia="宋体" w:cs="Times New Roman"/>
                <w:b w:val="0"/>
                <w:bCs w:val="0"/>
                <w:color w:val="auto"/>
                <w:spacing w:val="0"/>
                <w:kern w:val="2"/>
                <w:sz w:val="24"/>
                <w:szCs w:val="24"/>
                <w:highlight w:val="none"/>
                <w:lang w:val="en-US" w:eastAsia="zh-CN" w:bidi="ar-SA"/>
              </w:rPr>
              <w:t>以及表土临时堆料场</w:t>
            </w:r>
            <w:r>
              <w:rPr>
                <w:rFonts w:hint="default" w:ascii="Times New Roman" w:hAnsi="Times New Roman" w:cs="Times New Roman"/>
                <w:color w:val="000000"/>
                <w:sz w:val="24"/>
                <w:lang w:eastAsia="zh-CN"/>
              </w:rPr>
              <w:t>，其中</w:t>
            </w:r>
            <w:r>
              <w:rPr>
                <w:rFonts w:hint="default" w:ascii="Times New Roman" w:hAnsi="Times New Roman" w:cs="Times New Roman"/>
                <w:color w:val="000000"/>
                <w:sz w:val="24"/>
                <w:lang w:val="en-US" w:eastAsia="zh-CN"/>
              </w:rPr>
              <w:t>1#</w:t>
            </w:r>
            <w:r>
              <w:rPr>
                <w:rFonts w:hint="default" w:ascii="Times New Roman" w:hAnsi="Times New Roman" w:eastAsia="宋体" w:cs="Times New Roman"/>
                <w:b w:val="0"/>
                <w:bCs w:val="0"/>
                <w:color w:val="000000"/>
                <w:spacing w:val="0"/>
                <w:kern w:val="2"/>
                <w:sz w:val="24"/>
                <w:szCs w:val="24"/>
                <w:highlight w:val="none"/>
                <w:lang w:val="en-US" w:eastAsia="zh-CN" w:bidi="ar-SA"/>
              </w:rPr>
              <w:t>施工场地</w:t>
            </w:r>
            <w:r>
              <w:rPr>
                <w:rFonts w:hint="default" w:ascii="Times New Roman" w:hAnsi="Times New Roman" w:cs="Times New Roman"/>
                <w:color w:val="000000"/>
                <w:sz w:val="24"/>
                <w:lang w:eastAsia="zh-CN"/>
              </w:rPr>
              <w:t>距离最近居民为</w:t>
            </w:r>
            <w:r>
              <w:rPr>
                <w:rFonts w:hint="eastAsia" w:ascii="Times New Roman" w:hAnsi="Times New Roman" w:cs="Times New Roman"/>
                <w:color w:val="000000"/>
                <w:sz w:val="24"/>
                <w:lang w:val="en-US" w:eastAsia="zh-CN"/>
              </w:rPr>
              <w:t>西</w:t>
            </w:r>
            <w:r>
              <w:rPr>
                <w:rFonts w:hint="default" w:ascii="Times New Roman" w:hAnsi="Times New Roman" w:cs="Times New Roman"/>
                <w:color w:val="000000"/>
                <w:sz w:val="24"/>
                <w:lang w:eastAsia="zh-CN"/>
              </w:rPr>
              <w:t>南侧</w:t>
            </w:r>
            <w:r>
              <w:rPr>
                <w:rFonts w:hint="eastAsia" w:ascii="Times New Roman" w:hAnsi="Times New Roman" w:cs="Times New Roman"/>
                <w:color w:val="000000"/>
                <w:sz w:val="24"/>
                <w:lang w:val="en-US" w:eastAsia="zh-CN"/>
              </w:rPr>
              <w:t>10</w:t>
            </w:r>
            <w:r>
              <w:rPr>
                <w:rFonts w:hint="default" w:ascii="Times New Roman" w:hAnsi="Times New Roman" w:cs="Times New Roman"/>
                <w:color w:val="000000"/>
                <w:sz w:val="24"/>
                <w:lang w:val="en-US" w:eastAsia="zh-CN"/>
              </w:rPr>
              <w:t>0m</w:t>
            </w:r>
            <w:r>
              <w:rPr>
                <w:rFonts w:hint="eastAsia" w:ascii="Times New Roman" w:hAnsi="Times New Roman" w:cs="Times New Roman"/>
                <w:color w:val="000000"/>
                <w:sz w:val="24"/>
                <w:lang w:val="en-US" w:eastAsia="zh-CN"/>
              </w:rPr>
              <w:t>马村</w:t>
            </w:r>
            <w:r>
              <w:rPr>
                <w:rFonts w:hint="default" w:ascii="Times New Roman" w:hAnsi="Times New Roman" w:cs="Times New Roman"/>
                <w:color w:val="000000"/>
                <w:sz w:val="24"/>
                <w:lang w:val="en-US" w:eastAsia="zh-CN"/>
              </w:rPr>
              <w:t>居民，2#</w:t>
            </w:r>
            <w:r>
              <w:rPr>
                <w:rFonts w:hint="default" w:ascii="Times New Roman" w:hAnsi="Times New Roman" w:eastAsia="宋体" w:cs="Times New Roman"/>
                <w:b w:val="0"/>
                <w:bCs w:val="0"/>
                <w:color w:val="000000"/>
                <w:spacing w:val="0"/>
                <w:kern w:val="2"/>
                <w:sz w:val="24"/>
                <w:szCs w:val="24"/>
                <w:highlight w:val="none"/>
                <w:lang w:val="en-US" w:eastAsia="zh-CN" w:bidi="ar-SA"/>
              </w:rPr>
              <w:t>施工场地</w:t>
            </w:r>
            <w:r>
              <w:rPr>
                <w:rFonts w:hint="default" w:ascii="Times New Roman" w:hAnsi="Times New Roman" w:cs="Times New Roman"/>
                <w:color w:val="000000"/>
                <w:sz w:val="24"/>
                <w:lang w:eastAsia="zh-CN"/>
              </w:rPr>
              <w:t>距离最近居民为</w:t>
            </w:r>
            <w:r>
              <w:rPr>
                <w:rFonts w:hint="eastAsia" w:ascii="Times New Roman" w:hAnsi="Times New Roman" w:cs="Times New Roman"/>
                <w:color w:val="000000"/>
                <w:sz w:val="24"/>
                <w:lang w:val="en-US" w:eastAsia="zh-CN"/>
              </w:rPr>
              <w:t>东北侧38</w:t>
            </w:r>
            <w:r>
              <w:rPr>
                <w:rFonts w:hint="default" w:ascii="Times New Roman" w:hAnsi="Times New Roman" w:cs="Times New Roman"/>
                <w:color w:val="000000"/>
                <w:sz w:val="24"/>
                <w:lang w:val="en-US" w:eastAsia="zh-CN"/>
              </w:rPr>
              <w:t>m</w:t>
            </w:r>
            <w:r>
              <w:rPr>
                <w:rFonts w:hint="eastAsia" w:ascii="Times New Roman" w:hAnsi="Times New Roman" w:cs="Times New Roman"/>
                <w:color w:val="000000"/>
                <w:sz w:val="24"/>
                <w:lang w:val="en-US" w:eastAsia="zh-CN"/>
              </w:rPr>
              <w:t>散户，</w:t>
            </w:r>
            <w:r>
              <w:rPr>
                <w:rFonts w:hint="default" w:ascii="Times New Roman" w:hAnsi="Times New Roman" w:cs="Times New Roman"/>
                <w:color w:val="000000"/>
                <w:sz w:val="24"/>
              </w:rPr>
              <w:t>周边</w:t>
            </w:r>
            <w:r>
              <w:rPr>
                <w:rFonts w:hint="default" w:ascii="Times New Roman" w:hAnsi="Times New Roman" w:cs="Times New Roman"/>
                <w:color w:val="000000"/>
                <w:sz w:val="24"/>
                <w:lang w:eastAsia="zh-CN"/>
              </w:rPr>
              <w:t>农户较远，</w:t>
            </w:r>
            <w:r>
              <w:rPr>
                <w:rFonts w:hint="eastAsia" w:ascii="Times New Roman" w:hAnsi="Times New Roman" w:cs="Times New Roman"/>
                <w:color w:val="000000"/>
                <w:sz w:val="24"/>
                <w:lang w:val="en-US" w:eastAsia="zh-CN"/>
              </w:rPr>
              <w:t>施工期做好文明施工，加强管理，施工期影响随施工结束而消失，对周边居民影响不大，</w:t>
            </w:r>
            <w:r>
              <w:rPr>
                <w:rFonts w:hint="default" w:ascii="Times New Roman" w:hAnsi="Times New Roman" w:cs="Times New Roman"/>
                <w:color w:val="000000"/>
                <w:sz w:val="24"/>
              </w:rPr>
              <w:t>外环境关系较简单，选址合理。</w:t>
            </w:r>
          </w:p>
        </w:tc>
      </w:tr>
    </w:tbl>
    <w:p>
      <w:pPr>
        <w:pStyle w:val="34"/>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黑体" w:cs="Times New Roman"/>
          <w:snapToGrid w:val="0"/>
          <w:sz w:val="36"/>
          <w:szCs w:val="36"/>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p>
    <w:p>
      <w:pPr>
        <w:pStyle w:val="34"/>
        <w:keepNext w:val="0"/>
        <w:keepLines w:val="0"/>
        <w:pageBreakBefore w:val="0"/>
        <w:kinsoku/>
        <w:wordWrap/>
        <w:overflowPunct/>
        <w:topLinePunct w:val="0"/>
        <w:bidi w:val="0"/>
        <w:adjustRightInd w:val="0"/>
        <w:snapToGrid w:val="0"/>
        <w:spacing w:before="0" w:beforeAutospacing="0" w:after="0" w:afterAutospacing="0" w:line="14" w:lineRule="auto"/>
        <w:jc w:val="center"/>
        <w:textAlignment w:val="auto"/>
        <w:outlineLvl w:val="0"/>
        <w:rPr>
          <w:rFonts w:hint="default" w:ascii="Times New Roman" w:hAnsi="Times New Roman" w:eastAsia="黑体" w:cs="Times New Roman"/>
          <w:snapToGrid w:val="0"/>
          <w:sz w:val="30"/>
          <w:szCs w:val="30"/>
        </w:rPr>
      </w:pPr>
    </w:p>
    <w:p>
      <w:pPr>
        <w:pStyle w:val="34"/>
        <w:keepNext w:val="0"/>
        <w:keepLines w:val="0"/>
        <w:pageBreakBefore w:val="0"/>
        <w:kinsoku/>
        <w:wordWrap/>
        <w:overflowPunct/>
        <w:topLinePunct w:val="0"/>
        <w:bidi w:val="0"/>
        <w:adjustRightInd w:val="0"/>
        <w:snapToGrid w:val="0"/>
        <w:jc w:val="center"/>
        <w:textAlignment w:val="auto"/>
        <w:outlineLvl w:val="0"/>
        <w:rPr>
          <w:rFonts w:hint="default" w:ascii="Times New Roman" w:hAnsi="Times New Roman" w:eastAsia="黑体" w:cs="Times New Roman"/>
          <w:snapToGrid w:val="0"/>
          <w:sz w:val="30"/>
          <w:szCs w:val="30"/>
        </w:rPr>
      </w:pPr>
      <w:r>
        <w:rPr>
          <w:rFonts w:hint="default" w:ascii="Times New Roman" w:hAnsi="Times New Roman" w:eastAsia="黑体" w:cs="Times New Roman"/>
          <w:snapToGrid w:val="0"/>
          <w:sz w:val="30"/>
          <w:szCs w:val="30"/>
        </w:rPr>
        <w:t>五、主要生态环境保护措施</w:t>
      </w:r>
    </w:p>
    <w:tbl>
      <w:tblPr>
        <w:tblStyle w:val="39"/>
        <w:tblW w:w="850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37"/>
        <w:gridCol w:w="746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5" w:hRule="atLeast"/>
          <w:jc w:val="center"/>
        </w:trPr>
        <w:tc>
          <w:tcPr>
            <w:tcW w:w="1037" w:type="dxa"/>
            <w:noWrap w:val="0"/>
            <w:tcMar>
              <w:left w:w="28" w:type="dxa"/>
              <w:right w:w="28" w:type="dxa"/>
            </w:tcMar>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bCs/>
                <w:szCs w:val="21"/>
              </w:rPr>
            </w:pPr>
            <w:r>
              <w:rPr>
                <w:rFonts w:hint="default" w:ascii="Times New Roman" w:hAnsi="Times New Roman" w:cs="Times New Roman"/>
                <w:bCs/>
                <w:spacing w:val="10"/>
                <w:sz w:val="24"/>
                <w:szCs w:val="24"/>
              </w:rPr>
              <w:t>施工期生态环境保护措施</w:t>
            </w:r>
          </w:p>
        </w:tc>
        <w:tc>
          <w:tcPr>
            <w:tcW w:w="7467" w:type="dxa"/>
            <w:noWrap w:val="0"/>
            <w:vAlign w:val="center"/>
          </w:tcPr>
          <w:p>
            <w:pPr>
              <w:pageBreakBefore w:val="0"/>
              <w:widowControl/>
              <w:kinsoku/>
              <w:wordWrap/>
              <w:overflowPunct/>
              <w:topLinePunct w:val="0"/>
              <w:bidi w:val="0"/>
              <w:adjustRightInd w:val="0"/>
              <w:snapToGrid w:val="0"/>
              <w:spacing w:line="360" w:lineRule="auto"/>
              <w:ind w:leftChars="0" w:right="0" w:firstLine="482" w:firstLineChars="200"/>
              <w:jc w:val="left"/>
              <w:rPr>
                <w:rFonts w:hint="default" w:ascii="Times New Roman" w:hAnsi="Times New Roman" w:cs="Times New Roman"/>
                <w:b/>
                <w:bCs/>
                <w:sz w:val="24"/>
                <w:szCs w:val="24"/>
              </w:rPr>
            </w:pPr>
            <w:r>
              <w:rPr>
                <w:rFonts w:hint="default" w:ascii="Times New Roman" w:hAnsi="Times New Roman" w:cs="Times New Roman"/>
                <w:b/>
                <w:bCs/>
                <w:sz w:val="24"/>
                <w:szCs w:val="24"/>
              </w:rPr>
              <w:t>1、生态环境保护措施</w:t>
            </w:r>
          </w:p>
          <w:p>
            <w:pPr>
              <w:pageBreakBefore w:val="0"/>
              <w:kinsoku/>
              <w:wordWrap/>
              <w:overflowPunct/>
              <w:topLinePunct w:val="0"/>
              <w:bidi w:val="0"/>
              <w:adjustRightInd w:val="0"/>
              <w:snapToGrid w:val="0"/>
              <w:spacing w:line="360" w:lineRule="auto"/>
              <w:ind w:leftChars="0" w:right="0" w:firstLine="480" w:firstLineChars="200"/>
              <w:textAlignment w:val="center"/>
              <w:rPr>
                <w:rFonts w:hint="default" w:ascii="Times New Roman" w:hAnsi="Times New Roman" w:cs="Times New Roman"/>
                <w:sz w:val="24"/>
                <w:szCs w:val="24"/>
              </w:rPr>
            </w:pPr>
            <w:r>
              <w:rPr>
                <w:rFonts w:hint="default" w:ascii="Times New Roman" w:hAnsi="Times New Roman" w:cs="Times New Roman"/>
                <w:sz w:val="24"/>
                <w:szCs w:val="24"/>
              </w:rPr>
              <w:t>（1）工程占地保护措施</w:t>
            </w:r>
          </w:p>
          <w:p>
            <w:pPr>
              <w:pageBreakBefore w:val="0"/>
              <w:widowControl w:val="0"/>
              <w:kinsoku/>
              <w:wordWrap/>
              <w:overflowPunct/>
              <w:topLinePunct w:val="0"/>
              <w:autoSpaceDE/>
              <w:autoSpaceDN/>
              <w:bidi w:val="0"/>
              <w:snapToGrid w:val="0"/>
              <w:spacing w:line="360" w:lineRule="auto"/>
              <w:ind w:firstLine="480" w:firstLineChars="200"/>
              <w:jc w:val="both"/>
              <w:textAlignment w:val="auto"/>
              <w:rPr>
                <w:rFonts w:hint="default" w:ascii="Times New Roman" w:hAnsi="Times New Roman" w:eastAsia="宋体" w:cs="Times New Roman"/>
                <w:b w:val="0"/>
                <w:bCs w:val="0"/>
                <w:kern w:val="2"/>
                <w:sz w:val="24"/>
                <w:szCs w:val="24"/>
                <w:lang w:val="en-US" w:eastAsia="zh-CN" w:bidi="ar-SA"/>
              </w:rPr>
            </w:pPr>
            <w:r>
              <w:rPr>
                <w:rFonts w:hint="eastAsia" w:ascii="Times New Roman" w:hAnsi="Times New Roman" w:eastAsia="宋体" w:cs="Times New Roman"/>
                <w:b w:val="0"/>
                <w:bCs w:val="0"/>
                <w:kern w:val="2"/>
                <w:sz w:val="24"/>
                <w:szCs w:val="24"/>
                <w:lang w:val="en-US" w:eastAsia="zh-CN" w:bidi="ar-SA"/>
              </w:rPr>
              <w:t>工程总占地面积3.91hm</w:t>
            </w:r>
            <w:r>
              <w:rPr>
                <w:rFonts w:hint="eastAsia" w:ascii="Times New Roman" w:hAnsi="Times New Roman" w:eastAsia="宋体" w:cs="Times New Roman"/>
                <w:b w:val="0"/>
                <w:bCs w:val="0"/>
                <w:kern w:val="2"/>
                <w:sz w:val="24"/>
                <w:szCs w:val="24"/>
                <w:vertAlign w:val="superscript"/>
                <w:lang w:val="en-US" w:eastAsia="zh-CN" w:bidi="ar-SA"/>
              </w:rPr>
              <w:t>2</w:t>
            </w:r>
            <w:r>
              <w:rPr>
                <w:rFonts w:hint="eastAsia" w:ascii="Times New Roman" w:hAnsi="Times New Roman" w:eastAsia="宋体" w:cs="Times New Roman"/>
                <w:b w:val="0"/>
                <w:bCs w:val="0"/>
                <w:kern w:val="2"/>
                <w:sz w:val="24"/>
                <w:szCs w:val="24"/>
                <w:lang w:val="en-US" w:eastAsia="zh-CN" w:bidi="ar-SA"/>
              </w:rPr>
              <w:t>，其中永久占地2.76hm</w:t>
            </w:r>
            <w:r>
              <w:rPr>
                <w:rFonts w:hint="eastAsia" w:ascii="Times New Roman" w:hAnsi="Times New Roman" w:eastAsia="宋体" w:cs="Times New Roman"/>
                <w:b w:val="0"/>
                <w:bCs w:val="0"/>
                <w:kern w:val="2"/>
                <w:sz w:val="24"/>
                <w:szCs w:val="24"/>
                <w:vertAlign w:val="superscript"/>
                <w:lang w:val="en-US" w:eastAsia="zh-CN" w:bidi="ar-SA"/>
              </w:rPr>
              <w:t>2</w:t>
            </w:r>
            <w:r>
              <w:rPr>
                <w:rFonts w:hint="eastAsia" w:ascii="Times New Roman" w:hAnsi="Times New Roman" w:eastAsia="宋体" w:cs="Times New Roman"/>
                <w:b w:val="0"/>
                <w:bCs w:val="0"/>
                <w:kern w:val="2"/>
                <w:sz w:val="24"/>
                <w:szCs w:val="24"/>
                <w:lang w:val="en-US" w:eastAsia="zh-CN" w:bidi="ar-SA"/>
              </w:rPr>
              <w:t>（包括枢纽工程区占地2.23hm</w:t>
            </w:r>
            <w:r>
              <w:rPr>
                <w:rFonts w:hint="eastAsia" w:ascii="Times New Roman" w:hAnsi="Times New Roman" w:eastAsia="宋体" w:cs="Times New Roman"/>
                <w:b w:val="0"/>
                <w:bCs w:val="0"/>
                <w:kern w:val="2"/>
                <w:sz w:val="24"/>
                <w:szCs w:val="24"/>
                <w:vertAlign w:val="superscript"/>
                <w:lang w:val="en-US" w:eastAsia="zh-CN" w:bidi="ar-SA"/>
              </w:rPr>
              <w:t>2</w:t>
            </w:r>
            <w:r>
              <w:rPr>
                <w:rFonts w:hint="eastAsia" w:ascii="Times New Roman" w:hAnsi="Times New Roman" w:eastAsia="宋体" w:cs="Times New Roman"/>
                <w:b w:val="0"/>
                <w:bCs w:val="0"/>
                <w:kern w:val="2"/>
                <w:sz w:val="24"/>
                <w:szCs w:val="24"/>
                <w:lang w:val="en-US" w:eastAsia="zh-CN" w:bidi="ar-SA"/>
              </w:rPr>
              <w:t>，渠道工程区0.53hm</w:t>
            </w:r>
            <w:r>
              <w:rPr>
                <w:rFonts w:hint="eastAsia" w:ascii="Times New Roman" w:hAnsi="Times New Roman" w:eastAsia="宋体" w:cs="Times New Roman"/>
                <w:b w:val="0"/>
                <w:bCs w:val="0"/>
                <w:kern w:val="2"/>
                <w:sz w:val="24"/>
                <w:szCs w:val="24"/>
                <w:vertAlign w:val="superscript"/>
                <w:lang w:val="en-US" w:eastAsia="zh-CN" w:bidi="ar-SA"/>
              </w:rPr>
              <w:t>2</w:t>
            </w:r>
            <w:r>
              <w:rPr>
                <w:rFonts w:hint="eastAsia" w:ascii="Times New Roman" w:hAnsi="Times New Roman" w:eastAsia="宋体" w:cs="Times New Roman"/>
                <w:b w:val="0"/>
                <w:bCs w:val="0"/>
                <w:kern w:val="2"/>
                <w:sz w:val="24"/>
                <w:szCs w:val="24"/>
                <w:lang w:val="en-US" w:eastAsia="zh-CN" w:bidi="ar-SA"/>
              </w:rPr>
              <w:t>），临时占地1.15hm</w:t>
            </w:r>
            <w:r>
              <w:rPr>
                <w:rFonts w:hint="eastAsia" w:ascii="Times New Roman" w:hAnsi="Times New Roman" w:eastAsia="宋体" w:cs="Times New Roman"/>
                <w:b w:val="0"/>
                <w:bCs w:val="0"/>
                <w:kern w:val="2"/>
                <w:sz w:val="24"/>
                <w:szCs w:val="24"/>
                <w:vertAlign w:val="superscript"/>
                <w:lang w:val="en-US" w:eastAsia="zh-CN" w:bidi="ar-SA"/>
              </w:rPr>
              <w:t>2</w:t>
            </w:r>
            <w:r>
              <w:rPr>
                <w:rFonts w:hint="eastAsia" w:ascii="Times New Roman" w:hAnsi="Times New Roman" w:eastAsia="宋体" w:cs="Times New Roman"/>
                <w:b w:val="0"/>
                <w:bCs w:val="0"/>
                <w:kern w:val="2"/>
                <w:sz w:val="24"/>
                <w:szCs w:val="24"/>
                <w:lang w:val="en-US" w:eastAsia="zh-CN" w:bidi="ar-SA"/>
              </w:rPr>
              <w:t>（其中施工工区0.15hm</w:t>
            </w:r>
            <w:r>
              <w:rPr>
                <w:rFonts w:hint="eastAsia" w:ascii="Times New Roman" w:hAnsi="Times New Roman" w:eastAsia="宋体" w:cs="Times New Roman"/>
                <w:b w:val="0"/>
                <w:bCs w:val="0"/>
                <w:kern w:val="2"/>
                <w:sz w:val="24"/>
                <w:szCs w:val="24"/>
                <w:vertAlign w:val="superscript"/>
                <w:lang w:val="en-US" w:eastAsia="zh-CN" w:bidi="ar-SA"/>
              </w:rPr>
              <w:t>2</w:t>
            </w:r>
            <w:r>
              <w:rPr>
                <w:rFonts w:hint="eastAsia" w:ascii="Times New Roman" w:hAnsi="Times New Roman" w:eastAsia="宋体" w:cs="Times New Roman"/>
                <w:b w:val="0"/>
                <w:bCs w:val="0"/>
                <w:kern w:val="2"/>
                <w:sz w:val="24"/>
                <w:szCs w:val="24"/>
                <w:lang w:val="en-US" w:eastAsia="zh-CN" w:bidi="ar-SA"/>
              </w:rPr>
              <w:t>，砂石堆放场1.00hm</w:t>
            </w:r>
            <w:r>
              <w:rPr>
                <w:rFonts w:hint="eastAsia" w:ascii="Times New Roman" w:hAnsi="Times New Roman" w:eastAsia="宋体" w:cs="Times New Roman"/>
                <w:b w:val="0"/>
                <w:bCs w:val="0"/>
                <w:kern w:val="2"/>
                <w:sz w:val="24"/>
                <w:szCs w:val="24"/>
                <w:vertAlign w:val="superscript"/>
                <w:lang w:val="en-US" w:eastAsia="zh-CN" w:bidi="ar-SA"/>
              </w:rPr>
              <w:t>2</w:t>
            </w:r>
            <w:r>
              <w:rPr>
                <w:rFonts w:hint="eastAsia" w:ascii="Times New Roman" w:hAnsi="Times New Roman" w:eastAsia="宋体" w:cs="Times New Roman"/>
                <w:b w:val="0"/>
                <w:bCs w:val="0"/>
                <w:kern w:val="2"/>
                <w:sz w:val="24"/>
                <w:szCs w:val="24"/>
                <w:lang w:val="en-US" w:eastAsia="zh-CN" w:bidi="ar-SA"/>
              </w:rPr>
              <w:t>）。表土堆场区布设于施工工区占地范围内，不新增占地。主要占地类型为旱地、竹林地、其他草地、水域及水利设施用地和其他土地。</w:t>
            </w:r>
            <w:r>
              <w:rPr>
                <w:rFonts w:hint="default" w:ascii="Times New Roman" w:hAnsi="Times New Roman" w:eastAsia="宋体" w:cs="Times New Roman"/>
                <w:b w:val="0"/>
                <w:bCs w:val="0"/>
                <w:kern w:val="2"/>
                <w:sz w:val="24"/>
                <w:szCs w:val="24"/>
                <w:lang w:val="en-US" w:eastAsia="zh-CN" w:bidi="ar-SA"/>
              </w:rPr>
              <w:t>主要占地类型为</w:t>
            </w:r>
            <w:r>
              <w:rPr>
                <w:rFonts w:hint="eastAsia" w:ascii="Times New Roman" w:hAnsi="Times New Roman" w:eastAsia="宋体" w:cs="Times New Roman"/>
                <w:b w:val="0"/>
                <w:bCs w:val="0"/>
                <w:kern w:val="2"/>
                <w:sz w:val="24"/>
                <w:szCs w:val="24"/>
                <w:lang w:val="en-US" w:eastAsia="zh-CN" w:bidi="ar-SA"/>
              </w:rPr>
              <w:t>旱地、竹林地、其他草地、</w:t>
            </w:r>
            <w:r>
              <w:rPr>
                <w:rFonts w:hint="default" w:ascii="Times New Roman" w:hAnsi="Times New Roman" w:eastAsia="宋体" w:cs="Times New Roman"/>
                <w:b w:val="0"/>
                <w:bCs w:val="0"/>
                <w:kern w:val="2"/>
                <w:sz w:val="24"/>
                <w:szCs w:val="24"/>
                <w:lang w:val="en-US" w:eastAsia="zh-CN" w:bidi="ar-SA"/>
              </w:rPr>
              <w:t>水域及水利设施用地</w:t>
            </w:r>
            <w:r>
              <w:rPr>
                <w:rFonts w:hint="eastAsia" w:ascii="Times New Roman" w:hAnsi="Times New Roman" w:eastAsia="宋体" w:cs="Times New Roman"/>
                <w:b w:val="0"/>
                <w:bCs w:val="0"/>
                <w:kern w:val="2"/>
                <w:sz w:val="24"/>
                <w:szCs w:val="24"/>
                <w:lang w:val="en-US" w:eastAsia="zh-CN" w:bidi="ar-SA"/>
              </w:rPr>
              <w:t>和其他土</w:t>
            </w:r>
            <w:r>
              <w:rPr>
                <w:rFonts w:hint="default" w:ascii="Times New Roman" w:hAnsi="Times New Roman" w:eastAsia="宋体" w:cs="Times New Roman"/>
                <w:b w:val="0"/>
                <w:bCs w:val="0"/>
                <w:kern w:val="2"/>
                <w:sz w:val="24"/>
                <w:szCs w:val="24"/>
                <w:lang w:val="en-US" w:eastAsia="zh-CN" w:bidi="ar-SA"/>
              </w:rPr>
              <w:t>地。</w:t>
            </w:r>
            <w:r>
              <w:rPr>
                <w:rFonts w:hint="eastAsia" w:ascii="Times New Roman" w:hAnsi="Times New Roman" w:eastAsia="宋体" w:cs="Times New Roman"/>
                <w:b w:val="0"/>
                <w:bCs w:val="0"/>
                <w:kern w:val="2"/>
                <w:sz w:val="24"/>
                <w:szCs w:val="24"/>
                <w:lang w:val="en-US" w:eastAsia="zh-CN" w:bidi="ar-SA"/>
              </w:rPr>
              <w:t>本项目为改建项目，占地均在在原占地红线范围内，故本项目占地符合用地要求。</w:t>
            </w:r>
          </w:p>
          <w:p>
            <w:pPr>
              <w:pageBreakBefore w:val="0"/>
              <w:kinsoku/>
              <w:wordWrap/>
              <w:overflowPunct/>
              <w:topLinePunct w:val="0"/>
              <w:bidi w:val="0"/>
              <w:adjustRightInd w:val="0"/>
              <w:snapToGrid w:val="0"/>
              <w:spacing w:line="360" w:lineRule="auto"/>
              <w:ind w:leftChars="0" w:right="0" w:firstLine="480" w:firstLineChars="200"/>
              <w:textAlignment w:val="center"/>
              <w:rPr>
                <w:rFonts w:hint="default" w:ascii="Times New Roman" w:hAnsi="Times New Roman" w:cs="Times New Roman"/>
                <w:sz w:val="24"/>
                <w:szCs w:val="24"/>
              </w:rPr>
            </w:pPr>
            <w:r>
              <w:rPr>
                <w:rFonts w:hint="default" w:ascii="Times New Roman" w:hAnsi="Times New Roman" w:cs="Times New Roman"/>
                <w:sz w:val="24"/>
                <w:szCs w:val="24"/>
              </w:rPr>
              <w:t>项目施工采取的措施：</w:t>
            </w:r>
          </w:p>
          <w:p>
            <w:pPr>
              <w:pageBreakBefore w:val="0"/>
              <w:kinsoku/>
              <w:wordWrap/>
              <w:overflowPunct/>
              <w:topLinePunct w:val="0"/>
              <w:bidi w:val="0"/>
              <w:adjustRightInd w:val="0"/>
              <w:snapToGrid w:val="0"/>
              <w:spacing w:line="360" w:lineRule="auto"/>
              <w:ind w:leftChars="0" w:right="0" w:firstLine="480" w:firstLineChars="200"/>
              <w:textAlignment w:val="center"/>
              <w:rPr>
                <w:rFonts w:hint="default" w:ascii="Times New Roman" w:hAnsi="Times New Roman" w:cs="Times New Roman"/>
                <w:sz w:val="24"/>
                <w:szCs w:val="24"/>
              </w:rPr>
            </w:pPr>
            <w:r>
              <w:rPr>
                <w:rFonts w:hint="default" w:ascii="Times New Roman" w:hAnsi="Times New Roman" w:cs="Times New Roman"/>
                <w:sz w:val="24"/>
                <w:szCs w:val="24"/>
              </w:rPr>
              <w:t>①施工时，对工程占地进行严格管理，不准擅自扩大占地，避免增加对地表植被的破坏；</w:t>
            </w:r>
          </w:p>
          <w:p>
            <w:pPr>
              <w:pageBreakBefore w:val="0"/>
              <w:kinsoku/>
              <w:wordWrap/>
              <w:overflowPunct/>
              <w:topLinePunct w:val="0"/>
              <w:bidi w:val="0"/>
              <w:adjustRightInd w:val="0"/>
              <w:snapToGrid w:val="0"/>
              <w:spacing w:line="360" w:lineRule="auto"/>
              <w:ind w:leftChars="0" w:right="0" w:firstLine="480" w:firstLineChars="200"/>
              <w:textAlignment w:val="center"/>
              <w:rPr>
                <w:rFonts w:hint="default" w:ascii="Times New Roman" w:hAnsi="Times New Roman" w:cs="Times New Roman"/>
                <w:sz w:val="24"/>
                <w:szCs w:val="24"/>
              </w:rPr>
            </w:pPr>
            <w:r>
              <w:rPr>
                <w:rFonts w:hint="default" w:ascii="Times New Roman" w:hAnsi="Times New Roman" w:cs="Times New Roman"/>
                <w:sz w:val="24"/>
                <w:szCs w:val="24"/>
              </w:rPr>
              <w:t>②对于施工</w:t>
            </w:r>
            <w:r>
              <w:rPr>
                <w:rFonts w:hint="default" w:ascii="Times New Roman" w:hAnsi="Times New Roman" w:cs="Times New Roman"/>
                <w:sz w:val="24"/>
                <w:szCs w:val="24"/>
                <w:lang w:eastAsia="zh-CN"/>
              </w:rPr>
              <w:t>场地</w:t>
            </w:r>
            <w:r>
              <w:rPr>
                <w:rFonts w:hint="default" w:ascii="Times New Roman" w:hAnsi="Times New Roman" w:cs="Times New Roman"/>
                <w:sz w:val="24"/>
                <w:szCs w:val="24"/>
              </w:rPr>
              <w:t>、临时</w:t>
            </w:r>
            <w:r>
              <w:rPr>
                <w:rFonts w:hint="default" w:ascii="Times New Roman" w:hAnsi="Times New Roman" w:cs="Times New Roman"/>
                <w:sz w:val="24"/>
                <w:szCs w:val="24"/>
                <w:lang w:eastAsia="zh-CN"/>
              </w:rPr>
              <w:t>堆场</w:t>
            </w:r>
            <w:r>
              <w:rPr>
                <w:rFonts w:hint="default" w:ascii="Times New Roman" w:hAnsi="Times New Roman" w:cs="Times New Roman"/>
                <w:sz w:val="24"/>
                <w:szCs w:val="24"/>
              </w:rPr>
              <w:t>等临时占地，要求在结束后清理场地，拆除建筑，对场地进行平整；</w:t>
            </w:r>
          </w:p>
          <w:p>
            <w:pPr>
              <w:pageBreakBefore w:val="0"/>
              <w:kinsoku/>
              <w:wordWrap/>
              <w:overflowPunct/>
              <w:topLinePunct w:val="0"/>
              <w:bidi w:val="0"/>
              <w:adjustRightInd w:val="0"/>
              <w:snapToGrid w:val="0"/>
              <w:spacing w:line="360" w:lineRule="auto"/>
              <w:ind w:leftChars="0" w:right="0" w:firstLine="480" w:firstLineChars="200"/>
              <w:textAlignment w:val="center"/>
              <w:rPr>
                <w:rFonts w:hint="default" w:ascii="Times New Roman" w:hAnsi="Times New Roman" w:cs="Times New Roman"/>
                <w:sz w:val="24"/>
                <w:szCs w:val="24"/>
              </w:rPr>
            </w:pPr>
            <w:r>
              <w:rPr>
                <w:rFonts w:hint="default" w:ascii="Times New Roman" w:hAnsi="Times New Roman" w:cs="Times New Roman"/>
                <w:sz w:val="24"/>
                <w:szCs w:val="24"/>
              </w:rPr>
              <w:t>③避免超计划占地，禁止</w:t>
            </w:r>
            <w:r>
              <w:rPr>
                <w:rFonts w:hint="eastAsia" w:ascii="Times New Roman" w:hAnsi="Times New Roman" w:cs="Times New Roman"/>
                <w:sz w:val="24"/>
                <w:szCs w:val="24"/>
                <w:lang w:eastAsia="zh-CN"/>
              </w:rPr>
              <w:t>滥砍滥伐</w:t>
            </w:r>
            <w:r>
              <w:rPr>
                <w:rFonts w:hint="default" w:ascii="Times New Roman" w:hAnsi="Times New Roman" w:cs="Times New Roman"/>
                <w:sz w:val="24"/>
                <w:szCs w:val="24"/>
              </w:rPr>
              <w:t>，注意保护周边植被，尽可能减少对植被和土地的破坏。形成的裸露土地，需及时覆土，弃土、填土应尽量结合填坑、修路，避免增加临时占地；</w:t>
            </w:r>
          </w:p>
          <w:p>
            <w:pPr>
              <w:pageBreakBefore w:val="0"/>
              <w:kinsoku/>
              <w:wordWrap/>
              <w:overflowPunct/>
              <w:topLinePunct w:val="0"/>
              <w:bidi w:val="0"/>
              <w:adjustRightInd w:val="0"/>
              <w:snapToGrid w:val="0"/>
              <w:spacing w:line="360" w:lineRule="auto"/>
              <w:ind w:leftChars="0" w:right="0" w:firstLine="480" w:firstLineChars="200"/>
              <w:textAlignment w:val="center"/>
              <w:rPr>
                <w:rFonts w:hint="default" w:ascii="Times New Roman" w:hAnsi="Times New Roman" w:cs="Times New Roman"/>
                <w:sz w:val="24"/>
                <w:szCs w:val="24"/>
              </w:rPr>
            </w:pPr>
            <w:r>
              <w:rPr>
                <w:rFonts w:hint="default" w:ascii="Times New Roman" w:hAnsi="Times New Roman" w:cs="Times New Roman"/>
                <w:sz w:val="24"/>
                <w:szCs w:val="24"/>
              </w:rPr>
              <w:t>④施工期间，以公告、宣传单、板报和会议等形式，加强对施工人员的环境保护宣传教育和保护野生动物常识的宣传，提高施工人员的环境保护意识；禁止施工人员捕猎蛙类、蛇类、兽类、鸟类等野生动物和从事其它有碍生态环境保护的活动。加强施工管理与监理，优化施工设计，尽量减少施工占地及施工活动对动物栖息地的破坏；</w:t>
            </w:r>
          </w:p>
          <w:p>
            <w:pPr>
              <w:pageBreakBefore w:val="0"/>
              <w:kinsoku/>
              <w:wordWrap/>
              <w:overflowPunct/>
              <w:topLinePunct w:val="0"/>
              <w:bidi w:val="0"/>
              <w:adjustRightInd w:val="0"/>
              <w:snapToGrid w:val="0"/>
              <w:spacing w:line="360" w:lineRule="auto"/>
              <w:ind w:leftChars="0" w:right="0" w:firstLine="480" w:firstLineChars="200"/>
              <w:textAlignment w:val="center"/>
              <w:rPr>
                <w:rFonts w:hint="default" w:ascii="Times New Roman" w:hAnsi="Times New Roman" w:cs="Times New Roman"/>
                <w:sz w:val="24"/>
                <w:szCs w:val="24"/>
              </w:rPr>
            </w:pPr>
            <w:r>
              <w:rPr>
                <w:rFonts w:hint="default" w:ascii="Times New Roman" w:hAnsi="Times New Roman" w:cs="Times New Roman"/>
                <w:sz w:val="24"/>
                <w:szCs w:val="24"/>
              </w:rPr>
              <w:t>⑤工程建设中，取弃土要综合考虑，填控应相互结合，以减少施工中的弃土量；合理布置弃土的位置、范围等，尽可能减少破坏地貌的面积，保持原有生态环境；</w:t>
            </w:r>
          </w:p>
          <w:p>
            <w:pPr>
              <w:pageBreakBefore w:val="0"/>
              <w:kinsoku/>
              <w:wordWrap/>
              <w:overflowPunct/>
              <w:topLinePunct w:val="0"/>
              <w:bidi w:val="0"/>
              <w:adjustRightInd w:val="0"/>
              <w:snapToGrid w:val="0"/>
              <w:spacing w:line="360" w:lineRule="auto"/>
              <w:ind w:leftChars="0" w:right="0" w:firstLine="480" w:firstLineChars="200"/>
              <w:textAlignment w:val="center"/>
              <w:rPr>
                <w:rFonts w:hint="default" w:ascii="Times New Roman" w:hAnsi="Times New Roman" w:cs="Times New Roman"/>
                <w:sz w:val="24"/>
                <w:szCs w:val="24"/>
              </w:rPr>
            </w:pPr>
            <w:r>
              <w:rPr>
                <w:rFonts w:hint="default" w:ascii="Times New Roman" w:hAnsi="Times New Roman" w:cs="Times New Roman"/>
                <w:sz w:val="24"/>
                <w:szCs w:val="24"/>
              </w:rPr>
              <w:t>⑥</w:t>
            </w:r>
            <w:r>
              <w:rPr>
                <w:rFonts w:hint="default" w:ascii="Times New Roman" w:hAnsi="Times New Roman" w:cs="Times New Roman"/>
                <w:sz w:val="24"/>
                <w:szCs w:val="24"/>
                <w:lang w:val="en-US" w:eastAsia="zh-CN"/>
              </w:rPr>
              <w:t>在</w:t>
            </w:r>
            <w:r>
              <w:rPr>
                <w:rFonts w:hint="default" w:ascii="Times New Roman" w:hAnsi="Times New Roman" w:cs="Times New Roman"/>
                <w:sz w:val="24"/>
                <w:szCs w:val="24"/>
              </w:rPr>
              <w:t>施工工区设置沉淀池</w:t>
            </w:r>
            <w:r>
              <w:rPr>
                <w:rFonts w:hint="default" w:ascii="Times New Roman" w:hAnsi="Times New Roman" w:cs="Times New Roman"/>
                <w:sz w:val="24"/>
                <w:szCs w:val="24"/>
                <w:lang w:eastAsia="zh-CN"/>
              </w:rPr>
              <w:t>，</w:t>
            </w:r>
            <w:r>
              <w:rPr>
                <w:rFonts w:hint="default" w:ascii="Times New Roman" w:hAnsi="Times New Roman" w:cs="Times New Roman"/>
                <w:sz w:val="24"/>
                <w:szCs w:val="24"/>
              </w:rPr>
              <w:t>禁止将</w:t>
            </w:r>
            <w:r>
              <w:rPr>
                <w:rFonts w:hint="default" w:ascii="Times New Roman" w:hAnsi="Times New Roman" w:cs="Times New Roman"/>
                <w:sz w:val="24"/>
                <w:szCs w:val="24"/>
                <w:lang w:eastAsia="zh-CN"/>
              </w:rPr>
              <w:t>施工废水</w:t>
            </w:r>
            <w:r>
              <w:rPr>
                <w:rFonts w:hint="default" w:ascii="Times New Roman" w:hAnsi="Times New Roman" w:cs="Times New Roman"/>
                <w:sz w:val="24"/>
                <w:szCs w:val="24"/>
              </w:rPr>
              <w:t>、垃圾直接排入水体；有害的施工材料尤其是粉尘类材料应远离水体堆放，防止其在大风天气下飘散对河流水质和水生生物的影响；</w:t>
            </w:r>
          </w:p>
          <w:p>
            <w:pPr>
              <w:pageBreakBefore w:val="0"/>
              <w:kinsoku/>
              <w:wordWrap/>
              <w:overflowPunct/>
              <w:topLinePunct w:val="0"/>
              <w:bidi w:val="0"/>
              <w:adjustRightInd w:val="0"/>
              <w:snapToGrid w:val="0"/>
              <w:spacing w:line="360" w:lineRule="auto"/>
              <w:ind w:leftChars="0" w:right="0" w:firstLine="480" w:firstLineChars="200"/>
              <w:textAlignment w:val="center"/>
              <w:rPr>
                <w:rFonts w:hint="default" w:ascii="Times New Roman" w:hAnsi="Times New Roman" w:cs="Times New Roman"/>
                <w:sz w:val="24"/>
                <w:szCs w:val="24"/>
              </w:rPr>
            </w:pPr>
            <w:r>
              <w:rPr>
                <w:rFonts w:hint="default" w:ascii="Times New Roman" w:hAnsi="Times New Roman" w:cs="Times New Roman"/>
                <w:sz w:val="24"/>
                <w:szCs w:val="24"/>
              </w:rPr>
              <w:t>⑦本工程施工活动主要集中在河岸带，在施工过程中应尽量减少对河岸带植被的破坏，施工完成后，应及时对破坏的河岸进行绿化，维护近岸的水生生态环境；</w:t>
            </w:r>
          </w:p>
          <w:p>
            <w:pPr>
              <w:pageBreakBefore w:val="0"/>
              <w:kinsoku/>
              <w:wordWrap/>
              <w:overflowPunct/>
              <w:topLinePunct w:val="0"/>
              <w:bidi w:val="0"/>
              <w:adjustRightInd w:val="0"/>
              <w:snapToGrid w:val="0"/>
              <w:spacing w:line="360" w:lineRule="auto"/>
              <w:ind w:leftChars="0" w:right="0" w:firstLine="480" w:firstLineChars="200"/>
              <w:textAlignment w:val="center"/>
              <w:rPr>
                <w:rFonts w:hint="default" w:ascii="Times New Roman" w:hAnsi="Times New Roman" w:cs="Times New Roman"/>
                <w:sz w:val="24"/>
                <w:szCs w:val="24"/>
              </w:rPr>
            </w:pPr>
            <w:r>
              <w:rPr>
                <w:rFonts w:hint="default" w:ascii="Times New Roman" w:hAnsi="Times New Roman" w:cs="Times New Roman"/>
                <w:sz w:val="24"/>
                <w:szCs w:val="24"/>
              </w:rPr>
              <w:t>⑧项目建设范围内虽无珍稀濒危水生生物，但在施工期也应制定水生生物保护规定，使施工人员在施工过程中能自觉保护水生动物；严禁施工人员在施工水域附近进行捕鱼、猎捕水禽或从事其它有碍水生生态环境的活动，一旦发现珍稀水生动物，应及时进行保护和上报；</w:t>
            </w:r>
          </w:p>
          <w:p>
            <w:pPr>
              <w:pageBreakBefore w:val="0"/>
              <w:kinsoku/>
              <w:wordWrap/>
              <w:overflowPunct/>
              <w:topLinePunct w:val="0"/>
              <w:bidi w:val="0"/>
              <w:adjustRightInd w:val="0"/>
              <w:snapToGrid w:val="0"/>
              <w:spacing w:line="360" w:lineRule="auto"/>
              <w:ind w:leftChars="0" w:right="0" w:firstLine="480" w:firstLineChars="200"/>
              <w:textAlignment w:val="center"/>
              <w:rPr>
                <w:rFonts w:hint="default" w:ascii="Times New Roman" w:hAnsi="Times New Roman" w:cs="Times New Roman"/>
                <w:sz w:val="24"/>
                <w:szCs w:val="24"/>
              </w:rPr>
            </w:pPr>
            <w:r>
              <w:rPr>
                <w:rFonts w:hint="default" w:ascii="Times New Roman" w:hAnsi="Times New Roman" w:cs="Times New Roman"/>
                <w:sz w:val="24"/>
                <w:szCs w:val="24"/>
              </w:rPr>
              <w:t>⑨在实施与河道水体直接接触的工程时，采取</w:t>
            </w:r>
            <w:r>
              <w:rPr>
                <w:rFonts w:hint="eastAsia" w:ascii="Times New Roman" w:hAnsi="Times New Roman" w:cs="Times New Roman"/>
                <w:sz w:val="24"/>
                <w:szCs w:val="24"/>
                <w:lang w:val="en-US" w:eastAsia="zh-CN"/>
              </w:rPr>
              <w:t>围堰施工</w:t>
            </w:r>
            <w:r>
              <w:rPr>
                <w:rFonts w:hint="default" w:ascii="Times New Roman" w:hAnsi="Times New Roman" w:cs="Times New Roman"/>
                <w:sz w:val="24"/>
                <w:szCs w:val="24"/>
                <w:lang w:eastAsia="zh-CN"/>
              </w:rPr>
              <w:t>的</w:t>
            </w:r>
            <w:r>
              <w:rPr>
                <w:rFonts w:hint="default" w:ascii="Times New Roman" w:hAnsi="Times New Roman" w:cs="Times New Roman"/>
                <w:sz w:val="24"/>
                <w:szCs w:val="24"/>
              </w:rPr>
              <w:t>施工方式，</w:t>
            </w:r>
            <w:r>
              <w:rPr>
                <w:rFonts w:hint="default" w:ascii="Times New Roman" w:hAnsi="Times New Roman" w:cs="Times New Roman"/>
                <w:sz w:val="24"/>
                <w:szCs w:val="24"/>
                <w:lang w:eastAsia="zh-CN"/>
              </w:rPr>
              <w:t>将会增加</w:t>
            </w:r>
            <w:r>
              <w:rPr>
                <w:rFonts w:hint="default" w:ascii="Times New Roman" w:hAnsi="Times New Roman" w:cs="Times New Roman"/>
                <w:sz w:val="24"/>
                <w:szCs w:val="24"/>
              </w:rPr>
              <w:t>悬浮物的产生量</w:t>
            </w:r>
            <w:r>
              <w:rPr>
                <w:rFonts w:hint="default" w:ascii="Times New Roman" w:hAnsi="Times New Roman" w:cs="Times New Roman"/>
                <w:sz w:val="24"/>
                <w:szCs w:val="24"/>
                <w:lang w:eastAsia="zh-CN"/>
              </w:rPr>
              <w:t>，施工中应</w:t>
            </w:r>
            <w:r>
              <w:rPr>
                <w:rFonts w:hint="default" w:ascii="Times New Roman" w:hAnsi="Times New Roman" w:cs="Times New Roman"/>
                <w:sz w:val="24"/>
                <w:szCs w:val="24"/>
              </w:rPr>
              <w:t>合理安排施工季节和施工强度，在水体流动缓慢季节时，可适当加大施工强度；对产生河道悬浮物的污染影响应进行监测，避免水体浑浊对水生生态产生影响；</w:t>
            </w:r>
          </w:p>
          <w:p>
            <w:pPr>
              <w:pageBreakBefore w:val="0"/>
              <w:kinsoku/>
              <w:wordWrap/>
              <w:overflowPunct/>
              <w:topLinePunct w:val="0"/>
              <w:bidi w:val="0"/>
              <w:adjustRightInd w:val="0"/>
              <w:snapToGrid w:val="0"/>
              <w:spacing w:line="360" w:lineRule="auto"/>
              <w:ind w:leftChars="0" w:right="0" w:firstLine="480" w:firstLineChars="200"/>
              <w:textAlignment w:val="center"/>
              <w:rPr>
                <w:rFonts w:hint="default" w:ascii="Times New Roman" w:hAnsi="Times New Roman" w:eastAsia="宋体" w:cs="Times New Roman"/>
                <w:sz w:val="24"/>
                <w:szCs w:val="24"/>
              </w:rPr>
            </w:pPr>
            <w:r>
              <w:rPr>
                <w:rFonts w:hint="default" w:ascii="Times New Roman" w:hAnsi="Times New Roman" w:cs="Times New Roman"/>
                <w:sz w:val="24"/>
                <w:szCs w:val="24"/>
              </w:rPr>
              <w:t>采取上述措施后，项目施工</w:t>
            </w:r>
            <w:r>
              <w:rPr>
                <w:rFonts w:hint="default" w:ascii="Times New Roman" w:hAnsi="Times New Roman" w:cs="Times New Roman"/>
                <w:sz w:val="24"/>
                <w:szCs w:val="24"/>
                <w:lang w:val="en-US" w:eastAsia="zh-CN"/>
              </w:rPr>
              <w:t>对周围环境影响较小</w:t>
            </w:r>
            <w:r>
              <w:rPr>
                <w:rFonts w:hint="default" w:ascii="Times New Roman" w:hAnsi="Times New Roman" w:cs="Times New Roman"/>
                <w:sz w:val="24"/>
                <w:szCs w:val="24"/>
              </w:rPr>
              <w:t>，同时，随着河岸带内天然植被生长状况的改善，能够加固堤岸，降低径流速度，减少洪水破坏力，滤掉一些沉淀物和营养物质，对河流水质也有一定促进作</w:t>
            </w:r>
            <w:r>
              <w:rPr>
                <w:rFonts w:hint="default" w:ascii="Times New Roman" w:hAnsi="Times New Roman" w:eastAsia="宋体" w:cs="Times New Roman"/>
                <w:sz w:val="24"/>
                <w:szCs w:val="24"/>
              </w:rPr>
              <w:t>用。</w:t>
            </w:r>
          </w:p>
          <w:p>
            <w:pPr>
              <w:pageBreakBefore w:val="0"/>
              <w:kinsoku/>
              <w:wordWrap/>
              <w:overflowPunct/>
              <w:topLinePunct w:val="0"/>
              <w:bidi w:val="0"/>
              <w:adjustRightInd w:val="0"/>
              <w:snapToGrid w:val="0"/>
              <w:spacing w:line="360" w:lineRule="auto"/>
              <w:ind w:leftChars="0" w:right="0" w:firstLine="480" w:firstLineChars="200"/>
              <w:textAlignment w:val="center"/>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2</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对陆生动物影响的保护措施</w:t>
            </w:r>
          </w:p>
          <w:p>
            <w:pPr>
              <w:pageBreakBefore w:val="0"/>
              <w:kinsoku/>
              <w:wordWrap/>
              <w:overflowPunct/>
              <w:topLinePunct w:val="0"/>
              <w:bidi w:val="0"/>
              <w:adjustRightInd w:val="0"/>
              <w:snapToGrid w:val="0"/>
              <w:spacing w:line="360" w:lineRule="auto"/>
              <w:ind w:leftChars="0" w:right="0" w:firstLine="480" w:firstLineChars="200"/>
              <w:textAlignment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本区受人为活动影响剧烈，早已无野生大型动物分布，区内的动物主要</w:t>
            </w:r>
            <w:r>
              <w:rPr>
                <w:rFonts w:hint="default" w:ascii="Times New Roman" w:hAnsi="Times New Roman" w:eastAsia="宋体" w:cs="Times New Roman"/>
                <w:sz w:val="24"/>
                <w:szCs w:val="24"/>
                <w:lang w:eastAsia="zh-CN"/>
              </w:rPr>
              <w:t>以家养的狗为主和少量野生的鸟类、蛙、蛇类以及各种鼠类等小型野生动植物。评价区域未发现有国家级重点保护动物。</w:t>
            </w:r>
          </w:p>
          <w:p>
            <w:pPr>
              <w:pageBreakBefore w:val="0"/>
              <w:kinsoku/>
              <w:wordWrap/>
              <w:overflowPunct/>
              <w:topLinePunct w:val="0"/>
              <w:bidi w:val="0"/>
              <w:adjustRightInd w:val="0"/>
              <w:snapToGrid w:val="0"/>
              <w:spacing w:line="360" w:lineRule="auto"/>
              <w:ind w:leftChars="0" w:right="0" w:firstLine="480" w:firstLineChars="200"/>
              <w:textAlignment w:val="center"/>
              <w:rPr>
                <w:rFonts w:hint="eastAsia"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施工期间，工程由于表土剥离、土方和建材的堆放等施工活动</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lang w:eastAsia="zh-CN"/>
              </w:rPr>
              <w:t>以及施工</w:t>
            </w:r>
            <w:r>
              <w:rPr>
                <w:rFonts w:hint="eastAsia" w:ascii="Times New Roman" w:hAnsi="Times New Roman" w:eastAsia="宋体" w:cs="Times New Roman"/>
                <w:sz w:val="24"/>
                <w:szCs w:val="24"/>
                <w:lang w:eastAsia="zh-CN"/>
              </w:rPr>
              <w:t>噪声，会对周边的动物产生影响，使其往其他地方迁移。但对动物的影响是暂时的，项目施工完成，部分动物将会回迁。</w:t>
            </w:r>
          </w:p>
          <w:p>
            <w:pPr>
              <w:pageBreakBefore w:val="0"/>
              <w:kinsoku/>
              <w:wordWrap/>
              <w:overflowPunct/>
              <w:topLinePunct w:val="0"/>
              <w:bidi w:val="0"/>
              <w:adjustRightInd w:val="0"/>
              <w:snapToGrid w:val="0"/>
              <w:spacing w:line="360" w:lineRule="auto"/>
              <w:ind w:leftChars="0" w:right="0" w:firstLine="480" w:firstLineChars="200"/>
              <w:textAlignment w:val="center"/>
              <w:rPr>
                <w:rFonts w:hint="default"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因此，本项目建设对植物、动物生境影响较小。</w:t>
            </w:r>
          </w:p>
          <w:p>
            <w:pPr>
              <w:pageBreakBefore w:val="0"/>
              <w:kinsoku/>
              <w:wordWrap/>
              <w:overflowPunct/>
              <w:topLinePunct w:val="0"/>
              <w:bidi w:val="0"/>
              <w:adjustRightInd w:val="0"/>
              <w:snapToGrid w:val="0"/>
              <w:spacing w:line="360" w:lineRule="auto"/>
              <w:ind w:leftChars="0" w:right="0" w:firstLine="480" w:firstLineChars="200"/>
              <w:textAlignment w:val="center"/>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3</w:t>
            </w:r>
            <w:r>
              <w:rPr>
                <w:rFonts w:hint="eastAsia" w:ascii="Times New Roman" w:hAnsi="Times New Roman" w:eastAsia="宋体" w:cs="Times New Roman"/>
                <w:sz w:val="24"/>
                <w:szCs w:val="24"/>
                <w:lang w:eastAsia="zh-CN"/>
              </w:rPr>
              <w:t>）对水生生态影响的保护措施</w:t>
            </w:r>
          </w:p>
          <w:p>
            <w:pPr>
              <w:pageBreakBefore w:val="0"/>
              <w:kinsoku/>
              <w:wordWrap/>
              <w:overflowPunct/>
              <w:topLinePunct w:val="0"/>
              <w:bidi w:val="0"/>
              <w:adjustRightInd w:val="0"/>
              <w:snapToGrid w:val="0"/>
              <w:spacing w:line="360" w:lineRule="auto"/>
              <w:ind w:leftChars="0" w:right="0" w:firstLine="480" w:firstLineChars="200"/>
              <w:textAlignment w:val="center"/>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本工程主要是河道施工对水域进行扰动，带来的影响主要表现为水中悬浮物浓度升高，从水生生态学角度来看，水中悬浮物浓度增大，导致水体透明度降低，影响藻类的光合作用，从而使浮游植物生物量下降，影响生态系统食物链的传递，进而影响整个生态系统。项目应尽量避开水生生物繁殖季节，加强环保宣传，设置水生生物保护警示牌等措施。</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center"/>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综上分析，本项目施工期主要污染是暂时性的，随施工期结束而消失。通过采取相应的生态保护和恢复措施后，尤其是通过施工管理和强化施工期的保护和恢复，本项目建设对生态环境影响不大。</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rPr>
              <w:t>）水土流失保护措施</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center"/>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结合项目组成及施工布局，将本项目水土流失防治责任范围划分为主体工程区、施工场地区、弃土场等</w:t>
            </w:r>
            <w:r>
              <w:rPr>
                <w:rFonts w:hint="eastAsia" w:ascii="Times New Roman" w:hAnsi="Times New Roman" w:eastAsia="宋体" w:cs="Times New Roman"/>
                <w:sz w:val="24"/>
                <w:szCs w:val="24"/>
                <w:lang w:val="en-US" w:eastAsia="zh-CN"/>
              </w:rPr>
              <w:t>三</w:t>
            </w:r>
            <w:r>
              <w:rPr>
                <w:rFonts w:hint="eastAsia" w:ascii="Times New Roman" w:hAnsi="Times New Roman" w:eastAsia="宋体" w:cs="Times New Roman"/>
                <w:sz w:val="24"/>
                <w:szCs w:val="24"/>
                <w:lang w:eastAsia="zh-CN"/>
              </w:rPr>
              <w:t>个防治分区。</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2" w:firstLineChars="200"/>
              <w:textAlignment w:val="center"/>
              <w:rPr>
                <w:rFonts w:hint="eastAsia" w:ascii="Times New Roman" w:hAnsi="Times New Roman" w:eastAsia="宋体" w:cs="Times New Roman"/>
                <w:b/>
                <w:bCs/>
                <w:sz w:val="24"/>
                <w:szCs w:val="24"/>
              </w:rPr>
            </w:pPr>
            <w:r>
              <w:rPr>
                <w:rFonts w:hint="default" w:ascii="Times New Roman" w:hAnsi="Times New Roman" w:eastAsia="宋体" w:cs="Times New Roman"/>
                <w:b/>
                <w:bCs/>
                <w:sz w:val="24"/>
                <w:szCs w:val="24"/>
              </w:rPr>
              <w:t>1</w:t>
            </w:r>
            <w:r>
              <w:rPr>
                <w:rFonts w:hint="eastAsia" w:ascii="Times New Roman" w:hAnsi="Times New Roman" w:eastAsia="宋体" w:cs="Times New Roman"/>
                <w:b/>
                <w:bCs/>
                <w:sz w:val="24"/>
                <w:szCs w:val="24"/>
              </w:rPr>
              <w:t>) 主体工程区</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center"/>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工程措施：</w:t>
            </w:r>
            <w:r>
              <w:rPr>
                <w:rFonts w:hint="eastAsia" w:ascii="Times New Roman" w:hAnsi="Times New Roman" w:eastAsia="宋体" w:cs="Times New Roman"/>
                <w:sz w:val="24"/>
                <w:szCs w:val="24"/>
                <w:lang w:val="en-US"/>
              </w:rPr>
              <w:t>主体设计在堤防建设前，对占用的旱地与林草地内种植土进行开挖剥离措施，用于后期框格梁草护坡用土及绿化。</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center"/>
              <w:rPr>
                <w:rFonts w:hint="default" w:ascii="Times New Roman" w:hAnsi="Times New Roman" w:eastAsia="宋体" w:cs="Times New Roman"/>
                <w:sz w:val="24"/>
                <w:szCs w:val="24"/>
              </w:rPr>
            </w:pPr>
            <w:r>
              <w:rPr>
                <w:rFonts w:hint="eastAsia" w:ascii="Times New Roman" w:hAnsi="Times New Roman" w:eastAsia="宋体" w:cs="Times New Roman"/>
                <w:sz w:val="24"/>
                <w:szCs w:val="24"/>
              </w:rPr>
              <w:t>植物措施：</w:t>
            </w:r>
            <w:r>
              <w:rPr>
                <w:rFonts w:hint="default" w:ascii="Times New Roman" w:hAnsi="Times New Roman" w:eastAsia="宋体" w:cs="Times New Roman"/>
                <w:sz w:val="24"/>
                <w:szCs w:val="24"/>
              </w:rPr>
              <w:t>主体设计</w:t>
            </w:r>
            <w:r>
              <w:rPr>
                <w:rFonts w:hint="eastAsia" w:ascii="Times New Roman" w:hAnsi="Times New Roman" w:eastAsia="宋体" w:cs="Times New Roman"/>
                <w:sz w:val="24"/>
                <w:szCs w:val="24"/>
              </w:rPr>
              <w:t>渠道</w:t>
            </w:r>
            <w:r>
              <w:rPr>
                <w:rFonts w:hint="default" w:ascii="Times New Roman" w:hAnsi="Times New Roman" w:eastAsia="宋体" w:cs="Times New Roman"/>
                <w:sz w:val="24"/>
                <w:szCs w:val="24"/>
              </w:rPr>
              <w:t>整治段</w:t>
            </w:r>
            <w:r>
              <w:rPr>
                <w:rFonts w:hint="eastAsia" w:ascii="Times New Roman" w:hAnsi="Times New Roman" w:eastAsia="宋体" w:cs="Times New Roman"/>
                <w:sz w:val="24"/>
                <w:szCs w:val="24"/>
              </w:rPr>
              <w:t>上部采用砼框格（30*30cm）植草护坡</w:t>
            </w:r>
            <w:r>
              <w:rPr>
                <w:rFonts w:hint="default" w:ascii="Times New Roman" w:hAnsi="Times New Roman" w:eastAsia="宋体" w:cs="Times New Roman"/>
                <w:sz w:val="24"/>
                <w:szCs w:val="24"/>
              </w:rPr>
              <w:t>，护坡内采取回填耕植土措施，耕植土来源于主体工程区的剥离表土量。</w:t>
            </w:r>
            <w:r>
              <w:rPr>
                <w:rFonts w:hint="eastAsia" w:ascii="Times New Roman" w:hAnsi="Times New Roman" w:eastAsia="宋体" w:cs="Times New Roman"/>
                <w:sz w:val="24"/>
                <w:szCs w:val="24"/>
              </w:rPr>
              <w:t>护坡面积4350m</w:t>
            </w:r>
            <w:r>
              <w:rPr>
                <w:rFonts w:hint="eastAsia"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2" w:firstLineChars="200"/>
              <w:textAlignment w:val="center"/>
              <w:rPr>
                <w:rFonts w:hint="eastAsia" w:ascii="Times New Roman" w:hAnsi="Times New Roman" w:eastAsia="宋体" w:cs="Times New Roman"/>
                <w:b/>
                <w:bCs/>
                <w:sz w:val="24"/>
                <w:szCs w:val="24"/>
                <w:lang w:eastAsia="zh-CN"/>
              </w:rPr>
            </w:pPr>
            <w:r>
              <w:rPr>
                <w:rFonts w:hint="default" w:ascii="Times New Roman" w:hAnsi="Times New Roman" w:eastAsia="宋体" w:cs="Times New Roman"/>
                <w:b/>
                <w:bCs/>
                <w:sz w:val="24"/>
                <w:szCs w:val="24"/>
              </w:rPr>
              <w:t>2</w:t>
            </w:r>
            <w:r>
              <w:rPr>
                <w:rFonts w:hint="eastAsia" w:ascii="Times New Roman" w:hAnsi="Times New Roman" w:eastAsia="宋体" w:cs="Times New Roman"/>
                <w:b/>
                <w:bCs/>
                <w:sz w:val="24"/>
                <w:szCs w:val="24"/>
              </w:rPr>
              <w:t>) 施工</w:t>
            </w:r>
            <w:r>
              <w:rPr>
                <w:rFonts w:hint="eastAsia" w:ascii="Times New Roman" w:hAnsi="Times New Roman" w:eastAsia="宋体" w:cs="Times New Roman"/>
                <w:b/>
                <w:bCs/>
                <w:sz w:val="24"/>
                <w:szCs w:val="24"/>
                <w:lang w:val="en-US" w:eastAsia="zh-CN"/>
              </w:rPr>
              <w:t>工区</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center"/>
              <w:rPr>
                <w:rFonts w:eastAsia="仿宋_GB2312"/>
              </w:rPr>
            </w:pPr>
            <w:r>
              <w:rPr>
                <w:rFonts w:hint="eastAsia" w:ascii="Times New Roman" w:hAnsi="Times New Roman" w:eastAsia="宋体" w:cs="Times New Roman"/>
                <w:sz w:val="24"/>
                <w:szCs w:val="24"/>
              </w:rPr>
              <w:t>工程措施：本工程共设置施工工区2处，总占地0.15hm</w:t>
            </w:r>
            <w:r>
              <w:rPr>
                <w:rFonts w:hint="eastAsia" w:ascii="Times New Roman" w:hAnsi="Times New Roman" w:eastAsia="宋体" w:cs="Times New Roman"/>
                <w:sz w:val="24"/>
                <w:szCs w:val="24"/>
                <w:vertAlign w:val="superscript"/>
              </w:rPr>
              <w:t>2</w:t>
            </w:r>
            <w:r>
              <w:rPr>
                <w:rFonts w:hint="eastAsia" w:ascii="Times New Roman" w:hAnsi="Times New Roman" w:eastAsia="宋体" w:cs="Times New Roman"/>
                <w:sz w:val="24"/>
                <w:szCs w:val="24"/>
              </w:rPr>
              <w:t>。表土剥离与覆土主体设计在施工工区建设前，对占用的旱地与草地内种植土进行开挖剥离措施，用于工区复耕与绿化覆土。</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center"/>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mc:AlternateContent>
                <mc:Choice Requires="wps">
                  <w:drawing>
                    <wp:anchor distT="0" distB="0" distL="114300" distR="114300" simplePos="0" relativeHeight="251663360" behindDoc="0" locked="0" layoutInCell="1" allowOverlap="1">
                      <wp:simplePos x="0" y="0"/>
                      <wp:positionH relativeFrom="page">
                        <wp:posOffset>-632460</wp:posOffset>
                      </wp:positionH>
                      <wp:positionV relativeFrom="page">
                        <wp:posOffset>2106295</wp:posOffset>
                      </wp:positionV>
                      <wp:extent cx="172085" cy="21336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72085" cy="213360"/>
                              </a:xfrm>
                              <a:prstGeom prst="rect">
                                <a:avLst/>
                              </a:prstGeom>
                              <a:noFill/>
                              <a:ln>
                                <a:noFill/>
                              </a:ln>
                            </wps:spPr>
                            <wps:txbx>
                              <w:txbxContent>
                                <w:p>
                                  <w:pPr>
                                    <w:spacing w:before="20" w:line="237" w:lineRule="auto"/>
                                    <w:ind w:left="20"/>
                                    <w:rPr>
                                      <w:rFonts w:ascii="宋体" w:hAnsi="宋体" w:eastAsia="宋体" w:cs="宋体"/>
                                      <w:sz w:val="23"/>
                                      <w:szCs w:val="23"/>
                                    </w:rPr>
                                  </w:pPr>
                                  <w:r>
                                    <w:rPr>
                                      <w:rFonts w:ascii="宋体" w:hAnsi="宋体" w:eastAsia="宋体" w:cs="宋体"/>
                                      <w:sz w:val="23"/>
                                      <w:szCs w:val="23"/>
                                    </w:rPr>
                                    <w:t>池</w:t>
                                  </w:r>
                                </w:p>
                              </w:txbxContent>
                            </wps:txbx>
                            <wps:bodyPr lIns="0" tIns="0" rIns="0" bIns="0" upright="1"/>
                          </wps:wsp>
                        </a:graphicData>
                      </a:graphic>
                    </wp:anchor>
                  </w:drawing>
                </mc:Choice>
                <mc:Fallback>
                  <w:pict>
                    <v:shape id="_x0000_s1026" o:spid="_x0000_s1026" o:spt="202" type="#_x0000_t202" style="position:absolute;left:0pt;margin-left:-49.8pt;margin-top:165.85pt;height:16.8pt;width:13.55pt;mso-position-horizontal-relative:page;mso-position-vertical-relative:page;z-index:251663360;mso-width-relative:page;mso-height-relative:page;" filled="f" stroked="f" coordsize="21600,21600" o:gfxdata="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VMBvaNsAAAALAQAADwAAAAAAAAABACAAAAAiAAAAZHJzL2Rvd25yZXYueG1s&#10;UEsBAhQAFAAAAAgAh07iQBOZw/+8AQAAcwMAAA4AAAAAAAAAAQAgAAAAKgEAAGRycy9lMm9Eb2Mu&#10;eG1sUEsFBgAAAAAGAAYAWQEAAFgFAAAAAA==&#10;">
                      <v:path/>
                      <v:fill on="f" focussize="0,0"/>
                      <v:stroke on="f"/>
                      <v:imagedata o:title=""/>
                      <o:lock v:ext="edit" aspectratio="f"/>
                      <v:textbox inset="0mm,0mm,0mm,0mm">
                        <w:txbxContent>
                          <w:p>
                            <w:pPr>
                              <w:spacing w:before="20" w:line="237" w:lineRule="auto"/>
                              <w:ind w:left="20"/>
                              <w:rPr>
                                <w:rFonts w:ascii="宋体" w:hAnsi="宋体" w:eastAsia="宋体" w:cs="宋体"/>
                                <w:sz w:val="23"/>
                                <w:szCs w:val="23"/>
                              </w:rPr>
                            </w:pPr>
                            <w:r>
                              <w:rPr>
                                <w:rFonts w:ascii="宋体" w:hAnsi="宋体" w:eastAsia="宋体" w:cs="宋体"/>
                                <w:sz w:val="23"/>
                                <w:szCs w:val="23"/>
                              </w:rPr>
                              <w:t>池</w:t>
                            </w:r>
                          </w:p>
                        </w:txbxContent>
                      </v:textbox>
                    </v:shape>
                  </w:pict>
                </mc:Fallback>
              </mc:AlternateContent>
            </w:r>
            <w:r>
              <w:rPr>
                <w:rFonts w:hint="default" w:ascii="Times New Roman" w:hAnsi="Times New Roman" w:eastAsia="宋体" w:cs="Times New Roman"/>
                <w:sz w:val="24"/>
                <w:szCs w:val="24"/>
                <w:lang w:val="en-US" w:eastAsia="zh-CN"/>
              </w:rPr>
              <w:t>植物措施：</w:t>
            </w:r>
            <w:r>
              <w:rPr>
                <w:rFonts w:hint="eastAsia" w:ascii="Times New Roman" w:hAnsi="Times New Roman" w:eastAsia="宋体" w:cs="Times New Roman"/>
                <w:sz w:val="24"/>
                <w:szCs w:val="24"/>
                <w:lang w:val="en-US" w:eastAsia="zh-CN"/>
              </w:rPr>
              <w:t>对右岸占用耕地后期复耕1000m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，对左岸工区占用草地采取绿化措施，采用撒播草籽方式，共计绿化500m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center"/>
              <w:rPr>
                <w:rFonts w:hint="eastAsia"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临时</w:t>
            </w:r>
            <w:r>
              <w:rPr>
                <w:rFonts w:hint="eastAsia" w:ascii="Times New Roman" w:hAnsi="Times New Roman" w:eastAsia="宋体" w:cs="Times New Roman"/>
                <w:sz w:val="24"/>
                <w:szCs w:val="24"/>
                <w:lang w:val="en-US" w:eastAsia="zh-CN"/>
              </w:rPr>
              <w:t>措施：</w:t>
            </w:r>
            <w:r>
              <w:rPr>
                <w:rFonts w:hint="eastAsia" w:ascii="Times New Roman" w:hAnsi="Times New Roman" w:eastAsia="宋体" w:cs="Times New Roman"/>
                <w:sz w:val="24"/>
                <w:szCs w:val="24"/>
              </w:rPr>
              <w:t>对施工场地布设临时排水沟，排水沟采用夯实梯形土质排水沟，开挖断面为梯形，底宽0.5m、深0.5m、边坡比1：0.5、比降0.015。排水沟与导流明渠连接，连接处设置沉沙凼，沉沙凼采用梯形断面，容积为3m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，底部尺寸1×1m，顶部尺寸2m×1.5m。共计布设排水沟180m，沉沙凼一座</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rPr>
              <w:t>对临时堆放于本区域的表土四周布设编织袋</w:t>
            </w:r>
            <w:r>
              <w:rPr>
                <w:rFonts w:hint="eastAsia" w:ascii="Times New Roman" w:hAnsi="Times New Roman" w:eastAsia="宋体" w:cs="Times New Roman"/>
                <w:sz w:val="24"/>
                <w:szCs w:val="24"/>
                <w:lang w:val="en-US" w:eastAsia="zh-CN"/>
              </w:rPr>
              <w:t>装土挡墙，挡土墙宽1m，高1m，利用剥离的表土部分装袋；施工场地内出入口处设置临时洗车池、临时排水沟和临时沉砂；剥离的表土临时堆于施工工区围内，并采取密目网遮盖。</w:t>
            </w:r>
          </w:p>
          <w:p>
            <w:pPr>
              <w:pageBreakBefore w:val="0"/>
              <w:kinsoku/>
              <w:wordWrap/>
              <w:overflowPunct/>
              <w:topLinePunct w:val="0"/>
              <w:bidi w:val="0"/>
              <w:adjustRightInd w:val="0"/>
              <w:snapToGrid w:val="0"/>
              <w:spacing w:line="360" w:lineRule="auto"/>
              <w:ind w:leftChars="0" w:right="0" w:firstLine="482" w:firstLineChars="200"/>
              <w:textAlignment w:val="center"/>
              <w:rPr>
                <w:rFonts w:hint="default" w:ascii="Times New Roman" w:hAnsi="Times New Roman" w:eastAsia="宋体" w:cs="Times New Roman"/>
                <w:b/>
                <w:bCs/>
                <w:sz w:val="24"/>
                <w:szCs w:val="24"/>
                <w:lang w:val="en-US" w:eastAsia="zh-CN"/>
              </w:rPr>
            </w:pPr>
            <w:r>
              <w:rPr>
                <w:rFonts w:hint="eastAsia" w:ascii="Times New Roman" w:hAnsi="Times New Roman" w:cs="Times New Roman"/>
                <w:b/>
                <w:bCs/>
                <w:sz w:val="24"/>
                <w:szCs w:val="24"/>
                <w:lang w:val="en-US" w:eastAsia="zh-CN"/>
              </w:rPr>
              <w:t>3）弃土场</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center"/>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本项目多余土石方全部运往砂石堆放场堆放，堆放场位于苏稽镇石鼓寺村老鸦滩，该场地占地184.25亩，其中本项目余方堆放所需占地1.00hm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该场地占地类型为空闲地，地势平坦，为平地型堆场，场地本身及四周目前为其他项目堆放的砂卵石，整个场地四周有彩钢板围栏，四周无房屋及水利设施，场地无水流，从现状分析，其占地目前已堆放有砂卵石，本项目的弃方均匀堆放在其上，平均堆高不超过3m，边坡比在大于1:1.5的情况下是稳定可靠的。目前占地范围周围堆放的砂卵石是稳定的，部分砂卵石上面已长有杂草，无表土资源。从现状考虑，砂石堆放场，其透水性强，表面不会形成径流冲刷，因此不考虑其排水措施，且堆放场四周有高于本项目堆放的砂卵石堆，以及彩钢板围栏，由于砂卵石后期随时将被利用，因此也不再补充覆土绿化措施，只考虑设置临时密目网覆盖，减少扬尘或暴雨冲刷。</w:t>
            </w:r>
          </w:p>
          <w:p>
            <w:pPr>
              <w:keepNext w:val="0"/>
              <w:keepLines w:val="0"/>
              <w:pageBreakBefore w:val="0"/>
              <w:widowControl/>
              <w:kinsoku/>
              <w:wordWrap/>
              <w:overflowPunct/>
              <w:topLinePunct w:val="0"/>
              <w:autoSpaceDE/>
              <w:autoSpaceDN/>
              <w:bidi w:val="0"/>
              <w:adjustRightInd w:val="0"/>
              <w:snapToGrid w:val="0"/>
              <w:spacing w:line="360" w:lineRule="auto"/>
              <w:ind w:leftChars="0" w:right="0" w:firstLine="482" w:firstLineChars="200"/>
              <w:jc w:val="left"/>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2、水环境</w:t>
            </w:r>
            <w:r>
              <w:rPr>
                <w:rFonts w:hint="eastAsia" w:ascii="Times New Roman" w:hAnsi="Times New Roman" w:eastAsia="宋体" w:cs="Times New Roman"/>
                <w:b/>
                <w:bCs/>
                <w:sz w:val="24"/>
                <w:szCs w:val="24"/>
                <w:lang w:val="en-US" w:eastAsia="zh-CN"/>
              </w:rPr>
              <w:t>防治</w:t>
            </w:r>
            <w:r>
              <w:rPr>
                <w:rFonts w:hint="default" w:ascii="Times New Roman" w:hAnsi="Times New Roman" w:eastAsia="宋体" w:cs="Times New Roman"/>
                <w:b/>
                <w:bCs/>
                <w:sz w:val="24"/>
                <w:szCs w:val="24"/>
                <w:lang w:val="en-US" w:eastAsia="zh-CN"/>
              </w:rPr>
              <w:t>措施</w:t>
            </w:r>
          </w:p>
          <w:p>
            <w:pPr>
              <w:pageBreakBefore w:val="0"/>
              <w:widowControl/>
              <w:kinsoku/>
              <w:wordWrap/>
              <w:overflowPunct/>
              <w:topLinePunct w:val="0"/>
              <w:bidi w:val="0"/>
              <w:adjustRightInd w:val="0"/>
              <w:snapToGrid w:val="0"/>
              <w:spacing w:line="360" w:lineRule="auto"/>
              <w:ind w:leftChars="0" w:right="0" w:firstLine="482" w:firstLineChars="200"/>
              <w:jc w:val="left"/>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eastAsia="zh-CN"/>
              </w:rPr>
              <w:t>（1）</w:t>
            </w:r>
            <w:r>
              <w:rPr>
                <w:rFonts w:hint="eastAsia" w:ascii="Times New Roman" w:hAnsi="Times New Roman" w:eastAsia="宋体" w:cs="Times New Roman"/>
                <w:b/>
                <w:bCs/>
                <w:sz w:val="24"/>
                <w:szCs w:val="24"/>
                <w:lang w:val="en-US" w:eastAsia="zh-CN"/>
              </w:rPr>
              <w:t>施工废水</w:t>
            </w:r>
          </w:p>
          <w:p>
            <w:pPr>
              <w:pageBreakBefore w:val="0"/>
              <w:widowControl/>
              <w:kinsoku/>
              <w:wordWrap/>
              <w:overflowPunct/>
              <w:topLinePunct w:val="0"/>
              <w:bidi w:val="0"/>
              <w:adjustRightInd w:val="0"/>
              <w:snapToGrid w:val="0"/>
              <w:spacing w:line="360" w:lineRule="auto"/>
              <w:ind w:leftChars="0" w:right="0"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施工期废水包括</w:t>
            </w:r>
            <w:r>
              <w:rPr>
                <w:rFonts w:hint="default" w:ascii="Times New Roman" w:hAnsi="Times New Roman" w:eastAsia="宋体" w:cs="Times New Roman"/>
                <w:color w:val="auto"/>
                <w:spacing w:val="0"/>
                <w:sz w:val="24"/>
                <w:szCs w:val="24"/>
                <w:lang w:val="en-US" w:eastAsia="zh-CN"/>
              </w:rPr>
              <w:t>施工设备冲洗废水、基坑排水</w:t>
            </w:r>
            <w:r>
              <w:rPr>
                <w:rFonts w:hint="eastAsia" w:ascii="Times New Roman" w:hAnsi="Times New Roman" w:eastAsia="宋体" w:cs="Times New Roman"/>
                <w:color w:val="auto"/>
                <w:spacing w:val="0"/>
                <w:sz w:val="24"/>
                <w:szCs w:val="24"/>
                <w:lang w:val="en-US" w:eastAsia="zh-CN"/>
              </w:rPr>
              <w:t>、疏浚料渗滤液</w:t>
            </w:r>
            <w:r>
              <w:rPr>
                <w:rFonts w:hint="default" w:ascii="Times New Roman" w:hAnsi="Times New Roman" w:eastAsia="宋体" w:cs="Times New Roman"/>
                <w:sz w:val="24"/>
                <w:szCs w:val="24"/>
                <w:lang w:eastAsia="zh-CN"/>
              </w:rPr>
              <w:t>，施工场地设置</w:t>
            </w:r>
            <w:r>
              <w:rPr>
                <w:rFonts w:hint="eastAsia" w:ascii="Times New Roman" w:hAnsi="Times New Roman" w:eastAsia="宋体" w:cs="Times New Roman"/>
                <w:sz w:val="24"/>
                <w:szCs w:val="24"/>
                <w:lang w:val="en-US" w:eastAsia="zh-CN"/>
              </w:rPr>
              <w:t>1个3</w:t>
            </w:r>
            <w:r>
              <w:rPr>
                <w:rFonts w:hint="default" w:ascii="Times New Roman" w:hAnsi="Times New Roman" w:eastAsia="宋体" w:cs="Times New Roman"/>
                <w:sz w:val="24"/>
                <w:szCs w:val="24"/>
                <w:lang w:eastAsia="zh-CN"/>
              </w:rPr>
              <w:t>m</w:t>
            </w:r>
            <w:r>
              <w:rPr>
                <w:rFonts w:hint="default" w:ascii="Times New Roman" w:hAnsi="Times New Roman" w:eastAsia="宋体" w:cs="Times New Roman"/>
                <w:sz w:val="24"/>
                <w:szCs w:val="24"/>
                <w:vertAlign w:val="superscript"/>
                <w:lang w:eastAsia="zh-CN"/>
              </w:rPr>
              <w:t>3</w:t>
            </w:r>
            <w:r>
              <w:rPr>
                <w:rFonts w:hint="default" w:ascii="Times New Roman" w:hAnsi="Times New Roman" w:eastAsia="宋体" w:cs="Times New Roman"/>
                <w:sz w:val="24"/>
                <w:szCs w:val="24"/>
                <w:lang w:eastAsia="zh-CN"/>
              </w:rPr>
              <w:t>大小的沉淀池，施工废水经沉淀后回用于生产或施工期洒水降尘，不外排。</w:t>
            </w:r>
          </w:p>
          <w:p>
            <w:pPr>
              <w:keepNext w:val="0"/>
              <w:keepLines w:val="0"/>
              <w:pageBreakBefore w:val="0"/>
              <w:widowControl w:val="0"/>
              <w:kinsoku/>
              <w:wordWrap/>
              <w:overflowPunct/>
              <w:topLinePunct w:val="0"/>
              <w:autoSpaceDE w:val="0"/>
              <w:autoSpaceDN w:val="0"/>
              <w:bidi w:val="0"/>
              <w:adjustRightInd w:val="0"/>
              <w:snapToGrid w:val="0"/>
              <w:spacing w:line="360" w:lineRule="auto"/>
              <w:ind w:leftChars="0" w:right="0" w:firstLine="482" w:firstLineChars="200"/>
              <w:rPr>
                <w:rFonts w:hint="default" w:ascii="Times New Roman" w:hAnsi="Times New Roman" w:cs="Times New Roman"/>
                <w:b/>
                <w:bCs/>
                <w:color w:val="auto"/>
                <w:spacing w:val="0"/>
                <w:sz w:val="24"/>
                <w:szCs w:val="24"/>
                <w:lang w:val="en-US" w:eastAsia="zh-CN"/>
              </w:rPr>
            </w:pPr>
            <w:r>
              <w:rPr>
                <w:rFonts w:hint="default" w:ascii="Times New Roman" w:hAnsi="Times New Roman" w:cs="Times New Roman"/>
                <w:b/>
                <w:bCs/>
                <w:color w:val="auto"/>
                <w:spacing w:val="0"/>
                <w:sz w:val="24"/>
                <w:szCs w:val="24"/>
                <w:lang w:eastAsia="zh-CN"/>
              </w:rPr>
              <w:t>（</w:t>
            </w:r>
            <w:r>
              <w:rPr>
                <w:rFonts w:hint="default" w:ascii="Times New Roman" w:hAnsi="Times New Roman" w:cs="Times New Roman"/>
                <w:b/>
                <w:bCs/>
                <w:color w:val="auto"/>
                <w:spacing w:val="0"/>
                <w:sz w:val="24"/>
                <w:szCs w:val="24"/>
                <w:lang w:val="en-US" w:eastAsia="zh-CN"/>
              </w:rPr>
              <w:t>2</w:t>
            </w:r>
            <w:r>
              <w:rPr>
                <w:rFonts w:hint="default" w:ascii="Times New Roman" w:hAnsi="Times New Roman" w:cs="Times New Roman"/>
                <w:b/>
                <w:bCs/>
                <w:color w:val="auto"/>
                <w:spacing w:val="0"/>
                <w:sz w:val="24"/>
                <w:szCs w:val="24"/>
                <w:lang w:eastAsia="zh-CN"/>
              </w:rPr>
              <w:t>）</w:t>
            </w:r>
            <w:r>
              <w:rPr>
                <w:rFonts w:hint="default" w:ascii="Times New Roman" w:hAnsi="Times New Roman" w:cs="Times New Roman"/>
                <w:b/>
                <w:bCs/>
                <w:color w:val="auto"/>
                <w:spacing w:val="0"/>
                <w:sz w:val="24"/>
                <w:szCs w:val="24"/>
              </w:rPr>
              <w:t>施工人员的生活污水</w:t>
            </w:r>
          </w:p>
          <w:p>
            <w:pPr>
              <w:pageBreakBefore w:val="0"/>
              <w:widowControl/>
              <w:kinsoku/>
              <w:wordWrap/>
              <w:overflowPunct/>
              <w:topLinePunct w:val="0"/>
              <w:bidi w:val="0"/>
              <w:adjustRightInd w:val="0"/>
              <w:snapToGrid w:val="0"/>
              <w:spacing w:line="360" w:lineRule="auto"/>
              <w:ind w:leftChars="0" w:right="0"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本项目不设专门的施工营地，施工中所需办公、住宿等设施不再新建，就近租用民房解决，产生的生活污水利用既有生活设施收集处理。</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rPr>
                <w:rFonts w:hint="default" w:ascii="Times New Roman" w:hAnsi="Times New Roman" w:cs="Times New Roman"/>
                <w:b/>
                <w:bCs/>
                <w:color w:val="auto"/>
                <w:spacing w:val="0"/>
                <w:sz w:val="24"/>
                <w:szCs w:val="24"/>
                <w:lang w:val="en-US" w:eastAsia="zh-CN"/>
              </w:rPr>
            </w:pPr>
            <w:r>
              <w:rPr>
                <w:rFonts w:hint="default" w:ascii="Times New Roman" w:hAnsi="Times New Roman" w:cs="Times New Roman"/>
                <w:b/>
                <w:bCs/>
                <w:color w:val="auto"/>
                <w:spacing w:val="0"/>
                <w:sz w:val="24"/>
                <w:szCs w:val="24"/>
                <w:lang w:eastAsia="zh-CN"/>
              </w:rPr>
              <w:t>（</w:t>
            </w:r>
            <w:r>
              <w:rPr>
                <w:rFonts w:hint="default" w:ascii="Times New Roman" w:hAnsi="Times New Roman" w:cs="Times New Roman"/>
                <w:b/>
                <w:bCs/>
                <w:color w:val="auto"/>
                <w:spacing w:val="0"/>
                <w:sz w:val="24"/>
                <w:szCs w:val="24"/>
                <w:lang w:val="en-US" w:eastAsia="zh-CN"/>
              </w:rPr>
              <w:t>3</w:t>
            </w:r>
            <w:r>
              <w:rPr>
                <w:rFonts w:hint="default" w:ascii="Times New Roman" w:hAnsi="Times New Roman" w:cs="Times New Roman"/>
                <w:b/>
                <w:bCs/>
                <w:color w:val="auto"/>
                <w:spacing w:val="0"/>
                <w:sz w:val="24"/>
                <w:szCs w:val="24"/>
                <w:lang w:eastAsia="zh-CN"/>
              </w:rPr>
              <w:t>）</w:t>
            </w:r>
            <w:r>
              <w:rPr>
                <w:rFonts w:hint="eastAsia" w:ascii="Times New Roman" w:hAnsi="Times New Roman" w:cs="Times New Roman"/>
                <w:b/>
                <w:bCs/>
                <w:color w:val="auto"/>
                <w:spacing w:val="0"/>
                <w:sz w:val="24"/>
                <w:szCs w:val="24"/>
                <w:lang w:val="en-US" w:eastAsia="zh-CN"/>
              </w:rPr>
              <w:t>基坑及疏浚料渗滤液</w:t>
            </w:r>
          </w:p>
          <w:p>
            <w:pPr>
              <w:keepNext w:val="0"/>
              <w:keepLines w:val="0"/>
              <w:pageBreakBefore w:val="0"/>
              <w:widowControl/>
              <w:kinsoku/>
              <w:wordWrap/>
              <w:overflowPunct/>
              <w:topLinePunct w:val="0"/>
              <w:autoSpaceDE/>
              <w:autoSpaceDN/>
              <w:bidi w:val="0"/>
              <w:adjustRightInd w:val="0"/>
              <w:snapToGrid w:val="0"/>
              <w:spacing w:line="360" w:lineRule="auto"/>
              <w:ind w:leftChars="0" w:right="0" w:firstLine="480" w:firstLineChars="200"/>
              <w:jc w:val="both"/>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本项目基坑及淤泥渗滤废水排水，分为初期排水和经常性排水。</w:t>
            </w:r>
          </w:p>
          <w:p>
            <w:pPr>
              <w:keepNext w:val="0"/>
              <w:keepLines w:val="0"/>
              <w:pageBreakBefore w:val="0"/>
              <w:widowControl/>
              <w:kinsoku/>
              <w:wordWrap/>
              <w:overflowPunct/>
              <w:topLinePunct w:val="0"/>
              <w:autoSpaceDE/>
              <w:autoSpaceDN/>
              <w:bidi w:val="0"/>
              <w:adjustRightInd w:val="0"/>
              <w:snapToGrid w:val="0"/>
              <w:spacing w:line="360" w:lineRule="auto"/>
              <w:ind w:leftChars="0" w:right="0" w:firstLine="480" w:firstLineChars="200"/>
              <w:jc w:val="both"/>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工程河段坡降较陡，围堰填筑从上游至下游，因此初期排水较小，采用水 泵强制排向围堰外即可。经常性排水，根据设计排水量为 100m</w:t>
            </w:r>
            <w:r>
              <w:rPr>
                <w:rFonts w:hint="default" w:ascii="Times New Roman" w:hAnsi="Times New Roman" w:eastAsia="宋体" w:cs="Times New Roman"/>
                <w:sz w:val="24"/>
                <w:szCs w:val="24"/>
                <w:vertAlign w:val="superscript"/>
                <w:lang w:eastAsia="zh-CN"/>
              </w:rPr>
              <w:t>3</w:t>
            </w:r>
            <w:r>
              <w:rPr>
                <w:rFonts w:hint="default" w:ascii="Times New Roman" w:hAnsi="Times New Roman" w:eastAsia="宋体" w:cs="Times New Roman"/>
                <w:sz w:val="24"/>
                <w:szCs w:val="24"/>
                <w:lang w:eastAsia="zh-CN"/>
              </w:rPr>
              <w:t>/h。</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sz w:val="24"/>
                <w:szCs w:val="24"/>
                <w:lang w:eastAsia="zh-CN"/>
              </w:rPr>
              <w:t>排水布置：</w:t>
            </w:r>
            <w:r>
              <w:rPr>
                <w:rFonts w:hint="default" w:ascii="Times New Roman" w:hAnsi="Times New Roman" w:eastAsia="宋体" w:cs="Times New Roman"/>
                <w:color w:val="auto"/>
                <w:spacing w:val="0"/>
                <w:sz w:val="24"/>
                <w:szCs w:val="24"/>
                <w:lang w:val="en-US" w:eastAsia="zh-CN"/>
              </w:rPr>
              <w:t>排水沿基坑设截流槽和集水坑，一期基坑设</w:t>
            </w:r>
            <w:r>
              <w:rPr>
                <w:rFonts w:hint="eastAsia" w:ascii="Times New Roman" w:hAnsi="Times New Roman" w:eastAsia="宋体" w:cs="Times New Roman"/>
                <w:color w:val="auto"/>
                <w:spacing w:val="0"/>
                <w:sz w:val="24"/>
                <w:szCs w:val="24"/>
                <w:lang w:val="en-US" w:eastAsia="zh-CN"/>
              </w:rPr>
              <w:t>3</w:t>
            </w:r>
            <w:r>
              <w:rPr>
                <w:rFonts w:hint="default" w:ascii="Times New Roman" w:hAnsi="Times New Roman" w:eastAsia="宋体" w:cs="Times New Roman"/>
                <w:color w:val="auto"/>
                <w:spacing w:val="0"/>
                <w:sz w:val="24"/>
                <w:szCs w:val="24"/>
                <w:lang w:val="en-US" w:eastAsia="zh-CN"/>
              </w:rPr>
              <w:t>个集水坑，二期基坑设</w:t>
            </w:r>
            <w:r>
              <w:rPr>
                <w:rFonts w:hint="eastAsia" w:ascii="Times New Roman" w:hAnsi="Times New Roman" w:eastAsia="宋体" w:cs="Times New Roman"/>
                <w:color w:val="auto"/>
                <w:spacing w:val="0"/>
                <w:sz w:val="24"/>
                <w:szCs w:val="24"/>
                <w:lang w:val="en-US" w:eastAsia="zh-CN"/>
              </w:rPr>
              <w:t>5</w:t>
            </w:r>
            <w:r>
              <w:rPr>
                <w:rFonts w:hint="default" w:ascii="Times New Roman" w:hAnsi="Times New Roman" w:eastAsia="宋体" w:cs="Times New Roman"/>
                <w:color w:val="auto"/>
                <w:spacing w:val="0"/>
                <w:sz w:val="24"/>
                <w:szCs w:val="24"/>
                <w:lang w:val="en-US" w:eastAsia="zh-CN"/>
              </w:rPr>
              <w:t>个集水坑，每个集水坑设1台100BJ15A型水泵，拟配备</w:t>
            </w:r>
            <w:r>
              <w:rPr>
                <w:rFonts w:hint="eastAsia" w:ascii="Times New Roman" w:hAnsi="Times New Roman" w:eastAsia="宋体" w:cs="Times New Roman"/>
                <w:color w:val="auto"/>
                <w:spacing w:val="0"/>
                <w:sz w:val="24"/>
                <w:szCs w:val="24"/>
                <w:lang w:val="en-US" w:eastAsia="zh-CN"/>
              </w:rPr>
              <w:t>5</w:t>
            </w:r>
            <w:r>
              <w:rPr>
                <w:rFonts w:hint="default" w:ascii="Times New Roman" w:hAnsi="Times New Roman" w:eastAsia="宋体" w:cs="Times New Roman"/>
                <w:color w:val="auto"/>
                <w:spacing w:val="0"/>
                <w:sz w:val="24"/>
                <w:szCs w:val="24"/>
                <w:lang w:val="en-US" w:eastAsia="zh-CN"/>
              </w:rPr>
              <w:t>台100BJ13A型水泵（分段调节使用）。</w:t>
            </w:r>
            <w:r>
              <w:rPr>
                <w:rFonts w:hint="eastAsia" w:ascii="Times New Roman" w:hAnsi="Times New Roman" w:eastAsia="宋体" w:cs="Times New Roman"/>
                <w:color w:val="auto"/>
                <w:spacing w:val="0"/>
                <w:sz w:val="24"/>
                <w:szCs w:val="24"/>
                <w:lang w:val="en-US" w:eastAsia="zh-CN"/>
              </w:rPr>
              <w:t>其中坝体部分</w:t>
            </w:r>
            <w:r>
              <w:rPr>
                <w:rFonts w:hint="default" w:ascii="Times New Roman" w:hAnsi="Times New Roman" w:eastAsia="宋体" w:cs="Times New Roman"/>
                <w:color w:val="auto"/>
                <w:spacing w:val="0"/>
                <w:sz w:val="24"/>
                <w:szCs w:val="24"/>
                <w:lang w:val="en-US" w:eastAsia="zh-CN"/>
              </w:rPr>
              <w:t>排水时段按45天设置，二期上游护岸排水时段按</w:t>
            </w:r>
            <w:r>
              <w:rPr>
                <w:rFonts w:hint="eastAsia" w:ascii="Times New Roman" w:hAnsi="Times New Roman" w:eastAsia="宋体" w:cs="Times New Roman"/>
                <w:color w:val="auto"/>
                <w:spacing w:val="0"/>
                <w:sz w:val="24"/>
                <w:szCs w:val="24"/>
                <w:lang w:val="en-US" w:eastAsia="zh-CN"/>
              </w:rPr>
              <w:t>15天设置，</w:t>
            </w:r>
            <w:r>
              <w:rPr>
                <w:rFonts w:hint="default" w:ascii="Times New Roman" w:hAnsi="Times New Roman" w:eastAsia="宋体" w:cs="Times New Roman"/>
                <w:color w:val="auto"/>
                <w:spacing w:val="0"/>
                <w:sz w:val="24"/>
                <w:szCs w:val="24"/>
                <w:lang w:val="en-US" w:eastAsia="zh-CN"/>
              </w:rPr>
              <w:t>计排水台时</w:t>
            </w:r>
            <w:r>
              <w:rPr>
                <w:rFonts w:hint="eastAsia" w:ascii="Times New Roman" w:hAnsi="Times New Roman" w:eastAsia="宋体" w:cs="Times New Roman"/>
                <w:color w:val="auto"/>
                <w:spacing w:val="0"/>
                <w:sz w:val="24"/>
                <w:szCs w:val="24"/>
                <w:lang w:val="en-US" w:eastAsia="zh-CN"/>
              </w:rPr>
              <w:t>7200</w:t>
            </w:r>
            <w:r>
              <w:rPr>
                <w:rFonts w:hint="default" w:ascii="Times New Roman" w:hAnsi="Times New Roman" w:eastAsia="宋体" w:cs="Times New Roman"/>
                <w:color w:val="auto"/>
                <w:spacing w:val="0"/>
                <w:sz w:val="24"/>
                <w:szCs w:val="24"/>
                <w:lang w:val="en-US" w:eastAsia="zh-CN"/>
              </w:rPr>
              <w:t>台时。</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lang w:val="en-US" w:eastAsia="zh-CN"/>
              </w:rPr>
            </w:pPr>
            <w:r>
              <w:rPr>
                <w:rFonts w:hint="default" w:ascii="Times New Roman" w:hAnsi="Times New Roman" w:eastAsia="宋体" w:cs="Times New Roman"/>
                <w:color w:val="000000"/>
                <w:spacing w:val="0"/>
                <w:sz w:val="24"/>
                <w:szCs w:val="24"/>
                <w:lang w:val="en-US" w:eastAsia="zh-CN"/>
              </w:rPr>
              <w:t>疏浚料挖掘起来后暂存于堆料场内，</w:t>
            </w:r>
            <w:r>
              <w:rPr>
                <w:rFonts w:hint="default" w:ascii="Times New Roman" w:hAnsi="Times New Roman" w:cs="Times New Roman"/>
                <w:color w:val="000000"/>
                <w:spacing w:val="0"/>
                <w:sz w:val="24"/>
                <w:szCs w:val="24"/>
                <w:lang w:eastAsia="zh-CN"/>
              </w:rPr>
              <w:t>主</w:t>
            </w:r>
            <w:r>
              <w:rPr>
                <w:rFonts w:hint="default" w:ascii="Times New Roman" w:hAnsi="Times New Roman" w:cs="Times New Roman"/>
                <w:bCs/>
                <w:color w:val="000000"/>
                <w:sz w:val="24"/>
              </w:rPr>
              <w:t>要污染物为SS</w:t>
            </w:r>
            <w:r>
              <w:rPr>
                <w:rFonts w:hint="default" w:ascii="Times New Roman" w:hAnsi="Times New Roman" w:cs="Times New Roman"/>
                <w:bCs/>
                <w:color w:val="000000"/>
                <w:sz w:val="24"/>
                <w:lang w:eastAsia="zh-CN"/>
              </w:rPr>
              <w:t>。</w:t>
            </w:r>
            <w:r>
              <w:rPr>
                <w:rFonts w:hint="default" w:ascii="Times New Roman" w:hAnsi="Times New Roman" w:cs="Times New Roman"/>
                <w:b w:val="0"/>
                <w:bCs w:val="0"/>
                <w:color w:val="000000"/>
                <w:spacing w:val="0"/>
                <w:sz w:val="24"/>
                <w:szCs w:val="24"/>
                <w:lang w:val="en-US" w:eastAsia="zh-CN"/>
              </w:rPr>
              <w:t>环评要求在疏浚料堆料区布设临时编织土袋挡墙封闭挡护</w:t>
            </w:r>
            <w:r>
              <w:rPr>
                <w:rFonts w:hint="eastAsia" w:ascii="Times New Roman" w:hAnsi="Times New Roman" w:cs="Times New Roman"/>
                <w:b w:val="0"/>
                <w:bCs w:val="0"/>
                <w:color w:val="000000"/>
                <w:spacing w:val="0"/>
                <w:sz w:val="24"/>
                <w:szCs w:val="24"/>
                <w:lang w:val="en-US" w:eastAsia="zh-CN"/>
              </w:rPr>
              <w:t>，</w:t>
            </w:r>
            <w:r>
              <w:rPr>
                <w:rFonts w:hint="default" w:ascii="Times New Roman" w:hAnsi="Times New Roman" w:cs="Times New Roman"/>
                <w:b w:val="0"/>
                <w:bCs w:val="0"/>
                <w:color w:val="000000"/>
                <w:spacing w:val="0"/>
                <w:sz w:val="24"/>
                <w:szCs w:val="24"/>
                <w:lang w:val="en-US" w:eastAsia="zh-CN"/>
              </w:rPr>
              <w:t>堆料场四周设置导水渠，并设置1个</w:t>
            </w:r>
            <w:r>
              <w:rPr>
                <w:rFonts w:hint="eastAsia" w:ascii="Times New Roman" w:hAnsi="Times New Roman" w:cs="Times New Roman"/>
                <w:b w:val="0"/>
                <w:bCs w:val="0"/>
                <w:color w:val="000000"/>
                <w:spacing w:val="0"/>
                <w:sz w:val="24"/>
                <w:szCs w:val="24"/>
                <w:lang w:val="en-US" w:eastAsia="zh-CN"/>
              </w:rPr>
              <w:t>3</w:t>
            </w:r>
            <w:r>
              <w:rPr>
                <w:rFonts w:hint="default" w:ascii="Times New Roman" w:hAnsi="Times New Roman" w:cs="Times New Roman"/>
                <w:b w:val="0"/>
                <w:bCs w:val="0"/>
                <w:color w:val="000000"/>
                <w:spacing w:val="0"/>
                <w:sz w:val="24"/>
                <w:szCs w:val="24"/>
                <w:lang w:val="en-US" w:eastAsia="zh-CN"/>
              </w:rPr>
              <w:t>0m</w:t>
            </w:r>
            <w:r>
              <w:rPr>
                <w:rFonts w:hint="default" w:ascii="Times New Roman" w:hAnsi="Times New Roman" w:cs="Times New Roman"/>
                <w:b w:val="0"/>
                <w:bCs w:val="0"/>
                <w:color w:val="000000"/>
                <w:spacing w:val="0"/>
                <w:sz w:val="24"/>
                <w:szCs w:val="24"/>
                <w:vertAlign w:val="superscript"/>
                <w:lang w:val="en-US" w:eastAsia="zh-CN"/>
              </w:rPr>
              <w:t>3</w:t>
            </w:r>
            <w:r>
              <w:rPr>
                <w:rFonts w:hint="default" w:ascii="Times New Roman" w:hAnsi="Times New Roman" w:cs="Times New Roman"/>
                <w:b w:val="0"/>
                <w:bCs w:val="0"/>
                <w:color w:val="000000"/>
                <w:spacing w:val="0"/>
                <w:sz w:val="24"/>
                <w:szCs w:val="24"/>
                <w:lang w:val="en-US" w:eastAsia="zh-CN"/>
              </w:rPr>
              <w:t>三级沉淀池，下渗水经收集后排入三级沉淀池进行自然沉淀，澄清水回用于疏浚料运输线路洒水降尘、工程车辆冲洗等</w:t>
            </w:r>
            <w:r>
              <w:rPr>
                <w:rFonts w:hint="eastAsia" w:ascii="Times New Roman" w:hAnsi="Times New Roman" w:cs="Times New Roman"/>
                <w:b w:val="0"/>
                <w:bCs w:val="0"/>
                <w:color w:val="000000"/>
                <w:spacing w:val="0"/>
                <w:sz w:val="24"/>
                <w:szCs w:val="24"/>
                <w:lang w:val="en-US" w:eastAsia="zh-CN"/>
              </w:rPr>
              <w:t>，不外排</w:t>
            </w:r>
            <w:r>
              <w:rPr>
                <w:rFonts w:hint="default" w:ascii="Times New Roman" w:hAnsi="Times New Roman" w:cs="Times New Roman"/>
                <w:b w:val="0"/>
                <w:bCs w:val="0"/>
                <w:color w:val="000000"/>
                <w:spacing w:val="0"/>
                <w:sz w:val="24"/>
                <w:szCs w:val="24"/>
                <w:lang w:val="en-US" w:eastAsia="zh-CN"/>
              </w:rPr>
              <w:t>。</w:t>
            </w:r>
          </w:p>
          <w:p>
            <w:pPr>
              <w:pageBreakBefore w:val="0"/>
              <w:widowControl/>
              <w:kinsoku/>
              <w:wordWrap/>
              <w:overflowPunct/>
              <w:topLinePunct w:val="0"/>
              <w:bidi w:val="0"/>
              <w:adjustRightInd w:val="0"/>
              <w:snapToGrid w:val="0"/>
              <w:spacing w:line="360" w:lineRule="auto"/>
              <w:ind w:leftChars="0" w:right="0"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施工现场雨水和经常性排水中的污染物主要是悬浮物，经沉淀池自然沉降后，上清液直接排入</w:t>
            </w:r>
            <w:r>
              <w:rPr>
                <w:rFonts w:hint="eastAsia" w:ascii="Times New Roman" w:hAnsi="Times New Roman" w:eastAsia="宋体" w:cs="Times New Roman"/>
                <w:sz w:val="24"/>
                <w:szCs w:val="24"/>
                <w:lang w:val="en-US" w:eastAsia="zh-CN"/>
              </w:rPr>
              <w:t>峨眉河</w:t>
            </w:r>
            <w:r>
              <w:rPr>
                <w:rFonts w:hint="default" w:ascii="Times New Roman" w:hAnsi="Times New Roman" w:eastAsia="宋体" w:cs="Times New Roman"/>
                <w:sz w:val="24"/>
                <w:szCs w:val="24"/>
                <w:lang w:eastAsia="zh-CN"/>
              </w:rPr>
              <w:t>，对地表水环境质量影响较小。</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2" w:firstLineChars="200"/>
              <w:jc w:val="both"/>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采取以上措施后，项目施工期对水环境影响较小。</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2" w:firstLineChars="200"/>
              <w:jc w:val="both"/>
              <w:textAlignment w:val="auto"/>
              <w:rPr>
                <w:rFonts w:hint="default" w:ascii="Times New Roman" w:hAnsi="Times New Roman" w:cs="Times New Roman"/>
                <w:bCs/>
                <w:color w:val="0000FF"/>
                <w:spacing w:val="10"/>
                <w:szCs w:val="21"/>
              </w:rPr>
            </w:pPr>
            <w:r>
              <w:rPr>
                <w:rFonts w:hint="default" w:ascii="Times New Roman" w:hAnsi="Times New Roman" w:eastAsia="宋体" w:cs="Times New Roman"/>
                <w:b/>
                <w:bCs/>
                <w:sz w:val="24"/>
                <w:szCs w:val="24"/>
                <w:lang w:val="en-US" w:eastAsia="zh-CN"/>
              </w:rPr>
              <w:t>3、大气环境</w:t>
            </w:r>
            <w:r>
              <w:rPr>
                <w:rFonts w:hint="eastAsia" w:ascii="Times New Roman" w:hAnsi="Times New Roman" w:eastAsia="宋体" w:cs="Times New Roman"/>
                <w:b/>
                <w:bCs/>
                <w:sz w:val="24"/>
                <w:szCs w:val="24"/>
                <w:lang w:val="en-US" w:eastAsia="zh-CN"/>
              </w:rPr>
              <w:t>防治</w:t>
            </w:r>
            <w:r>
              <w:rPr>
                <w:rFonts w:hint="default" w:ascii="Times New Roman" w:hAnsi="Times New Roman" w:eastAsia="宋体" w:cs="Times New Roman"/>
                <w:b/>
                <w:bCs/>
                <w:sz w:val="24"/>
                <w:szCs w:val="24"/>
                <w:lang w:val="en-US" w:eastAsia="zh-CN"/>
              </w:rPr>
              <w:t>措施</w:t>
            </w:r>
          </w:p>
          <w:p>
            <w:pPr>
              <w:keepNext w:val="0"/>
              <w:keepLines w:val="0"/>
              <w:pageBreakBefore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本项目施工期大气污染物主要是淤泥恶臭、施工场产生的扬尘、施工机械和运输车辆产生的燃油废气。</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2" w:firstLineChars="200"/>
              <w:jc w:val="both"/>
              <w:textAlignment w:val="auto"/>
              <w:rPr>
                <w:rFonts w:hint="default" w:ascii="Times New Roman" w:hAnsi="Times New Roman" w:cs="Times New Roman"/>
                <w:bCs/>
                <w:color w:val="0000FF"/>
                <w:spacing w:val="10"/>
                <w:szCs w:val="21"/>
                <w:lang w:val="en-US"/>
              </w:rPr>
            </w:pPr>
            <w:r>
              <w:rPr>
                <w:rFonts w:hint="default" w:ascii="Times New Roman" w:hAnsi="Times New Roman" w:cs="Times New Roman"/>
                <w:b/>
                <w:bCs/>
                <w:color w:val="auto"/>
                <w:spacing w:val="0"/>
                <w:sz w:val="24"/>
                <w:szCs w:val="24"/>
                <w:lang w:val="en-US" w:eastAsia="zh-CN"/>
              </w:rPr>
              <w:t>（1）</w:t>
            </w:r>
            <w:r>
              <w:rPr>
                <w:rFonts w:hint="eastAsia" w:ascii="Times New Roman" w:hAnsi="Times New Roman" w:cs="Times New Roman"/>
                <w:b/>
                <w:bCs/>
                <w:color w:val="auto"/>
                <w:spacing w:val="0"/>
                <w:sz w:val="24"/>
                <w:szCs w:val="24"/>
                <w:lang w:val="en-US" w:eastAsia="zh-CN"/>
              </w:rPr>
              <w:t>施工扬尘防治措施</w:t>
            </w:r>
          </w:p>
          <w:p>
            <w:pPr>
              <w:keepNext w:val="0"/>
              <w:keepLines w:val="0"/>
              <w:pageBreakBefore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施工场地产生的扬尘主要来源于挖掘机械等施工时产生的</w:t>
            </w:r>
            <w:r>
              <w:rPr>
                <w:rFonts w:hint="default" w:ascii="Times New Roman" w:hAnsi="Times New Roman" w:eastAsia="宋体" w:cs="Times New Roman"/>
                <w:b w:val="0"/>
                <w:bCs w:val="0"/>
                <w:color w:val="auto"/>
                <w:sz w:val="24"/>
                <w:szCs w:val="24"/>
                <w:lang w:eastAsia="zh-CN"/>
              </w:rPr>
              <w:t>装卸</w:t>
            </w:r>
            <w:r>
              <w:rPr>
                <w:rFonts w:hint="default" w:ascii="Times New Roman" w:hAnsi="Times New Roman" w:eastAsia="宋体" w:cs="Times New Roman"/>
                <w:b w:val="0"/>
                <w:bCs w:val="0"/>
                <w:color w:val="auto"/>
                <w:sz w:val="24"/>
                <w:szCs w:val="24"/>
              </w:rPr>
              <w:t>扬尘</w:t>
            </w:r>
            <w:r>
              <w:rPr>
                <w:rFonts w:hint="default" w:ascii="Times New Roman" w:hAnsi="Times New Roman" w:eastAsia="宋体" w:cs="Times New Roman"/>
                <w:b w:val="0"/>
                <w:bCs w:val="0"/>
                <w:color w:val="auto"/>
                <w:sz w:val="24"/>
                <w:szCs w:val="24"/>
                <w:lang w:eastAsia="zh-CN"/>
              </w:rPr>
              <w:t>、堆场风力扬尘及</w:t>
            </w:r>
            <w:r>
              <w:rPr>
                <w:rFonts w:hint="default" w:ascii="Times New Roman" w:hAnsi="Times New Roman" w:eastAsia="宋体" w:cs="Times New Roman"/>
                <w:b w:val="0"/>
                <w:bCs w:val="0"/>
                <w:color w:val="auto"/>
                <w:sz w:val="24"/>
                <w:szCs w:val="24"/>
              </w:rPr>
              <w:t>运输车辆进出时产生的扬尘。扬尘量的计算与诸多因素有关，其中施工方式和施工现场的自然条件的影响最大。根据国内外的有关研究资料，施工扬尘的起尘量与许多因素有关，挖土机等工作时的起尘量与挖土机抓斗与地面的相对高度、风速、</w:t>
            </w:r>
            <w:r>
              <w:rPr>
                <w:rFonts w:hint="default" w:ascii="Times New Roman" w:hAnsi="Times New Roman" w:eastAsia="宋体" w:cs="Times New Roman"/>
                <w:b w:val="0"/>
                <w:bCs w:val="0"/>
                <w:color w:val="auto"/>
                <w:sz w:val="24"/>
                <w:szCs w:val="24"/>
                <w:lang w:eastAsia="zh-CN"/>
              </w:rPr>
              <w:t>疏浚料</w:t>
            </w:r>
            <w:r>
              <w:rPr>
                <w:rFonts w:hint="default" w:ascii="Times New Roman" w:hAnsi="Times New Roman" w:eastAsia="宋体" w:cs="Times New Roman"/>
                <w:b w:val="0"/>
                <w:bCs w:val="0"/>
                <w:color w:val="auto"/>
                <w:sz w:val="24"/>
                <w:szCs w:val="24"/>
              </w:rPr>
              <w:t>颗粒度、含水量等有关。</w:t>
            </w:r>
          </w:p>
          <w:p>
            <w:pPr>
              <w:keepNext w:val="0"/>
              <w:keepLines w:val="0"/>
              <w:pageBreakBefore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由于施工的扬尘无法收集，因此，对施工期间扬尘污染主要是以防为主，针对扬尘的来源，建设单位应要求工程施工单位制定施工期环境管理计划，加强管理，按进度有计划地进行文明施工，根据《四川省人民政府办公厅关于加强灰霾污染防治的通知》（川办发[2013]32号</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，认真执行《四川省灰霾污染防治实施方案》，“主城区工地做到“六必须”（必须</w:t>
            </w:r>
            <w:r>
              <w:rPr>
                <w:rFonts w:hint="eastAsia" w:ascii="Times New Roman" w:hAnsi="Times New Roman" w:eastAsia="宋体" w:cs="Times New Roman"/>
                <w:b w:val="0"/>
                <w:bCs w:val="0"/>
                <w:color w:val="auto"/>
                <w:sz w:val="24"/>
                <w:szCs w:val="24"/>
                <w:lang w:eastAsia="zh-CN"/>
              </w:rPr>
              <w:t>围挡</w:t>
            </w:r>
            <w:r>
              <w:rPr>
                <w:rFonts w:hint="default" w:ascii="Times New Roman" w:hAnsi="Times New Roman" w:eastAsia="宋体" w:cs="Times New Roman"/>
                <w:b w:val="0"/>
                <w:bCs w:val="0"/>
                <w:color w:val="auto"/>
                <w:sz w:val="24"/>
                <w:szCs w:val="24"/>
              </w:rPr>
              <w:t>作业、必须硬化道路、必须设置冲洗设施、必须及时洒水作业、必须落实保洁人员、必须定时清扫施工现场</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、“六不准”（不准车辆带泥出门、不准运渣车辆冒顶装载、不准高空抛撒建筑垃圾、不准现场搅拌混凝土、不准场地积水、不准现场焚烧废弃物</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建筑垃圾密闭运输</w:t>
            </w:r>
            <w:r>
              <w:rPr>
                <w:rFonts w:hint="default" w:ascii="Times New Roman" w:hAnsi="Times New Roman" w:eastAsia="宋体" w:cs="Times New Roman"/>
                <w:b w:val="0"/>
                <w:bCs w:val="0"/>
                <w:color w:val="auto"/>
                <w:sz w:val="24"/>
                <w:szCs w:val="24"/>
                <w:lang w:eastAsia="zh-CN"/>
              </w:rPr>
              <w:t>。严格落实《四川省施工场地扬尘排放标准》、《乐山市扬尘污染防治条例》相关要求，严格落实重污染天气强制性减排要求，减小施工扬尘、道路扬尘等对大气环境的影响。</w:t>
            </w:r>
          </w:p>
          <w:p>
            <w:pPr>
              <w:keepNext w:val="0"/>
              <w:keepLines w:val="0"/>
              <w:pageBreakBefore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val="en-US" w:eastAsia="zh-CN"/>
              </w:rPr>
              <w:t>另外环评要求</w:t>
            </w:r>
            <w:r>
              <w:rPr>
                <w:rFonts w:hint="default" w:ascii="Times New Roman" w:hAnsi="Times New Roman" w:eastAsia="宋体" w:cs="Times New Roman"/>
                <w:b/>
                <w:bCs/>
                <w:color w:val="auto"/>
                <w:sz w:val="24"/>
                <w:szCs w:val="24"/>
              </w:rPr>
              <w:t>提出防治措施如下</w:t>
            </w:r>
            <w:r>
              <w:rPr>
                <w:rFonts w:hint="default" w:ascii="Times New Roman" w:hAnsi="Times New Roman" w:eastAsia="宋体" w:cs="Times New Roman"/>
                <w:b/>
                <w:bCs/>
                <w:color w:val="auto"/>
                <w:sz w:val="24"/>
                <w:szCs w:val="24"/>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jc w:val="both"/>
              <w:textAlignment w:val="auto"/>
              <w:rPr>
                <w:rFonts w:hint="default" w:ascii="Times New Roman" w:hAnsi="Times New Roman" w:cs="Times New Roman"/>
                <w:b/>
                <w:bCs/>
                <w:color w:val="auto"/>
                <w:spacing w:val="0"/>
                <w:sz w:val="24"/>
                <w:szCs w:val="24"/>
                <w:lang w:val="en-US" w:eastAsia="zh-CN"/>
              </w:rPr>
            </w:pPr>
            <w:r>
              <w:rPr>
                <w:rFonts w:hint="default" w:ascii="Times New Roman" w:hAnsi="Times New Roman" w:eastAsia="宋体" w:cs="Times New Roman"/>
                <w:b w:val="0"/>
                <w:bCs w:val="0"/>
                <w:color w:val="auto"/>
                <w:sz w:val="24"/>
                <w:szCs w:val="24"/>
                <w:lang w:val="en-US" w:eastAsia="zh-CN"/>
              </w:rPr>
              <w:t>加强施工扬尘控制，严格落实建筑施工工地污染治理要求，落实施工期“六必须”“六不准”“六个百分百”，严格落实《四川省施工场地扬尘排放标准》、《乐山市扬尘污染防治条例》相关要求，严格落实重污染天气强制性减排要求，减小施工扬尘、道路扬尘等对大气环境的影响。施工道路、施工场地周围两侧设置不低于2米的密闭围档，加强施工作业面湿法作业，定期对场地、运输道路进行洒水抑尘；强化裸露表土、渣土堆场、表土堆场和疏浚料堆料区等覆盖措施，临时露天堆存的表土、建渣、疏浚料等采取防尘网遮盖，避免风起扬尘</w:t>
            </w:r>
            <w:r>
              <w:rPr>
                <w:rFonts w:hint="eastAsia"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渣土运输采取封闭式运输。</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2" w:firstLineChars="200"/>
              <w:jc w:val="both"/>
              <w:textAlignment w:val="auto"/>
              <w:rPr>
                <w:rFonts w:hint="default" w:ascii="Times New Roman" w:hAnsi="Times New Roman" w:cs="Times New Roman"/>
                <w:bCs/>
                <w:color w:val="0000FF"/>
                <w:spacing w:val="10"/>
                <w:szCs w:val="21"/>
              </w:rPr>
            </w:pPr>
            <w:r>
              <w:rPr>
                <w:rFonts w:hint="default" w:ascii="Times New Roman" w:hAnsi="Times New Roman" w:eastAsia="宋体" w:cs="Times New Roman"/>
                <w:b/>
                <w:bCs/>
                <w:color w:val="auto"/>
                <w:spacing w:val="0"/>
                <w:sz w:val="24"/>
                <w:szCs w:val="24"/>
                <w:lang w:val="en-US" w:eastAsia="zh-CN"/>
              </w:rPr>
              <w:t>（</w:t>
            </w:r>
            <w:r>
              <w:rPr>
                <w:rFonts w:hint="eastAsia" w:ascii="Times New Roman" w:hAnsi="Times New Roman" w:eastAsia="宋体" w:cs="Times New Roman"/>
                <w:b/>
                <w:bCs/>
                <w:color w:val="auto"/>
                <w:spacing w:val="0"/>
                <w:sz w:val="24"/>
                <w:szCs w:val="24"/>
                <w:lang w:val="en-US" w:eastAsia="zh-CN"/>
              </w:rPr>
              <w:t>2</w:t>
            </w:r>
            <w:r>
              <w:rPr>
                <w:rFonts w:hint="default" w:ascii="Times New Roman" w:hAnsi="Times New Roman" w:eastAsia="宋体" w:cs="Times New Roman"/>
                <w:b/>
                <w:bCs/>
                <w:color w:val="auto"/>
                <w:spacing w:val="0"/>
                <w:sz w:val="24"/>
                <w:szCs w:val="24"/>
                <w:lang w:val="en-US" w:eastAsia="zh-CN"/>
              </w:rPr>
              <w:t>）施工机械废气</w:t>
            </w:r>
            <w:r>
              <w:rPr>
                <w:rFonts w:hint="eastAsia" w:ascii="Times New Roman" w:hAnsi="Times New Roman" w:cs="Times New Roman"/>
                <w:b/>
                <w:bCs/>
                <w:color w:val="auto"/>
                <w:spacing w:val="0"/>
                <w:sz w:val="24"/>
                <w:szCs w:val="24"/>
                <w:lang w:val="en-US" w:eastAsia="zh-CN"/>
              </w:rPr>
              <w:t>防治措施</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b w:val="0"/>
                <w:bCs w:val="0"/>
                <w:color w:val="auto"/>
                <w:sz w:val="24"/>
                <w:szCs w:val="24"/>
              </w:rPr>
              <w:t>各种燃油施工机械和运输车辆在施工及运输过程中均排放一定数量的废气，主要污染物以</w:t>
            </w:r>
            <w:r>
              <w:rPr>
                <w:rFonts w:hint="default" w:ascii="Times New Roman" w:hAnsi="Times New Roman" w:eastAsia="宋体" w:cs="Times New Roman"/>
                <w:color w:val="auto"/>
                <w:spacing w:val="0"/>
                <w:sz w:val="24"/>
                <w:szCs w:val="24"/>
                <w:lang w:val="en-US" w:eastAsia="zh-CN"/>
              </w:rPr>
              <w:t>TSP 、NO</w:t>
            </w:r>
            <w:r>
              <w:rPr>
                <w:rFonts w:hint="default" w:ascii="Times New Roman" w:hAnsi="Times New Roman" w:eastAsia="宋体" w:cs="Times New Roman"/>
                <w:color w:val="auto"/>
                <w:spacing w:val="0"/>
                <w:sz w:val="24"/>
                <w:szCs w:val="24"/>
                <w:vertAlign w:val="subscript"/>
                <w:lang w:val="en-US" w:eastAsia="zh-CN"/>
              </w:rPr>
              <w:t>X</w:t>
            </w:r>
            <w:r>
              <w:rPr>
                <w:rFonts w:hint="default" w:ascii="Times New Roman" w:hAnsi="Times New Roman" w:eastAsia="宋体" w:cs="Times New Roman"/>
                <w:b w:val="0"/>
                <w:bCs w:val="0"/>
                <w:color w:val="auto"/>
                <w:sz w:val="24"/>
                <w:szCs w:val="24"/>
              </w:rPr>
              <w:t>为主。由于施工机械排放的废气和运输车辆的污染源较分散，且是流动性的，其影响也较分散和暂时的。另一方面，只要通过加强管理，控制车速，</w:t>
            </w:r>
            <w:r>
              <w:rPr>
                <w:rFonts w:hint="default" w:ascii="Times New Roman" w:hAnsi="Times New Roman" w:eastAsia="宋体" w:cs="Times New Roman"/>
                <w:b w:val="0"/>
                <w:bCs w:val="0"/>
                <w:color w:val="auto"/>
                <w:sz w:val="24"/>
                <w:szCs w:val="24"/>
                <w:lang w:eastAsia="zh-CN"/>
              </w:rPr>
              <w:t>加强保养，</w:t>
            </w:r>
            <w:r>
              <w:rPr>
                <w:rFonts w:hint="default" w:ascii="Times New Roman" w:hAnsi="Times New Roman" w:eastAsia="宋体" w:cs="Times New Roman"/>
                <w:b w:val="0"/>
                <w:bCs w:val="0"/>
                <w:color w:val="auto"/>
                <w:sz w:val="24"/>
                <w:szCs w:val="24"/>
              </w:rPr>
              <w:t>可有效减少施工机械和车辆的大气污染。</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2" w:firstLineChars="200"/>
              <w:jc w:val="both"/>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color w:val="auto"/>
                <w:sz w:val="24"/>
                <w:szCs w:val="24"/>
                <w:lang w:val="en-US" w:eastAsia="zh-CN"/>
              </w:rPr>
              <w:t>另外环评要求</w:t>
            </w:r>
            <w:r>
              <w:rPr>
                <w:rFonts w:hint="default" w:ascii="Times New Roman" w:hAnsi="Times New Roman" w:eastAsia="宋体" w:cs="Times New Roman"/>
                <w:b/>
                <w:bCs/>
                <w:color w:val="auto"/>
                <w:sz w:val="24"/>
                <w:szCs w:val="24"/>
              </w:rPr>
              <w:t>提出防治措施如下</w:t>
            </w:r>
            <w:r>
              <w:rPr>
                <w:rFonts w:hint="default" w:ascii="Times New Roman" w:hAnsi="Times New Roman" w:eastAsia="宋体" w:cs="Times New Roman"/>
                <w:b/>
                <w:bCs/>
                <w:color w:val="auto"/>
                <w:sz w:val="24"/>
                <w:szCs w:val="24"/>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选用符合排放的标准的运输车辆和施工机械，尽量选用国五及以上排放标准重型载货汽车，选用国三及以上非道路移动机械，禁止使用劣质不合格油品。</w:t>
            </w:r>
          </w:p>
          <w:p>
            <w:pPr>
              <w:pStyle w:val="2"/>
              <w:ind w:firstLine="482" w:firstLineChars="200"/>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bCs/>
                <w:color w:val="auto"/>
                <w:spacing w:val="0"/>
                <w:sz w:val="24"/>
                <w:szCs w:val="24"/>
                <w:lang w:val="en-US" w:eastAsia="zh-CN"/>
              </w:rPr>
              <w:t>（3）淤泥恶臭</w:t>
            </w:r>
            <w:r>
              <w:rPr>
                <w:rFonts w:hint="eastAsia" w:ascii="Times New Roman" w:hAnsi="Times New Roman" w:cs="Times New Roman"/>
                <w:b/>
                <w:bCs/>
                <w:color w:val="auto"/>
                <w:spacing w:val="0"/>
                <w:sz w:val="24"/>
                <w:szCs w:val="24"/>
                <w:lang w:val="en-US" w:eastAsia="zh-CN"/>
              </w:rPr>
              <w:t>防治措施</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baseline"/>
              <w:rPr>
                <w:rFonts w:hint="eastAsia"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本项目河道疏浚量少，疏浚料多为砂卵石含少量淤泥，疏浚料及时清运。河道清淤及底泥堆存过程中散发恶臭对施工河道沿线敏感目标有一定影响。但因为施工场地开阔，大气扩散条件好，同时施工强度小，恶臭经在施工场地自由扩散后对周围环境影响较小，</w:t>
            </w:r>
            <w:r>
              <w:rPr>
                <w:rFonts w:hint="eastAsia" w:ascii="Times New Roman" w:hAnsi="Times New Roman" w:eastAsia="宋体" w:cs="Times New Roman"/>
                <w:b/>
                <w:bCs/>
                <w:color w:val="auto"/>
                <w:spacing w:val="0"/>
                <w:sz w:val="24"/>
                <w:szCs w:val="24"/>
                <w:lang w:val="en-US" w:eastAsia="zh-CN"/>
              </w:rPr>
              <w:t>环评要求疏浚料及时回填减少堆存时间并喷洒除臭剂。</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baseline"/>
              <w:rPr>
                <w:rFonts w:hint="eastAsia"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综上，工程区域环境空气本底质量较好，工程施工区地势开阔、大气扩散条件较好，加之粉尘和施工废气污染具有局部性和间歇性的特点，因此对整个施工区的环境空气质量不会产生较大影响。这些施工期产生的环境污染是暂时的，随施工结束而结束。</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2" w:firstLineChars="200"/>
              <w:jc w:val="both"/>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sz w:val="24"/>
                <w:szCs w:val="24"/>
                <w:lang w:val="en-US" w:eastAsia="zh-CN"/>
              </w:rPr>
              <w:t>采取以上措施后，项目施工期对大气环境影响较小。</w:t>
            </w:r>
          </w:p>
          <w:p>
            <w:pPr>
              <w:keepNext w:val="0"/>
              <w:keepLines w:val="0"/>
              <w:pageBreakBefore w:val="0"/>
              <w:widowControl/>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4、</w:t>
            </w:r>
            <w:r>
              <w:rPr>
                <w:rFonts w:hint="eastAsia" w:ascii="Times New Roman" w:hAnsi="Times New Roman" w:eastAsia="宋体" w:cs="Times New Roman"/>
                <w:b/>
                <w:bCs/>
                <w:color w:val="auto"/>
                <w:sz w:val="24"/>
                <w:szCs w:val="24"/>
                <w:lang w:val="en-US" w:eastAsia="zh-CN"/>
              </w:rPr>
              <w:t>施工期噪声防治</w:t>
            </w:r>
            <w:r>
              <w:rPr>
                <w:rFonts w:hint="default" w:ascii="Times New Roman" w:hAnsi="Times New Roman" w:eastAsia="宋体" w:cs="Times New Roman"/>
                <w:b/>
                <w:bCs/>
                <w:color w:val="auto"/>
                <w:sz w:val="24"/>
                <w:szCs w:val="24"/>
                <w:lang w:val="en-US" w:eastAsia="zh-CN"/>
              </w:rPr>
              <w:t>措施</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施工期噪声主要来源于机械噪声、施工作业噪声和施工车辆噪声，在不同的施工阶段又有不同的主要噪声源。为了减轻施工期施工噪声对敏感点的影响，施工期应采取以下噪声防范措施：</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eastAsia" w:ascii="Times New Roman" w:hAnsi="Times New Roman" w:eastAsia="宋体" w:cs="Times New Roman"/>
                <w:b w:val="0"/>
                <w:bCs w:val="0"/>
                <w:color w:val="auto"/>
                <w:sz w:val="24"/>
                <w:szCs w:val="24"/>
              </w:rPr>
            </w:pPr>
            <w:r>
              <w:rPr>
                <w:rFonts w:hint="eastAsia" w:ascii="Times New Roman" w:hAnsi="Times New Roman" w:eastAsia="宋体" w:cs="Times New Roman"/>
                <w:b w:val="0"/>
                <w:bCs w:val="0"/>
                <w:color w:val="auto"/>
                <w:sz w:val="24"/>
                <w:szCs w:val="24"/>
                <w:lang w:val="en-US" w:eastAsia="zh-CN"/>
              </w:rPr>
              <w:t>①合理安排施工工序，尽量缩短施工周期；</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eastAsia" w:ascii="Times New Roman" w:hAnsi="Times New Roman" w:eastAsia="宋体" w:cs="Times New Roman"/>
                <w:b w:val="0"/>
                <w:bCs w:val="0"/>
                <w:color w:val="auto"/>
                <w:sz w:val="24"/>
                <w:szCs w:val="24"/>
              </w:rPr>
            </w:pPr>
            <w:r>
              <w:rPr>
                <w:rFonts w:hint="eastAsia" w:ascii="Times New Roman" w:hAnsi="Times New Roman" w:eastAsia="宋体" w:cs="Times New Roman"/>
                <w:b w:val="0"/>
                <w:bCs w:val="0"/>
                <w:color w:val="auto"/>
                <w:sz w:val="24"/>
                <w:szCs w:val="24"/>
                <w:lang w:val="en-US" w:eastAsia="zh-CN"/>
              </w:rPr>
              <w:t>②加强对施工人员的教育管理，加强施工人员的环保意识，不得随意扔、丢，减少施工中不必要的噪声。</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eastAsia" w:ascii="Times New Roman" w:hAnsi="Times New Roman" w:eastAsia="宋体" w:cs="Times New Roman"/>
                <w:b w:val="0"/>
                <w:bCs w:val="0"/>
                <w:color w:val="auto"/>
                <w:sz w:val="24"/>
                <w:szCs w:val="24"/>
              </w:rPr>
            </w:pPr>
            <w:r>
              <w:rPr>
                <w:rFonts w:hint="eastAsia" w:ascii="Times New Roman" w:hAnsi="Times New Roman" w:eastAsia="宋体" w:cs="Times New Roman"/>
                <w:b w:val="0"/>
                <w:bCs w:val="0"/>
                <w:color w:val="auto"/>
                <w:sz w:val="24"/>
                <w:szCs w:val="24"/>
                <w:lang w:val="en-US" w:eastAsia="zh-CN"/>
              </w:rPr>
              <w:t>③施工过程中选用低噪声设备，对机械设备精心养护，保持良好的运行工况，减低设备运行噪声；</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default" w:ascii="Times New Roman" w:hAnsi="Times New Roman" w:eastAsia="宋体" w:cs="Times New Roman"/>
                <w:b w:val="0"/>
                <w:bCs w:val="0"/>
                <w:color w:val="auto"/>
                <w:sz w:val="24"/>
                <w:szCs w:val="24"/>
              </w:rPr>
            </w:pPr>
            <w:r>
              <w:rPr>
                <w:rFonts w:hint="eastAsia" w:ascii="Times New Roman" w:hAnsi="Times New Roman" w:eastAsia="宋体" w:cs="Times New Roman"/>
                <w:b w:val="0"/>
                <w:bCs w:val="0"/>
                <w:color w:val="auto"/>
                <w:sz w:val="24"/>
                <w:szCs w:val="24"/>
                <w:lang w:val="en-US" w:eastAsia="zh-CN"/>
              </w:rPr>
              <w:t>④降低振动器噪声，将高频振动器施工改为低频率振动器以减少施工噪声；</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⑤机械设备合理布局，避免局部声级过高的现象；</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⑥按照规定操作机械设备，在挡板、支架拆卸过程中，遵守作业规定，减 少碰撞噪声；</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⑦合理安排工作时间：将强噪声作业尽量安排在白天进行，严禁夜间、午 间高噪声设备施工，杜绝夜间 (22:00~6:00) 和午间 (12:00~ 14:00) 施工噪声扰民。如工艺要求必须连续作业施工，应首先征得当地环保、城管等主管部门同意，并及时通知周围居民。</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default"/>
              </w:rPr>
            </w:pPr>
            <w:r>
              <w:rPr>
                <w:rFonts w:hint="default" w:ascii="Times New Roman" w:hAnsi="Times New Roman" w:eastAsia="宋体" w:cs="Times New Roman"/>
                <w:b w:val="0"/>
                <w:bCs w:val="0"/>
                <w:color w:val="auto"/>
                <w:sz w:val="24"/>
                <w:szCs w:val="24"/>
              </w:rPr>
              <w:t>⑧车辆经过居民区时，运输车辆限速行驶，禁鸣高音喇叭，并合理安排运输时间，避免车辆噪声影响居民的休息。</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2" w:firstLineChars="200"/>
              <w:jc w:val="both"/>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采取以上措施后，项目施工期对声环境影响较小。</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522" w:firstLineChars="200"/>
              <w:jc w:val="both"/>
              <w:textAlignment w:val="auto"/>
              <w:rPr>
                <w:rFonts w:hint="default" w:ascii="Times New Roman" w:hAnsi="Times New Roman" w:eastAsia="宋体" w:cs="Times New Roman"/>
                <w:b/>
                <w:bCs w:val="0"/>
                <w:color w:val="auto"/>
                <w:spacing w:val="10"/>
                <w:sz w:val="24"/>
                <w:szCs w:val="24"/>
                <w:lang w:val="en-US" w:eastAsia="zh-CN"/>
              </w:rPr>
            </w:pPr>
            <w:r>
              <w:rPr>
                <w:rFonts w:hint="default" w:ascii="Times New Roman" w:hAnsi="Times New Roman" w:eastAsia="宋体" w:cs="Times New Roman"/>
                <w:b/>
                <w:bCs w:val="0"/>
                <w:color w:val="auto"/>
                <w:spacing w:val="10"/>
                <w:sz w:val="24"/>
                <w:szCs w:val="24"/>
                <w:lang w:val="en-US" w:eastAsia="zh-CN"/>
              </w:rPr>
              <w:t>5、</w:t>
            </w:r>
            <w:r>
              <w:rPr>
                <w:rFonts w:hint="eastAsia" w:ascii="Times New Roman" w:hAnsi="Times New Roman" w:eastAsia="宋体" w:cs="Times New Roman"/>
                <w:b/>
                <w:bCs w:val="0"/>
                <w:color w:val="auto"/>
                <w:spacing w:val="10"/>
                <w:sz w:val="24"/>
                <w:szCs w:val="24"/>
                <w:lang w:val="en-US" w:eastAsia="zh-CN"/>
              </w:rPr>
              <w:t>施工期固体废物的防治措施</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default" w:ascii="Times New Roman" w:hAnsi="Times New Roman" w:eastAsia="宋体" w:cs="Times New Roman"/>
                <w:color w:val="auto"/>
                <w:spacing w:val="0"/>
                <w:kern w:val="2"/>
                <w:sz w:val="24"/>
                <w:szCs w:val="24"/>
                <w:lang w:val="en-US" w:eastAsia="zh-CN" w:bidi="ar-SA"/>
              </w:rPr>
            </w:pPr>
            <w:r>
              <w:rPr>
                <w:rFonts w:hint="default" w:ascii="Times New Roman" w:hAnsi="Times New Roman" w:eastAsia="宋体" w:cs="Times New Roman"/>
                <w:color w:val="auto"/>
                <w:spacing w:val="0"/>
                <w:kern w:val="2"/>
                <w:sz w:val="24"/>
                <w:szCs w:val="24"/>
                <w:lang w:val="en-US" w:eastAsia="zh-CN" w:bidi="ar-SA"/>
              </w:rPr>
              <w:t>施工期固体废物主要包括</w:t>
            </w:r>
            <w:r>
              <w:rPr>
                <w:rFonts w:hint="eastAsia" w:ascii="Times New Roman" w:hAnsi="Times New Roman" w:eastAsia="宋体" w:cs="Times New Roman"/>
                <w:color w:val="auto"/>
                <w:spacing w:val="0"/>
                <w:kern w:val="2"/>
                <w:sz w:val="24"/>
                <w:szCs w:val="24"/>
                <w:lang w:val="en-US" w:eastAsia="zh-CN" w:bidi="ar-SA"/>
              </w:rPr>
              <w:t>弃土、</w:t>
            </w:r>
            <w:r>
              <w:rPr>
                <w:rFonts w:hint="default" w:ascii="Times New Roman" w:hAnsi="Times New Roman" w:eastAsia="宋体" w:cs="Times New Roman"/>
                <w:color w:val="auto"/>
                <w:spacing w:val="0"/>
                <w:kern w:val="2"/>
                <w:sz w:val="24"/>
                <w:szCs w:val="24"/>
                <w:lang w:val="en-US" w:eastAsia="zh-CN" w:bidi="ar-SA"/>
              </w:rPr>
              <w:t>建筑垃圾、疏浚料、生活垃圾。</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2" w:firstLineChars="200"/>
              <w:jc w:val="both"/>
              <w:textAlignment w:val="auto"/>
              <w:rPr>
                <w:rFonts w:hint="default" w:ascii="Times New Roman" w:hAnsi="Times New Roman" w:cs="Times New Roman"/>
                <w:b/>
                <w:bCs/>
                <w:color w:val="0000FF"/>
                <w:spacing w:val="10"/>
                <w:szCs w:val="21"/>
              </w:rPr>
            </w:pP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rPr>
              <w:t>生活垃圾</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default" w:ascii="Times New Roman" w:hAnsi="Times New Roman" w:cs="Times New Roman"/>
                <w:bCs/>
                <w:color w:val="0000FF"/>
                <w:spacing w:val="10"/>
                <w:szCs w:val="21"/>
              </w:rPr>
            </w:pPr>
            <w:r>
              <w:rPr>
                <w:rFonts w:hint="default" w:ascii="Times New Roman" w:hAnsi="Times New Roman" w:cs="Times New Roman"/>
                <w:color w:val="auto"/>
                <w:spacing w:val="0"/>
                <w:sz w:val="24"/>
                <w:szCs w:val="24"/>
                <w:lang w:val="en-US" w:eastAsia="zh-CN"/>
              </w:rPr>
              <w:t>项目施工场地设置垃圾桶，集中收集后由当地环卫部门统一处理。</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2" w:firstLineChars="200"/>
              <w:jc w:val="both"/>
              <w:textAlignment w:val="auto"/>
              <w:rPr>
                <w:rFonts w:hint="default" w:ascii="Times New Roman" w:hAnsi="Times New Roman" w:cs="Times New Roman"/>
                <w:b/>
                <w:bCs/>
                <w:color w:val="0000FF"/>
                <w:spacing w:val="10"/>
                <w:szCs w:val="21"/>
              </w:rPr>
            </w:pPr>
            <w:r>
              <w:rPr>
                <w:rFonts w:hint="default" w:ascii="Times New Roman" w:hAnsi="Times New Roman" w:cs="Times New Roman"/>
                <w:b/>
                <w:bCs/>
                <w:color w:val="auto"/>
                <w:spacing w:val="0"/>
                <w:sz w:val="24"/>
                <w:szCs w:val="24"/>
                <w:lang w:val="en-US" w:eastAsia="zh-CN"/>
              </w:rPr>
              <w:t>（2）疏浚料</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default" w:ascii="Times New Roman" w:hAnsi="Times New Roman" w:eastAsia="宋体" w:cs="Times New Roman"/>
                <w:color w:val="000000"/>
                <w:spacing w:val="0"/>
                <w:sz w:val="24"/>
                <w:szCs w:val="24"/>
                <w:lang w:val="en-US" w:eastAsia="zh-CN"/>
              </w:rPr>
            </w:pPr>
            <w:r>
              <w:rPr>
                <w:rFonts w:hint="default" w:ascii="Times New Roman" w:hAnsi="Times New Roman" w:eastAsia="宋体" w:cs="Times New Roman"/>
                <w:color w:val="000000"/>
                <w:spacing w:val="0"/>
                <w:sz w:val="24"/>
                <w:szCs w:val="24"/>
                <w:lang w:val="en-US" w:eastAsia="zh-CN"/>
              </w:rPr>
              <w:t>本项目疏浚料全部运至</w:t>
            </w:r>
            <w:r>
              <w:rPr>
                <w:rFonts w:hint="eastAsia" w:ascii="Times New Roman" w:hAnsi="Times New Roman" w:eastAsia="宋体" w:cs="Times New Roman"/>
                <w:color w:val="000000"/>
                <w:spacing w:val="0"/>
                <w:sz w:val="24"/>
                <w:szCs w:val="24"/>
                <w:lang w:val="en-US" w:eastAsia="zh-CN"/>
              </w:rPr>
              <w:t>施工工区内的</w:t>
            </w:r>
            <w:r>
              <w:rPr>
                <w:rFonts w:hint="default" w:ascii="Times New Roman" w:hAnsi="Times New Roman" w:eastAsia="宋体" w:cs="Times New Roman"/>
                <w:color w:val="000000"/>
                <w:spacing w:val="0"/>
                <w:sz w:val="24"/>
                <w:szCs w:val="24"/>
                <w:lang w:val="en-US" w:eastAsia="zh-CN"/>
              </w:rPr>
              <w:t>堆料场暂存，沥干水分后，</w:t>
            </w:r>
            <w:r>
              <w:rPr>
                <w:rFonts w:hint="eastAsia" w:ascii="Times New Roman" w:hAnsi="Times New Roman" w:eastAsia="宋体" w:cs="Times New Roman"/>
                <w:color w:val="000000"/>
                <w:spacing w:val="0"/>
                <w:sz w:val="24"/>
                <w:szCs w:val="24"/>
                <w:lang w:val="en-US" w:eastAsia="zh-CN"/>
              </w:rPr>
              <w:t>运往苏稽镇石鼓寺村老鸦滩堆料场堆放，后期由乐山市市中区国有资产监督管理局统一拍卖或利用</w:t>
            </w:r>
            <w:r>
              <w:rPr>
                <w:rFonts w:hint="default" w:ascii="Times New Roman" w:hAnsi="Times New Roman" w:eastAsia="宋体" w:cs="Times New Roman"/>
                <w:color w:val="000000"/>
                <w:spacing w:val="0"/>
                <w:sz w:val="24"/>
                <w:szCs w:val="24"/>
                <w:lang w:val="en-US" w:eastAsia="zh-CN"/>
              </w:rPr>
              <w:t>，</w:t>
            </w:r>
            <w:r>
              <w:rPr>
                <w:rFonts w:hint="eastAsia" w:ascii="Times New Roman" w:hAnsi="Times New Roman" w:eastAsia="宋体" w:cs="Times New Roman"/>
                <w:color w:val="000000"/>
                <w:spacing w:val="0"/>
                <w:sz w:val="24"/>
                <w:szCs w:val="24"/>
                <w:lang w:val="en-US" w:eastAsia="zh-CN"/>
              </w:rPr>
              <w:t>及时运走</w:t>
            </w:r>
            <w:r>
              <w:rPr>
                <w:rFonts w:hint="default" w:ascii="Times New Roman" w:hAnsi="Times New Roman" w:eastAsia="宋体" w:cs="Times New Roman"/>
                <w:color w:val="000000"/>
                <w:spacing w:val="0"/>
                <w:sz w:val="24"/>
                <w:szCs w:val="24"/>
                <w:lang w:val="en-US" w:eastAsia="zh-CN"/>
              </w:rPr>
              <w:t>不</w:t>
            </w:r>
            <w:r>
              <w:rPr>
                <w:rFonts w:hint="eastAsia" w:ascii="Times New Roman" w:hAnsi="Times New Roman" w:eastAsia="宋体" w:cs="Times New Roman"/>
                <w:color w:val="000000"/>
                <w:spacing w:val="0"/>
                <w:sz w:val="24"/>
                <w:szCs w:val="24"/>
                <w:lang w:val="en-US" w:eastAsia="zh-CN"/>
              </w:rPr>
              <w:t>在临时堆料场</w:t>
            </w:r>
            <w:r>
              <w:rPr>
                <w:rFonts w:hint="default" w:ascii="Times New Roman" w:hAnsi="Times New Roman" w:eastAsia="宋体" w:cs="Times New Roman"/>
                <w:color w:val="000000"/>
                <w:spacing w:val="0"/>
                <w:sz w:val="24"/>
                <w:szCs w:val="24"/>
                <w:lang w:val="en-US" w:eastAsia="zh-CN"/>
              </w:rPr>
              <w:t>长久堆存。</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2" w:firstLineChars="200"/>
              <w:jc w:val="both"/>
              <w:textAlignment w:val="auto"/>
              <w:rPr>
                <w:rFonts w:hint="default" w:ascii="Times New Roman" w:hAnsi="Times New Roman" w:eastAsia="宋体" w:cs="Times New Roman"/>
                <w:b/>
                <w:bCs/>
                <w:color w:val="000000"/>
                <w:spacing w:val="0"/>
                <w:sz w:val="24"/>
                <w:szCs w:val="24"/>
                <w:lang w:val="en-US" w:eastAsia="zh-CN"/>
              </w:rPr>
            </w:pPr>
            <w:r>
              <w:rPr>
                <w:rFonts w:hint="eastAsia" w:ascii="Times New Roman" w:hAnsi="Times New Roman" w:eastAsia="宋体" w:cs="Times New Roman"/>
                <w:b/>
                <w:bCs/>
                <w:color w:val="000000"/>
                <w:spacing w:val="0"/>
                <w:sz w:val="24"/>
                <w:szCs w:val="24"/>
                <w:lang w:val="en-US" w:eastAsia="zh-CN"/>
              </w:rPr>
              <w:t>（3）沉淀池底泥</w:t>
            </w:r>
          </w:p>
          <w:p>
            <w:pPr>
              <w:pStyle w:val="2"/>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firstLine="480" w:firstLineChars="200"/>
              <w:jc w:val="both"/>
              <w:textAlignment w:val="auto"/>
              <w:rPr>
                <w:rFonts w:hint="default" w:ascii="Times New Roman" w:hAnsi="Times New Roman" w:eastAsia="宋体" w:cs="Times New Roman"/>
                <w:color w:val="auto"/>
                <w:spacing w:val="0"/>
                <w:kern w:val="2"/>
                <w:sz w:val="24"/>
                <w:szCs w:val="24"/>
                <w:lang w:val="en-US" w:eastAsia="zh-CN" w:bidi="ar-SA"/>
              </w:rPr>
            </w:pPr>
            <w:r>
              <w:rPr>
                <w:rFonts w:hint="default" w:ascii="Times New Roman" w:hAnsi="Times New Roman" w:eastAsia="宋体" w:cs="Times New Roman"/>
                <w:color w:val="auto"/>
                <w:spacing w:val="0"/>
                <w:kern w:val="2"/>
                <w:sz w:val="24"/>
                <w:szCs w:val="24"/>
                <w:lang w:val="en-US" w:eastAsia="zh-CN" w:bidi="ar-SA"/>
              </w:rPr>
              <w:t>将沉积的泥砂用长臂挖掘机挖出晾干，同疏浚料一起</w:t>
            </w:r>
            <w:r>
              <w:rPr>
                <w:rFonts w:hint="eastAsia" w:ascii="Times New Roman" w:hAnsi="Times New Roman" w:eastAsia="宋体" w:cs="Times New Roman"/>
                <w:color w:val="000000"/>
                <w:spacing w:val="0"/>
                <w:sz w:val="24"/>
                <w:szCs w:val="24"/>
                <w:lang w:val="en-US" w:eastAsia="zh-CN"/>
              </w:rPr>
              <w:t>运往苏稽镇石鼓寺村老鸦滩堆料场堆放，后期由乐山市市中区国有资产监督管理局统一拍卖或利用</w:t>
            </w:r>
            <w:r>
              <w:rPr>
                <w:rFonts w:hint="default" w:ascii="Times New Roman" w:hAnsi="Times New Roman" w:eastAsia="宋体" w:cs="Times New Roman"/>
                <w:color w:val="000000"/>
                <w:spacing w:val="0"/>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jc w:val="both"/>
              <w:textAlignment w:val="auto"/>
              <w:rPr>
                <w:rFonts w:hint="default" w:ascii="Times New Roman" w:hAnsi="Times New Roman" w:cs="Times New Roman"/>
                <w:b w:val="0"/>
                <w:bCs w:val="0"/>
                <w:color w:val="000000"/>
                <w:spacing w:val="0"/>
                <w:sz w:val="24"/>
                <w:szCs w:val="24"/>
                <w:lang w:val="en-US" w:eastAsia="zh-CN"/>
              </w:rPr>
            </w:pPr>
            <w:r>
              <w:rPr>
                <w:rFonts w:hint="default" w:ascii="Times New Roman" w:hAnsi="Times New Roman" w:cs="Times New Roman"/>
                <w:b w:val="0"/>
                <w:bCs w:val="0"/>
                <w:color w:val="000000"/>
                <w:spacing w:val="0"/>
                <w:sz w:val="24"/>
                <w:szCs w:val="24"/>
                <w:lang w:val="en-US" w:eastAsia="zh-CN"/>
              </w:rPr>
              <w:t>针对项目疏浚料</w:t>
            </w:r>
            <w:r>
              <w:rPr>
                <w:rFonts w:hint="eastAsia" w:ascii="Times New Roman" w:hAnsi="Times New Roman" w:cs="Times New Roman"/>
                <w:b w:val="0"/>
                <w:bCs w:val="0"/>
                <w:color w:val="000000"/>
                <w:spacing w:val="0"/>
                <w:sz w:val="24"/>
                <w:szCs w:val="24"/>
                <w:lang w:val="en-US" w:eastAsia="zh-CN"/>
              </w:rPr>
              <w:t>和底泥</w:t>
            </w:r>
            <w:r>
              <w:rPr>
                <w:rFonts w:hint="default" w:ascii="Times New Roman" w:hAnsi="Times New Roman" w:cs="Times New Roman"/>
                <w:b w:val="0"/>
                <w:bCs w:val="0"/>
                <w:color w:val="000000"/>
                <w:spacing w:val="0"/>
                <w:sz w:val="24"/>
                <w:szCs w:val="24"/>
                <w:lang w:val="en-US" w:eastAsia="zh-CN"/>
              </w:rPr>
              <w:t>外运，本评价对项目在施工过程中的疏浚料</w:t>
            </w:r>
            <w:r>
              <w:rPr>
                <w:rFonts w:hint="eastAsia" w:ascii="Times New Roman" w:hAnsi="Times New Roman" w:cs="Times New Roman"/>
                <w:b w:val="0"/>
                <w:bCs w:val="0"/>
                <w:color w:val="000000"/>
                <w:spacing w:val="0"/>
                <w:sz w:val="24"/>
                <w:szCs w:val="24"/>
                <w:lang w:val="en-US" w:eastAsia="zh-CN"/>
              </w:rPr>
              <w:t>和底泥</w:t>
            </w:r>
            <w:r>
              <w:rPr>
                <w:rFonts w:hint="default" w:ascii="Times New Roman" w:hAnsi="Times New Roman" w:cs="Times New Roman"/>
                <w:b w:val="0"/>
                <w:bCs w:val="0"/>
                <w:color w:val="000000"/>
                <w:spacing w:val="0"/>
                <w:sz w:val="24"/>
                <w:szCs w:val="24"/>
                <w:lang w:val="en-US" w:eastAsia="zh-CN"/>
              </w:rPr>
              <w:t>运输提出如下要求：</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2" w:firstLineChars="200"/>
              <w:jc w:val="both"/>
              <w:textAlignment w:val="auto"/>
              <w:rPr>
                <w:rFonts w:hint="default" w:ascii="Times New Roman" w:hAnsi="Times New Roman" w:cs="Times New Roman"/>
                <w:b/>
                <w:bCs/>
                <w:color w:val="000000"/>
                <w:spacing w:val="0"/>
                <w:sz w:val="24"/>
                <w:szCs w:val="24"/>
                <w:lang w:val="en-US" w:eastAsia="zh-CN"/>
              </w:rPr>
            </w:pPr>
            <w:r>
              <w:rPr>
                <w:rFonts w:hint="default" w:ascii="Times New Roman" w:hAnsi="Times New Roman" w:cs="Times New Roman"/>
                <w:b/>
                <w:bCs/>
                <w:color w:val="000000"/>
                <w:spacing w:val="0"/>
                <w:sz w:val="24"/>
                <w:szCs w:val="24"/>
                <w:lang w:val="en-US" w:eastAsia="zh-CN"/>
              </w:rPr>
              <w:t>①运输疏浚料</w:t>
            </w:r>
            <w:r>
              <w:rPr>
                <w:rFonts w:hint="eastAsia" w:ascii="Times New Roman" w:hAnsi="Times New Roman" w:cs="Times New Roman"/>
                <w:b/>
                <w:bCs/>
                <w:color w:val="000000"/>
                <w:spacing w:val="0"/>
                <w:sz w:val="24"/>
                <w:szCs w:val="24"/>
                <w:lang w:val="en-US" w:eastAsia="zh-CN"/>
              </w:rPr>
              <w:t>和底泥的</w:t>
            </w:r>
            <w:r>
              <w:rPr>
                <w:rFonts w:hint="default" w:ascii="Times New Roman" w:hAnsi="Times New Roman" w:cs="Times New Roman"/>
                <w:b/>
                <w:bCs/>
                <w:color w:val="000000"/>
                <w:spacing w:val="0"/>
                <w:sz w:val="24"/>
                <w:szCs w:val="24"/>
                <w:lang w:val="en-US" w:eastAsia="zh-CN"/>
              </w:rPr>
              <w:t>车辆必须符合道路运输安全及交通和交警部门的准运要求，必须覆盖遮尘网。</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2" w:firstLineChars="200"/>
              <w:jc w:val="both"/>
              <w:textAlignment w:val="auto"/>
              <w:rPr>
                <w:rFonts w:hint="default" w:ascii="Times New Roman" w:hAnsi="Times New Roman" w:cs="Times New Roman"/>
                <w:b/>
                <w:bCs/>
                <w:color w:val="000000"/>
                <w:spacing w:val="0"/>
                <w:sz w:val="24"/>
                <w:szCs w:val="24"/>
                <w:lang w:val="en-US" w:eastAsia="zh-CN"/>
              </w:rPr>
            </w:pPr>
            <w:r>
              <w:rPr>
                <w:rFonts w:hint="default" w:ascii="Times New Roman" w:hAnsi="Times New Roman" w:cs="Times New Roman"/>
                <w:b/>
                <w:bCs/>
                <w:color w:val="000000"/>
                <w:spacing w:val="0"/>
                <w:sz w:val="24"/>
                <w:szCs w:val="24"/>
                <w:lang w:val="en-US" w:eastAsia="zh-CN"/>
              </w:rPr>
              <w:t>②疏浚料</w:t>
            </w:r>
            <w:r>
              <w:rPr>
                <w:rFonts w:hint="eastAsia" w:ascii="Times New Roman" w:hAnsi="Times New Roman" w:cs="Times New Roman"/>
                <w:b/>
                <w:bCs/>
                <w:color w:val="000000"/>
                <w:spacing w:val="0"/>
                <w:sz w:val="24"/>
                <w:szCs w:val="24"/>
                <w:lang w:val="en-US" w:eastAsia="zh-CN"/>
              </w:rPr>
              <w:t>和底泥的</w:t>
            </w:r>
            <w:r>
              <w:rPr>
                <w:rFonts w:hint="default" w:ascii="Times New Roman" w:hAnsi="Times New Roman" w:cs="Times New Roman"/>
                <w:b/>
                <w:bCs/>
                <w:color w:val="000000"/>
                <w:spacing w:val="0"/>
                <w:sz w:val="24"/>
                <w:szCs w:val="24"/>
                <w:lang w:val="en-US" w:eastAsia="zh-CN"/>
              </w:rPr>
              <w:t>运输车辆必须服从统一调度，按照有关部门的要求和指定路线、时间、方式清运，尽可能避开居民集中区、学校、医院等对环境空气质量要求较高的区域。</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2" w:firstLineChars="200"/>
              <w:jc w:val="both"/>
              <w:textAlignment w:val="auto"/>
              <w:rPr>
                <w:rFonts w:hint="default" w:ascii="Times New Roman" w:hAnsi="Times New Roman" w:cs="Times New Roman"/>
                <w:b/>
                <w:bCs/>
                <w:color w:val="000000"/>
                <w:spacing w:val="0"/>
                <w:sz w:val="24"/>
                <w:szCs w:val="24"/>
                <w:lang w:val="en-US" w:eastAsia="zh-CN"/>
              </w:rPr>
            </w:pPr>
            <w:r>
              <w:rPr>
                <w:rFonts w:hint="default" w:ascii="Times New Roman" w:hAnsi="Times New Roman" w:cs="Times New Roman"/>
                <w:b/>
                <w:bCs/>
                <w:color w:val="000000"/>
                <w:spacing w:val="0"/>
                <w:sz w:val="24"/>
                <w:szCs w:val="24"/>
                <w:lang w:val="en-US" w:eastAsia="zh-CN"/>
              </w:rPr>
              <w:t>③疏浚料</w:t>
            </w:r>
            <w:r>
              <w:rPr>
                <w:rFonts w:hint="eastAsia" w:ascii="Times New Roman" w:hAnsi="Times New Roman" w:cs="Times New Roman"/>
                <w:b/>
                <w:bCs/>
                <w:color w:val="000000"/>
                <w:spacing w:val="0"/>
                <w:sz w:val="24"/>
                <w:szCs w:val="24"/>
                <w:lang w:val="en-US" w:eastAsia="zh-CN"/>
              </w:rPr>
              <w:t>和底泥的</w:t>
            </w:r>
            <w:r>
              <w:rPr>
                <w:rFonts w:hint="default" w:ascii="Times New Roman" w:hAnsi="Times New Roman" w:cs="Times New Roman"/>
                <w:b/>
                <w:bCs/>
                <w:color w:val="000000"/>
                <w:spacing w:val="0"/>
                <w:sz w:val="24"/>
                <w:szCs w:val="24"/>
                <w:lang w:val="en-US" w:eastAsia="zh-CN"/>
              </w:rPr>
              <w:t>运输过程中不得出现超载、撒漏、不到指定地点清运等现象。</w:t>
            </w:r>
          </w:p>
          <w:p>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2" w:firstLineChars="200"/>
              <w:jc w:val="both"/>
              <w:textAlignment w:val="auto"/>
              <w:rPr>
                <w:rFonts w:hint="default" w:ascii="Times New Roman" w:hAnsi="Times New Roman" w:cs="Times New Roman"/>
                <w:bCs/>
                <w:color w:val="0000FF"/>
                <w:spacing w:val="10"/>
                <w:szCs w:val="21"/>
              </w:rPr>
            </w:pPr>
            <w:r>
              <w:rPr>
                <w:rFonts w:hint="default" w:ascii="Times New Roman" w:hAnsi="Times New Roman" w:eastAsia="宋体" w:cs="Times New Roman"/>
                <w:b/>
                <w:bCs/>
                <w:color w:val="auto"/>
                <w:spacing w:val="0"/>
                <w:sz w:val="24"/>
                <w:szCs w:val="24"/>
                <w:lang w:val="en-US" w:eastAsia="zh-CN"/>
              </w:rPr>
              <w:t>（</w:t>
            </w:r>
            <w:r>
              <w:rPr>
                <w:rFonts w:hint="eastAsia" w:ascii="Times New Roman" w:hAnsi="Times New Roman" w:eastAsia="宋体" w:cs="Times New Roman"/>
                <w:b/>
                <w:bCs/>
                <w:color w:val="auto"/>
                <w:spacing w:val="0"/>
                <w:sz w:val="24"/>
                <w:szCs w:val="24"/>
                <w:lang w:val="en-US" w:eastAsia="zh-CN"/>
              </w:rPr>
              <w:t>4</w:t>
            </w:r>
            <w:r>
              <w:rPr>
                <w:rFonts w:hint="default" w:ascii="Times New Roman" w:hAnsi="Times New Roman" w:eastAsia="宋体" w:cs="Times New Roman"/>
                <w:b/>
                <w:bCs/>
                <w:color w:val="auto"/>
                <w:spacing w:val="0"/>
                <w:sz w:val="24"/>
                <w:szCs w:val="24"/>
                <w:lang w:val="en-US" w:eastAsia="zh-CN"/>
              </w:rPr>
              <w:t>）建筑垃圾</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rPr>
              <w:t>建筑垃圾主要是施工结束后临时工程拆除</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施工迹地清理时产生的废弃物等。建筑垃圾均应统一收集，分类堆存，施工产生的废料首先考虑废料的回收利用，对钢筋、钢板等下角料</w:t>
            </w:r>
            <w:r>
              <w:rPr>
                <w:rFonts w:hint="default" w:ascii="Times New Roman" w:hAnsi="Times New Roman" w:eastAsia="宋体" w:cs="Times New Roman"/>
                <w:b w:val="0"/>
                <w:bCs w:val="0"/>
                <w:color w:val="auto"/>
                <w:sz w:val="24"/>
                <w:szCs w:val="24"/>
                <w:lang w:eastAsia="zh-CN"/>
              </w:rPr>
              <w:t>分类回收</w:t>
            </w:r>
            <w:r>
              <w:rPr>
                <w:rFonts w:hint="default" w:ascii="Times New Roman" w:hAnsi="Times New Roman" w:eastAsia="宋体" w:cs="Times New Roman"/>
                <w:b w:val="0"/>
                <w:bCs w:val="0"/>
                <w:color w:val="auto"/>
                <w:sz w:val="24"/>
                <w:szCs w:val="24"/>
              </w:rPr>
              <w:t>，交废物收购站处理</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其他废弃物及时清理，分类固定堆放，运至政府指定弃渣场堆放。</w:t>
            </w:r>
          </w:p>
          <w:p>
            <w:pPr>
              <w:pStyle w:val="2"/>
              <w:ind w:firstLine="482" w:firstLineChars="200"/>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（5）弃土</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rPr>
              <w:t>本工程主体土石开挖总量</w:t>
            </w:r>
            <w:r>
              <w:rPr>
                <w:rFonts w:hint="eastAsia" w:ascii="Times New Roman" w:hAnsi="Times New Roman" w:eastAsia="宋体" w:cs="Times New Roman"/>
                <w:b w:val="0"/>
                <w:bCs w:val="0"/>
                <w:color w:val="auto"/>
                <w:sz w:val="24"/>
                <w:szCs w:val="24"/>
              </w:rPr>
              <w:t>4.32</w:t>
            </w:r>
            <w:r>
              <w:rPr>
                <w:rFonts w:hint="default" w:ascii="Times New Roman" w:hAnsi="Times New Roman" w:eastAsia="宋体" w:cs="Times New Roman"/>
                <w:b w:val="0"/>
                <w:bCs w:val="0"/>
                <w:color w:val="auto"/>
                <w:sz w:val="24"/>
                <w:szCs w:val="24"/>
              </w:rPr>
              <w:t>万m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（自然方，含</w:t>
            </w:r>
            <w:r>
              <w:rPr>
                <w:rFonts w:hint="eastAsia" w:ascii="Times New Roman" w:hAnsi="Times New Roman" w:eastAsia="宋体" w:cs="Times New Roman"/>
                <w:b w:val="0"/>
                <w:bCs w:val="0"/>
                <w:color w:val="auto"/>
                <w:sz w:val="24"/>
                <w:szCs w:val="24"/>
              </w:rPr>
              <w:t>表土剥离量0.14万</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w:t>
            </w:r>
            <w:r>
              <w:rPr>
                <w:rFonts w:hint="eastAsia" w:ascii="Times New Roman" w:hAnsi="Times New Roman" w:eastAsia="宋体" w:cs="Times New Roman"/>
                <w:b w:val="0"/>
                <w:bCs w:val="0"/>
                <w:color w:val="auto"/>
                <w:sz w:val="24"/>
                <w:szCs w:val="24"/>
                <w:lang w:eastAsia="zh-CN"/>
              </w:rPr>
              <w:t>总回填量</w:t>
            </w:r>
            <w:r>
              <w:rPr>
                <w:rFonts w:hint="eastAsia" w:ascii="Times New Roman" w:hAnsi="Times New Roman" w:eastAsia="宋体" w:cs="Times New Roman"/>
                <w:b w:val="0"/>
                <w:bCs w:val="0"/>
                <w:color w:val="auto"/>
                <w:sz w:val="24"/>
                <w:szCs w:val="24"/>
                <w:lang w:val="en-US" w:eastAsia="zh-CN"/>
              </w:rPr>
              <w:t>1.47</w:t>
            </w:r>
            <w:r>
              <w:rPr>
                <w:rFonts w:hint="default" w:ascii="Times New Roman" w:hAnsi="Times New Roman" w:eastAsia="宋体" w:cs="Times New Roman"/>
                <w:b w:val="0"/>
                <w:bCs w:val="0"/>
                <w:color w:val="auto"/>
                <w:sz w:val="24"/>
                <w:szCs w:val="24"/>
              </w:rPr>
              <w:t>万m</w:t>
            </w:r>
            <w:r>
              <w:rPr>
                <w:rFonts w:hint="default" w:ascii="Times New Roman" w:hAnsi="Times New Roman" w:eastAsia="宋体" w:cs="Times New Roman"/>
                <w:b w:val="0"/>
                <w:bCs w:val="0"/>
                <w:color w:val="auto"/>
                <w:sz w:val="24"/>
                <w:szCs w:val="24"/>
                <w:vertAlign w:val="superscript"/>
              </w:rPr>
              <w:t>3</w:t>
            </w:r>
            <w:r>
              <w:rPr>
                <w:rFonts w:hint="eastAsia" w:ascii="Times New Roman" w:hAnsi="Times New Roman" w:eastAsia="宋体" w:cs="Times New Roman"/>
                <w:b w:val="0"/>
                <w:bCs w:val="0"/>
                <w:color w:val="auto"/>
                <w:sz w:val="24"/>
                <w:szCs w:val="24"/>
                <w:lang w:val="en-US" w:eastAsia="zh-CN"/>
              </w:rPr>
              <w:t>（其中</w:t>
            </w:r>
            <w:r>
              <w:rPr>
                <w:rFonts w:hint="default" w:ascii="Times New Roman" w:hAnsi="Times New Roman" w:eastAsia="宋体" w:cs="Times New Roman"/>
                <w:b w:val="0"/>
                <w:bCs w:val="0"/>
                <w:color w:val="auto"/>
                <w:sz w:val="24"/>
                <w:szCs w:val="24"/>
              </w:rPr>
              <w:t>用于主体工程</w:t>
            </w:r>
            <w:r>
              <w:rPr>
                <w:rFonts w:hint="eastAsia" w:ascii="Times New Roman" w:hAnsi="Times New Roman" w:eastAsia="宋体" w:cs="Times New Roman"/>
                <w:b w:val="0"/>
                <w:bCs w:val="0"/>
                <w:color w:val="auto"/>
                <w:sz w:val="24"/>
                <w:szCs w:val="24"/>
              </w:rPr>
              <w:t>土石方回</w:t>
            </w:r>
            <w:r>
              <w:rPr>
                <w:rFonts w:hint="default" w:ascii="Times New Roman" w:hAnsi="Times New Roman" w:eastAsia="宋体" w:cs="Times New Roman"/>
                <w:b w:val="0"/>
                <w:bCs w:val="0"/>
                <w:color w:val="auto"/>
                <w:sz w:val="24"/>
                <w:szCs w:val="24"/>
              </w:rPr>
              <w:t>填</w:t>
            </w:r>
            <w:r>
              <w:rPr>
                <w:rFonts w:hint="eastAsia" w:ascii="Times New Roman" w:hAnsi="Times New Roman" w:eastAsia="宋体" w:cs="Times New Roman"/>
                <w:b w:val="0"/>
                <w:bCs w:val="0"/>
                <w:color w:val="auto"/>
                <w:sz w:val="24"/>
                <w:szCs w:val="24"/>
              </w:rPr>
              <w:t>0.93</w:t>
            </w:r>
            <w:r>
              <w:rPr>
                <w:rFonts w:hint="default" w:ascii="Times New Roman" w:hAnsi="Times New Roman" w:eastAsia="宋体" w:cs="Times New Roman"/>
                <w:b w:val="0"/>
                <w:bCs w:val="0"/>
                <w:color w:val="auto"/>
                <w:sz w:val="24"/>
                <w:szCs w:val="24"/>
              </w:rPr>
              <w:t>万m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，用于</w:t>
            </w:r>
            <w:r>
              <w:rPr>
                <w:rFonts w:hint="eastAsia" w:ascii="Times New Roman" w:hAnsi="Times New Roman" w:eastAsia="宋体" w:cs="Times New Roman"/>
                <w:b w:val="0"/>
                <w:bCs w:val="0"/>
                <w:color w:val="auto"/>
                <w:sz w:val="24"/>
                <w:szCs w:val="24"/>
              </w:rPr>
              <w:t>大卵石海漫0.40</w:t>
            </w:r>
            <w:r>
              <w:rPr>
                <w:rFonts w:hint="default" w:ascii="Times New Roman" w:hAnsi="Times New Roman" w:eastAsia="宋体" w:cs="Times New Roman"/>
                <w:b w:val="0"/>
                <w:bCs w:val="0"/>
                <w:color w:val="auto"/>
                <w:sz w:val="24"/>
                <w:szCs w:val="24"/>
              </w:rPr>
              <w:t>万m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w:t>
            </w:r>
            <w:r>
              <w:rPr>
                <w:rFonts w:hint="eastAsia" w:ascii="Times New Roman" w:hAnsi="Times New Roman" w:eastAsia="宋体" w:cs="Times New Roman"/>
                <w:b w:val="0"/>
                <w:bCs w:val="0"/>
                <w:color w:val="auto"/>
                <w:sz w:val="24"/>
                <w:szCs w:val="24"/>
              </w:rPr>
              <w:t>覆土0.14</w:t>
            </w:r>
            <w:r>
              <w:rPr>
                <w:rFonts w:hint="default" w:ascii="Times New Roman" w:hAnsi="Times New Roman" w:eastAsia="宋体" w:cs="Times New Roman"/>
                <w:b w:val="0"/>
                <w:bCs w:val="0"/>
                <w:color w:val="auto"/>
                <w:sz w:val="24"/>
                <w:szCs w:val="24"/>
              </w:rPr>
              <w:t>万m</w:t>
            </w:r>
            <w:r>
              <w:rPr>
                <w:rFonts w:hint="default" w:ascii="Times New Roman" w:hAnsi="Times New Roman" w:eastAsia="宋体" w:cs="Times New Roman"/>
                <w:b w:val="0"/>
                <w:bCs w:val="0"/>
                <w:color w:val="auto"/>
                <w:sz w:val="24"/>
                <w:szCs w:val="24"/>
                <w:vertAlign w:val="superscript"/>
              </w:rPr>
              <w:t>3</w:t>
            </w:r>
            <w:r>
              <w:rPr>
                <w:rFonts w:hint="eastAsia" w:ascii="Times New Roman" w:hAnsi="Times New Roman" w:eastAsia="宋体" w:cs="Times New Roman"/>
                <w:b w:val="0"/>
                <w:bCs w:val="0"/>
                <w:color w:val="auto"/>
                <w:sz w:val="24"/>
                <w:szCs w:val="24"/>
                <w:lang w:val="en-US" w:eastAsia="zh-CN"/>
              </w:rPr>
              <w:t>）</w:t>
            </w:r>
            <w:r>
              <w:rPr>
                <w:rFonts w:hint="eastAsia" w:ascii="Times New Roman" w:hAnsi="Times New Roman" w:eastAsia="宋体" w:cs="Times New Roman"/>
                <w:b w:val="0"/>
                <w:bCs w:val="0"/>
                <w:color w:val="auto"/>
                <w:sz w:val="24"/>
                <w:szCs w:val="24"/>
              </w:rPr>
              <w:t>，余方2.85万m</w:t>
            </w:r>
            <w:r>
              <w:rPr>
                <w:rFonts w:hint="eastAsia" w:ascii="Times New Roman" w:hAnsi="Times New Roman" w:eastAsia="宋体" w:cs="Times New Roman"/>
                <w:b w:val="0"/>
                <w:bCs w:val="0"/>
                <w:color w:val="auto"/>
                <w:sz w:val="24"/>
                <w:szCs w:val="24"/>
                <w:vertAlign w:val="superscript"/>
              </w:rPr>
              <w:t>3</w:t>
            </w:r>
            <w:r>
              <w:rPr>
                <w:rFonts w:hint="eastAsia" w:ascii="Times New Roman" w:hAnsi="Times New Roman" w:eastAsia="宋体" w:cs="Times New Roman"/>
                <w:b w:val="0"/>
                <w:bCs w:val="0"/>
                <w:color w:val="auto"/>
                <w:sz w:val="24"/>
                <w:szCs w:val="24"/>
              </w:rPr>
              <w:t>砂卵石</w:t>
            </w:r>
            <w:r>
              <w:rPr>
                <w:rFonts w:hint="default" w:ascii="Times New Roman" w:hAnsi="Times New Roman" w:eastAsia="宋体" w:cs="Times New Roman"/>
                <w:b w:val="0"/>
                <w:bCs w:val="0"/>
                <w:color w:val="auto"/>
                <w:sz w:val="24"/>
                <w:szCs w:val="24"/>
              </w:rPr>
              <w:t>，</w:t>
            </w:r>
            <w:r>
              <w:rPr>
                <w:rFonts w:hint="eastAsia" w:ascii="Times New Roman" w:hAnsi="Times New Roman" w:eastAsia="宋体" w:cs="Times New Roman"/>
                <w:b w:val="0"/>
                <w:bCs w:val="0"/>
                <w:color w:val="auto"/>
                <w:sz w:val="24"/>
                <w:szCs w:val="24"/>
              </w:rPr>
              <w:t>运往</w:t>
            </w:r>
            <w:r>
              <w:rPr>
                <w:rFonts w:hint="eastAsia" w:ascii="Times New Roman" w:hAnsi="Times New Roman" w:eastAsia="宋体" w:cs="Times New Roman"/>
                <w:b w:val="0"/>
                <w:bCs w:val="0"/>
                <w:color w:val="auto"/>
                <w:sz w:val="24"/>
                <w:szCs w:val="24"/>
                <w:lang w:eastAsia="zh-CN"/>
              </w:rPr>
              <w:t>苏稽镇石鼓寺村老鸦滩</w:t>
            </w:r>
            <w:r>
              <w:rPr>
                <w:rFonts w:hint="eastAsia" w:ascii="Times New Roman" w:hAnsi="Times New Roman" w:eastAsia="宋体" w:cs="Times New Roman"/>
                <w:b w:val="0"/>
                <w:bCs w:val="0"/>
                <w:color w:val="auto"/>
                <w:sz w:val="24"/>
                <w:szCs w:val="24"/>
              </w:rPr>
              <w:t>堆料场堆放，后期</w:t>
            </w:r>
            <w:r>
              <w:rPr>
                <w:rFonts w:hint="eastAsia" w:ascii="Times New Roman" w:hAnsi="Times New Roman" w:eastAsia="宋体" w:cs="Times New Roman"/>
                <w:b w:val="0"/>
                <w:bCs w:val="0"/>
                <w:color w:val="auto"/>
                <w:sz w:val="24"/>
                <w:szCs w:val="24"/>
                <w:lang w:eastAsia="zh-CN"/>
              </w:rPr>
              <w:t>由乐山市市中区国有资产监督管理局</w:t>
            </w:r>
            <w:r>
              <w:rPr>
                <w:rFonts w:hint="eastAsia" w:ascii="Times New Roman" w:hAnsi="Times New Roman" w:eastAsia="宋体" w:cs="Times New Roman"/>
                <w:b w:val="0"/>
                <w:bCs w:val="0"/>
                <w:color w:val="auto"/>
                <w:sz w:val="24"/>
                <w:szCs w:val="24"/>
              </w:rPr>
              <w:t>统一</w:t>
            </w:r>
            <w:r>
              <w:rPr>
                <w:rFonts w:hint="eastAsia" w:ascii="Times New Roman" w:hAnsi="Times New Roman" w:eastAsia="宋体" w:cs="Times New Roman"/>
                <w:b w:val="0"/>
                <w:bCs w:val="0"/>
                <w:color w:val="auto"/>
                <w:sz w:val="24"/>
                <w:szCs w:val="24"/>
                <w:lang w:eastAsia="zh-CN"/>
              </w:rPr>
              <w:t>拍卖或利</w:t>
            </w:r>
            <w:r>
              <w:rPr>
                <w:rFonts w:hint="eastAsia" w:ascii="Times New Roman" w:hAnsi="Times New Roman" w:eastAsia="宋体" w:cs="Times New Roman"/>
                <w:b w:val="0"/>
                <w:bCs w:val="0"/>
                <w:color w:val="auto"/>
                <w:sz w:val="24"/>
                <w:szCs w:val="24"/>
              </w:rPr>
              <w:t>用</w:t>
            </w:r>
            <w:r>
              <w:rPr>
                <w:rFonts w:hint="default" w:ascii="Times New Roman" w:hAnsi="Times New Roman" w:eastAsia="宋体" w:cs="Times New Roman"/>
                <w:b w:val="0"/>
                <w:bCs w:val="0"/>
                <w:color w:val="auto"/>
                <w:sz w:val="24"/>
                <w:szCs w:val="24"/>
              </w:rPr>
              <w:t>。</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2"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b/>
                <w:bCs/>
                <w:sz w:val="24"/>
                <w:szCs w:val="24"/>
                <w:lang w:val="en-US" w:eastAsia="zh-CN"/>
              </w:rPr>
              <w:t>采取以上措施后，项目施工期</w:t>
            </w:r>
            <w:r>
              <w:rPr>
                <w:rFonts w:hint="eastAsia" w:ascii="Times New Roman" w:hAnsi="Times New Roman" w:eastAsia="宋体" w:cs="Times New Roman"/>
                <w:b/>
                <w:bCs/>
                <w:sz w:val="24"/>
                <w:szCs w:val="24"/>
                <w:lang w:val="en-US" w:eastAsia="zh-CN"/>
              </w:rPr>
              <w:t>固体废物</w:t>
            </w:r>
            <w:r>
              <w:rPr>
                <w:rFonts w:hint="default" w:ascii="Times New Roman" w:hAnsi="Times New Roman" w:eastAsia="宋体" w:cs="Times New Roman"/>
                <w:b/>
                <w:bCs/>
                <w:sz w:val="24"/>
                <w:szCs w:val="24"/>
                <w:lang w:val="en-US" w:eastAsia="zh-CN"/>
              </w:rPr>
              <w:t>对环境影响较小。</w:t>
            </w:r>
          </w:p>
          <w:p>
            <w:pPr>
              <w:widowControl/>
              <w:adjustRightInd w:val="0"/>
              <w:snapToGrid w:val="0"/>
              <w:spacing w:line="360" w:lineRule="auto"/>
              <w:ind w:firstLine="482" w:firstLineChars="200"/>
              <w:jc w:val="left"/>
              <w:rPr>
                <w:rFonts w:hint="default" w:ascii="Times New Roman" w:hAnsi="Times New Roman" w:eastAsia="宋体" w:cs="Times New Roman"/>
                <w:b/>
                <w:bCs/>
                <w:sz w:val="24"/>
                <w:szCs w:val="24"/>
                <w:lang w:eastAsia="zh-CN"/>
              </w:rPr>
            </w:pPr>
            <w:r>
              <w:rPr>
                <w:rFonts w:hint="default" w:ascii="Times New Roman" w:hAnsi="Times New Roman" w:eastAsia="宋体" w:cs="Times New Roman"/>
                <w:b/>
                <w:bCs/>
                <w:sz w:val="24"/>
                <w:szCs w:val="24"/>
                <w:lang w:val="en-US" w:eastAsia="zh-CN"/>
              </w:rPr>
              <w:t>6、</w:t>
            </w:r>
            <w:r>
              <w:rPr>
                <w:rFonts w:hint="default" w:ascii="Times New Roman" w:hAnsi="Times New Roman" w:eastAsia="宋体" w:cs="Times New Roman"/>
                <w:b/>
                <w:bCs/>
                <w:sz w:val="24"/>
                <w:szCs w:val="24"/>
              </w:rPr>
              <w:t>临时用地恢复</w:t>
            </w:r>
            <w:r>
              <w:rPr>
                <w:rFonts w:hint="default" w:ascii="Times New Roman" w:hAnsi="Times New Roman" w:eastAsia="宋体" w:cs="Times New Roman"/>
                <w:b/>
                <w:bCs/>
                <w:sz w:val="24"/>
                <w:szCs w:val="24"/>
                <w:lang w:eastAsia="zh-CN"/>
              </w:rPr>
              <w:t>措施</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工程建设期间，为减免工程施工对施工区造成的不利影响，工程施工设计中应尽量减少影响面积，把破坏程度降至最低。同时在施工完成后，利用本地物种，对施工区的植被进行恢复，这是影响区生态恢复的关键。</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临时占地迹地恢复：</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rPr>
              <w:t>施工结束后</w:t>
            </w:r>
            <w:r>
              <w:rPr>
                <w:rFonts w:hint="eastAsia" w:ascii="Times New Roman" w:hAnsi="Times New Roman" w:eastAsia="宋体" w:cs="Times New Roman"/>
                <w:b w:val="0"/>
                <w:bCs w:val="0"/>
                <w:color w:val="auto"/>
                <w:sz w:val="24"/>
                <w:szCs w:val="24"/>
                <w:lang w:val="en-US" w:eastAsia="zh-CN"/>
              </w:rPr>
              <w:t>2个施工场地内的</w:t>
            </w:r>
            <w:r>
              <w:rPr>
                <w:rFonts w:hint="default" w:ascii="Times New Roman" w:hAnsi="Times New Roman" w:eastAsia="宋体" w:cs="Times New Roman"/>
                <w:b w:val="0"/>
                <w:bCs w:val="0"/>
                <w:color w:val="auto"/>
                <w:sz w:val="24"/>
                <w:szCs w:val="24"/>
              </w:rPr>
              <w:t>临时设施全面拆除</w:t>
            </w:r>
            <w:r>
              <w:rPr>
                <w:rFonts w:hint="eastAsia" w:ascii="Times New Roman" w:hAnsi="Times New Roman" w:eastAsia="宋体" w:cs="Times New Roman"/>
                <w:b w:val="0"/>
                <w:bCs w:val="0"/>
                <w:color w:val="auto"/>
                <w:sz w:val="24"/>
                <w:szCs w:val="24"/>
                <w:lang w:eastAsia="zh-CN"/>
              </w:rPr>
              <w:t>，应对厂区地面混凝土进行清理，地表建筑物进行拆除，剩余砂石进行清理，运至政府指定的渣场堆放</w:t>
            </w:r>
            <w:r>
              <w:rPr>
                <w:rFonts w:hint="default" w:ascii="Times New Roman" w:hAnsi="Times New Roman" w:eastAsia="宋体" w:cs="Times New Roman"/>
                <w:b w:val="0"/>
                <w:bCs w:val="0"/>
                <w:color w:val="auto"/>
                <w:sz w:val="24"/>
                <w:szCs w:val="24"/>
                <w:lang w:val="en-US" w:eastAsia="zh-CN"/>
              </w:rPr>
              <w:t>，撒播草籽等绿化，尽量减少项目施工对区域环境的影响。</w:t>
            </w:r>
          </w:p>
          <w:p>
            <w:pPr>
              <w:widowControl/>
              <w:adjustRightInd w:val="0"/>
              <w:snapToGrid w:val="0"/>
              <w:spacing w:line="360" w:lineRule="auto"/>
              <w:ind w:firstLine="482" w:firstLineChars="200"/>
              <w:jc w:val="left"/>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7、环境风险分析</w:t>
            </w:r>
          </w:p>
          <w:p>
            <w:pPr>
              <w:keepNext w:val="0"/>
              <w:keepLines w:val="0"/>
              <w:pageBreakBefore w:val="0"/>
              <w:widowControl w:val="0"/>
              <w:kinsoku/>
              <w:wordWrap/>
              <w:overflowPunct/>
              <w:topLinePunct w:val="0"/>
              <w:autoSpaceDE/>
              <w:autoSpaceDN/>
              <w:bidi w:val="0"/>
              <w:adjustRightInd/>
              <w:snapToGrid/>
              <w:spacing w:line="360" w:lineRule="auto"/>
              <w:ind w:left="0" w:right="0" w:firstLine="482"/>
              <w:textAlignment w:val="auto"/>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rPr>
              <w:t>环境风险评价是对建设项目建设和运行期间发生的可预测突发性事件或事故（一般不包括人为破坏及自然灾害）引起有毒有害、易燃易炸等物质泄漏，或突发事件产生的新的有毒有害物质，所造成的对人身安全与环境的影响和损害进行评估，提出防范、应急与减缓措施，使建设项目事故率、损失和环境影响达到可接受水平。环境风险评价应把事故引起厂（场）界外人群的伤害、环境质量的恶化及对</w:t>
            </w:r>
            <w:r>
              <w:rPr>
                <w:rFonts w:hint="eastAsia" w:ascii="Times New Roman" w:hAnsi="Times New Roman" w:eastAsia="宋体" w:cs="Times New Roman"/>
                <w:b w:val="0"/>
                <w:bCs w:val="0"/>
                <w:color w:val="auto"/>
                <w:sz w:val="24"/>
                <w:szCs w:val="24"/>
                <w:lang w:eastAsia="zh-CN"/>
              </w:rPr>
              <w:t>环境</w:t>
            </w:r>
            <w:r>
              <w:rPr>
                <w:rFonts w:hint="default" w:ascii="Times New Roman" w:hAnsi="Times New Roman" w:eastAsia="宋体" w:cs="Times New Roman"/>
                <w:b w:val="0"/>
                <w:bCs w:val="0"/>
                <w:color w:val="auto"/>
                <w:sz w:val="24"/>
                <w:szCs w:val="24"/>
              </w:rPr>
              <w:t>系统影</w:t>
            </w:r>
            <w:r>
              <w:rPr>
                <w:rFonts w:hint="default" w:ascii="Times New Roman" w:hAnsi="Times New Roman" w:eastAsia="宋体" w:cs="Times New Roman"/>
                <w:b w:val="0"/>
                <w:bCs w:val="0"/>
                <w:color w:val="auto"/>
                <w:sz w:val="24"/>
                <w:szCs w:val="24"/>
                <w:lang w:eastAsia="zh-CN"/>
              </w:rPr>
              <w:t>响的预测和防护作为评价工作重点。</w:t>
            </w:r>
          </w:p>
          <w:p>
            <w:pPr>
              <w:keepNext w:val="0"/>
              <w:keepLines w:val="0"/>
              <w:pageBreakBefore w:val="0"/>
              <w:widowControl w:val="0"/>
              <w:kinsoku/>
              <w:wordWrap/>
              <w:overflowPunct/>
              <w:topLinePunct w:val="0"/>
              <w:autoSpaceDE/>
              <w:autoSpaceDN/>
              <w:bidi w:val="0"/>
              <w:adjustRightInd/>
              <w:snapToGrid/>
              <w:spacing w:line="360" w:lineRule="auto"/>
              <w:ind w:left="0" w:right="0" w:firstLine="482"/>
              <w:textAlignment w:val="auto"/>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1</w:t>
            </w:r>
            <w:r>
              <w:rPr>
                <w:rFonts w:hint="default" w:ascii="Times New Roman" w:hAnsi="Times New Roman" w:eastAsia="宋体" w:cs="Times New Roman"/>
                <w:b w:val="0"/>
                <w:bCs w:val="0"/>
                <w:color w:val="auto"/>
                <w:sz w:val="24"/>
                <w:szCs w:val="24"/>
                <w:lang w:eastAsia="zh-CN"/>
              </w:rPr>
              <w:t>）风险源识别</w:t>
            </w:r>
          </w:p>
          <w:p>
            <w:pPr>
              <w:keepNext w:val="0"/>
              <w:keepLines w:val="0"/>
              <w:pageBreakBefore w:val="0"/>
              <w:widowControl w:val="0"/>
              <w:kinsoku/>
              <w:wordWrap/>
              <w:overflowPunct/>
              <w:topLinePunct w:val="0"/>
              <w:autoSpaceDE/>
              <w:autoSpaceDN/>
              <w:bidi w:val="0"/>
              <w:adjustRightInd/>
              <w:snapToGrid/>
              <w:spacing w:line="360" w:lineRule="auto"/>
              <w:ind w:left="0" w:right="0" w:firstLine="482"/>
              <w:textAlignment w:val="auto"/>
              <w:rPr>
                <w:rFonts w:hint="default" w:ascii="宋体" w:hAnsi="宋体" w:eastAsia="宋体" w:cs="宋体"/>
                <w:sz w:val="23"/>
                <w:szCs w:val="23"/>
                <w:lang w:val="en-US" w:eastAsia="zh-CN"/>
              </w:rPr>
            </w:pPr>
            <w:r>
              <w:rPr>
                <w:rFonts w:hint="eastAsia" w:ascii="Times New Roman" w:hAnsi="Times New Roman" w:eastAsia="宋体" w:cs="Times New Roman"/>
                <w:b w:val="0"/>
                <w:bCs w:val="0"/>
                <w:color w:val="auto"/>
                <w:sz w:val="24"/>
                <w:szCs w:val="24"/>
                <w:lang w:eastAsia="zh-CN"/>
              </w:rPr>
              <w:t>本项目不储存柴油，仅施工机械自带柴油，</w:t>
            </w:r>
            <w:r>
              <w:rPr>
                <w:rFonts w:hint="default" w:ascii="Times New Roman" w:hAnsi="Times New Roman" w:eastAsia="宋体" w:cs="Times New Roman"/>
                <w:b w:val="0"/>
                <w:bCs w:val="0"/>
                <w:color w:val="auto"/>
                <w:sz w:val="24"/>
                <w:szCs w:val="24"/>
                <w:lang w:eastAsia="zh-CN"/>
              </w:rPr>
              <w:t>工程建设对环境的影响主要为非污染生态影响，环境风险主要为外源风险，本工程的施工与运行主要是增加风险发生概率或加剧</w:t>
            </w:r>
            <w:r>
              <w:rPr>
                <w:rFonts w:hint="default" w:ascii="Times New Roman" w:hAnsi="Times New Roman" w:eastAsia="宋体" w:cs="Times New Roman"/>
                <w:b w:val="0"/>
                <w:bCs w:val="0"/>
                <w:color w:val="auto"/>
                <w:sz w:val="24"/>
                <w:szCs w:val="24"/>
              </w:rPr>
              <w:t>风险危害。根据本工程施工及运行特点、周围环境特点以及</w:t>
            </w:r>
            <w:r>
              <w:rPr>
                <w:rFonts w:hint="default" w:ascii="Times New Roman" w:hAnsi="Times New Roman" w:eastAsia="宋体" w:cs="Times New Roman"/>
                <w:b w:val="0"/>
                <w:bCs w:val="0"/>
                <w:color w:val="auto"/>
                <w:sz w:val="24"/>
                <w:szCs w:val="24"/>
                <w:lang w:eastAsia="zh-CN"/>
              </w:rPr>
              <w:t>工程与周围环境之间的关系，工程的建设、运行和管理中具有潜在风险的类型有：</w:t>
            </w:r>
            <w:r>
              <w:rPr>
                <w:rFonts w:hint="eastAsia" w:ascii="Times New Roman" w:hAnsi="Times New Roman" w:eastAsia="宋体" w:cs="Times New Roman"/>
                <w:b w:val="0"/>
                <w:bCs w:val="0"/>
                <w:color w:val="auto"/>
                <w:sz w:val="24"/>
                <w:szCs w:val="24"/>
                <w:lang w:eastAsia="zh-CN"/>
              </w:rPr>
              <w:t>①施工过程中生活、生产污废水发生事故排放对周边水体造成污染；②施工过程中的一些违章作业或操作不当引起的翻车漏油事故风险</w:t>
            </w:r>
            <w:r>
              <w:rPr>
                <w:rFonts w:hint="eastAsia" w:ascii="宋体" w:hAnsi="宋体" w:eastAsia="宋体" w:cs="宋体"/>
                <w:spacing w:val="8"/>
                <w:sz w:val="23"/>
                <w:szCs w:val="23"/>
                <w:lang w:eastAsia="zh-CN"/>
              </w:rPr>
              <w:t>；</w:t>
            </w:r>
            <w:r>
              <w:rPr>
                <w:rFonts w:hint="eastAsia" w:ascii="宋体" w:hAnsi="宋体" w:eastAsia="宋体" w:cs="宋体"/>
                <w:spacing w:val="8"/>
                <w:sz w:val="23"/>
                <w:szCs w:val="23"/>
                <w:lang w:val="en-US" w:eastAsia="zh-CN"/>
              </w:rPr>
              <w:t>③火灾爆炸。</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rPr>
              <w:t>根据各事件和事故的特性和产生方式、造成危害的途径、危害的后果与严重性分别对各风险进行分析，其结果见表</w:t>
            </w:r>
            <w:r>
              <w:rPr>
                <w:rFonts w:hint="default" w:ascii="Times New Roman" w:hAnsi="Times New Roman" w:eastAsia="宋体" w:cs="Times New Roman"/>
                <w:b w:val="0"/>
                <w:bCs w:val="0"/>
                <w:color w:val="auto"/>
                <w:sz w:val="24"/>
                <w:szCs w:val="24"/>
                <w:lang w:val="en-US" w:eastAsia="zh-CN"/>
              </w:rPr>
              <w:t>5</w:t>
            </w:r>
            <w:r>
              <w:rPr>
                <w:rFonts w:hint="default" w:ascii="Times New Roman" w:hAnsi="Times New Roman" w:eastAsia="宋体" w:cs="Times New Roman"/>
                <w:b w:val="0"/>
                <w:bCs w:val="0"/>
                <w:color w:val="auto"/>
                <w:sz w:val="24"/>
                <w:szCs w:val="24"/>
              </w:rPr>
              <w:t>-</w:t>
            </w:r>
            <w:r>
              <w:rPr>
                <w:rFonts w:hint="default" w:ascii="Times New Roman" w:hAnsi="Times New Roman" w:eastAsia="宋体" w:cs="Times New Roman"/>
                <w:b w:val="0"/>
                <w:bCs w:val="0"/>
                <w:color w:val="auto"/>
                <w:sz w:val="24"/>
                <w:szCs w:val="24"/>
                <w:lang w:val="en-US" w:eastAsia="zh-CN"/>
              </w:rPr>
              <w:t>1。</w:t>
            </w:r>
          </w:p>
          <w:p>
            <w:pPr>
              <w:pStyle w:val="2"/>
              <w:rPr>
                <w:rFonts w:hint="default" w:ascii="Times New Roman" w:hAnsi="Times New Roman" w:eastAsia="宋体" w:cs="Times New Roman"/>
                <w:b w:val="0"/>
                <w:bCs w:val="0"/>
                <w:color w:val="auto"/>
                <w:sz w:val="24"/>
                <w:szCs w:val="24"/>
                <w:lang w:val="en-US" w:eastAsia="zh-CN"/>
              </w:rPr>
            </w:pPr>
          </w:p>
          <w:p>
            <w:pPr>
              <w:pStyle w:val="2"/>
              <w:rPr>
                <w:rFonts w:hint="default" w:ascii="Times New Roman" w:hAnsi="Times New Roman" w:eastAsia="宋体" w:cs="Times New Roman"/>
                <w:b w:val="0"/>
                <w:bCs w:val="0"/>
                <w:color w:val="auto"/>
                <w:sz w:val="24"/>
                <w:szCs w:val="24"/>
                <w:lang w:val="en-US" w:eastAsia="zh-CN"/>
              </w:rPr>
            </w:pP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kern w:val="0"/>
                <w:szCs w:val="21"/>
              </w:rPr>
            </w:pPr>
            <w:r>
              <w:rPr>
                <w:rFonts w:hint="default" w:ascii="Times New Roman" w:hAnsi="Times New Roman" w:eastAsia="宋体" w:cs="Times New Roman"/>
                <w:b/>
                <w:bCs w:val="0"/>
                <w:color w:val="auto"/>
                <w:kern w:val="0"/>
                <w:szCs w:val="21"/>
              </w:rPr>
              <w:t>表</w:t>
            </w:r>
            <w:r>
              <w:rPr>
                <w:rFonts w:hint="default" w:ascii="Times New Roman" w:hAnsi="Times New Roman" w:eastAsia="宋体" w:cs="Times New Roman"/>
                <w:b/>
                <w:bCs w:val="0"/>
                <w:color w:val="auto"/>
                <w:kern w:val="0"/>
                <w:szCs w:val="21"/>
                <w:lang w:val="en-US" w:eastAsia="zh-CN"/>
              </w:rPr>
              <w:t>5</w:t>
            </w:r>
            <w:r>
              <w:rPr>
                <w:rFonts w:hint="default" w:ascii="Times New Roman" w:hAnsi="Times New Roman" w:eastAsia="宋体" w:cs="Times New Roman"/>
                <w:b/>
                <w:bCs w:val="0"/>
                <w:color w:val="auto"/>
                <w:kern w:val="0"/>
                <w:szCs w:val="21"/>
              </w:rPr>
              <w:t>-</w:t>
            </w:r>
            <w:r>
              <w:rPr>
                <w:rFonts w:hint="default" w:ascii="Times New Roman" w:hAnsi="Times New Roman" w:eastAsia="宋体" w:cs="Times New Roman"/>
                <w:b/>
                <w:bCs w:val="0"/>
                <w:color w:val="auto"/>
                <w:kern w:val="0"/>
                <w:szCs w:val="21"/>
                <w:lang w:val="en-US" w:eastAsia="zh-CN"/>
              </w:rPr>
              <w:t>1</w:t>
            </w:r>
            <w:r>
              <w:rPr>
                <w:rFonts w:hint="default" w:ascii="Times New Roman" w:hAnsi="Times New Roman" w:eastAsia="宋体" w:cs="Times New Roman"/>
                <w:b/>
                <w:bCs w:val="0"/>
                <w:color w:val="auto"/>
                <w:kern w:val="0"/>
                <w:szCs w:val="21"/>
              </w:rPr>
              <w:t xml:space="preserve">  工程环境风险危害特征分析表</w:t>
            </w:r>
          </w:p>
          <w:tbl>
            <w:tblPr>
              <w:tblStyle w:val="3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3"/>
              <w:gridCol w:w="1119"/>
              <w:gridCol w:w="3273"/>
              <w:gridCol w:w="1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eastAsia="宋体" w:cs="Times New Roman"/>
                      <w:b/>
                      <w:color w:val="auto"/>
                      <w:kern w:val="0"/>
                      <w:sz w:val="21"/>
                      <w:szCs w:val="21"/>
                    </w:rPr>
                    <w:t>风险类</w:t>
                  </w:r>
                  <w:r>
                    <w:rPr>
                      <w:rFonts w:hint="default" w:ascii="Times New Roman" w:hAnsi="Times New Roman" w:cs="Times New Roman"/>
                      <w:b/>
                      <w:color w:val="auto"/>
                      <w:kern w:val="0"/>
                      <w:sz w:val="21"/>
                      <w:szCs w:val="21"/>
                    </w:rPr>
                    <w:t>型</w:t>
                  </w:r>
                </w:p>
              </w:tc>
              <w:tc>
                <w:tcPr>
                  <w:tcW w:w="773"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子</w:t>
                  </w:r>
                  <w:r>
                    <w:rPr>
                      <w:rFonts w:hint="default" w:ascii="Times New Roman" w:hAnsi="Times New Roman" w:eastAsia="宋体" w:cs="Times New Roman"/>
                      <w:b/>
                      <w:color w:val="auto"/>
                      <w:kern w:val="0"/>
                      <w:sz w:val="21"/>
                      <w:szCs w:val="21"/>
                    </w:rPr>
                    <w:t>项</w:t>
                  </w:r>
                </w:p>
              </w:tc>
              <w:tc>
                <w:tcPr>
                  <w:tcW w:w="2261"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eastAsia="宋体" w:cs="Times New Roman"/>
                      <w:b/>
                      <w:color w:val="auto"/>
                      <w:kern w:val="0"/>
                      <w:sz w:val="21"/>
                      <w:szCs w:val="21"/>
                    </w:rPr>
                    <w:t>产</w:t>
                  </w:r>
                  <w:r>
                    <w:rPr>
                      <w:rFonts w:hint="default" w:ascii="Times New Roman" w:hAnsi="Times New Roman" w:cs="Times New Roman"/>
                      <w:b/>
                      <w:color w:val="auto"/>
                      <w:kern w:val="0"/>
                      <w:sz w:val="21"/>
                      <w:szCs w:val="21"/>
                    </w:rPr>
                    <w:t>生方式和危害途</w:t>
                  </w:r>
                  <w:r>
                    <w:rPr>
                      <w:rFonts w:hint="default" w:ascii="Times New Roman" w:hAnsi="Times New Roman" w:eastAsia="宋体" w:cs="Times New Roman"/>
                      <w:b/>
                      <w:color w:val="auto"/>
                      <w:kern w:val="0"/>
                      <w:sz w:val="21"/>
                      <w:szCs w:val="21"/>
                    </w:rPr>
                    <w:t>径</w:t>
                  </w:r>
                </w:p>
              </w:tc>
              <w:tc>
                <w:tcPr>
                  <w:tcW w:w="1127"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后果</w:t>
                  </w:r>
                  <w:r>
                    <w:rPr>
                      <w:rFonts w:hint="default" w:ascii="Times New Roman" w:hAnsi="Times New Roman" w:eastAsia="宋体" w:cs="Times New Roman"/>
                      <w:b/>
                      <w:color w:val="auto"/>
                      <w:kern w:val="0"/>
                      <w:sz w:val="21"/>
                      <w:szCs w:val="21"/>
                    </w:rPr>
                    <w:t>与严</w:t>
                  </w:r>
                  <w:r>
                    <w:rPr>
                      <w:rFonts w:hint="default" w:ascii="Times New Roman" w:hAnsi="Times New Roman" w:cs="Times New Roman"/>
                      <w:b/>
                      <w:color w:val="auto"/>
                      <w:kern w:val="0"/>
                      <w:sz w:val="21"/>
                      <w:szCs w:val="21"/>
                    </w:rPr>
                    <w:t>重性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38"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color w:val="auto"/>
                      <w:kern w:val="0"/>
                      <w:sz w:val="21"/>
                      <w:szCs w:val="21"/>
                    </w:rPr>
                    <w:t>水</w:t>
                  </w:r>
                  <w:r>
                    <w:rPr>
                      <w:rFonts w:hint="default" w:ascii="Times New Roman" w:hAnsi="Times New Roman" w:eastAsia="宋体" w:cs="Times New Roman"/>
                      <w:color w:val="auto"/>
                      <w:kern w:val="0"/>
                      <w:sz w:val="21"/>
                      <w:szCs w:val="21"/>
                    </w:rPr>
                    <w:t>环</w:t>
                  </w:r>
                  <w:r>
                    <w:rPr>
                      <w:rFonts w:hint="default" w:ascii="Times New Roman" w:hAnsi="Times New Roman" w:cs="Times New Roman"/>
                      <w:color w:val="auto"/>
                      <w:kern w:val="0"/>
                      <w:sz w:val="21"/>
                      <w:szCs w:val="21"/>
                    </w:rPr>
                    <w:t>境</w:t>
                  </w:r>
                  <w:r>
                    <w:rPr>
                      <w:rFonts w:hint="default" w:ascii="Times New Roman" w:hAnsi="Times New Roman" w:eastAsia="宋体" w:cs="Times New Roman"/>
                      <w:color w:val="auto"/>
                      <w:kern w:val="0"/>
                      <w:sz w:val="21"/>
                      <w:szCs w:val="21"/>
                    </w:rPr>
                    <w:t>风险</w:t>
                  </w:r>
                </w:p>
              </w:tc>
              <w:tc>
                <w:tcPr>
                  <w:tcW w:w="773"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color w:val="auto"/>
                      <w:kern w:val="0"/>
                      <w:sz w:val="21"/>
                      <w:szCs w:val="21"/>
                    </w:rPr>
                    <w:t>水</w:t>
                  </w:r>
                  <w:r>
                    <w:rPr>
                      <w:rFonts w:hint="default" w:ascii="Times New Roman" w:hAnsi="Times New Roman" w:eastAsia="宋体" w:cs="Times New Roman"/>
                      <w:color w:val="auto"/>
                      <w:kern w:val="0"/>
                      <w:sz w:val="21"/>
                      <w:szCs w:val="21"/>
                    </w:rPr>
                    <w:t>质恶</w:t>
                  </w:r>
                  <w:r>
                    <w:rPr>
                      <w:rFonts w:hint="default" w:ascii="Times New Roman" w:hAnsi="Times New Roman" w:cs="Times New Roman"/>
                      <w:color w:val="auto"/>
                      <w:kern w:val="0"/>
                      <w:sz w:val="21"/>
                      <w:szCs w:val="21"/>
                    </w:rPr>
                    <w:t>化</w:t>
                  </w:r>
                </w:p>
              </w:tc>
              <w:tc>
                <w:tcPr>
                  <w:tcW w:w="2261"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rPr>
                      <w:rFonts w:hint="default" w:ascii="Times New Roman" w:hAnsi="Times New Roman" w:eastAsia="宋体" w:cs="Times New Roman"/>
                      <w:b/>
                      <w:color w:val="auto"/>
                      <w:kern w:val="0"/>
                      <w:sz w:val="21"/>
                      <w:szCs w:val="21"/>
                      <w:lang w:eastAsia="zh-CN"/>
                    </w:rPr>
                  </w:pPr>
                  <w:r>
                    <w:rPr>
                      <w:rFonts w:hint="default" w:ascii="Times New Roman" w:hAnsi="Times New Roman" w:cs="Times New Roman"/>
                      <w:color w:val="auto"/>
                      <w:kern w:val="0"/>
                      <w:sz w:val="21"/>
                      <w:szCs w:val="21"/>
                      <w:lang w:val="en-US" w:eastAsia="zh-CN"/>
                    </w:rPr>
                    <w:t>施工期废水</w:t>
                  </w:r>
                  <w:r>
                    <w:rPr>
                      <w:rFonts w:hint="default" w:ascii="Times New Roman" w:hAnsi="Times New Roman" w:cs="Times New Roman"/>
                      <w:color w:val="auto"/>
                      <w:kern w:val="0"/>
                      <w:sz w:val="21"/>
                      <w:szCs w:val="21"/>
                    </w:rPr>
                    <w:t>等排入</w:t>
                  </w:r>
                  <w:r>
                    <w:rPr>
                      <w:rFonts w:hint="eastAsia" w:ascii="Times New Roman" w:hAnsi="Times New Roman" w:cs="Times New Roman"/>
                      <w:color w:val="auto"/>
                      <w:kern w:val="0"/>
                      <w:sz w:val="21"/>
                      <w:szCs w:val="21"/>
                      <w:lang w:val="en-US" w:eastAsia="zh-CN"/>
                    </w:rPr>
                    <w:t>峨眉河</w:t>
                  </w:r>
                </w:p>
              </w:tc>
              <w:tc>
                <w:tcPr>
                  <w:tcW w:w="1127"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color w:val="auto"/>
                      <w:kern w:val="0"/>
                      <w:sz w:val="21"/>
                      <w:szCs w:val="21"/>
                    </w:rPr>
                    <w:t>水</w:t>
                  </w:r>
                  <w:r>
                    <w:rPr>
                      <w:rFonts w:hint="default" w:ascii="Times New Roman" w:hAnsi="Times New Roman" w:eastAsia="宋体" w:cs="Times New Roman"/>
                      <w:color w:val="auto"/>
                      <w:kern w:val="0"/>
                      <w:sz w:val="21"/>
                      <w:szCs w:val="21"/>
                    </w:rPr>
                    <w:t>质恶</w:t>
                  </w:r>
                  <w:r>
                    <w:rPr>
                      <w:rFonts w:hint="default" w:ascii="Times New Roman" w:hAnsi="Times New Roman" w:cs="Times New Roman"/>
                      <w:color w:val="auto"/>
                      <w:kern w:val="0"/>
                      <w:sz w:val="21"/>
                      <w:szCs w:val="21"/>
                    </w:rPr>
                    <w:t>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color w:val="auto"/>
                      <w:kern w:val="0"/>
                      <w:sz w:val="21"/>
                      <w:szCs w:val="21"/>
                    </w:rPr>
                    <w:t>生</w:t>
                  </w:r>
                  <w:r>
                    <w:rPr>
                      <w:rFonts w:hint="default" w:ascii="Times New Roman" w:hAnsi="Times New Roman" w:eastAsia="宋体" w:cs="Times New Roman"/>
                      <w:color w:val="auto"/>
                      <w:kern w:val="0"/>
                      <w:sz w:val="21"/>
                      <w:szCs w:val="21"/>
                    </w:rPr>
                    <w:t>态环</w:t>
                  </w:r>
                  <w:r>
                    <w:rPr>
                      <w:rFonts w:hint="default" w:ascii="Times New Roman" w:hAnsi="Times New Roman" w:cs="Times New Roman"/>
                      <w:color w:val="auto"/>
                      <w:kern w:val="0"/>
                      <w:sz w:val="21"/>
                      <w:szCs w:val="21"/>
                    </w:rPr>
                    <w:t>境</w:t>
                  </w:r>
                  <w:r>
                    <w:rPr>
                      <w:rFonts w:hint="default" w:ascii="Times New Roman" w:hAnsi="Times New Roman" w:eastAsia="宋体" w:cs="Times New Roman"/>
                      <w:color w:val="auto"/>
                      <w:kern w:val="0"/>
                      <w:sz w:val="21"/>
                      <w:szCs w:val="21"/>
                    </w:rPr>
                    <w:t>风险</w:t>
                  </w:r>
                </w:p>
              </w:tc>
              <w:tc>
                <w:tcPr>
                  <w:tcW w:w="773"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color w:val="auto"/>
                      <w:kern w:val="0"/>
                      <w:sz w:val="21"/>
                      <w:szCs w:val="21"/>
                    </w:rPr>
                    <w:t>物</w:t>
                  </w:r>
                  <w:r>
                    <w:rPr>
                      <w:rFonts w:hint="default" w:ascii="Times New Roman" w:hAnsi="Times New Roman" w:eastAsia="宋体" w:cs="Times New Roman"/>
                      <w:color w:val="auto"/>
                      <w:kern w:val="0"/>
                      <w:sz w:val="21"/>
                      <w:szCs w:val="21"/>
                    </w:rPr>
                    <w:t>种减</w:t>
                  </w:r>
                  <w:r>
                    <w:rPr>
                      <w:rFonts w:hint="default" w:ascii="Times New Roman" w:hAnsi="Times New Roman" w:cs="Times New Roman"/>
                      <w:color w:val="auto"/>
                      <w:kern w:val="0"/>
                      <w:sz w:val="21"/>
                      <w:szCs w:val="21"/>
                    </w:rPr>
                    <w:t>少</w:t>
                  </w:r>
                </w:p>
              </w:tc>
              <w:tc>
                <w:tcPr>
                  <w:tcW w:w="2261"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color w:val="auto"/>
                      <w:kern w:val="0"/>
                      <w:sz w:val="21"/>
                      <w:szCs w:val="21"/>
                    </w:rPr>
                    <w:t>施工占地、水</w:t>
                  </w:r>
                  <w:r>
                    <w:rPr>
                      <w:rFonts w:hint="default" w:ascii="Times New Roman" w:hAnsi="Times New Roman" w:eastAsia="宋体" w:cs="Times New Roman"/>
                      <w:color w:val="auto"/>
                      <w:kern w:val="0"/>
                      <w:sz w:val="21"/>
                      <w:szCs w:val="21"/>
                    </w:rPr>
                    <w:t>质恶</w:t>
                  </w:r>
                  <w:r>
                    <w:rPr>
                      <w:rFonts w:hint="default" w:ascii="Times New Roman" w:hAnsi="Times New Roman" w:cs="Times New Roman"/>
                      <w:color w:val="auto"/>
                      <w:kern w:val="0"/>
                      <w:sz w:val="21"/>
                      <w:szCs w:val="21"/>
                    </w:rPr>
                    <w:t>化造成</w:t>
                  </w:r>
                  <w:r>
                    <w:rPr>
                      <w:rFonts w:hint="default" w:ascii="Times New Roman" w:hAnsi="Times New Roman" w:eastAsia="宋体" w:cs="Times New Roman"/>
                      <w:color w:val="auto"/>
                      <w:kern w:val="0"/>
                      <w:sz w:val="21"/>
                      <w:szCs w:val="21"/>
                    </w:rPr>
                    <w:t>对陆</w:t>
                  </w:r>
                  <w:r>
                    <w:rPr>
                      <w:rFonts w:hint="default" w:ascii="Times New Roman" w:hAnsi="Times New Roman" w:cs="Times New Roman"/>
                      <w:color w:val="auto"/>
                      <w:kern w:val="0"/>
                      <w:sz w:val="21"/>
                      <w:szCs w:val="21"/>
                    </w:rPr>
                    <w:t>生</w:t>
                  </w:r>
                  <w:r>
                    <w:rPr>
                      <w:rFonts w:hint="default" w:ascii="Times New Roman" w:hAnsi="Times New Roman" w:eastAsia="宋体" w:cs="Times New Roman"/>
                      <w:color w:val="auto"/>
                      <w:kern w:val="0"/>
                      <w:sz w:val="21"/>
                      <w:szCs w:val="21"/>
                    </w:rPr>
                    <w:t>动</w:t>
                  </w:r>
                  <w:r>
                    <w:rPr>
                      <w:rFonts w:hint="default" w:ascii="Times New Roman" w:hAnsi="Times New Roman" w:cs="Times New Roman"/>
                      <w:color w:val="auto"/>
                      <w:kern w:val="0"/>
                      <w:sz w:val="21"/>
                      <w:szCs w:val="21"/>
                    </w:rPr>
                    <w:t>植物、水生生物造成影</w:t>
                  </w:r>
                  <w:r>
                    <w:rPr>
                      <w:rFonts w:hint="default" w:ascii="Times New Roman" w:hAnsi="Times New Roman" w:eastAsia="宋体" w:cs="Times New Roman"/>
                      <w:color w:val="auto"/>
                      <w:kern w:val="0"/>
                      <w:sz w:val="21"/>
                      <w:szCs w:val="21"/>
                    </w:rPr>
                    <w:t>响</w:t>
                  </w:r>
                </w:p>
              </w:tc>
              <w:tc>
                <w:tcPr>
                  <w:tcW w:w="1127"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color w:val="auto"/>
                      <w:kern w:val="0"/>
                      <w:sz w:val="21"/>
                      <w:szCs w:val="21"/>
                    </w:rPr>
                    <w:t>物</w:t>
                  </w:r>
                  <w:r>
                    <w:rPr>
                      <w:rFonts w:hint="default" w:ascii="Times New Roman" w:hAnsi="Times New Roman" w:eastAsia="宋体" w:cs="Times New Roman"/>
                      <w:color w:val="auto"/>
                      <w:kern w:val="0"/>
                      <w:sz w:val="21"/>
                      <w:szCs w:val="21"/>
                    </w:rPr>
                    <w:t>种减</w:t>
                  </w:r>
                  <w:r>
                    <w:rPr>
                      <w:rFonts w:hint="default" w:ascii="Times New Roman" w:hAnsi="Times New Roman" w:cs="Times New Roman"/>
                      <w:color w:val="auto"/>
                      <w:kern w:val="0"/>
                      <w:sz w:val="21"/>
                      <w:szCs w:val="21"/>
                    </w:rPr>
                    <w:t>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color w:val="auto"/>
                      <w:kern w:val="0"/>
                      <w:sz w:val="21"/>
                      <w:szCs w:val="21"/>
                    </w:rPr>
                    <w:t>火灾爆炸</w:t>
                  </w:r>
                </w:p>
              </w:tc>
              <w:tc>
                <w:tcPr>
                  <w:tcW w:w="773"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color w:val="auto"/>
                      <w:kern w:val="0"/>
                      <w:sz w:val="21"/>
                      <w:szCs w:val="21"/>
                    </w:rPr>
                    <w:t>火灾爆炸</w:t>
                  </w:r>
                </w:p>
              </w:tc>
              <w:tc>
                <w:tcPr>
                  <w:tcW w:w="2261"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color w:val="auto"/>
                      <w:kern w:val="0"/>
                      <w:sz w:val="21"/>
                      <w:szCs w:val="21"/>
                    </w:rPr>
                    <w:t>施工</w:t>
                  </w:r>
                  <w:r>
                    <w:rPr>
                      <w:rFonts w:hint="default" w:ascii="Times New Roman" w:hAnsi="Times New Roman" w:eastAsia="宋体" w:cs="Times New Roman"/>
                      <w:color w:val="auto"/>
                      <w:kern w:val="0"/>
                      <w:sz w:val="21"/>
                      <w:szCs w:val="21"/>
                    </w:rPr>
                    <w:t>场</w:t>
                  </w:r>
                  <w:r>
                    <w:rPr>
                      <w:rFonts w:hint="default" w:ascii="Times New Roman" w:hAnsi="Times New Roman" w:cs="Times New Roman"/>
                      <w:color w:val="auto"/>
                      <w:kern w:val="0"/>
                      <w:sz w:val="21"/>
                      <w:szCs w:val="21"/>
                    </w:rPr>
                    <w:t>地等因</w:t>
                  </w:r>
                  <w:r>
                    <w:rPr>
                      <w:rFonts w:hint="default" w:ascii="Times New Roman" w:hAnsi="Times New Roman" w:eastAsia="宋体" w:cs="Times New Roman"/>
                      <w:color w:val="auto"/>
                      <w:kern w:val="0"/>
                      <w:sz w:val="21"/>
                      <w:szCs w:val="21"/>
                    </w:rPr>
                    <w:t>电</w:t>
                  </w:r>
                  <w:r>
                    <w:rPr>
                      <w:rFonts w:hint="default" w:ascii="Times New Roman" w:hAnsi="Times New Roman" w:cs="Times New Roman"/>
                      <w:color w:val="auto"/>
                      <w:kern w:val="0"/>
                      <w:sz w:val="21"/>
                      <w:szCs w:val="21"/>
                    </w:rPr>
                    <w:t>路短路、烟</w:t>
                  </w:r>
                  <w:r>
                    <w:rPr>
                      <w:rFonts w:hint="default" w:ascii="Times New Roman" w:hAnsi="Times New Roman" w:eastAsia="宋体" w:cs="Times New Roman"/>
                      <w:color w:val="auto"/>
                      <w:kern w:val="0"/>
                      <w:sz w:val="21"/>
                      <w:szCs w:val="21"/>
                    </w:rPr>
                    <w:t>头</w:t>
                  </w:r>
                  <w:r>
                    <w:rPr>
                      <w:rFonts w:hint="default" w:ascii="Times New Roman" w:hAnsi="Times New Roman" w:cs="Times New Roman"/>
                      <w:color w:val="auto"/>
                      <w:kern w:val="0"/>
                      <w:sz w:val="21"/>
                      <w:szCs w:val="21"/>
                    </w:rPr>
                    <w:t>、生火取暖、照明等原因而引起的火灾；油料泄漏等引起的火灾爆炸</w:t>
                  </w:r>
                </w:p>
              </w:tc>
              <w:tc>
                <w:tcPr>
                  <w:tcW w:w="1127"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color w:val="auto"/>
                      <w:kern w:val="0"/>
                      <w:sz w:val="21"/>
                      <w:szCs w:val="21"/>
                    </w:rPr>
                    <w:t>生命</w:t>
                  </w:r>
                  <w:r>
                    <w:rPr>
                      <w:rFonts w:hint="default" w:ascii="Times New Roman" w:hAnsi="Times New Roman" w:eastAsia="宋体" w:cs="Times New Roman"/>
                      <w:color w:val="auto"/>
                      <w:kern w:val="0"/>
                      <w:sz w:val="21"/>
                      <w:szCs w:val="21"/>
                    </w:rPr>
                    <w:t>财产损</w:t>
                  </w:r>
                  <w:r>
                    <w:rPr>
                      <w:rFonts w:hint="default" w:ascii="Times New Roman" w:hAnsi="Times New Roman" w:cs="Times New Roman"/>
                      <w:color w:val="auto"/>
                      <w:kern w:val="0"/>
                      <w:sz w:val="21"/>
                      <w:szCs w:val="21"/>
                    </w:rPr>
                    <w:t>失，影</w:t>
                  </w:r>
                  <w:r>
                    <w:rPr>
                      <w:rFonts w:hint="default" w:ascii="Times New Roman" w:hAnsi="Times New Roman" w:eastAsia="宋体" w:cs="Times New Roman"/>
                      <w:color w:val="auto"/>
                      <w:kern w:val="0"/>
                      <w:sz w:val="21"/>
                      <w:szCs w:val="21"/>
                    </w:rPr>
                    <w:t>响</w:t>
                  </w:r>
                  <w:r>
                    <w:rPr>
                      <w:rFonts w:hint="default" w:ascii="Times New Roman" w:hAnsi="Times New Roman" w:cs="Times New Roman"/>
                      <w:color w:val="auto"/>
                      <w:kern w:val="0"/>
                      <w:sz w:val="21"/>
                      <w:szCs w:val="21"/>
                    </w:rPr>
                    <w:t>施工</w:t>
                  </w:r>
                  <w:r>
                    <w:rPr>
                      <w:rFonts w:hint="default" w:ascii="Times New Roman" w:hAnsi="Times New Roman" w:eastAsia="宋体" w:cs="Times New Roman"/>
                      <w:color w:val="auto"/>
                      <w:kern w:val="0"/>
                      <w:sz w:val="21"/>
                      <w:szCs w:val="21"/>
                    </w:rPr>
                    <w:t>进</w:t>
                  </w:r>
                  <w:r>
                    <w:rPr>
                      <w:rFonts w:hint="default" w:ascii="Times New Roman" w:hAnsi="Times New Roman" w:cs="Times New Roman"/>
                      <w:color w:val="auto"/>
                      <w:kern w:val="0"/>
                      <w:sz w:val="21"/>
                      <w:szCs w:val="21"/>
                    </w:rPr>
                    <w:t>度</w:t>
                  </w:r>
                </w:p>
              </w:tc>
            </w:tr>
          </w:tbl>
          <w:p>
            <w:pPr>
              <w:widowControl/>
              <w:adjustRightInd w:val="0"/>
              <w:snapToGrid w:val="0"/>
              <w:spacing w:line="360" w:lineRule="auto"/>
              <w:ind w:firstLine="480" w:firstLineChars="200"/>
              <w:jc w:val="left"/>
              <w:rPr>
                <w:rFonts w:hint="default" w:ascii="Times New Roman" w:hAnsi="Times New Roman" w:cs="Times New Roman"/>
                <w:bCs/>
                <w:color w:val="auto"/>
                <w:sz w:val="24"/>
              </w:rPr>
            </w:pPr>
            <w:r>
              <w:rPr>
                <w:rFonts w:hint="default" w:ascii="Times New Roman" w:hAnsi="Times New Roman" w:cs="Times New Roman"/>
                <w:bCs/>
                <w:color w:val="auto"/>
                <w:kern w:val="0"/>
                <w:sz w:val="24"/>
              </w:rPr>
              <w:t>（</w:t>
            </w:r>
            <w:r>
              <w:rPr>
                <w:rFonts w:hint="default" w:ascii="Times New Roman" w:hAnsi="Times New Roman" w:cs="Times New Roman"/>
                <w:bCs/>
                <w:color w:val="auto"/>
                <w:kern w:val="0"/>
                <w:sz w:val="24"/>
                <w:lang w:val="en-US" w:eastAsia="zh-CN"/>
              </w:rPr>
              <w:t>2</w:t>
            </w:r>
            <w:r>
              <w:rPr>
                <w:rFonts w:hint="default" w:ascii="Times New Roman" w:hAnsi="Times New Roman" w:cs="Times New Roman"/>
                <w:bCs/>
                <w:color w:val="auto"/>
                <w:kern w:val="0"/>
                <w:sz w:val="24"/>
              </w:rPr>
              <w:t>）</w:t>
            </w:r>
            <w:r>
              <w:rPr>
                <w:rFonts w:hint="default" w:ascii="Times New Roman" w:hAnsi="Times New Roman" w:eastAsia="宋体" w:cs="Times New Roman"/>
                <w:bCs/>
                <w:color w:val="auto"/>
                <w:kern w:val="0"/>
                <w:sz w:val="24"/>
              </w:rPr>
              <w:t>风险</w:t>
            </w:r>
            <w:r>
              <w:rPr>
                <w:rFonts w:hint="default" w:ascii="Times New Roman" w:hAnsi="Times New Roman" w:cs="Times New Roman"/>
                <w:bCs/>
                <w:color w:val="auto"/>
                <w:kern w:val="0"/>
                <w:sz w:val="24"/>
              </w:rPr>
              <w:t>防范措施</w:t>
            </w:r>
          </w:p>
          <w:p>
            <w:pPr>
              <w:widowControl/>
              <w:adjustRightInd w:val="0"/>
              <w:snapToGrid w:val="0"/>
              <w:spacing w:line="360" w:lineRule="auto"/>
              <w:ind w:firstLine="480" w:firstLineChars="200"/>
              <w:jc w:val="left"/>
              <w:rPr>
                <w:rFonts w:hint="default" w:ascii="Times New Roman" w:hAnsi="Times New Roman" w:cs="Times New Roman"/>
                <w:bCs/>
                <w:color w:val="auto"/>
                <w:sz w:val="24"/>
              </w:rPr>
            </w:pPr>
            <w:r>
              <w:rPr>
                <w:rFonts w:hint="eastAsia" w:ascii="Times New Roman" w:hAnsi="Times New Roman" w:cs="Times New Roman"/>
                <w:bCs/>
                <w:color w:val="auto"/>
                <w:kern w:val="0"/>
                <w:sz w:val="24"/>
                <w:lang w:val="en-US" w:eastAsia="zh-CN"/>
              </w:rPr>
              <w:t>1）</w:t>
            </w:r>
            <w:r>
              <w:rPr>
                <w:rFonts w:hint="default" w:ascii="Times New Roman" w:hAnsi="Times New Roman" w:cs="Times New Roman"/>
                <w:bCs/>
                <w:color w:val="auto"/>
                <w:kern w:val="0"/>
                <w:sz w:val="24"/>
              </w:rPr>
              <w:t>政府有</w:t>
            </w:r>
            <w:r>
              <w:rPr>
                <w:rFonts w:hint="default" w:ascii="Times New Roman" w:hAnsi="Times New Roman" w:eastAsia="宋体" w:cs="Times New Roman"/>
                <w:bCs/>
                <w:color w:val="auto"/>
                <w:kern w:val="0"/>
                <w:sz w:val="24"/>
              </w:rPr>
              <w:t>关</w:t>
            </w:r>
            <w:r>
              <w:rPr>
                <w:rFonts w:hint="default" w:ascii="Times New Roman" w:hAnsi="Times New Roman" w:cs="Times New Roman"/>
                <w:bCs/>
                <w:color w:val="auto"/>
                <w:kern w:val="0"/>
                <w:sz w:val="24"/>
              </w:rPr>
              <w:t>部</w:t>
            </w:r>
            <w:r>
              <w:rPr>
                <w:rFonts w:hint="default" w:ascii="Times New Roman" w:hAnsi="Times New Roman" w:eastAsia="宋体" w:cs="Times New Roman"/>
                <w:bCs/>
                <w:color w:val="auto"/>
                <w:kern w:val="0"/>
                <w:sz w:val="24"/>
              </w:rPr>
              <w:t>门</w:t>
            </w:r>
            <w:r>
              <w:rPr>
                <w:rFonts w:hint="default" w:ascii="Times New Roman" w:hAnsi="Times New Roman" w:cs="Times New Roman"/>
                <w:bCs/>
                <w:color w:val="auto"/>
                <w:kern w:val="0"/>
                <w:sz w:val="24"/>
              </w:rPr>
              <w:t>及工程管理机</w:t>
            </w:r>
            <w:r>
              <w:rPr>
                <w:rFonts w:hint="default" w:ascii="Times New Roman" w:hAnsi="Times New Roman" w:eastAsia="宋体" w:cs="Times New Roman"/>
                <w:bCs/>
                <w:color w:val="auto"/>
                <w:kern w:val="0"/>
                <w:sz w:val="24"/>
              </w:rPr>
              <w:t>构应</w:t>
            </w:r>
            <w:r>
              <w:rPr>
                <w:rFonts w:hint="default" w:ascii="Times New Roman" w:hAnsi="Times New Roman" w:cs="Times New Roman"/>
                <w:bCs/>
                <w:color w:val="auto"/>
                <w:kern w:val="0"/>
                <w:sz w:val="24"/>
              </w:rPr>
              <w:t>加强</w:t>
            </w:r>
            <w:r>
              <w:rPr>
                <w:rFonts w:hint="default" w:ascii="Times New Roman" w:hAnsi="Times New Roman" w:eastAsia="宋体" w:cs="Times New Roman"/>
                <w:bCs/>
                <w:color w:val="auto"/>
                <w:kern w:val="0"/>
                <w:sz w:val="24"/>
              </w:rPr>
              <w:t>对</w:t>
            </w:r>
            <w:r>
              <w:rPr>
                <w:rFonts w:hint="default" w:ascii="Times New Roman" w:hAnsi="Times New Roman" w:cs="Times New Roman"/>
                <w:bCs/>
                <w:color w:val="auto"/>
                <w:kern w:val="0"/>
                <w:sz w:val="24"/>
              </w:rPr>
              <w:t>工程</w:t>
            </w:r>
            <w:r>
              <w:rPr>
                <w:rFonts w:hint="default" w:ascii="Times New Roman" w:hAnsi="Times New Roman" w:eastAsia="宋体" w:cs="Times New Roman"/>
                <w:bCs/>
                <w:color w:val="auto"/>
                <w:kern w:val="0"/>
                <w:sz w:val="24"/>
              </w:rPr>
              <w:t>区</w:t>
            </w:r>
            <w:r>
              <w:rPr>
                <w:rFonts w:hint="default" w:ascii="Times New Roman" w:hAnsi="Times New Roman" w:cs="Times New Roman"/>
                <w:bCs/>
                <w:color w:val="auto"/>
                <w:kern w:val="0"/>
                <w:sz w:val="24"/>
              </w:rPr>
              <w:t>的</w:t>
            </w:r>
            <w:r>
              <w:rPr>
                <w:rFonts w:hint="default" w:ascii="Times New Roman" w:hAnsi="Times New Roman" w:eastAsia="宋体" w:cs="Times New Roman"/>
                <w:bCs/>
                <w:color w:val="auto"/>
                <w:kern w:val="0"/>
                <w:sz w:val="24"/>
              </w:rPr>
              <w:t>执</w:t>
            </w:r>
            <w:r>
              <w:rPr>
                <w:rFonts w:hint="default" w:ascii="Times New Roman" w:hAnsi="Times New Roman" w:cs="Times New Roman"/>
                <w:bCs/>
                <w:color w:val="auto"/>
                <w:kern w:val="0"/>
                <w:sz w:val="24"/>
              </w:rPr>
              <w:t>法力度，加强</w:t>
            </w:r>
            <w:r>
              <w:rPr>
                <w:rFonts w:hint="default" w:ascii="Times New Roman" w:hAnsi="Times New Roman" w:eastAsia="宋体" w:cs="Times New Roman"/>
                <w:bCs/>
                <w:color w:val="auto"/>
                <w:kern w:val="0"/>
                <w:sz w:val="24"/>
              </w:rPr>
              <w:t>监</w:t>
            </w:r>
            <w:r>
              <w:rPr>
                <w:rFonts w:hint="default" w:ascii="Times New Roman" w:hAnsi="Times New Roman" w:cs="Times New Roman"/>
                <w:bCs/>
                <w:color w:val="auto"/>
                <w:kern w:val="0"/>
                <w:sz w:val="24"/>
              </w:rPr>
              <w:t>督管理，禁止施工生</w:t>
            </w:r>
            <w:r>
              <w:rPr>
                <w:rFonts w:hint="default" w:ascii="Times New Roman" w:hAnsi="Times New Roman" w:eastAsia="宋体" w:cs="Times New Roman"/>
                <w:bCs/>
                <w:color w:val="auto"/>
                <w:kern w:val="0"/>
                <w:sz w:val="24"/>
              </w:rPr>
              <w:t>产废</w:t>
            </w:r>
            <w:r>
              <w:rPr>
                <w:rFonts w:hint="default" w:ascii="Times New Roman" w:hAnsi="Times New Roman" w:cs="Times New Roman"/>
                <w:bCs/>
                <w:color w:val="auto"/>
                <w:kern w:val="0"/>
                <w:sz w:val="24"/>
              </w:rPr>
              <w:t>水、施工人</w:t>
            </w:r>
            <w:r>
              <w:rPr>
                <w:rFonts w:hint="default" w:ascii="Times New Roman" w:hAnsi="Times New Roman" w:eastAsia="宋体" w:cs="Times New Roman"/>
                <w:bCs/>
                <w:color w:val="auto"/>
                <w:kern w:val="0"/>
                <w:sz w:val="24"/>
              </w:rPr>
              <w:t>员</w:t>
            </w:r>
            <w:r>
              <w:rPr>
                <w:rFonts w:hint="default" w:ascii="Times New Roman" w:hAnsi="Times New Roman" w:cs="Times New Roman"/>
                <w:bCs/>
                <w:color w:val="auto"/>
                <w:kern w:val="0"/>
                <w:sz w:val="24"/>
              </w:rPr>
              <w:t>生活</w:t>
            </w:r>
            <w:r>
              <w:rPr>
                <w:rFonts w:hint="default" w:ascii="Times New Roman" w:hAnsi="Times New Roman" w:eastAsia="宋体" w:cs="Times New Roman"/>
                <w:bCs/>
                <w:color w:val="auto"/>
                <w:kern w:val="0"/>
                <w:sz w:val="24"/>
              </w:rPr>
              <w:t>污</w:t>
            </w:r>
            <w:r>
              <w:rPr>
                <w:rFonts w:hint="default" w:ascii="Times New Roman" w:hAnsi="Times New Roman" w:cs="Times New Roman"/>
                <w:bCs/>
                <w:color w:val="auto"/>
                <w:kern w:val="0"/>
                <w:sz w:val="24"/>
              </w:rPr>
              <w:t>水等的</w:t>
            </w:r>
            <w:r>
              <w:rPr>
                <w:rFonts w:hint="default" w:ascii="Times New Roman" w:hAnsi="Times New Roman" w:eastAsia="宋体" w:cs="Times New Roman"/>
                <w:bCs/>
                <w:color w:val="auto"/>
                <w:kern w:val="0"/>
                <w:sz w:val="24"/>
              </w:rPr>
              <w:t>随</w:t>
            </w:r>
            <w:r>
              <w:rPr>
                <w:rFonts w:hint="default" w:ascii="Times New Roman" w:hAnsi="Times New Roman" w:cs="Times New Roman"/>
                <w:bCs/>
                <w:color w:val="auto"/>
                <w:kern w:val="0"/>
                <w:sz w:val="24"/>
              </w:rPr>
              <w:t>意</w:t>
            </w:r>
            <w:r>
              <w:rPr>
                <w:rFonts w:hint="default" w:ascii="Times New Roman" w:hAnsi="Times New Roman" w:eastAsia="宋体" w:cs="Times New Roman"/>
                <w:bCs/>
                <w:color w:val="auto"/>
                <w:kern w:val="0"/>
                <w:sz w:val="24"/>
              </w:rPr>
              <w:t>乱</w:t>
            </w:r>
            <w:r>
              <w:rPr>
                <w:rFonts w:hint="default" w:ascii="Times New Roman" w:hAnsi="Times New Roman" w:cs="Times New Roman"/>
                <w:bCs/>
                <w:color w:val="auto"/>
                <w:kern w:val="0"/>
                <w:sz w:val="24"/>
              </w:rPr>
              <w:t>排。</w:t>
            </w:r>
          </w:p>
          <w:p>
            <w:pPr>
              <w:widowControl/>
              <w:adjustRightInd w:val="0"/>
              <w:snapToGrid w:val="0"/>
              <w:spacing w:line="360" w:lineRule="auto"/>
              <w:ind w:firstLine="480" w:firstLineChars="200"/>
              <w:jc w:val="left"/>
              <w:rPr>
                <w:rFonts w:hint="eastAsia" w:ascii="Times New Roman" w:hAnsi="Times New Roman" w:eastAsia="宋体" w:cs="Times New Roman"/>
                <w:bCs/>
                <w:color w:val="auto"/>
                <w:kern w:val="0"/>
                <w:sz w:val="24"/>
                <w:lang w:val="en-US" w:eastAsia="zh-CN"/>
              </w:rPr>
            </w:pPr>
            <w:r>
              <w:rPr>
                <w:rFonts w:hint="eastAsia" w:ascii="Times New Roman" w:hAnsi="Times New Roman" w:eastAsia="宋体" w:cs="Times New Roman"/>
                <w:bCs/>
                <w:color w:val="auto"/>
                <w:kern w:val="0"/>
                <w:sz w:val="24"/>
                <w:lang w:val="en-US" w:eastAsia="zh-CN"/>
              </w:rPr>
              <w:t>2）施工期间确保各类环保措施正常进行，杜绝污水事故排放造成附近水域污染物超标，加强施工管理，杜绝施工人员由于疲劳驾驶、速度过快或者车况不好，导致翻车漏油事故的出现。</w:t>
            </w:r>
          </w:p>
          <w:p>
            <w:pPr>
              <w:widowControl/>
              <w:adjustRightInd w:val="0"/>
              <w:snapToGrid w:val="0"/>
              <w:spacing w:line="360" w:lineRule="auto"/>
              <w:ind w:firstLine="480" w:firstLineChars="200"/>
              <w:jc w:val="left"/>
              <w:rPr>
                <w:rFonts w:hint="default" w:ascii="Times New Roman" w:hAnsi="Times New Roman" w:eastAsia="宋体" w:cs="Times New Roman"/>
                <w:bCs/>
                <w:color w:val="auto"/>
                <w:kern w:val="0"/>
                <w:sz w:val="24"/>
                <w:lang w:val="en-US" w:eastAsia="zh-CN"/>
              </w:rPr>
            </w:pPr>
            <w:r>
              <w:rPr>
                <w:rFonts w:hint="eastAsia" w:ascii="Times New Roman" w:hAnsi="Times New Roman" w:eastAsia="宋体" w:cs="Times New Roman"/>
                <w:bCs/>
                <w:color w:val="auto"/>
                <w:kern w:val="0"/>
                <w:sz w:val="24"/>
                <w:lang w:val="en-US" w:eastAsia="zh-CN"/>
              </w:rPr>
              <w:t>3）</w:t>
            </w:r>
            <w:r>
              <w:rPr>
                <w:rFonts w:hint="default" w:ascii="Times New Roman" w:hAnsi="Times New Roman" w:eastAsia="宋体" w:cs="Times New Roman"/>
                <w:bCs/>
                <w:color w:val="auto"/>
                <w:kern w:val="0"/>
                <w:sz w:val="24"/>
                <w:lang w:val="en-US" w:eastAsia="zh-CN"/>
              </w:rPr>
              <w:t>施工区配备消防砂、灭火器、灭火毯等应急物资。</w:t>
            </w:r>
          </w:p>
          <w:p>
            <w:pPr>
              <w:widowControl/>
              <w:adjustRightInd w:val="0"/>
              <w:snapToGrid w:val="0"/>
              <w:spacing w:line="360" w:lineRule="auto"/>
              <w:ind w:firstLine="480" w:firstLineChars="200"/>
              <w:jc w:val="left"/>
              <w:rPr>
                <w:rFonts w:hint="default" w:ascii="Times New Roman" w:hAnsi="Times New Roman" w:eastAsia="宋体" w:cs="Times New Roman"/>
                <w:b/>
                <w:bCs/>
                <w:color w:val="auto"/>
                <w:sz w:val="24"/>
              </w:rPr>
            </w:pPr>
            <w:r>
              <w:rPr>
                <w:rFonts w:hint="eastAsia" w:ascii="Times New Roman" w:hAnsi="Times New Roman" w:cs="Times New Roman"/>
                <w:bCs/>
                <w:color w:val="auto"/>
                <w:kern w:val="0"/>
                <w:sz w:val="24"/>
                <w:lang w:val="en-US" w:eastAsia="zh-CN"/>
              </w:rPr>
              <w:t>4）</w:t>
            </w:r>
            <w:r>
              <w:rPr>
                <w:rFonts w:hint="default" w:ascii="Times New Roman" w:hAnsi="Times New Roman" w:cs="Times New Roman"/>
                <w:bCs/>
                <w:color w:val="auto"/>
                <w:kern w:val="0"/>
                <w:sz w:val="24"/>
              </w:rPr>
              <w:t>施工期工程河段末端设置隔油网，疏浚区域外圈设置隔油海绵，防止施工机械机油泄漏于水体，油膜扩散导致水体污染。</w:t>
            </w:r>
          </w:p>
          <w:p>
            <w:pPr>
              <w:pStyle w:val="38"/>
              <w:keepNext w:val="0"/>
              <w:keepLines w:val="0"/>
              <w:pageBreakBefore w:val="0"/>
              <w:widowControl w:val="0"/>
              <w:numPr>
                <w:ilvl w:val="0"/>
                <w:numId w:val="0"/>
              </w:numPr>
              <w:tabs>
                <w:tab w:val="left" w:pos="420"/>
                <w:tab w:val="left" w:pos="870"/>
                <w:tab w:val="left" w:pos="3150"/>
              </w:tabs>
              <w:kinsoku/>
              <w:wordWrap/>
              <w:overflowPunct/>
              <w:topLinePunct w:val="0"/>
              <w:autoSpaceDE/>
              <w:autoSpaceDN/>
              <w:bidi w:val="0"/>
              <w:adjustRightInd w:val="0"/>
              <w:snapToGrid w:val="0"/>
              <w:spacing w:after="0" w:afterLines="0" w:line="360" w:lineRule="auto"/>
              <w:ind w:firstLine="480" w:firstLineChars="200"/>
              <w:textAlignment w:val="auto"/>
              <w:rPr>
                <w:rFonts w:hint="default" w:ascii="Times New Roman" w:hAnsi="Times New Roman" w:cs="Times New Roman"/>
                <w:bCs/>
                <w:color w:val="0000FF"/>
                <w:spacing w:val="10"/>
                <w:szCs w:val="21"/>
              </w:rPr>
            </w:pPr>
            <w:r>
              <w:rPr>
                <w:rFonts w:hint="default" w:ascii="Times New Roman" w:hAnsi="Times New Roman" w:eastAsia="宋体" w:cs="Times New Roman"/>
                <w:bCs/>
                <w:color w:val="auto"/>
                <w:kern w:val="0"/>
                <w:sz w:val="24"/>
              </w:rPr>
              <w:t>综</w:t>
            </w:r>
            <w:r>
              <w:rPr>
                <w:rFonts w:hint="default" w:ascii="Times New Roman" w:hAnsi="Times New Roman" w:cs="Times New Roman"/>
                <w:bCs/>
                <w:color w:val="auto"/>
                <w:kern w:val="0"/>
                <w:sz w:val="24"/>
              </w:rPr>
              <w:t>上所述，本</w:t>
            </w:r>
            <w:r>
              <w:rPr>
                <w:rFonts w:hint="default" w:ascii="Times New Roman" w:hAnsi="Times New Roman" w:eastAsia="宋体" w:cs="Times New Roman"/>
                <w:bCs/>
                <w:color w:val="auto"/>
                <w:kern w:val="0"/>
                <w:sz w:val="24"/>
              </w:rPr>
              <w:t>项</w:t>
            </w:r>
            <w:r>
              <w:rPr>
                <w:rFonts w:hint="default" w:ascii="Times New Roman" w:hAnsi="Times New Roman" w:cs="Times New Roman"/>
                <w:bCs/>
                <w:color w:val="auto"/>
                <w:kern w:val="0"/>
                <w:sz w:val="24"/>
              </w:rPr>
              <w:t>目</w:t>
            </w:r>
            <w:r>
              <w:rPr>
                <w:rFonts w:hint="default" w:ascii="Times New Roman" w:hAnsi="Times New Roman" w:eastAsia="宋体" w:cs="Times New Roman"/>
                <w:bCs/>
                <w:color w:val="auto"/>
                <w:kern w:val="0"/>
                <w:sz w:val="24"/>
              </w:rPr>
              <w:t>环</w:t>
            </w:r>
            <w:r>
              <w:rPr>
                <w:rFonts w:hint="default" w:ascii="Times New Roman" w:hAnsi="Times New Roman" w:cs="Times New Roman"/>
                <w:bCs/>
                <w:color w:val="auto"/>
                <w:kern w:val="0"/>
                <w:sz w:val="24"/>
              </w:rPr>
              <w:t>境</w:t>
            </w:r>
            <w:r>
              <w:rPr>
                <w:rFonts w:hint="default" w:ascii="Times New Roman" w:hAnsi="Times New Roman" w:eastAsia="宋体" w:cs="Times New Roman"/>
                <w:bCs/>
                <w:color w:val="auto"/>
                <w:kern w:val="0"/>
                <w:sz w:val="24"/>
              </w:rPr>
              <w:t>风险</w:t>
            </w:r>
            <w:r>
              <w:rPr>
                <w:rFonts w:hint="default" w:ascii="Times New Roman" w:hAnsi="Times New Roman" w:cs="Times New Roman"/>
                <w:bCs/>
                <w:color w:val="auto"/>
                <w:kern w:val="0"/>
                <w:sz w:val="24"/>
              </w:rPr>
              <w:t>影</w:t>
            </w:r>
            <w:r>
              <w:rPr>
                <w:rFonts w:hint="default" w:ascii="Times New Roman" w:hAnsi="Times New Roman" w:eastAsia="宋体" w:cs="Times New Roman"/>
                <w:bCs/>
                <w:color w:val="auto"/>
                <w:kern w:val="0"/>
                <w:sz w:val="24"/>
              </w:rPr>
              <w:t>响</w:t>
            </w:r>
            <w:r>
              <w:rPr>
                <w:rFonts w:hint="default" w:ascii="Times New Roman" w:hAnsi="Times New Roman" w:cs="Times New Roman"/>
                <w:bCs/>
                <w:color w:val="auto"/>
                <w:kern w:val="0"/>
                <w:sz w:val="24"/>
              </w:rPr>
              <w:t>不大，</w:t>
            </w:r>
            <w:r>
              <w:rPr>
                <w:rFonts w:hint="default" w:ascii="Times New Roman" w:hAnsi="Times New Roman" w:eastAsia="宋体" w:cs="Times New Roman"/>
                <w:bCs/>
                <w:color w:val="auto"/>
                <w:kern w:val="0"/>
                <w:sz w:val="24"/>
              </w:rPr>
              <w:t>属</w:t>
            </w:r>
            <w:r>
              <w:rPr>
                <w:rFonts w:hint="default" w:ascii="Times New Roman" w:hAnsi="Times New Roman" w:cs="Times New Roman"/>
                <w:bCs/>
                <w:color w:val="auto"/>
                <w:kern w:val="0"/>
                <w:sz w:val="24"/>
              </w:rPr>
              <w:t>于可控范</w:t>
            </w:r>
            <w:r>
              <w:rPr>
                <w:rFonts w:hint="default" w:ascii="Times New Roman" w:hAnsi="Times New Roman" w:eastAsia="宋体" w:cs="Times New Roman"/>
                <w:bCs/>
                <w:color w:val="auto"/>
                <w:kern w:val="0"/>
                <w:sz w:val="24"/>
              </w:rPr>
              <w:t>围</w:t>
            </w:r>
            <w:r>
              <w:rPr>
                <w:rFonts w:hint="default" w:ascii="Times New Roman" w:hAnsi="Times New Roman" w:cs="Times New Roman"/>
                <w:bCs/>
                <w:color w:val="auto"/>
                <w:kern w:val="0"/>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37" w:type="dxa"/>
            <w:noWrap w:val="0"/>
            <w:tcMar>
              <w:left w:w="28" w:type="dxa"/>
              <w:right w:w="28" w:type="dxa"/>
            </w:tcMar>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bCs/>
                <w:spacing w:val="10"/>
                <w:szCs w:val="21"/>
              </w:rPr>
            </w:pPr>
            <w:r>
              <w:rPr>
                <w:rFonts w:hint="default" w:ascii="Times New Roman" w:hAnsi="Times New Roman" w:cs="Times New Roman"/>
                <w:bCs/>
                <w:spacing w:val="10"/>
                <w:szCs w:val="21"/>
              </w:rPr>
              <w:t>运营期生态环境保护措施</w:t>
            </w:r>
          </w:p>
        </w:tc>
        <w:tc>
          <w:tcPr>
            <w:tcW w:w="7467" w:type="dxa"/>
            <w:noWrap w:val="0"/>
            <w:vAlign w:val="center"/>
          </w:tcPr>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本项目属于非污染型生态类项目，运营期无污染。</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right="0" w:firstLine="482" w:firstLineChars="200"/>
              <w:textAlignment w:val="baseline"/>
              <w:outlineLvl w:val="9"/>
              <w:rPr>
                <w:rFonts w:hint="default" w:ascii="Times New Roman" w:hAnsi="Times New Roman" w:eastAsia="宋体" w:cs="Times New Roman"/>
                <w:b/>
                <w:bCs/>
                <w:color w:val="auto"/>
                <w:spacing w:val="0"/>
                <w:kern w:val="0"/>
                <w:sz w:val="24"/>
                <w:szCs w:val="24"/>
                <w:lang w:val="en-US" w:eastAsia="zh-CN" w:bidi="ar-SA"/>
              </w:rPr>
            </w:pPr>
            <w:r>
              <w:rPr>
                <w:rFonts w:hint="eastAsia" w:ascii="Times New Roman" w:hAnsi="Times New Roman" w:eastAsia="宋体" w:cs="Times New Roman"/>
                <w:b/>
                <w:bCs/>
                <w:color w:val="auto"/>
                <w:spacing w:val="0"/>
                <w:kern w:val="0"/>
                <w:sz w:val="24"/>
                <w:szCs w:val="24"/>
                <w:lang w:val="en-US" w:eastAsia="zh-CN" w:bidi="ar-SA"/>
              </w:rPr>
              <w:t>1、对行洪范围影响分析</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根据《乐山市市中区苏稽峨眉河安福堰综合整治工程行洪论证与河势稳定评价报告》结论：本次安福堰整治后，坝型采用拦河气盾坝，汛期实施完全倒伏。总的说来，本次安福堰改造后对评价河段的防洪形势有所缓解。</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2" w:firstLineChars="200"/>
              <w:textAlignment w:val="auto"/>
              <w:rPr>
                <w:rFonts w:hint="default"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2、对苏稽水文站影响分析</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为避免苏稽水文站测报功能受到影响，提出如下解决方案：采用国内外较为先进的水文测验设备解决水文站变动回水影响水文测验问题。因每年低水长达10个月以上，传统水文缆道无法正常施测，可投入水下流量自动监测设备一套（HADCP），采用人工比测率定解决受影响问题。按照“谁影响、谁负责、谁恢复”原则，水文站功能恢复由业主或业主委托第三方完成建设。</w:t>
            </w:r>
          </w:p>
          <w:p>
            <w:pPr>
              <w:keepNext w:val="0"/>
              <w:keepLines w:val="0"/>
              <w:pageBreakBefore w:val="0"/>
              <w:widowControl w:val="0"/>
              <w:numPr>
                <w:ilvl w:val="0"/>
                <w:numId w:val="0"/>
              </w:numPr>
              <w:kinsoku/>
              <w:wordWrap/>
              <w:overflowPunct/>
              <w:topLinePunct w:val="0"/>
              <w:bidi w:val="0"/>
              <w:adjustRightInd w:val="0"/>
              <w:snapToGrid w:val="0"/>
              <w:spacing w:line="360" w:lineRule="auto"/>
              <w:ind w:leftChars="0" w:firstLine="482" w:firstLineChars="200"/>
              <w:textAlignment w:val="auto"/>
              <w:rPr>
                <w:rFonts w:hint="default"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3、对河势稳定的影响分析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本次安福堰整治后，坝型采用拦河气盾坝。气盾坝基础底板建设及枯期拦河成库易造成坝前淤积，但一般淤积面难以超过基础底板高程；坝下游以冲刷为主，主体设计时从多种工况考虑，采取了护坦、跌水、底流消能设施及海漫等工程措施，对工程河段河势稳定影响较小。通过计算，因气盾坝完全倒伏后坝顶高程比原安福堰堰顶高程低0.1m，坝上游河段洪水位略有降低，断面流速有所增大，但造成的岸坡冲刷深最大增加值仅为0.04m，对安福堰上游河段岸坡稳定影响较小。</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b/>
                <w:bCs/>
                <w:color w:val="auto"/>
                <w:spacing w:val="0"/>
                <w:lang w:val="en-US" w:eastAsia="zh-CN"/>
              </w:rPr>
            </w:pPr>
            <w:r>
              <w:rPr>
                <w:rFonts w:hint="default" w:ascii="Times New Roman" w:hAnsi="Times New Roman" w:eastAsia="宋体" w:cs="Times New Roman"/>
                <w:color w:val="auto"/>
                <w:spacing w:val="0"/>
                <w:sz w:val="24"/>
                <w:szCs w:val="24"/>
                <w:lang w:val="en-US" w:eastAsia="zh-CN"/>
              </w:rPr>
              <w:t>因此，本工程的建设对评价河段河势稳定性的影响较小。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37"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bCs/>
                <w:spacing w:val="10"/>
                <w:szCs w:val="21"/>
              </w:rPr>
            </w:pPr>
            <w:r>
              <w:rPr>
                <w:rFonts w:hint="default" w:ascii="Times New Roman" w:hAnsi="Times New Roman" w:cs="Times New Roman"/>
                <w:bCs/>
                <w:szCs w:val="21"/>
              </w:rPr>
              <w:t>其他</w:t>
            </w:r>
          </w:p>
        </w:tc>
        <w:tc>
          <w:tcPr>
            <w:tcW w:w="746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cs="Times New Roman"/>
                <w:b/>
                <w:bCs/>
                <w:sz w:val="24"/>
                <w:szCs w:val="24"/>
              </w:rPr>
            </w:pPr>
            <w:r>
              <w:rPr>
                <w:rFonts w:hint="default" w:ascii="Times New Roman" w:hAnsi="Times New Roman" w:cs="Times New Roman"/>
                <w:b/>
                <w:bCs/>
                <w:sz w:val="24"/>
                <w:szCs w:val="24"/>
              </w:rPr>
              <w:t>1、环境管理</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
                <w:bCs/>
                <w:sz w:val="24"/>
                <w:szCs w:val="24"/>
              </w:rPr>
            </w:pPr>
            <w:r>
              <w:rPr>
                <w:rFonts w:hint="default" w:ascii="Times New Roman" w:hAnsi="Times New Roman" w:cs="Times New Roman"/>
                <w:sz w:val="24"/>
                <w:szCs w:val="24"/>
              </w:rPr>
              <w:t>（1）环境管理的目的</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sz w:val="24"/>
                <w:szCs w:val="24"/>
              </w:rPr>
            </w:pPr>
            <w:r>
              <w:rPr>
                <w:rFonts w:hint="default" w:ascii="Times New Roman" w:hAnsi="Times New Roman" w:cs="Times New Roman"/>
                <w:bCs/>
                <w:sz w:val="24"/>
                <w:szCs w:val="24"/>
              </w:rPr>
              <w:t>本工程在建设期将对周围环境产生一定的影响，因此必须通过必要的措施来减缓和消除不利的环境影响。为了保证环保措施的切实落实，使项目的社会、经济和环境效益得到协调发展，必须加强环境管理。</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sz w:val="24"/>
                <w:szCs w:val="24"/>
              </w:rPr>
            </w:pPr>
            <w:r>
              <w:rPr>
                <w:rFonts w:hint="default" w:ascii="Times New Roman" w:hAnsi="Times New Roman" w:cs="Times New Roman"/>
                <w:bCs/>
                <w:sz w:val="24"/>
                <w:szCs w:val="24"/>
              </w:rPr>
              <w:t>（2）环保机构的设置</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sz w:val="24"/>
                <w:szCs w:val="24"/>
              </w:rPr>
            </w:pPr>
            <w:r>
              <w:rPr>
                <w:rFonts w:hint="default" w:ascii="Times New Roman" w:hAnsi="Times New Roman" w:cs="Times New Roman"/>
                <w:bCs/>
                <w:sz w:val="24"/>
                <w:szCs w:val="24"/>
              </w:rPr>
              <w:t>建设单位在设置工程管理机构时，应建立环境保护管理机构，以便对施工期的环境保护工作进行监督和管理，管理机构应设专职（或兼职）人员，其职责如下：</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sz w:val="24"/>
                <w:szCs w:val="24"/>
              </w:rPr>
            </w:pPr>
            <w:r>
              <w:rPr>
                <w:rFonts w:hint="default" w:ascii="Times New Roman" w:hAnsi="Times New Roman" w:cs="Times New Roman"/>
                <w:bCs/>
                <w:sz w:val="24"/>
                <w:szCs w:val="24"/>
              </w:rPr>
              <w:t>①监督施工期环保措施的实施。</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sz w:val="24"/>
                <w:szCs w:val="24"/>
              </w:rPr>
            </w:pPr>
            <w:r>
              <w:rPr>
                <w:rFonts w:hint="default" w:ascii="Times New Roman" w:hAnsi="Times New Roman" w:cs="Times New Roman"/>
                <w:bCs/>
                <w:sz w:val="24"/>
                <w:szCs w:val="24"/>
              </w:rPr>
              <w:t>②负责与地方环保部门的联系，包括区域环境保护措施的协调。</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sz w:val="24"/>
                <w:szCs w:val="24"/>
              </w:rPr>
            </w:pPr>
            <w:r>
              <w:rPr>
                <w:rFonts w:hint="default" w:ascii="Times New Roman" w:hAnsi="Times New Roman" w:cs="Times New Roman"/>
                <w:bCs/>
                <w:sz w:val="24"/>
                <w:szCs w:val="24"/>
              </w:rPr>
              <w:t>③负责好管理机构内部的环保和安全教育工作。</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sz w:val="24"/>
                <w:szCs w:val="24"/>
              </w:rPr>
            </w:pPr>
            <w:r>
              <w:rPr>
                <w:rFonts w:hint="default" w:ascii="Times New Roman" w:hAnsi="Times New Roman" w:cs="Times New Roman"/>
                <w:bCs/>
                <w:sz w:val="24"/>
                <w:szCs w:val="24"/>
              </w:rPr>
              <w:t>④宣传、贯彻和执行国家、地方政府及有关部门制定的环境保护法律法规和条例等。</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sz w:val="24"/>
                <w:szCs w:val="24"/>
              </w:rPr>
            </w:pPr>
            <w:r>
              <w:rPr>
                <w:rFonts w:hint="default" w:ascii="Times New Roman" w:hAnsi="Times New Roman" w:cs="Times New Roman"/>
                <w:bCs/>
                <w:sz w:val="24"/>
                <w:szCs w:val="24"/>
              </w:rPr>
              <w:t>（3）环境管理的主要内容</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sz w:val="24"/>
                <w:szCs w:val="24"/>
              </w:rPr>
            </w:pPr>
            <w:r>
              <w:rPr>
                <w:rFonts w:hint="default" w:ascii="Times New Roman" w:hAnsi="Times New Roman" w:cs="Times New Roman"/>
                <w:bCs/>
                <w:sz w:val="24"/>
                <w:szCs w:val="24"/>
              </w:rPr>
              <w:t>项目施工阶段：</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sz w:val="24"/>
                <w:szCs w:val="24"/>
              </w:rPr>
            </w:pPr>
            <w:r>
              <w:rPr>
                <w:rFonts w:hint="default" w:ascii="Times New Roman" w:hAnsi="Times New Roman" w:cs="Times New Roman"/>
                <w:bCs/>
                <w:sz w:val="24"/>
                <w:szCs w:val="24"/>
              </w:rPr>
              <w:t>①工程建设单位应定期或不定期对施工点的环保措施执行情况进行监督检查，并写出相应的检查报告。</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sz w:val="24"/>
                <w:szCs w:val="24"/>
              </w:rPr>
            </w:pPr>
            <w:r>
              <w:rPr>
                <w:rFonts w:hint="default" w:ascii="Times New Roman" w:hAnsi="Times New Roman" w:cs="Times New Roman"/>
                <w:bCs/>
                <w:sz w:val="24"/>
                <w:szCs w:val="24"/>
              </w:rPr>
              <w:t>②监督检查的重点为各施工点扬尘、噪声的控制、水土流失的防治，施工队伍生活污水及</w:t>
            </w:r>
            <w:r>
              <w:rPr>
                <w:rFonts w:hint="eastAsia" w:ascii="Times New Roman" w:hAnsi="Times New Roman" w:cs="Times New Roman"/>
                <w:bCs/>
                <w:sz w:val="24"/>
                <w:szCs w:val="24"/>
                <w:lang w:eastAsia="zh-CN"/>
              </w:rPr>
              <w:t>疏浚料</w:t>
            </w:r>
            <w:r>
              <w:rPr>
                <w:rFonts w:hint="default" w:ascii="Times New Roman" w:hAnsi="Times New Roman" w:cs="Times New Roman"/>
                <w:bCs/>
                <w:sz w:val="24"/>
                <w:szCs w:val="24"/>
              </w:rPr>
              <w:t>、生活垃圾的处理和处置等。</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sz w:val="24"/>
                <w:szCs w:val="24"/>
              </w:rPr>
            </w:pPr>
            <w:r>
              <w:rPr>
                <w:rFonts w:hint="default" w:ascii="Times New Roman" w:hAnsi="Times New Roman" w:cs="Times New Roman"/>
                <w:bCs/>
                <w:sz w:val="24"/>
                <w:szCs w:val="24"/>
              </w:rPr>
              <w:t>③落实施工设计文件中各项环保措施的执行情况、环保设施的施工进度和资金使用情况。</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sz w:val="24"/>
                <w:szCs w:val="24"/>
              </w:rPr>
            </w:pPr>
            <w:r>
              <w:rPr>
                <w:rFonts w:hint="default" w:ascii="Times New Roman" w:hAnsi="Times New Roman" w:cs="Times New Roman"/>
                <w:bCs/>
                <w:sz w:val="24"/>
                <w:szCs w:val="24"/>
              </w:rPr>
              <w:t>施工完成阶段：</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sz w:val="24"/>
                <w:szCs w:val="24"/>
              </w:rPr>
            </w:pPr>
            <w:r>
              <w:rPr>
                <w:rFonts w:hint="default" w:ascii="Times New Roman" w:hAnsi="Times New Roman" w:cs="Times New Roman"/>
                <w:bCs/>
                <w:sz w:val="24"/>
                <w:szCs w:val="24"/>
              </w:rPr>
              <w:t>①施工完成阶段应重点对各类临时性占地的还原，建筑垃圾及</w:t>
            </w:r>
            <w:r>
              <w:rPr>
                <w:rFonts w:hint="eastAsia" w:ascii="Times New Roman" w:hAnsi="Times New Roman" w:cs="Times New Roman"/>
                <w:bCs/>
                <w:sz w:val="24"/>
                <w:szCs w:val="24"/>
                <w:lang w:eastAsia="zh-CN"/>
              </w:rPr>
              <w:t>疏浚料</w:t>
            </w:r>
            <w:r>
              <w:rPr>
                <w:rFonts w:hint="default" w:ascii="Times New Roman" w:hAnsi="Times New Roman" w:cs="Times New Roman"/>
                <w:bCs/>
                <w:sz w:val="24"/>
                <w:szCs w:val="24"/>
              </w:rPr>
              <w:t>的清运及施工现场的清理进行监督检查。</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sz w:val="24"/>
                <w:szCs w:val="24"/>
              </w:rPr>
            </w:pPr>
            <w:r>
              <w:rPr>
                <w:rFonts w:hint="default" w:ascii="Times New Roman" w:hAnsi="Times New Roman" w:cs="Times New Roman"/>
                <w:bCs/>
                <w:sz w:val="24"/>
                <w:szCs w:val="24"/>
              </w:rPr>
              <w:t>②建设单位应对合同中所定的各项环保条款进行完成和实施情况评估。</w:t>
            </w:r>
          </w:p>
          <w:p>
            <w:pPr>
              <w:pStyle w:val="38"/>
              <w:keepNext w:val="0"/>
              <w:keepLines w:val="0"/>
              <w:pageBreakBefore w:val="0"/>
              <w:widowControl w:val="0"/>
              <w:numPr>
                <w:ilvl w:val="0"/>
                <w:numId w:val="0"/>
              </w:numPr>
              <w:tabs>
                <w:tab w:val="left" w:pos="420"/>
                <w:tab w:val="left" w:pos="870"/>
                <w:tab w:val="left" w:pos="3150"/>
              </w:tabs>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bCs/>
                <w:sz w:val="24"/>
                <w:szCs w:val="24"/>
              </w:rPr>
              <w:t>③环保设施的竣工验收</w:t>
            </w:r>
            <w:r>
              <w:rPr>
                <w:rFonts w:hint="default" w:ascii="Times New Roman" w:hAnsi="Times New Roman" w:cs="Times New Roman"/>
                <w:sz w:val="24"/>
                <w:szCs w:val="24"/>
              </w:rPr>
              <w:t>。</w:t>
            </w:r>
          </w:p>
          <w:p>
            <w:pPr>
              <w:pStyle w:val="38"/>
              <w:keepNext w:val="0"/>
              <w:keepLines w:val="0"/>
              <w:pageBreakBefore w:val="0"/>
              <w:widowControl w:val="0"/>
              <w:numPr>
                <w:ilvl w:val="0"/>
                <w:numId w:val="0"/>
              </w:numPr>
              <w:tabs>
                <w:tab w:val="left" w:pos="420"/>
                <w:tab w:val="left" w:pos="870"/>
                <w:tab w:val="left" w:pos="3150"/>
              </w:tabs>
              <w:kinsoku/>
              <w:wordWrap/>
              <w:overflowPunct/>
              <w:topLinePunct w:val="0"/>
              <w:autoSpaceDE/>
              <w:autoSpaceDN/>
              <w:bidi w:val="0"/>
              <w:adjustRightInd w:val="0"/>
              <w:snapToGrid w:val="0"/>
              <w:spacing w:after="0" w:afterLines="0" w:line="360" w:lineRule="auto"/>
              <w:ind w:firstLine="480" w:firstLineChars="200"/>
              <w:textAlignment w:val="auto"/>
              <w:rPr>
                <w:rFonts w:hint="default" w:ascii="Times New Roman" w:hAnsi="Times New Roman" w:eastAsia="黑体" w:cs="Times New Roman"/>
                <w:b w:val="0"/>
                <w:bCs w:val="0"/>
                <w:color w:val="000000"/>
                <w:sz w:val="24"/>
                <w:szCs w:val="24"/>
                <w:lang w:val="en-US" w:eastAsia="zh-CN"/>
              </w:rPr>
            </w:pPr>
            <w:r>
              <w:rPr>
                <w:rFonts w:hint="eastAsia" w:ascii="Times New Roman" w:hAnsi="Times New Roman" w:eastAsia="黑体" w:cs="Times New Roman"/>
                <w:b w:val="0"/>
                <w:bCs w:val="0"/>
                <w:color w:val="000000"/>
                <w:sz w:val="24"/>
                <w:szCs w:val="24"/>
                <w:lang w:val="en-US" w:eastAsia="zh-CN"/>
              </w:rPr>
              <w:t>2</w:t>
            </w:r>
            <w:r>
              <w:rPr>
                <w:rFonts w:hint="default" w:ascii="Times New Roman" w:hAnsi="Times New Roman" w:eastAsia="黑体" w:cs="Times New Roman"/>
                <w:b w:val="0"/>
                <w:bCs w:val="0"/>
                <w:color w:val="000000"/>
                <w:sz w:val="24"/>
                <w:szCs w:val="24"/>
                <w:lang w:val="en-US" w:eastAsia="zh-CN"/>
              </w:rPr>
              <w:t>、环境监测计划</w:t>
            </w:r>
          </w:p>
          <w:p>
            <w:pPr>
              <w:pStyle w:val="38"/>
              <w:keepNext w:val="0"/>
              <w:keepLines w:val="0"/>
              <w:pageBreakBefore w:val="0"/>
              <w:widowControl w:val="0"/>
              <w:numPr>
                <w:ilvl w:val="0"/>
                <w:numId w:val="0"/>
              </w:numPr>
              <w:tabs>
                <w:tab w:val="left" w:pos="420"/>
                <w:tab w:val="left" w:pos="870"/>
                <w:tab w:val="left" w:pos="3150"/>
              </w:tabs>
              <w:kinsoku/>
              <w:wordWrap/>
              <w:overflowPunct/>
              <w:topLinePunct w:val="0"/>
              <w:autoSpaceDE/>
              <w:autoSpaceDN/>
              <w:bidi w:val="0"/>
              <w:adjustRightInd w:val="0"/>
              <w:snapToGrid w:val="0"/>
              <w:spacing w:after="0" w:afterLines="0" w:line="360" w:lineRule="auto"/>
              <w:ind w:firstLine="480" w:firstLineChars="200"/>
              <w:textAlignment w:val="auto"/>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（1）环境监测目的</w:t>
            </w:r>
          </w:p>
          <w:p>
            <w:pPr>
              <w:pStyle w:val="38"/>
              <w:keepNext w:val="0"/>
              <w:keepLines w:val="0"/>
              <w:pageBreakBefore w:val="0"/>
              <w:widowControl w:val="0"/>
              <w:numPr>
                <w:ilvl w:val="0"/>
                <w:numId w:val="0"/>
              </w:numPr>
              <w:tabs>
                <w:tab w:val="left" w:pos="420"/>
                <w:tab w:val="left" w:pos="870"/>
                <w:tab w:val="left" w:pos="3150"/>
              </w:tabs>
              <w:kinsoku/>
              <w:wordWrap/>
              <w:overflowPunct/>
              <w:topLinePunct w:val="0"/>
              <w:autoSpaceDE/>
              <w:autoSpaceDN/>
              <w:bidi w:val="0"/>
              <w:adjustRightInd w:val="0"/>
              <w:snapToGrid w:val="0"/>
              <w:spacing w:after="0" w:afterLines="0" w:line="360" w:lineRule="auto"/>
              <w:ind w:firstLine="480" w:firstLineChars="200"/>
              <w:textAlignment w:val="auto"/>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为保证本评价提出的环保措施在施工期和营运期能有效减少污染物的排放，使整个受工程建设影响的区域符合本报告提出的环境质量标准，工程施工期和营运期必须执行本监测计划。通过实施环境监测计划，全面及时地掌握工程施工期和营运期环境状况，对可能发生的污染进行监测，为制定必要的污染控制措施提供依据。</w:t>
            </w:r>
          </w:p>
          <w:p>
            <w:pPr>
              <w:pStyle w:val="38"/>
              <w:keepNext w:val="0"/>
              <w:keepLines w:val="0"/>
              <w:pageBreakBefore w:val="0"/>
              <w:widowControl w:val="0"/>
              <w:numPr>
                <w:ilvl w:val="0"/>
                <w:numId w:val="0"/>
              </w:numPr>
              <w:tabs>
                <w:tab w:val="left" w:pos="420"/>
                <w:tab w:val="left" w:pos="870"/>
                <w:tab w:val="left" w:pos="3150"/>
              </w:tabs>
              <w:kinsoku/>
              <w:wordWrap/>
              <w:overflowPunct/>
              <w:topLinePunct w:val="0"/>
              <w:autoSpaceDE/>
              <w:autoSpaceDN/>
              <w:bidi w:val="0"/>
              <w:adjustRightInd w:val="0"/>
              <w:snapToGrid w:val="0"/>
              <w:spacing w:after="0" w:afterLines="0" w:line="360" w:lineRule="auto"/>
              <w:ind w:firstLine="480" w:firstLineChars="200"/>
              <w:textAlignment w:val="auto"/>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（2）环境监测计划</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bCs/>
                <w:color w:val="000000"/>
                <w:kern w:val="0"/>
                <w:sz w:val="24"/>
                <w:szCs w:val="24"/>
                <w:lang w:val="en-US" w:eastAsia="zh-CN" w:bidi="ar-SA"/>
              </w:rPr>
            </w:pPr>
            <w:r>
              <w:rPr>
                <w:rFonts w:hint="default" w:ascii="Times New Roman" w:hAnsi="Times New Roman" w:eastAsia="宋体" w:cs="Times New Roman"/>
                <w:b w:val="0"/>
                <w:bCs/>
                <w:color w:val="000000"/>
                <w:sz w:val="24"/>
                <w:szCs w:val="24"/>
              </w:rPr>
              <w:t>采取定时和不定时抽检相结合的方式进行定点和流动监测，监测重点为</w:t>
            </w:r>
            <w:r>
              <w:rPr>
                <w:rFonts w:hint="eastAsia" w:ascii="Times New Roman" w:hAnsi="Times New Roman" w:eastAsia="宋体" w:cs="Times New Roman"/>
                <w:b w:val="0"/>
                <w:bCs/>
                <w:color w:val="000000"/>
                <w:sz w:val="24"/>
                <w:szCs w:val="24"/>
                <w:lang w:eastAsia="zh-CN"/>
              </w:rPr>
              <w:t>大气</w:t>
            </w:r>
            <w:r>
              <w:rPr>
                <w:rFonts w:hint="default" w:ascii="Times New Roman" w:hAnsi="Times New Roman" w:eastAsia="宋体" w:cs="Times New Roman"/>
                <w:b w:val="0"/>
                <w:bCs/>
                <w:color w:val="000000"/>
                <w:sz w:val="24"/>
                <w:szCs w:val="24"/>
              </w:rPr>
              <w:t>、水、声环境，监测计划见表</w:t>
            </w:r>
            <w:r>
              <w:rPr>
                <w:rFonts w:hint="eastAsia" w:ascii="Times New Roman" w:hAnsi="Times New Roman" w:eastAsia="宋体" w:cs="Times New Roman"/>
                <w:b w:val="0"/>
                <w:bCs/>
                <w:color w:val="000000"/>
                <w:sz w:val="24"/>
                <w:szCs w:val="24"/>
                <w:lang w:val="en-US" w:eastAsia="zh-CN"/>
              </w:rPr>
              <w:t>5</w:t>
            </w:r>
            <w:r>
              <w:rPr>
                <w:rFonts w:hint="default" w:ascii="Times New Roman" w:hAnsi="Times New Roman" w:eastAsia="宋体" w:cs="Times New Roman"/>
                <w:b w:val="0"/>
                <w:bCs/>
                <w:color w:val="000000"/>
                <w:sz w:val="24"/>
                <w:szCs w:val="24"/>
                <w:lang w:val="en-US" w:eastAsia="zh-CN"/>
              </w:rPr>
              <w:t>-</w:t>
            </w:r>
            <w:r>
              <w:rPr>
                <w:rFonts w:hint="eastAsia" w:ascii="Times New Roman" w:hAnsi="Times New Roman" w:eastAsia="宋体" w:cs="Times New Roman"/>
                <w:b w:val="0"/>
                <w:bCs/>
                <w:color w:val="000000"/>
                <w:sz w:val="24"/>
                <w:szCs w:val="24"/>
                <w:lang w:val="en-US" w:eastAsia="zh-CN"/>
              </w:rPr>
              <w:t>2</w:t>
            </w:r>
            <w:r>
              <w:rPr>
                <w:rFonts w:hint="default" w:ascii="Times New Roman" w:hAnsi="Times New Roman" w:eastAsia="宋体" w:cs="Times New Roman"/>
                <w:b w:val="0"/>
                <w:bCs/>
                <w:color w:val="000000"/>
                <w:sz w:val="24"/>
                <w:szCs w:val="24"/>
                <w:lang w:val="en-US" w:eastAsia="zh-CN"/>
              </w:rPr>
              <w:t>。</w:t>
            </w:r>
            <w:r>
              <w:rPr>
                <w:rFonts w:hint="default" w:ascii="Times New Roman" w:hAnsi="Times New Roman" w:eastAsia="宋体" w:cs="Times New Roman"/>
                <w:b w:val="0"/>
                <w:bCs/>
                <w:color w:val="000000"/>
                <w:kern w:val="0"/>
                <w:sz w:val="24"/>
                <w:szCs w:val="24"/>
                <w:lang w:val="en-US" w:eastAsia="zh-CN" w:bidi="ar-SA"/>
              </w:rPr>
              <w:t>监测计划由符合国家环境质量监测认证资质的单位承担。</w:t>
            </w:r>
          </w:p>
          <w:p>
            <w:pPr>
              <w:pStyle w:val="2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sz w:val="21"/>
                <w:szCs w:val="21"/>
                <w:lang w:val="en-US"/>
              </w:rPr>
            </w:pPr>
            <w:r>
              <w:rPr>
                <w:rFonts w:hint="default" w:ascii="Times New Roman" w:hAnsi="Times New Roman" w:eastAsia="宋体" w:cs="Times New Roman"/>
                <w:b/>
                <w:bCs w:val="0"/>
                <w:color w:val="000000"/>
                <w:sz w:val="21"/>
                <w:szCs w:val="21"/>
              </w:rPr>
              <w:t>表</w:t>
            </w:r>
            <w:r>
              <w:rPr>
                <w:rFonts w:hint="default" w:ascii="Times New Roman" w:hAnsi="Times New Roman" w:eastAsia="宋体" w:cs="Times New Roman"/>
                <w:b/>
                <w:bCs w:val="0"/>
                <w:color w:val="000000"/>
                <w:sz w:val="21"/>
                <w:szCs w:val="21"/>
                <w:lang w:val="en-US" w:eastAsia="zh-CN"/>
              </w:rPr>
              <w:t>5-2  环境监测计划</w:t>
            </w:r>
          </w:p>
          <w:tbl>
            <w:tblPr>
              <w:tblStyle w:val="4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
              <w:gridCol w:w="963"/>
              <w:gridCol w:w="1570"/>
              <w:gridCol w:w="2348"/>
              <w:gridCol w:w="15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2" w:type="pct"/>
                  <w:noWrap w:val="0"/>
                  <w:vAlign w:val="center"/>
                </w:tcPr>
                <w:p>
                  <w:pPr>
                    <w:pStyle w:val="38"/>
                    <w:numPr>
                      <w:ilvl w:val="0"/>
                      <w:numId w:val="0"/>
                    </w:numPr>
                    <w:tabs>
                      <w:tab w:val="left" w:pos="420"/>
                      <w:tab w:val="left" w:pos="870"/>
                      <w:tab w:val="left" w:pos="3150"/>
                    </w:tabs>
                    <w:ind w:left="0" w:leftChars="0" w:right="0" w:rightChars="0" w:firstLine="0" w:firstLineChars="0"/>
                    <w:jc w:val="center"/>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时段</w:t>
                  </w:r>
                </w:p>
              </w:tc>
              <w:tc>
                <w:tcPr>
                  <w:tcW w:w="665" w:type="pct"/>
                  <w:noWrap w:val="0"/>
                  <w:vAlign w:val="center"/>
                </w:tcPr>
                <w:p>
                  <w:pPr>
                    <w:pStyle w:val="38"/>
                    <w:numPr>
                      <w:ilvl w:val="0"/>
                      <w:numId w:val="0"/>
                    </w:numPr>
                    <w:tabs>
                      <w:tab w:val="left" w:pos="420"/>
                      <w:tab w:val="left" w:pos="870"/>
                      <w:tab w:val="left" w:pos="3150"/>
                    </w:tabs>
                    <w:ind w:left="0" w:leftChars="0" w:right="0" w:rightChars="0" w:firstLine="0" w:firstLineChars="0"/>
                    <w:jc w:val="center"/>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类别</w:t>
                  </w:r>
                </w:p>
              </w:tc>
              <w:tc>
                <w:tcPr>
                  <w:tcW w:w="1084" w:type="pct"/>
                  <w:noWrap w:val="0"/>
                  <w:vAlign w:val="center"/>
                </w:tcPr>
                <w:p>
                  <w:pPr>
                    <w:pStyle w:val="38"/>
                    <w:numPr>
                      <w:ilvl w:val="0"/>
                      <w:numId w:val="0"/>
                    </w:numPr>
                    <w:tabs>
                      <w:tab w:val="left" w:pos="420"/>
                      <w:tab w:val="left" w:pos="870"/>
                      <w:tab w:val="left" w:pos="3150"/>
                    </w:tabs>
                    <w:ind w:left="0" w:leftChars="0" w:right="0" w:rightChars="0" w:firstLine="0" w:firstLineChars="0"/>
                    <w:jc w:val="center"/>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测点位置</w:t>
                  </w:r>
                </w:p>
              </w:tc>
              <w:tc>
                <w:tcPr>
                  <w:tcW w:w="1621" w:type="pct"/>
                  <w:noWrap w:val="0"/>
                  <w:vAlign w:val="center"/>
                </w:tcPr>
                <w:p>
                  <w:pPr>
                    <w:pStyle w:val="38"/>
                    <w:numPr>
                      <w:ilvl w:val="0"/>
                      <w:numId w:val="0"/>
                    </w:numPr>
                    <w:tabs>
                      <w:tab w:val="left" w:pos="420"/>
                      <w:tab w:val="left" w:pos="870"/>
                      <w:tab w:val="left" w:pos="3150"/>
                    </w:tabs>
                    <w:ind w:left="0" w:leftChars="0" w:right="0" w:rightChars="0" w:firstLine="0" w:firstLineChars="0"/>
                    <w:jc w:val="center"/>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监测项目</w:t>
                  </w:r>
                </w:p>
              </w:tc>
              <w:tc>
                <w:tcPr>
                  <w:tcW w:w="1095" w:type="pct"/>
                  <w:noWrap w:val="0"/>
                  <w:vAlign w:val="center"/>
                </w:tcPr>
                <w:p>
                  <w:pPr>
                    <w:pStyle w:val="38"/>
                    <w:numPr>
                      <w:ilvl w:val="0"/>
                      <w:numId w:val="0"/>
                    </w:numPr>
                    <w:tabs>
                      <w:tab w:val="left" w:pos="420"/>
                      <w:tab w:val="left" w:pos="870"/>
                      <w:tab w:val="left" w:pos="3150"/>
                    </w:tabs>
                    <w:ind w:left="0" w:leftChars="0" w:right="0" w:rightChars="0" w:firstLine="0" w:firstLineChars="0"/>
                    <w:jc w:val="center"/>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监测频次及历时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532" w:type="pct"/>
                  <w:vMerge w:val="restart"/>
                  <w:noWrap w:val="0"/>
                  <w:vAlign w:val="center"/>
                </w:tcPr>
                <w:p>
                  <w:pPr>
                    <w:pStyle w:val="38"/>
                    <w:numPr>
                      <w:ilvl w:val="0"/>
                      <w:numId w:val="0"/>
                    </w:numPr>
                    <w:tabs>
                      <w:tab w:val="left" w:pos="420"/>
                      <w:tab w:val="left" w:pos="870"/>
                      <w:tab w:val="left" w:pos="3150"/>
                    </w:tabs>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施工期</w:t>
                  </w:r>
                </w:p>
              </w:tc>
              <w:tc>
                <w:tcPr>
                  <w:tcW w:w="665" w:type="pct"/>
                  <w:noWrap w:val="0"/>
                  <w:vAlign w:val="center"/>
                </w:tcPr>
                <w:p>
                  <w:pPr>
                    <w:pStyle w:val="38"/>
                    <w:numPr>
                      <w:ilvl w:val="0"/>
                      <w:numId w:val="0"/>
                    </w:numPr>
                    <w:tabs>
                      <w:tab w:val="left" w:pos="420"/>
                      <w:tab w:val="left" w:pos="870"/>
                      <w:tab w:val="left" w:pos="3150"/>
                    </w:tabs>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水环境</w:t>
                  </w:r>
                </w:p>
              </w:tc>
              <w:tc>
                <w:tcPr>
                  <w:tcW w:w="1084" w:type="pct"/>
                  <w:noWrap w:val="0"/>
                  <w:vAlign w:val="center"/>
                </w:tcPr>
                <w:p>
                  <w:pPr>
                    <w:pStyle w:val="38"/>
                    <w:numPr>
                      <w:ilvl w:val="0"/>
                      <w:numId w:val="0"/>
                    </w:numPr>
                    <w:tabs>
                      <w:tab w:val="left" w:pos="420"/>
                      <w:tab w:val="left" w:pos="870"/>
                      <w:tab w:val="left" w:pos="3150"/>
                    </w:tabs>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疏浚点上游500m处，</w:t>
                  </w:r>
                  <w:r>
                    <w:rPr>
                      <w:rFonts w:hint="default" w:ascii="Times New Roman" w:hAnsi="Times New Roman" w:cs="Times New Roman"/>
                      <w:color w:val="auto"/>
                      <w:sz w:val="21"/>
                      <w:szCs w:val="21"/>
                      <w:vertAlign w:val="baseline"/>
                      <w:lang w:val="en-US" w:eastAsia="zh-CN"/>
                    </w:rPr>
                    <w:t>疏浚点下游</w:t>
                  </w:r>
                  <w:r>
                    <w:rPr>
                      <w:rFonts w:hint="eastAsia" w:ascii="Times New Roman" w:hAnsi="Times New Roman" w:cs="Times New Roman"/>
                      <w:color w:val="auto"/>
                      <w:sz w:val="21"/>
                      <w:szCs w:val="21"/>
                      <w:vertAlign w:val="baseline"/>
                      <w:lang w:val="en-US" w:eastAsia="zh-CN"/>
                    </w:rPr>
                    <w:t>1000</w:t>
                  </w:r>
                  <w:r>
                    <w:rPr>
                      <w:rFonts w:hint="default" w:ascii="Times New Roman" w:hAnsi="Times New Roman" w:cs="Times New Roman"/>
                      <w:color w:val="auto"/>
                      <w:sz w:val="21"/>
                      <w:szCs w:val="21"/>
                      <w:vertAlign w:val="baseline"/>
                      <w:lang w:val="en-US" w:eastAsia="zh-CN"/>
                    </w:rPr>
                    <w:t>m</w:t>
                  </w:r>
                  <w:r>
                    <w:rPr>
                      <w:rFonts w:hint="eastAsia" w:ascii="Times New Roman" w:hAnsi="Times New Roman" w:cs="Times New Roman"/>
                      <w:color w:val="auto"/>
                      <w:sz w:val="21"/>
                      <w:szCs w:val="21"/>
                      <w:vertAlign w:val="baseline"/>
                      <w:lang w:val="en-US" w:eastAsia="zh-CN"/>
                    </w:rPr>
                    <w:t>处</w:t>
                  </w:r>
                </w:p>
              </w:tc>
              <w:tc>
                <w:tcPr>
                  <w:tcW w:w="1621" w:type="pct"/>
                  <w:noWrap w:val="0"/>
                  <w:vAlign w:val="center"/>
                </w:tcPr>
                <w:p>
                  <w:pPr>
                    <w:pStyle w:val="38"/>
                    <w:numPr>
                      <w:ilvl w:val="0"/>
                      <w:numId w:val="0"/>
                    </w:numPr>
                    <w:tabs>
                      <w:tab w:val="left" w:pos="420"/>
                      <w:tab w:val="left" w:pos="870"/>
                      <w:tab w:val="left" w:pos="3150"/>
                    </w:tabs>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SS、COD</w:t>
                  </w:r>
                  <w:r>
                    <w:rPr>
                      <w:rFonts w:hint="eastAsia" w:ascii="Times New Roman" w:hAnsi="Times New Roman" w:cs="Times New Roman"/>
                      <w:color w:val="auto"/>
                      <w:sz w:val="21"/>
                      <w:szCs w:val="21"/>
                      <w:vertAlign w:val="baseline"/>
                      <w:lang w:val="en-US" w:eastAsia="zh-CN"/>
                    </w:rPr>
                    <w:t>、BOD</w:t>
                  </w:r>
                  <w:r>
                    <w:rPr>
                      <w:rFonts w:hint="eastAsia" w:ascii="Times New Roman" w:hAnsi="Times New Roman" w:cs="Times New Roman"/>
                      <w:color w:val="auto"/>
                      <w:sz w:val="21"/>
                      <w:szCs w:val="21"/>
                      <w:vertAlign w:val="subscript"/>
                      <w:lang w:val="en-US" w:eastAsia="zh-CN"/>
                    </w:rPr>
                    <w:t>5</w:t>
                  </w:r>
                  <w:r>
                    <w:rPr>
                      <w:rFonts w:hint="eastAsia" w:ascii="Times New Roman" w:hAnsi="Times New Roman" w:cs="Times New Roman"/>
                      <w:color w:val="auto"/>
                      <w:sz w:val="21"/>
                      <w:szCs w:val="21"/>
                      <w:vertAlign w:val="baseline"/>
                      <w:lang w:val="en-US" w:eastAsia="zh-CN"/>
                    </w:rPr>
                    <w:t>、石油类</w:t>
                  </w:r>
                </w:p>
              </w:tc>
              <w:tc>
                <w:tcPr>
                  <w:tcW w:w="1095" w:type="pct"/>
                  <w:noWrap w:val="0"/>
                  <w:vAlign w:val="center"/>
                </w:tcPr>
                <w:p>
                  <w:pPr>
                    <w:pStyle w:val="38"/>
                    <w:numPr>
                      <w:ilvl w:val="0"/>
                      <w:numId w:val="0"/>
                    </w:numPr>
                    <w:tabs>
                      <w:tab w:val="left" w:pos="420"/>
                      <w:tab w:val="left" w:pos="870"/>
                      <w:tab w:val="left" w:pos="3150"/>
                    </w:tabs>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施工期</w:t>
                  </w:r>
                  <w:r>
                    <w:rPr>
                      <w:rFonts w:hint="default" w:ascii="Times New Roman" w:hAnsi="Times New Roman" w:cs="Times New Roman"/>
                      <w:color w:val="auto"/>
                      <w:sz w:val="21"/>
                      <w:szCs w:val="21"/>
                      <w:vertAlign w:val="baseline"/>
                      <w:lang w:val="en-US" w:eastAsia="zh-CN"/>
                    </w:rPr>
                    <w:t>监测1</w:t>
                  </w:r>
                  <w:r>
                    <w:rPr>
                      <w:rFonts w:hint="eastAsia" w:ascii="Times New Roman" w:hAnsi="Times New Roman" w:cs="Times New Roman"/>
                      <w:color w:val="auto"/>
                      <w:sz w:val="21"/>
                      <w:szCs w:val="21"/>
                      <w:vertAlign w:val="baseline"/>
                      <w:lang w:val="en-US" w:eastAsia="zh-CN"/>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532" w:type="pct"/>
                  <w:vMerge w:val="continue"/>
                  <w:noWrap w:val="0"/>
                  <w:vAlign w:val="center"/>
                </w:tcPr>
                <w:p>
                  <w:pPr>
                    <w:pStyle w:val="38"/>
                    <w:numPr>
                      <w:ilvl w:val="0"/>
                      <w:numId w:val="0"/>
                    </w:numPr>
                    <w:tabs>
                      <w:tab w:val="left" w:pos="420"/>
                      <w:tab w:val="left" w:pos="870"/>
                      <w:tab w:val="left" w:pos="3150"/>
                    </w:tabs>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p>
              </w:tc>
              <w:tc>
                <w:tcPr>
                  <w:tcW w:w="665" w:type="pct"/>
                  <w:noWrap w:val="0"/>
                  <w:vAlign w:val="center"/>
                </w:tcPr>
                <w:p>
                  <w:pPr>
                    <w:pStyle w:val="38"/>
                    <w:numPr>
                      <w:ilvl w:val="0"/>
                      <w:numId w:val="0"/>
                    </w:numPr>
                    <w:tabs>
                      <w:tab w:val="left" w:pos="420"/>
                      <w:tab w:val="left" w:pos="870"/>
                      <w:tab w:val="left" w:pos="3150"/>
                    </w:tabs>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大气环境</w:t>
                  </w:r>
                </w:p>
              </w:tc>
              <w:tc>
                <w:tcPr>
                  <w:tcW w:w="1084" w:type="pct"/>
                  <w:noWrap w:val="0"/>
                  <w:vAlign w:val="center"/>
                </w:tcPr>
                <w:p>
                  <w:pPr>
                    <w:pStyle w:val="38"/>
                    <w:numPr>
                      <w:ilvl w:val="0"/>
                      <w:numId w:val="0"/>
                    </w:numPr>
                    <w:tabs>
                      <w:tab w:val="left" w:pos="420"/>
                      <w:tab w:val="left" w:pos="870"/>
                      <w:tab w:val="left" w:pos="3150"/>
                    </w:tabs>
                    <w:ind w:left="0" w:leftChars="0" w:right="0" w:rightChars="0" w:firstLine="0" w:firstLineChars="0"/>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施工场地周边</w:t>
                  </w:r>
                </w:p>
              </w:tc>
              <w:tc>
                <w:tcPr>
                  <w:tcW w:w="1621" w:type="pct"/>
                  <w:noWrap w:val="0"/>
                  <w:vAlign w:val="center"/>
                </w:tcPr>
                <w:p>
                  <w:pPr>
                    <w:pStyle w:val="38"/>
                    <w:numPr>
                      <w:ilvl w:val="0"/>
                      <w:numId w:val="0"/>
                    </w:numPr>
                    <w:tabs>
                      <w:tab w:val="left" w:pos="420"/>
                      <w:tab w:val="left" w:pos="870"/>
                      <w:tab w:val="left" w:pos="3150"/>
                    </w:tabs>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颗粒物</w:t>
                  </w:r>
                </w:p>
              </w:tc>
              <w:tc>
                <w:tcPr>
                  <w:tcW w:w="1095" w:type="pct"/>
                  <w:noWrap w:val="0"/>
                  <w:vAlign w:val="center"/>
                </w:tcPr>
                <w:p>
                  <w:pPr>
                    <w:pStyle w:val="38"/>
                    <w:numPr>
                      <w:ilvl w:val="0"/>
                      <w:numId w:val="0"/>
                    </w:numPr>
                    <w:tabs>
                      <w:tab w:val="left" w:pos="420"/>
                      <w:tab w:val="left" w:pos="870"/>
                      <w:tab w:val="left" w:pos="3150"/>
                    </w:tabs>
                    <w:ind w:left="0" w:leftChars="0" w:right="0" w:rightChars="0" w:firstLine="0" w:firstLineChars="0"/>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施工期</w:t>
                  </w:r>
                  <w:r>
                    <w:rPr>
                      <w:rFonts w:hint="default" w:ascii="Times New Roman" w:hAnsi="Times New Roman" w:cs="Times New Roman"/>
                      <w:color w:val="auto"/>
                      <w:sz w:val="21"/>
                      <w:szCs w:val="21"/>
                      <w:vertAlign w:val="baseline"/>
                      <w:lang w:val="en-US" w:eastAsia="zh-CN"/>
                    </w:rPr>
                    <w:t>监测1</w:t>
                  </w:r>
                  <w:r>
                    <w:rPr>
                      <w:rFonts w:hint="eastAsia" w:ascii="Times New Roman" w:hAnsi="Times New Roman" w:cs="Times New Roman"/>
                      <w:color w:val="auto"/>
                      <w:sz w:val="21"/>
                      <w:szCs w:val="21"/>
                      <w:vertAlign w:val="baseline"/>
                      <w:lang w:val="en-US" w:eastAsia="zh-CN"/>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2" w:type="pct"/>
                  <w:vMerge w:val="continue"/>
                  <w:noWrap w:val="0"/>
                  <w:vAlign w:val="center"/>
                </w:tcPr>
                <w:p>
                  <w:pPr>
                    <w:pStyle w:val="38"/>
                    <w:numPr>
                      <w:ilvl w:val="0"/>
                      <w:numId w:val="0"/>
                    </w:numPr>
                    <w:tabs>
                      <w:tab w:val="left" w:pos="420"/>
                      <w:tab w:val="left" w:pos="870"/>
                      <w:tab w:val="left" w:pos="3150"/>
                    </w:tabs>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p>
              </w:tc>
              <w:tc>
                <w:tcPr>
                  <w:tcW w:w="665" w:type="pct"/>
                  <w:noWrap w:val="0"/>
                  <w:vAlign w:val="center"/>
                </w:tcPr>
                <w:p>
                  <w:pPr>
                    <w:pStyle w:val="38"/>
                    <w:numPr>
                      <w:ilvl w:val="0"/>
                      <w:numId w:val="0"/>
                    </w:numPr>
                    <w:tabs>
                      <w:tab w:val="left" w:pos="420"/>
                      <w:tab w:val="left" w:pos="870"/>
                      <w:tab w:val="left" w:pos="3150"/>
                    </w:tabs>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声环境</w:t>
                  </w:r>
                </w:p>
              </w:tc>
              <w:tc>
                <w:tcPr>
                  <w:tcW w:w="1084" w:type="pct"/>
                  <w:noWrap w:val="0"/>
                  <w:vAlign w:val="center"/>
                </w:tcPr>
                <w:p>
                  <w:pPr>
                    <w:pStyle w:val="38"/>
                    <w:numPr>
                      <w:ilvl w:val="0"/>
                      <w:numId w:val="0"/>
                    </w:numPr>
                    <w:tabs>
                      <w:tab w:val="left" w:pos="420"/>
                      <w:tab w:val="left" w:pos="870"/>
                      <w:tab w:val="left" w:pos="3150"/>
                    </w:tabs>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施工场地周边居民点、临时堆料区</w:t>
                  </w:r>
                </w:p>
              </w:tc>
              <w:tc>
                <w:tcPr>
                  <w:tcW w:w="1621" w:type="pct"/>
                  <w:noWrap w:val="0"/>
                  <w:vAlign w:val="center"/>
                </w:tcPr>
                <w:p>
                  <w:pPr>
                    <w:pStyle w:val="38"/>
                    <w:numPr>
                      <w:ilvl w:val="0"/>
                      <w:numId w:val="0"/>
                    </w:numPr>
                    <w:tabs>
                      <w:tab w:val="left" w:pos="420"/>
                      <w:tab w:val="left" w:pos="870"/>
                      <w:tab w:val="left" w:pos="3150"/>
                    </w:tabs>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LeqA</w:t>
                  </w:r>
                </w:p>
              </w:tc>
              <w:tc>
                <w:tcPr>
                  <w:tcW w:w="1095" w:type="pct"/>
                  <w:noWrap w:val="0"/>
                  <w:vAlign w:val="center"/>
                </w:tcPr>
                <w:p>
                  <w:pPr>
                    <w:pStyle w:val="34"/>
                    <w:keepNext w:val="0"/>
                    <w:keepLines w:val="0"/>
                    <w:widowControl/>
                    <w:suppressLineNumbers w:val="0"/>
                    <w:ind w:left="0" w:leftChars="0" w:right="0" w:rightChars="0" w:firstLine="0" w:firstLineChars="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rPr>
                    <w:t>施工期</w:t>
                  </w:r>
                  <w:r>
                    <w:rPr>
                      <w:rFonts w:hint="eastAsia" w:ascii="Times New Roman" w:hAnsi="Times New Roman" w:cs="Times New Roman"/>
                      <w:color w:val="auto"/>
                      <w:sz w:val="21"/>
                      <w:szCs w:val="21"/>
                      <w:lang w:eastAsia="zh-CN"/>
                    </w:rPr>
                    <w:t>监测</w:t>
                  </w:r>
                  <w:r>
                    <w:rPr>
                      <w:rFonts w:hint="default" w:ascii="Times New Roman" w:hAnsi="Times New Roman" w:cs="Times New Roman"/>
                      <w:color w:val="auto"/>
                      <w:sz w:val="21"/>
                      <w:szCs w:val="21"/>
                    </w:rPr>
                    <w:t>1次，每次监测1天，昼间、夜间各一次</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520" w:firstLineChars="200"/>
              <w:jc w:val="both"/>
              <w:textAlignment w:val="auto"/>
              <w:rPr>
                <w:rFonts w:hint="default" w:ascii="Times New Roman" w:hAnsi="Times New Roman" w:cs="Times New Roman"/>
                <w:bCs/>
                <w:color w:val="0000FF"/>
                <w:spacing w:val="1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37" w:type="dxa"/>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bCs/>
                <w:spacing w:val="10"/>
                <w:szCs w:val="21"/>
              </w:rPr>
            </w:pPr>
            <w:r>
              <w:rPr>
                <w:rFonts w:hint="default" w:ascii="Times New Roman" w:hAnsi="Times New Roman" w:cs="Times New Roman"/>
                <w:bCs/>
                <w:szCs w:val="21"/>
              </w:rPr>
              <w:t>环保投资</w:t>
            </w:r>
          </w:p>
        </w:tc>
        <w:tc>
          <w:tcPr>
            <w:tcW w:w="746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hint="default" w:ascii="Times New Roman" w:hAnsi="Times New Roman" w:eastAsia="宋体" w:cs="Times New Roman"/>
                <w:color w:val="auto"/>
                <w:spacing w:val="0"/>
                <w:sz w:val="24"/>
                <w:szCs w:val="24"/>
                <w:highlight w:val="green"/>
                <w:lang w:eastAsia="zh-CN"/>
              </w:rPr>
            </w:pPr>
            <w:r>
              <w:rPr>
                <w:rFonts w:hint="default" w:ascii="Times New Roman" w:hAnsi="Times New Roman" w:cs="Times New Roman"/>
                <w:color w:val="auto"/>
                <w:spacing w:val="0"/>
                <w:sz w:val="24"/>
                <w:szCs w:val="24"/>
              </w:rPr>
              <w:t>本工程总投资为</w:t>
            </w:r>
            <w:r>
              <w:rPr>
                <w:rFonts w:hint="eastAsia" w:ascii="Times New Roman" w:hAnsi="Times New Roman" w:cs="Times New Roman"/>
                <w:color w:val="auto"/>
                <w:spacing w:val="0"/>
                <w:sz w:val="24"/>
                <w:szCs w:val="24"/>
                <w:lang w:val="en-US" w:eastAsia="zh-CN"/>
              </w:rPr>
              <w:t>3438</w:t>
            </w:r>
            <w:r>
              <w:rPr>
                <w:rFonts w:hint="default" w:ascii="Times New Roman" w:hAnsi="Times New Roman" w:cs="Times New Roman"/>
                <w:color w:val="auto"/>
                <w:spacing w:val="0"/>
                <w:sz w:val="24"/>
                <w:szCs w:val="24"/>
              </w:rPr>
              <w:t>万元，环保投资合计</w:t>
            </w:r>
            <w:r>
              <w:rPr>
                <w:rFonts w:hint="eastAsia" w:ascii="Times New Roman" w:hAnsi="Times New Roman" w:cs="Times New Roman"/>
                <w:color w:val="auto"/>
                <w:spacing w:val="0"/>
                <w:sz w:val="24"/>
                <w:szCs w:val="24"/>
                <w:lang w:val="en-US" w:eastAsia="zh-CN"/>
              </w:rPr>
              <w:t>250万</w:t>
            </w:r>
            <w:r>
              <w:rPr>
                <w:rFonts w:hint="default" w:ascii="Times New Roman" w:hAnsi="Times New Roman" w:cs="Times New Roman"/>
                <w:color w:val="auto"/>
                <w:spacing w:val="0"/>
                <w:sz w:val="24"/>
                <w:szCs w:val="24"/>
              </w:rPr>
              <w:t>元，占总投资的</w:t>
            </w:r>
            <w:r>
              <w:rPr>
                <w:rFonts w:hint="eastAsia" w:ascii="Times New Roman" w:hAnsi="Times New Roman" w:cs="Times New Roman"/>
                <w:color w:val="auto"/>
                <w:spacing w:val="0"/>
                <w:sz w:val="24"/>
                <w:szCs w:val="24"/>
                <w:lang w:val="en-US" w:eastAsia="zh-CN"/>
              </w:rPr>
              <w:t>7.27%</w:t>
            </w:r>
            <w:r>
              <w:rPr>
                <w:rFonts w:hint="default" w:ascii="Times New Roman" w:hAnsi="Times New Roman" w:cs="Times New Roman"/>
                <w:color w:val="auto"/>
                <w:spacing w:val="0"/>
                <w:sz w:val="24"/>
                <w:szCs w:val="24"/>
              </w:rPr>
              <w:t>。本工程主要的环境保护直接投资估算详见表</w:t>
            </w:r>
            <w:r>
              <w:rPr>
                <w:rFonts w:hint="eastAsia" w:ascii="Times New Roman" w:hAnsi="Times New Roman" w:cs="Times New Roman"/>
                <w:color w:val="auto"/>
                <w:spacing w:val="0"/>
                <w:sz w:val="24"/>
                <w:szCs w:val="24"/>
                <w:lang w:val="en-US" w:eastAsia="zh-CN"/>
              </w:rPr>
              <w:t>5</w:t>
            </w:r>
            <w:r>
              <w:rPr>
                <w:rFonts w:hint="default" w:ascii="Times New Roman" w:hAnsi="Times New Roman" w:cs="Times New Roman"/>
                <w:color w:val="auto"/>
                <w:spacing w:val="0"/>
                <w:sz w:val="24"/>
                <w:szCs w:val="24"/>
              </w:rPr>
              <w:t>-</w:t>
            </w:r>
            <w:r>
              <w:rPr>
                <w:rFonts w:hint="eastAsia" w:ascii="Times New Roman" w:hAnsi="Times New Roman" w:cs="Times New Roman"/>
                <w:color w:val="auto"/>
                <w:spacing w:val="0"/>
                <w:sz w:val="24"/>
                <w:szCs w:val="24"/>
                <w:lang w:val="en-US" w:eastAsia="zh-CN"/>
              </w:rPr>
              <w:t>3</w:t>
            </w:r>
            <w:r>
              <w:rPr>
                <w:rFonts w:hint="default" w:ascii="Times New Roman" w:hAnsi="Times New Roman" w:cs="Times New Roman"/>
                <w:color w:val="auto"/>
                <w:spacing w:val="0"/>
                <w:sz w:val="24"/>
                <w:szCs w:val="24"/>
                <w:lang w:eastAsia="zh-CN"/>
              </w:rPr>
              <w:t>。</w:t>
            </w:r>
          </w:p>
          <w:p>
            <w:pPr>
              <w:pStyle w:val="2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000000"/>
                <w:sz w:val="21"/>
                <w:szCs w:val="21"/>
                <w:lang w:val="zh-CN"/>
              </w:rPr>
            </w:pPr>
            <w:r>
              <w:rPr>
                <w:rFonts w:hint="default" w:ascii="Times New Roman" w:hAnsi="Times New Roman" w:eastAsia="宋体" w:cs="Times New Roman"/>
                <w:b/>
                <w:bCs w:val="0"/>
                <w:color w:val="000000"/>
                <w:sz w:val="21"/>
                <w:szCs w:val="21"/>
                <w:lang w:val="zh-CN"/>
              </w:rPr>
              <w:t>表</w:t>
            </w:r>
            <w:r>
              <w:rPr>
                <w:rFonts w:hint="eastAsia" w:ascii="Times New Roman" w:hAnsi="Times New Roman" w:eastAsia="宋体" w:cs="Times New Roman"/>
                <w:b/>
                <w:bCs w:val="0"/>
                <w:color w:val="000000"/>
                <w:sz w:val="21"/>
                <w:szCs w:val="21"/>
                <w:lang w:val="en-US" w:eastAsia="zh-CN"/>
              </w:rPr>
              <w:t>5</w:t>
            </w:r>
            <w:r>
              <w:rPr>
                <w:rFonts w:hint="default" w:ascii="Times New Roman" w:hAnsi="Times New Roman" w:eastAsia="宋体" w:cs="Times New Roman"/>
                <w:b/>
                <w:bCs w:val="0"/>
                <w:color w:val="000000"/>
                <w:sz w:val="21"/>
                <w:szCs w:val="21"/>
                <w:lang w:val="zh-CN"/>
              </w:rPr>
              <w:t>-</w:t>
            </w:r>
            <w:r>
              <w:rPr>
                <w:rFonts w:hint="eastAsia" w:ascii="Times New Roman" w:hAnsi="Times New Roman" w:eastAsia="宋体" w:cs="Times New Roman"/>
                <w:b/>
                <w:bCs w:val="0"/>
                <w:color w:val="000000"/>
                <w:sz w:val="21"/>
                <w:szCs w:val="21"/>
                <w:lang w:val="en-US" w:eastAsia="zh-CN"/>
              </w:rPr>
              <w:t>3</w:t>
            </w:r>
            <w:r>
              <w:rPr>
                <w:rFonts w:hint="default" w:ascii="Times New Roman" w:hAnsi="Times New Roman" w:eastAsia="宋体" w:cs="Times New Roman"/>
                <w:b/>
                <w:bCs w:val="0"/>
                <w:color w:val="000000"/>
                <w:sz w:val="21"/>
                <w:szCs w:val="21"/>
                <w:lang w:val="zh-CN"/>
              </w:rPr>
              <w:t xml:space="preserve"> </w:t>
            </w:r>
            <w:r>
              <w:rPr>
                <w:rFonts w:hint="default" w:ascii="Times New Roman" w:hAnsi="Times New Roman" w:eastAsia="宋体" w:cs="Times New Roman"/>
                <w:b/>
                <w:bCs w:val="0"/>
                <w:color w:val="000000"/>
                <w:sz w:val="21"/>
                <w:szCs w:val="21"/>
              </w:rPr>
              <w:t xml:space="preserve"> </w:t>
            </w:r>
            <w:r>
              <w:rPr>
                <w:rFonts w:hint="default" w:ascii="Times New Roman" w:hAnsi="Times New Roman" w:eastAsia="宋体" w:cs="Times New Roman"/>
                <w:b/>
                <w:bCs w:val="0"/>
                <w:color w:val="000000"/>
                <w:sz w:val="21"/>
                <w:szCs w:val="21"/>
                <w:lang w:val="zh-CN"/>
              </w:rPr>
              <w:t>主要环保投资估算</w:t>
            </w:r>
          </w:p>
          <w:tbl>
            <w:tblPr>
              <w:tblStyle w:val="39"/>
              <w:tblW w:w="4997"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699"/>
              <w:gridCol w:w="965"/>
              <w:gridCol w:w="4840"/>
              <w:gridCol w:w="72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0" w:hRule="atLeast"/>
                <w:jc w:val="center"/>
              </w:trPr>
              <w:tc>
                <w:tcPr>
                  <w:tcW w:w="483"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bCs/>
                      <w:color w:val="auto"/>
                      <w:spacing w:val="0"/>
                      <w:sz w:val="21"/>
                      <w:szCs w:val="21"/>
                      <w:lang w:eastAsia="zh-CN"/>
                    </w:rPr>
                  </w:pPr>
                  <w:bookmarkStart w:id="10" w:name="_Toc13623"/>
                  <w:r>
                    <w:rPr>
                      <w:rFonts w:hint="default" w:ascii="Times New Roman" w:hAnsi="Times New Roman" w:cs="Times New Roman"/>
                      <w:b/>
                      <w:bCs/>
                      <w:color w:val="auto"/>
                      <w:spacing w:val="0"/>
                      <w:sz w:val="21"/>
                      <w:szCs w:val="21"/>
                      <w:lang w:eastAsia="zh-CN"/>
                    </w:rPr>
                    <w:t>时间</w:t>
                  </w:r>
                </w:p>
              </w:tc>
              <w:tc>
                <w:tcPr>
                  <w:tcW w:w="667"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b/>
                      <w:bCs/>
                      <w:color w:val="auto"/>
                      <w:spacing w:val="0"/>
                      <w:sz w:val="21"/>
                      <w:szCs w:val="21"/>
                    </w:rPr>
                  </w:pPr>
                  <w:r>
                    <w:rPr>
                      <w:rFonts w:hint="default" w:ascii="Times New Roman" w:hAnsi="Times New Roman" w:cs="Times New Roman"/>
                      <w:b/>
                      <w:bCs/>
                      <w:color w:val="auto"/>
                      <w:spacing w:val="0"/>
                      <w:sz w:val="21"/>
                      <w:szCs w:val="21"/>
                    </w:rPr>
                    <w:t>项目</w:t>
                  </w:r>
                </w:p>
              </w:tc>
              <w:tc>
                <w:tcPr>
                  <w:tcW w:w="3345"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b/>
                      <w:bCs/>
                      <w:color w:val="auto"/>
                      <w:spacing w:val="0"/>
                      <w:sz w:val="21"/>
                      <w:szCs w:val="21"/>
                    </w:rPr>
                  </w:pPr>
                  <w:r>
                    <w:rPr>
                      <w:rFonts w:hint="default" w:ascii="Times New Roman" w:hAnsi="Times New Roman" w:cs="Times New Roman"/>
                      <w:b/>
                      <w:bCs/>
                      <w:color w:val="auto"/>
                      <w:spacing w:val="0"/>
                      <w:sz w:val="21"/>
                      <w:szCs w:val="21"/>
                    </w:rPr>
                    <w:t>治理措施</w:t>
                  </w:r>
                </w:p>
              </w:tc>
              <w:tc>
                <w:tcPr>
                  <w:tcW w:w="503"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b/>
                      <w:bCs/>
                      <w:color w:val="auto"/>
                      <w:spacing w:val="0"/>
                      <w:sz w:val="21"/>
                      <w:szCs w:val="21"/>
                    </w:rPr>
                  </w:pPr>
                  <w:r>
                    <w:rPr>
                      <w:rFonts w:hint="default" w:ascii="Times New Roman" w:hAnsi="Times New Roman" w:cs="Times New Roman"/>
                      <w:b/>
                      <w:bCs/>
                      <w:color w:val="auto"/>
                      <w:spacing w:val="0"/>
                      <w:sz w:val="21"/>
                      <w:szCs w:val="21"/>
                    </w:rPr>
                    <w:t>投资</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bCs/>
                      <w:color w:val="auto"/>
                      <w:spacing w:val="0"/>
                      <w:sz w:val="21"/>
                      <w:szCs w:val="21"/>
                      <w:lang w:eastAsia="zh-CN"/>
                    </w:rPr>
                  </w:pPr>
                  <w:r>
                    <w:rPr>
                      <w:rFonts w:hint="default" w:ascii="Times New Roman" w:hAnsi="Times New Roman" w:cs="Times New Roman"/>
                      <w:b/>
                      <w:bCs/>
                      <w:color w:val="auto"/>
                      <w:spacing w:val="0"/>
                      <w:sz w:val="21"/>
                      <w:szCs w:val="21"/>
                      <w:lang w:eastAsia="zh-CN"/>
                    </w:rPr>
                    <w:t>（</w:t>
                  </w:r>
                  <w:r>
                    <w:rPr>
                      <w:rFonts w:hint="default" w:ascii="Times New Roman" w:hAnsi="Times New Roman" w:cs="Times New Roman"/>
                      <w:b/>
                      <w:bCs/>
                      <w:color w:val="auto"/>
                      <w:spacing w:val="0"/>
                      <w:sz w:val="21"/>
                      <w:szCs w:val="21"/>
                    </w:rPr>
                    <w:t>万元</w:t>
                  </w:r>
                  <w:r>
                    <w:rPr>
                      <w:rFonts w:hint="default" w:ascii="Times New Roman" w:hAnsi="Times New Roman" w:cs="Times New Roman"/>
                      <w:b/>
                      <w:bCs/>
                      <w:color w:val="auto"/>
                      <w:spacing w:val="0"/>
                      <w:sz w:val="21"/>
                      <w:szCs w:val="21"/>
                      <w:lang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0" w:hRule="atLeast"/>
                <w:jc w:val="center"/>
              </w:trPr>
              <w:tc>
                <w:tcPr>
                  <w:tcW w:w="483" w:type="pct"/>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bCs/>
                      <w:color w:val="auto"/>
                      <w:spacing w:val="0"/>
                      <w:sz w:val="21"/>
                      <w:szCs w:val="21"/>
                      <w:lang w:eastAsia="zh-CN"/>
                    </w:rPr>
                  </w:pPr>
                  <w:r>
                    <w:rPr>
                      <w:rFonts w:hint="default" w:ascii="Times New Roman" w:hAnsi="Times New Roman" w:cs="Times New Roman"/>
                      <w:b/>
                      <w:bCs/>
                      <w:color w:val="auto"/>
                      <w:spacing w:val="0"/>
                      <w:sz w:val="21"/>
                      <w:szCs w:val="21"/>
                      <w:lang w:eastAsia="zh-CN"/>
                    </w:rPr>
                    <w:t>施工期</w:t>
                  </w:r>
                </w:p>
              </w:tc>
              <w:tc>
                <w:tcPr>
                  <w:tcW w:w="667"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b/>
                      <w:bCs/>
                      <w:color w:val="auto"/>
                      <w:spacing w:val="0"/>
                      <w:sz w:val="21"/>
                      <w:szCs w:val="21"/>
                    </w:rPr>
                  </w:pPr>
                  <w:r>
                    <w:rPr>
                      <w:rFonts w:hint="default" w:ascii="Times New Roman" w:hAnsi="Times New Roman" w:cs="Times New Roman"/>
                      <w:color w:val="auto"/>
                      <w:spacing w:val="0"/>
                      <w:sz w:val="21"/>
                      <w:szCs w:val="21"/>
                    </w:rPr>
                    <w:t>废水</w:t>
                  </w:r>
                </w:p>
              </w:tc>
              <w:tc>
                <w:tcPr>
                  <w:tcW w:w="3345"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val="0"/>
                      <w:bCs w:val="0"/>
                      <w:color w:val="auto"/>
                      <w:spacing w:val="0"/>
                      <w:sz w:val="21"/>
                      <w:szCs w:val="21"/>
                      <w:lang w:val="en-US" w:eastAsia="zh-CN"/>
                    </w:rPr>
                  </w:pPr>
                  <w:r>
                    <w:rPr>
                      <w:rFonts w:hint="default" w:ascii="Times New Roman" w:hAnsi="Times New Roman" w:cs="Times New Roman"/>
                      <w:color w:val="auto"/>
                      <w:lang w:eastAsia="zh-CN"/>
                    </w:rPr>
                    <w:t>施工人员生活污水依托租用周边民房内已有的生活污水处理设施处理</w:t>
                  </w:r>
                  <w:r>
                    <w:rPr>
                      <w:rFonts w:hint="default" w:ascii="Times New Roman" w:hAnsi="Times New Roman" w:cs="Times New Roman"/>
                      <w:b w:val="0"/>
                      <w:bCs w:val="0"/>
                      <w:color w:val="auto"/>
                      <w:spacing w:val="0"/>
                      <w:sz w:val="21"/>
                      <w:szCs w:val="21"/>
                      <w:lang w:eastAsia="zh-CN"/>
                    </w:rPr>
                    <w:t>，每个施工区域设置</w:t>
                  </w:r>
                  <w:r>
                    <w:rPr>
                      <w:rFonts w:hint="eastAsia" w:ascii="Times New Roman" w:hAnsi="Times New Roman" w:cs="Times New Roman"/>
                      <w:b w:val="0"/>
                      <w:bCs w:val="0"/>
                      <w:color w:val="auto"/>
                      <w:spacing w:val="0"/>
                      <w:sz w:val="21"/>
                      <w:szCs w:val="21"/>
                      <w:lang w:val="en-US" w:eastAsia="zh-CN"/>
                    </w:rPr>
                    <w:t>1</w:t>
                  </w:r>
                  <w:r>
                    <w:rPr>
                      <w:rFonts w:hint="default" w:ascii="Times New Roman" w:hAnsi="Times New Roman" w:cs="Times New Roman"/>
                      <w:b w:val="0"/>
                      <w:bCs w:val="0"/>
                      <w:color w:val="auto"/>
                      <w:spacing w:val="0"/>
                      <w:sz w:val="21"/>
                      <w:szCs w:val="21"/>
                      <w:lang w:eastAsia="zh-CN"/>
                    </w:rPr>
                    <w:t>沉淀池（</w:t>
                  </w:r>
                  <w:r>
                    <w:rPr>
                      <w:rFonts w:hint="eastAsia" w:ascii="Times New Roman" w:hAnsi="Times New Roman" w:cs="Times New Roman"/>
                      <w:b w:val="0"/>
                      <w:bCs w:val="0"/>
                      <w:color w:val="auto"/>
                      <w:spacing w:val="0"/>
                      <w:sz w:val="21"/>
                      <w:szCs w:val="21"/>
                      <w:lang w:val="en-US" w:eastAsia="zh-CN"/>
                    </w:rPr>
                    <w:t>3</w:t>
                  </w:r>
                  <w:r>
                    <w:rPr>
                      <w:rFonts w:hint="default" w:ascii="Times New Roman" w:hAnsi="Times New Roman" w:cs="Times New Roman"/>
                      <w:b w:val="0"/>
                      <w:bCs w:val="0"/>
                      <w:color w:val="auto"/>
                      <w:spacing w:val="0"/>
                      <w:sz w:val="21"/>
                      <w:szCs w:val="21"/>
                      <w:lang w:val="en-US" w:eastAsia="zh-CN"/>
                    </w:rPr>
                    <w:t>m</w:t>
                  </w:r>
                  <w:r>
                    <w:rPr>
                      <w:rFonts w:hint="default" w:ascii="Times New Roman" w:hAnsi="Times New Roman" w:cs="Times New Roman"/>
                      <w:b w:val="0"/>
                      <w:bCs w:val="0"/>
                      <w:color w:val="auto"/>
                      <w:spacing w:val="0"/>
                      <w:sz w:val="21"/>
                      <w:szCs w:val="21"/>
                      <w:vertAlign w:val="superscript"/>
                      <w:lang w:val="en-US" w:eastAsia="zh-CN"/>
                    </w:rPr>
                    <w:t>3</w:t>
                  </w:r>
                  <w:r>
                    <w:rPr>
                      <w:rFonts w:hint="eastAsia" w:ascii="Times New Roman" w:hAnsi="Times New Roman" w:cs="Times New Roman"/>
                      <w:b w:val="0"/>
                      <w:bCs w:val="0"/>
                      <w:color w:val="auto"/>
                      <w:spacing w:val="0"/>
                      <w:sz w:val="21"/>
                      <w:szCs w:val="21"/>
                      <w:vertAlign w:val="baseline"/>
                      <w:lang w:val="en-US" w:eastAsia="zh-CN"/>
                    </w:rPr>
                    <w:t>/个</w:t>
                  </w:r>
                  <w:r>
                    <w:rPr>
                      <w:rFonts w:hint="default" w:ascii="Times New Roman" w:hAnsi="Times New Roman" w:cs="Times New Roman"/>
                      <w:b w:val="0"/>
                      <w:bCs w:val="0"/>
                      <w:color w:val="auto"/>
                      <w:spacing w:val="0"/>
                      <w:sz w:val="21"/>
                      <w:szCs w:val="21"/>
                      <w:lang w:eastAsia="zh-CN"/>
                    </w:rPr>
                    <w:t>）</w:t>
                  </w:r>
                  <w:r>
                    <w:rPr>
                      <w:rFonts w:hint="eastAsia" w:ascii="Times New Roman" w:hAnsi="Times New Roman" w:cs="Times New Roman"/>
                      <w:b w:val="0"/>
                      <w:bCs w:val="0"/>
                      <w:color w:val="auto"/>
                      <w:spacing w:val="0"/>
                      <w:sz w:val="21"/>
                      <w:szCs w:val="21"/>
                      <w:lang w:eastAsia="zh-CN"/>
                    </w:rPr>
                    <w:t>，堆料区设置</w:t>
                  </w:r>
                  <w:r>
                    <w:rPr>
                      <w:rFonts w:hint="eastAsia" w:ascii="Times New Roman" w:hAnsi="Times New Roman" w:cs="Times New Roman"/>
                      <w:b w:val="0"/>
                      <w:bCs w:val="0"/>
                      <w:color w:val="auto"/>
                      <w:spacing w:val="0"/>
                      <w:sz w:val="21"/>
                      <w:szCs w:val="21"/>
                      <w:lang w:val="en-US" w:eastAsia="zh-CN"/>
                    </w:rPr>
                    <w:t>1个三级沉淀池（30m</w:t>
                  </w:r>
                  <w:r>
                    <w:rPr>
                      <w:rFonts w:hint="eastAsia" w:ascii="Times New Roman" w:hAnsi="Times New Roman" w:cs="Times New Roman"/>
                      <w:b w:val="0"/>
                      <w:bCs w:val="0"/>
                      <w:color w:val="auto"/>
                      <w:spacing w:val="0"/>
                      <w:sz w:val="21"/>
                      <w:szCs w:val="21"/>
                      <w:vertAlign w:val="superscript"/>
                      <w:lang w:val="en-US" w:eastAsia="zh-CN"/>
                    </w:rPr>
                    <w:t>3</w:t>
                  </w:r>
                  <w:r>
                    <w:rPr>
                      <w:rFonts w:hint="eastAsia" w:ascii="Times New Roman" w:hAnsi="Times New Roman" w:cs="Times New Roman"/>
                      <w:b w:val="0"/>
                      <w:bCs w:val="0"/>
                      <w:color w:val="auto"/>
                      <w:spacing w:val="0"/>
                      <w:sz w:val="21"/>
                      <w:szCs w:val="21"/>
                      <w:lang w:val="en-US" w:eastAsia="zh-CN"/>
                    </w:rPr>
                    <w:t>）</w:t>
                  </w:r>
                </w:p>
              </w:tc>
              <w:tc>
                <w:tcPr>
                  <w:tcW w:w="503"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b w:val="0"/>
                      <w:bCs w:val="0"/>
                      <w:color w:val="auto"/>
                      <w:spacing w:val="0"/>
                      <w:sz w:val="21"/>
                      <w:szCs w:val="21"/>
                      <w:lang w:val="en-US" w:eastAsia="zh-CN"/>
                    </w:rPr>
                  </w:pPr>
                  <w:r>
                    <w:rPr>
                      <w:rFonts w:hint="eastAsia" w:ascii="Times New Roman" w:hAnsi="Times New Roman" w:cs="Times New Roman"/>
                      <w:b w:val="0"/>
                      <w:bCs w:val="0"/>
                      <w:color w:val="auto"/>
                      <w:spacing w:val="0"/>
                      <w:sz w:val="21"/>
                      <w:szCs w:val="21"/>
                      <w:lang w:val="en-US" w:eastAsia="zh-CN"/>
                    </w:rPr>
                    <w:t>30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0" w:hRule="atLeast"/>
                <w:jc w:val="center"/>
              </w:trPr>
              <w:tc>
                <w:tcPr>
                  <w:tcW w:w="483"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b/>
                      <w:bCs/>
                      <w:color w:val="auto"/>
                      <w:spacing w:val="0"/>
                      <w:sz w:val="21"/>
                      <w:szCs w:val="21"/>
                      <w:lang w:eastAsia="zh-CN"/>
                    </w:rPr>
                  </w:pPr>
                </w:p>
              </w:tc>
              <w:tc>
                <w:tcPr>
                  <w:tcW w:w="667"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bCs/>
                      <w:color w:val="auto"/>
                      <w:spacing w:val="0"/>
                      <w:sz w:val="21"/>
                      <w:szCs w:val="21"/>
                      <w:lang w:eastAsia="zh-CN"/>
                    </w:rPr>
                  </w:pPr>
                  <w:r>
                    <w:rPr>
                      <w:rFonts w:hint="default" w:ascii="Times New Roman" w:hAnsi="Times New Roman" w:cs="Times New Roman"/>
                      <w:color w:val="auto"/>
                      <w:spacing w:val="0"/>
                      <w:sz w:val="21"/>
                      <w:szCs w:val="21"/>
                      <w:lang w:eastAsia="zh-CN"/>
                    </w:rPr>
                    <w:t>废气</w:t>
                  </w:r>
                </w:p>
              </w:tc>
              <w:tc>
                <w:tcPr>
                  <w:tcW w:w="3345"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val="0"/>
                      <w:bCs w:val="0"/>
                      <w:color w:val="auto"/>
                      <w:spacing w:val="0"/>
                      <w:sz w:val="21"/>
                      <w:szCs w:val="21"/>
                      <w:lang w:val="en-US" w:eastAsia="zh-CN"/>
                    </w:rPr>
                  </w:pPr>
                  <w:r>
                    <w:rPr>
                      <w:rFonts w:hint="default" w:ascii="Times New Roman" w:hAnsi="Times New Roman" w:cs="Times New Roman"/>
                      <w:b w:val="0"/>
                      <w:bCs w:val="0"/>
                      <w:color w:val="auto"/>
                      <w:spacing w:val="0"/>
                      <w:sz w:val="21"/>
                      <w:szCs w:val="21"/>
                      <w:lang w:eastAsia="zh-CN"/>
                    </w:rPr>
                    <w:t>运输道路及施工区洒水降尘、加强设备和车辆的检修和维护，施工场地设置车辆冲洗池</w:t>
                  </w:r>
                  <w:r>
                    <w:rPr>
                      <w:rFonts w:hint="eastAsia" w:ascii="Times New Roman" w:hAnsi="Times New Roman" w:cs="Times New Roman"/>
                      <w:b w:val="0"/>
                      <w:bCs w:val="0"/>
                      <w:color w:val="auto"/>
                      <w:spacing w:val="0"/>
                      <w:sz w:val="21"/>
                      <w:szCs w:val="21"/>
                      <w:lang w:eastAsia="zh-CN"/>
                    </w:rPr>
                    <w:t>，每个上岸点堆料场内设置</w:t>
                  </w:r>
                  <w:r>
                    <w:rPr>
                      <w:rFonts w:hint="eastAsia" w:ascii="Times New Roman" w:hAnsi="Times New Roman" w:cs="Times New Roman"/>
                      <w:b w:val="0"/>
                      <w:bCs w:val="0"/>
                      <w:color w:val="auto"/>
                      <w:spacing w:val="0"/>
                      <w:sz w:val="21"/>
                      <w:szCs w:val="21"/>
                      <w:lang w:val="en-US" w:eastAsia="zh-CN"/>
                    </w:rPr>
                    <w:t>1台洒水车</w:t>
                  </w:r>
                  <w:r>
                    <w:rPr>
                      <w:rFonts w:hint="eastAsia" w:ascii="Times New Roman" w:hAnsi="Times New Roman" w:eastAsia="宋体" w:cs="Times New Roman"/>
                      <w:b w:val="0"/>
                      <w:bCs w:val="0"/>
                      <w:color w:val="auto"/>
                      <w:spacing w:val="0"/>
                      <w:sz w:val="21"/>
                      <w:szCs w:val="21"/>
                      <w:lang w:val="en-US" w:eastAsia="zh-CN"/>
                    </w:rPr>
                    <w:t>；</w:t>
                  </w:r>
                  <w:r>
                    <w:rPr>
                      <w:rFonts w:hint="eastAsia" w:ascii="Times New Roman" w:hAnsi="Times New Roman" w:eastAsia="宋体" w:cs="Times New Roman"/>
                      <w:b w:val="0"/>
                      <w:bCs w:val="0"/>
                      <w:color w:val="auto"/>
                      <w:spacing w:val="0"/>
                      <w:sz w:val="21"/>
                      <w:szCs w:val="21"/>
                      <w:lang w:eastAsia="zh-CN"/>
                    </w:rPr>
                    <w:t>疏浚淤泥及时</w:t>
                  </w:r>
                  <w:r>
                    <w:rPr>
                      <w:rFonts w:hint="eastAsia" w:ascii="Times New Roman" w:hAnsi="Times New Roman" w:eastAsia="宋体" w:cs="Times New Roman"/>
                      <w:b w:val="0"/>
                      <w:bCs w:val="0"/>
                      <w:color w:val="auto"/>
                      <w:spacing w:val="0"/>
                      <w:sz w:val="21"/>
                      <w:szCs w:val="21"/>
                      <w:lang w:val="en-US" w:eastAsia="zh-CN"/>
                    </w:rPr>
                    <w:t>运走</w:t>
                  </w:r>
                  <w:r>
                    <w:rPr>
                      <w:rFonts w:hint="eastAsia" w:ascii="Times New Roman" w:hAnsi="Times New Roman" w:eastAsia="宋体" w:cs="Times New Roman"/>
                      <w:b w:val="0"/>
                      <w:bCs w:val="0"/>
                      <w:color w:val="auto"/>
                      <w:spacing w:val="0"/>
                      <w:sz w:val="21"/>
                      <w:szCs w:val="21"/>
                      <w:lang w:eastAsia="zh-CN"/>
                    </w:rPr>
                    <w:t>并喷洒除臭剂</w:t>
                  </w:r>
                </w:p>
              </w:tc>
              <w:tc>
                <w:tcPr>
                  <w:tcW w:w="503"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b w:val="0"/>
                      <w:bCs w:val="0"/>
                      <w:color w:val="auto"/>
                      <w:spacing w:val="0"/>
                      <w:sz w:val="21"/>
                      <w:szCs w:val="21"/>
                      <w:lang w:val="en-US" w:eastAsia="zh-CN"/>
                    </w:rPr>
                  </w:pPr>
                  <w:r>
                    <w:rPr>
                      <w:rFonts w:hint="eastAsia" w:ascii="Times New Roman" w:hAnsi="Times New Roman" w:cs="Times New Roman"/>
                      <w:b w:val="0"/>
                      <w:bCs w:val="0"/>
                      <w:color w:val="auto"/>
                      <w:spacing w:val="0"/>
                      <w:sz w:val="21"/>
                      <w:szCs w:val="21"/>
                      <w:lang w:val="en-US" w:eastAsia="zh-CN"/>
                    </w:rPr>
                    <w:t>40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0" w:hRule="atLeast"/>
                <w:jc w:val="center"/>
              </w:trPr>
              <w:tc>
                <w:tcPr>
                  <w:tcW w:w="483"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b/>
                      <w:bCs/>
                      <w:color w:val="auto"/>
                      <w:spacing w:val="0"/>
                      <w:sz w:val="21"/>
                      <w:szCs w:val="21"/>
                      <w:lang w:eastAsia="zh-CN"/>
                    </w:rPr>
                  </w:pPr>
                </w:p>
              </w:tc>
              <w:tc>
                <w:tcPr>
                  <w:tcW w:w="667"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b/>
                      <w:bCs/>
                      <w:color w:val="auto"/>
                      <w:spacing w:val="0"/>
                      <w:sz w:val="21"/>
                      <w:szCs w:val="21"/>
                    </w:rPr>
                  </w:pPr>
                  <w:r>
                    <w:rPr>
                      <w:rFonts w:hint="default" w:ascii="Times New Roman" w:hAnsi="Times New Roman" w:cs="Times New Roman"/>
                      <w:color w:val="auto"/>
                      <w:spacing w:val="0"/>
                      <w:sz w:val="21"/>
                      <w:szCs w:val="21"/>
                    </w:rPr>
                    <w:t>噪声</w:t>
                  </w:r>
                </w:p>
              </w:tc>
              <w:tc>
                <w:tcPr>
                  <w:tcW w:w="3345"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eastAsia" w:ascii="Times New Roman" w:hAnsi="Times New Roman" w:eastAsia="宋体" w:cs="Times New Roman"/>
                      <w:b w:val="0"/>
                      <w:bCs w:val="0"/>
                      <w:color w:val="auto"/>
                      <w:spacing w:val="0"/>
                      <w:sz w:val="21"/>
                      <w:szCs w:val="21"/>
                      <w:lang w:eastAsia="zh-CN"/>
                    </w:rPr>
                  </w:pPr>
                  <w:r>
                    <w:rPr>
                      <w:rFonts w:hint="default" w:ascii="Times New Roman" w:hAnsi="Times New Roman" w:eastAsia="宋体" w:cs="Times New Roman"/>
                      <w:b w:val="0"/>
                      <w:bCs w:val="0"/>
                      <w:color w:val="auto"/>
                      <w:spacing w:val="0"/>
                      <w:sz w:val="21"/>
                      <w:szCs w:val="21"/>
                      <w:lang w:eastAsia="zh-CN"/>
                    </w:rPr>
                    <w:t>选低噪声设备，严格控制施工作业时间；加强车辆管 理，控制场区车辆车速，夜间不施工</w:t>
                  </w:r>
                  <w:r>
                    <w:rPr>
                      <w:rFonts w:hint="eastAsia" w:ascii="Times New Roman" w:hAnsi="Times New Roman" w:eastAsia="宋体" w:cs="Times New Roman"/>
                      <w:b w:val="0"/>
                      <w:bCs w:val="0"/>
                      <w:color w:val="auto"/>
                      <w:spacing w:val="0"/>
                      <w:sz w:val="21"/>
                      <w:szCs w:val="21"/>
                      <w:lang w:eastAsia="zh-CN"/>
                    </w:rPr>
                    <w:t>（</w:t>
                  </w:r>
                  <w:r>
                    <w:rPr>
                      <w:rFonts w:hint="eastAsia" w:ascii="Times New Roman" w:hAnsi="Times New Roman" w:eastAsia="宋体" w:cs="Times New Roman"/>
                      <w:b w:val="0"/>
                      <w:bCs w:val="0"/>
                      <w:color w:val="auto"/>
                      <w:spacing w:val="0"/>
                      <w:sz w:val="21"/>
                      <w:szCs w:val="21"/>
                      <w:lang w:val="en-US" w:eastAsia="zh-CN"/>
                    </w:rPr>
                    <w:t>20:00~8:00</w:t>
                  </w:r>
                  <w:r>
                    <w:rPr>
                      <w:rFonts w:hint="eastAsia" w:ascii="Times New Roman" w:hAnsi="Times New Roman" w:eastAsia="宋体" w:cs="Times New Roman"/>
                      <w:b w:val="0"/>
                      <w:bCs w:val="0"/>
                      <w:color w:val="auto"/>
                      <w:spacing w:val="0"/>
                      <w:sz w:val="21"/>
                      <w:szCs w:val="21"/>
                      <w:lang w:eastAsia="zh-CN"/>
                    </w:rPr>
                    <w:t>）</w:t>
                  </w:r>
                </w:p>
              </w:tc>
              <w:tc>
                <w:tcPr>
                  <w:tcW w:w="503"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b w:val="0"/>
                      <w:bCs w:val="0"/>
                      <w:color w:val="auto"/>
                      <w:spacing w:val="0"/>
                      <w:sz w:val="21"/>
                      <w:szCs w:val="21"/>
                      <w:lang w:val="en-US" w:eastAsia="zh-CN"/>
                    </w:rPr>
                  </w:pPr>
                  <w:r>
                    <w:rPr>
                      <w:rFonts w:hint="eastAsia" w:ascii="Times New Roman" w:hAnsi="Times New Roman" w:cs="Times New Roman"/>
                      <w:b w:val="0"/>
                      <w:bCs w:val="0"/>
                      <w:color w:val="auto"/>
                      <w:spacing w:val="0"/>
                      <w:sz w:val="21"/>
                      <w:szCs w:val="21"/>
                      <w:lang w:val="en-US" w:eastAsia="zh-CN"/>
                    </w:rPr>
                    <w:t>35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0" w:hRule="atLeast"/>
                <w:jc w:val="center"/>
              </w:trPr>
              <w:tc>
                <w:tcPr>
                  <w:tcW w:w="483"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b/>
                      <w:bCs/>
                      <w:color w:val="auto"/>
                      <w:spacing w:val="0"/>
                      <w:sz w:val="21"/>
                      <w:szCs w:val="21"/>
                      <w:lang w:eastAsia="zh-CN"/>
                    </w:rPr>
                  </w:pPr>
                </w:p>
              </w:tc>
              <w:tc>
                <w:tcPr>
                  <w:tcW w:w="667"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bCs/>
                      <w:color w:val="auto"/>
                      <w:spacing w:val="0"/>
                      <w:sz w:val="21"/>
                      <w:szCs w:val="21"/>
                      <w:lang w:eastAsia="zh-CN"/>
                    </w:rPr>
                  </w:pPr>
                  <w:r>
                    <w:rPr>
                      <w:rFonts w:hint="default" w:ascii="Times New Roman" w:hAnsi="Times New Roman" w:cs="Times New Roman"/>
                      <w:b w:val="0"/>
                      <w:bCs w:val="0"/>
                      <w:color w:val="auto"/>
                      <w:spacing w:val="0"/>
                      <w:sz w:val="21"/>
                      <w:szCs w:val="21"/>
                      <w:lang w:eastAsia="zh-CN"/>
                    </w:rPr>
                    <w:t>固废</w:t>
                  </w:r>
                </w:p>
              </w:tc>
              <w:tc>
                <w:tcPr>
                  <w:tcW w:w="3345"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both"/>
                    <w:textAlignment w:val="baseline"/>
                    <w:rPr>
                      <w:rFonts w:hint="default"/>
                      <w:lang w:eastAsia="zh-CN"/>
                    </w:rPr>
                  </w:pPr>
                  <w:r>
                    <w:rPr>
                      <w:rFonts w:hint="default"/>
                      <w:lang w:eastAsia="zh-CN"/>
                    </w:rPr>
                    <w:t>生活垃圾：各施工场地设置垃圾桶，集中收集后由当地环卫部门统一处理；</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both"/>
                    <w:textAlignment w:val="baseline"/>
                    <w:rPr>
                      <w:rFonts w:hint="default"/>
                      <w:lang w:val="en-US" w:eastAsia="zh-CN"/>
                    </w:rPr>
                  </w:pPr>
                  <w:r>
                    <w:rPr>
                      <w:rFonts w:hint="default"/>
                      <w:lang w:val="en-US" w:eastAsia="zh-CN"/>
                    </w:rPr>
                    <w:t>疏浚料经</w:t>
                  </w:r>
                  <w:r>
                    <w:rPr>
                      <w:rFonts w:hint="eastAsia"/>
                      <w:lang w:val="en-US" w:eastAsia="zh-CN"/>
                    </w:rPr>
                    <w:t>沉淀后和底泥一并运至苏稽镇石鼓寺村老鸦滩堆料场堆放；</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both"/>
                    <w:textAlignment w:val="baseline"/>
                    <w:rPr>
                      <w:rFonts w:hint="eastAsia"/>
                      <w:lang w:eastAsia="zh-CN"/>
                    </w:rPr>
                  </w:pPr>
                  <w:r>
                    <w:rPr>
                      <w:rFonts w:hint="default"/>
                      <w:lang w:val="en-US" w:eastAsia="zh-CN"/>
                    </w:rPr>
                    <w:t>建筑垃圾能</w:t>
                  </w:r>
                  <w:r>
                    <w:rPr>
                      <w:rFonts w:hint="default"/>
                      <w:lang w:eastAsia="zh-CN"/>
                    </w:rPr>
                    <w:t>回收利用的回收利用，不能回收的</w:t>
                  </w:r>
                  <w:r>
                    <w:rPr>
                      <w:rFonts w:hint="eastAsia"/>
                      <w:lang w:eastAsia="zh-CN"/>
                    </w:rPr>
                    <w:t>运至政府指定建筑垃圾堆场填埋；</w:t>
                  </w:r>
                </w:p>
                <w:p>
                  <w:pPr>
                    <w:pStyle w:val="2"/>
                    <w:rPr>
                      <w:rFonts w:hint="default"/>
                      <w:lang w:val="en-US" w:eastAsia="zh-CN"/>
                    </w:rPr>
                  </w:pPr>
                  <w:r>
                    <w:rPr>
                      <w:rFonts w:hint="eastAsia" w:ascii="Times New Roman" w:hAnsi="Times New Roman" w:eastAsia="宋体" w:cs="Times New Roman"/>
                      <w:b w:val="0"/>
                      <w:bCs w:val="0"/>
                      <w:color w:val="auto"/>
                      <w:spacing w:val="0"/>
                      <w:sz w:val="21"/>
                      <w:szCs w:val="21"/>
                      <w:lang w:val="en-US" w:eastAsia="zh-CN"/>
                    </w:rPr>
                    <w:t>弃土：及时</w:t>
                  </w:r>
                  <w:r>
                    <w:rPr>
                      <w:rFonts w:hint="eastAsia" w:ascii="Times New Roman" w:hAnsi="Times New Roman" w:eastAsia="宋体" w:cs="Times New Roman"/>
                      <w:kern w:val="2"/>
                      <w:sz w:val="21"/>
                      <w:szCs w:val="24"/>
                      <w:lang w:val="en-US" w:eastAsia="zh-CN" w:bidi="ar-SA"/>
                    </w:rPr>
                    <w:t>运至苏稽镇石鼓寺村老鸦滩堆料场堆放</w:t>
                  </w:r>
                </w:p>
              </w:tc>
              <w:tc>
                <w:tcPr>
                  <w:tcW w:w="503"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b w:val="0"/>
                      <w:bCs w:val="0"/>
                      <w:color w:val="auto"/>
                      <w:spacing w:val="0"/>
                      <w:sz w:val="21"/>
                      <w:szCs w:val="21"/>
                      <w:lang w:val="en-US" w:eastAsia="zh-CN"/>
                    </w:rPr>
                  </w:pPr>
                  <w:r>
                    <w:rPr>
                      <w:rFonts w:hint="eastAsia" w:ascii="Times New Roman" w:hAnsi="Times New Roman" w:cs="Times New Roman"/>
                      <w:b w:val="0"/>
                      <w:bCs w:val="0"/>
                      <w:color w:val="auto"/>
                      <w:spacing w:val="0"/>
                      <w:sz w:val="21"/>
                      <w:szCs w:val="21"/>
                      <w:lang w:val="en-US" w:eastAsia="zh-CN"/>
                    </w:rPr>
                    <w:t>50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0" w:hRule="atLeast"/>
                <w:jc w:val="center"/>
              </w:trPr>
              <w:tc>
                <w:tcPr>
                  <w:tcW w:w="483"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b/>
                      <w:bCs/>
                      <w:color w:val="auto"/>
                      <w:spacing w:val="0"/>
                      <w:sz w:val="21"/>
                      <w:szCs w:val="21"/>
                      <w:lang w:eastAsia="zh-CN"/>
                    </w:rPr>
                  </w:pPr>
                </w:p>
              </w:tc>
              <w:tc>
                <w:tcPr>
                  <w:tcW w:w="667"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val="0"/>
                      <w:bCs w:val="0"/>
                      <w:color w:val="auto"/>
                      <w:spacing w:val="0"/>
                      <w:sz w:val="21"/>
                      <w:szCs w:val="21"/>
                      <w:lang w:val="en-US" w:eastAsia="zh-CN"/>
                    </w:rPr>
                  </w:pPr>
                  <w:r>
                    <w:rPr>
                      <w:rFonts w:hint="default" w:ascii="Times New Roman" w:hAnsi="Times New Roman" w:eastAsia="宋体" w:cs="Times New Roman"/>
                      <w:b w:val="0"/>
                      <w:bCs w:val="0"/>
                      <w:color w:val="auto"/>
                      <w:spacing w:val="0"/>
                      <w:sz w:val="21"/>
                      <w:szCs w:val="21"/>
                      <w:lang w:eastAsia="zh-CN"/>
                    </w:rPr>
                    <w:t>生态环境保护及恢复措施</w:t>
                  </w:r>
                </w:p>
              </w:tc>
              <w:tc>
                <w:tcPr>
                  <w:tcW w:w="3345"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val="0"/>
                      <w:bCs w:val="0"/>
                      <w:color w:val="auto"/>
                      <w:spacing w:val="0"/>
                      <w:sz w:val="21"/>
                      <w:szCs w:val="21"/>
                      <w:lang w:val="en-US" w:eastAsia="zh-CN"/>
                    </w:rPr>
                  </w:pPr>
                  <w:r>
                    <w:rPr>
                      <w:rFonts w:hint="eastAsia" w:ascii="Times New Roman" w:hAnsi="Times New Roman" w:eastAsia="宋体" w:cs="Times New Roman"/>
                      <w:b w:val="0"/>
                      <w:bCs w:val="0"/>
                      <w:color w:val="auto"/>
                      <w:spacing w:val="0"/>
                      <w:sz w:val="21"/>
                      <w:szCs w:val="21"/>
                      <w:lang w:val="en-US" w:eastAsia="zh-CN"/>
                    </w:rPr>
                    <w:t>密目网</w:t>
                  </w:r>
                  <w:r>
                    <w:rPr>
                      <w:rFonts w:hint="default" w:ascii="Times New Roman" w:hAnsi="Times New Roman" w:eastAsia="宋体" w:cs="Times New Roman"/>
                      <w:b w:val="0"/>
                      <w:bCs w:val="0"/>
                      <w:color w:val="auto"/>
                      <w:spacing w:val="0"/>
                      <w:sz w:val="21"/>
                      <w:szCs w:val="21"/>
                      <w:lang w:eastAsia="zh-CN"/>
                    </w:rPr>
                    <w:t>覆盖、土袋拦挡、沉砂池、开挖临时排水沟、迹地恢复等</w:t>
                  </w:r>
                </w:p>
              </w:tc>
              <w:tc>
                <w:tcPr>
                  <w:tcW w:w="503"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b w:val="0"/>
                      <w:bCs w:val="0"/>
                      <w:color w:val="auto"/>
                      <w:spacing w:val="0"/>
                      <w:sz w:val="21"/>
                      <w:szCs w:val="21"/>
                      <w:lang w:val="en-US" w:eastAsia="zh-CN"/>
                    </w:rPr>
                  </w:pPr>
                  <w:r>
                    <w:rPr>
                      <w:rFonts w:hint="eastAsia" w:ascii="Times New Roman" w:hAnsi="Times New Roman" w:cs="Times New Roman"/>
                      <w:b w:val="0"/>
                      <w:bCs w:val="0"/>
                      <w:color w:val="auto"/>
                      <w:spacing w:val="0"/>
                      <w:sz w:val="21"/>
                      <w:szCs w:val="21"/>
                      <w:lang w:val="en-US" w:eastAsia="zh-CN"/>
                    </w:rPr>
                    <w:t>55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0" w:hRule="atLeast"/>
                <w:jc w:val="center"/>
              </w:trPr>
              <w:tc>
                <w:tcPr>
                  <w:tcW w:w="483"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pacing w:val="0"/>
                      <w:sz w:val="21"/>
                      <w:szCs w:val="21"/>
                      <w:highlight w:val="red"/>
                    </w:rPr>
                  </w:pPr>
                </w:p>
              </w:tc>
              <w:tc>
                <w:tcPr>
                  <w:tcW w:w="667"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eastAsia" w:ascii="Times New Roman" w:hAnsi="Times New Roman" w:eastAsia="宋体" w:cs="Times New Roman"/>
                      <w:b w:val="0"/>
                      <w:bCs w:val="0"/>
                      <w:color w:val="auto"/>
                      <w:spacing w:val="0"/>
                      <w:sz w:val="21"/>
                      <w:szCs w:val="21"/>
                      <w:lang w:eastAsia="zh-CN"/>
                    </w:rPr>
                  </w:pPr>
                  <w:r>
                    <w:rPr>
                      <w:rFonts w:hint="eastAsia" w:ascii="Times New Roman" w:hAnsi="Times New Roman" w:eastAsia="宋体" w:cs="Times New Roman"/>
                      <w:b w:val="0"/>
                      <w:bCs w:val="0"/>
                      <w:color w:val="auto"/>
                      <w:spacing w:val="0"/>
                      <w:sz w:val="21"/>
                      <w:szCs w:val="21"/>
                      <w:lang w:eastAsia="zh-CN"/>
                    </w:rPr>
                    <w:t>监测费用</w:t>
                  </w:r>
                </w:p>
              </w:tc>
              <w:tc>
                <w:tcPr>
                  <w:tcW w:w="3345"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eastAsia" w:ascii="Times New Roman" w:hAnsi="Times New Roman" w:eastAsia="宋体" w:cs="Times New Roman"/>
                      <w:b w:val="0"/>
                      <w:bCs w:val="0"/>
                      <w:color w:val="auto"/>
                      <w:spacing w:val="0"/>
                      <w:sz w:val="21"/>
                      <w:szCs w:val="21"/>
                      <w:lang w:eastAsia="zh-CN"/>
                    </w:rPr>
                  </w:pPr>
                  <w:r>
                    <w:rPr>
                      <w:rFonts w:hint="eastAsia" w:ascii="Times New Roman" w:hAnsi="Times New Roman" w:eastAsia="宋体" w:cs="Times New Roman"/>
                      <w:b w:val="0"/>
                      <w:bCs w:val="0"/>
                      <w:color w:val="auto"/>
                      <w:spacing w:val="0"/>
                      <w:sz w:val="21"/>
                      <w:szCs w:val="21"/>
                      <w:lang w:eastAsia="zh-CN"/>
                    </w:rPr>
                    <w:t>水、大气、噪声监测费用</w:t>
                  </w:r>
                </w:p>
              </w:tc>
              <w:tc>
                <w:tcPr>
                  <w:tcW w:w="503"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val="0"/>
                      <w:bCs w:val="0"/>
                      <w:color w:val="auto"/>
                      <w:spacing w:val="0"/>
                      <w:sz w:val="21"/>
                      <w:szCs w:val="21"/>
                      <w:lang w:val="en-US" w:eastAsia="zh-CN"/>
                    </w:rPr>
                  </w:pPr>
                  <w:r>
                    <w:rPr>
                      <w:rFonts w:hint="eastAsia" w:ascii="Times New Roman" w:hAnsi="Times New Roman" w:eastAsia="宋体" w:cs="Times New Roman"/>
                      <w:b w:val="0"/>
                      <w:bCs w:val="0"/>
                      <w:color w:val="auto"/>
                      <w:spacing w:val="0"/>
                      <w:sz w:val="21"/>
                      <w:szCs w:val="21"/>
                      <w:lang w:val="en-US" w:eastAsia="zh-CN"/>
                    </w:rPr>
                    <w:t>8</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0" w:hRule="atLeast"/>
                <w:jc w:val="center"/>
              </w:trPr>
              <w:tc>
                <w:tcPr>
                  <w:tcW w:w="483"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pacing w:val="0"/>
                      <w:sz w:val="21"/>
                      <w:szCs w:val="21"/>
                      <w:highlight w:val="red"/>
                    </w:rPr>
                  </w:pPr>
                </w:p>
              </w:tc>
              <w:tc>
                <w:tcPr>
                  <w:tcW w:w="667"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val="0"/>
                      <w:bCs w:val="0"/>
                      <w:color w:val="auto"/>
                      <w:spacing w:val="0"/>
                      <w:sz w:val="21"/>
                      <w:szCs w:val="21"/>
                      <w:lang w:val="en-US" w:eastAsia="zh-CN"/>
                    </w:rPr>
                  </w:pPr>
                  <w:r>
                    <w:rPr>
                      <w:rFonts w:hint="eastAsia" w:ascii="Times New Roman" w:hAnsi="Times New Roman" w:eastAsia="宋体" w:cs="Times New Roman"/>
                      <w:b w:val="0"/>
                      <w:bCs w:val="0"/>
                      <w:color w:val="auto"/>
                      <w:spacing w:val="0"/>
                      <w:sz w:val="21"/>
                      <w:szCs w:val="21"/>
                      <w:lang w:val="en-US" w:eastAsia="zh-CN"/>
                    </w:rPr>
                    <w:t>环境风险</w:t>
                  </w:r>
                </w:p>
              </w:tc>
              <w:tc>
                <w:tcPr>
                  <w:tcW w:w="3345"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eastAsia" w:ascii="Times New Roman" w:hAnsi="Times New Roman" w:eastAsia="宋体" w:cs="Times New Roman"/>
                      <w:b w:val="0"/>
                      <w:bCs w:val="0"/>
                      <w:color w:val="auto"/>
                      <w:spacing w:val="0"/>
                      <w:sz w:val="21"/>
                      <w:szCs w:val="21"/>
                      <w:lang w:eastAsia="zh-CN"/>
                    </w:rPr>
                  </w:pPr>
                  <w:r>
                    <w:rPr>
                      <w:rFonts w:hint="eastAsia" w:ascii="Times New Roman" w:hAnsi="Times New Roman" w:eastAsia="宋体" w:cs="Times New Roman"/>
                      <w:b w:val="0"/>
                      <w:bCs w:val="0"/>
                      <w:color w:val="auto"/>
                      <w:spacing w:val="0"/>
                      <w:sz w:val="21"/>
                      <w:szCs w:val="21"/>
                      <w:lang w:eastAsia="zh-CN"/>
                    </w:rPr>
                    <w:t>建立完善施工期管理的制度等</w:t>
                  </w:r>
                </w:p>
              </w:tc>
              <w:tc>
                <w:tcPr>
                  <w:tcW w:w="503"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val="0"/>
                      <w:bCs w:val="0"/>
                      <w:color w:val="auto"/>
                      <w:spacing w:val="0"/>
                      <w:sz w:val="21"/>
                      <w:szCs w:val="21"/>
                      <w:lang w:val="en-US" w:eastAsia="zh-CN"/>
                    </w:rPr>
                  </w:pPr>
                  <w:r>
                    <w:rPr>
                      <w:rFonts w:hint="eastAsia" w:ascii="Times New Roman" w:hAnsi="Times New Roman" w:eastAsia="宋体" w:cs="Times New Roman"/>
                      <w:b w:val="0"/>
                      <w:bCs w:val="0"/>
                      <w:color w:val="auto"/>
                      <w:spacing w:val="0"/>
                      <w:sz w:val="21"/>
                      <w:szCs w:val="21"/>
                      <w:lang w:val="en-US" w:eastAsia="zh-CN"/>
                    </w:rPr>
                    <w:t>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0" w:hRule="atLeast"/>
                <w:jc w:val="center"/>
              </w:trPr>
              <w:tc>
                <w:tcPr>
                  <w:tcW w:w="483"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eastAsia" w:ascii="Times New Roman" w:hAnsi="Times New Roman" w:eastAsia="宋体" w:cs="Times New Roman"/>
                      <w:color w:val="auto"/>
                      <w:spacing w:val="0"/>
                      <w:sz w:val="21"/>
                      <w:szCs w:val="21"/>
                      <w:highlight w:val="red"/>
                      <w:lang w:val="en-US" w:eastAsia="zh-CN"/>
                    </w:rPr>
                  </w:pPr>
                  <w:r>
                    <w:rPr>
                      <w:rFonts w:hint="eastAsia" w:ascii="Times New Roman" w:hAnsi="Times New Roman" w:eastAsia="宋体" w:cs="Times New Roman"/>
                      <w:b w:val="0"/>
                      <w:bCs w:val="0"/>
                      <w:color w:val="auto"/>
                      <w:spacing w:val="0"/>
                      <w:sz w:val="21"/>
                      <w:szCs w:val="21"/>
                      <w:lang w:val="en-US" w:eastAsia="zh-CN"/>
                    </w:rPr>
                    <w:t>运营期</w:t>
                  </w:r>
                </w:p>
              </w:tc>
              <w:tc>
                <w:tcPr>
                  <w:tcW w:w="667"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val="0"/>
                      <w:bCs w:val="0"/>
                      <w:color w:val="auto"/>
                      <w:spacing w:val="0"/>
                      <w:sz w:val="21"/>
                      <w:szCs w:val="21"/>
                      <w:lang w:val="en-US" w:eastAsia="zh-CN"/>
                    </w:rPr>
                  </w:pPr>
                  <w:r>
                    <w:rPr>
                      <w:rFonts w:hint="eastAsia" w:ascii="Times New Roman" w:hAnsi="Times New Roman" w:eastAsia="宋体" w:cs="Times New Roman"/>
                      <w:b w:val="0"/>
                      <w:bCs w:val="0"/>
                      <w:color w:val="auto"/>
                      <w:spacing w:val="0"/>
                      <w:sz w:val="21"/>
                      <w:szCs w:val="21"/>
                      <w:lang w:val="en-US" w:eastAsia="zh-CN"/>
                    </w:rPr>
                    <w:t>其他</w:t>
                  </w:r>
                </w:p>
              </w:tc>
              <w:tc>
                <w:tcPr>
                  <w:tcW w:w="3345"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eastAsia" w:ascii="Times New Roman" w:hAnsi="Times New Roman" w:eastAsia="宋体" w:cs="Times New Roman"/>
                      <w:b w:val="0"/>
                      <w:bCs w:val="0"/>
                      <w:color w:val="auto"/>
                      <w:spacing w:val="0"/>
                      <w:sz w:val="21"/>
                      <w:szCs w:val="21"/>
                      <w:lang w:eastAsia="zh-CN"/>
                    </w:rPr>
                  </w:pPr>
                  <w:r>
                    <w:rPr>
                      <w:rFonts w:hint="default" w:ascii="Times New Roman" w:hAnsi="Times New Roman" w:eastAsia="宋体" w:cs="Times New Roman"/>
                      <w:b w:val="0"/>
                      <w:bCs w:val="0"/>
                      <w:color w:val="auto"/>
                      <w:spacing w:val="0"/>
                      <w:sz w:val="21"/>
                      <w:szCs w:val="21"/>
                      <w:lang w:val="en-US" w:eastAsia="zh-CN"/>
                    </w:rPr>
                    <w:t>水下流量自动监测设备一套（HADCP）</w:t>
                  </w:r>
                </w:p>
              </w:tc>
              <w:tc>
                <w:tcPr>
                  <w:tcW w:w="503"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b w:val="0"/>
                      <w:bCs w:val="0"/>
                      <w:color w:val="auto"/>
                      <w:spacing w:val="0"/>
                      <w:sz w:val="21"/>
                      <w:szCs w:val="21"/>
                      <w:lang w:val="en-US" w:eastAsia="zh-CN"/>
                    </w:rPr>
                  </w:pPr>
                  <w:r>
                    <w:rPr>
                      <w:rFonts w:hint="eastAsia" w:ascii="Times New Roman" w:hAnsi="Times New Roman" w:eastAsia="宋体" w:cs="Times New Roman"/>
                      <w:b w:val="0"/>
                      <w:bCs w:val="0"/>
                      <w:color w:val="auto"/>
                      <w:spacing w:val="0"/>
                      <w:sz w:val="21"/>
                      <w:szCs w:val="21"/>
                      <w:lang w:val="en-US" w:eastAsia="zh-CN"/>
                    </w:rPr>
                    <w:t>30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0" w:hRule="atLeast"/>
                <w:jc w:val="center"/>
              </w:trPr>
              <w:tc>
                <w:tcPr>
                  <w:tcW w:w="4496" w:type="pct"/>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eastAsia="宋体" w:cs="Times New Roman"/>
                      <w:color w:val="auto"/>
                      <w:spacing w:val="0"/>
                      <w:sz w:val="21"/>
                      <w:szCs w:val="21"/>
                      <w:lang w:eastAsia="zh-CN"/>
                    </w:rPr>
                  </w:pPr>
                  <w:r>
                    <w:rPr>
                      <w:rFonts w:hint="default" w:ascii="Times New Roman" w:hAnsi="Times New Roman" w:cs="Times New Roman"/>
                      <w:color w:val="auto"/>
                      <w:spacing w:val="0"/>
                      <w:sz w:val="21"/>
                      <w:szCs w:val="21"/>
                      <w:lang w:eastAsia="zh-CN"/>
                    </w:rPr>
                    <w:t>合计</w:t>
                  </w:r>
                </w:p>
              </w:tc>
              <w:tc>
                <w:tcPr>
                  <w:tcW w:w="503"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center"/>
                    <w:textAlignment w:val="baseline"/>
                    <w:rPr>
                      <w:rFonts w:hint="default" w:ascii="Times New Roman" w:hAnsi="Times New Roman"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250</w:t>
                  </w:r>
                </w:p>
              </w:tc>
            </w:tr>
            <w:bookmarkEnd w:id="10"/>
          </w:tbl>
          <w:p>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jc w:val="both"/>
              <w:textAlignment w:val="auto"/>
              <w:rPr>
                <w:rFonts w:hint="default" w:ascii="Times New Roman" w:hAnsi="Times New Roman" w:cs="Times New Roman"/>
                <w:bCs/>
                <w:color w:val="0000FF"/>
                <w:spacing w:val="10"/>
                <w:szCs w:val="21"/>
              </w:rPr>
            </w:pPr>
          </w:p>
          <w:p>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jc w:val="both"/>
              <w:textAlignment w:val="auto"/>
              <w:rPr>
                <w:rFonts w:hint="default" w:ascii="Times New Roman" w:hAnsi="Times New Roman" w:cs="Times New Roman"/>
                <w:bCs/>
                <w:color w:val="0000FF"/>
                <w:spacing w:val="10"/>
                <w:szCs w:val="21"/>
              </w:rPr>
            </w:pPr>
          </w:p>
          <w:p>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jc w:val="both"/>
              <w:textAlignment w:val="auto"/>
              <w:rPr>
                <w:rFonts w:hint="default" w:ascii="Times New Roman" w:hAnsi="Times New Roman" w:cs="Times New Roman"/>
                <w:bCs/>
                <w:color w:val="0000FF"/>
                <w:spacing w:val="10"/>
                <w:szCs w:val="21"/>
              </w:rPr>
            </w:pPr>
          </w:p>
        </w:tc>
      </w:tr>
    </w:tbl>
    <w:p>
      <w:pPr>
        <w:keepNext w:val="0"/>
        <w:keepLines w:val="0"/>
        <w:pageBreakBefore w:val="0"/>
        <w:kinsoku/>
        <w:wordWrap/>
        <w:overflowPunct/>
        <w:topLinePunct w:val="0"/>
        <w:bidi w:val="0"/>
        <w:adjustRightInd w:val="0"/>
        <w:snapToGrid w:val="0"/>
        <w:textAlignment w:val="auto"/>
        <w:rPr>
          <w:rFonts w:hint="default" w:ascii="Times New Roman" w:hAnsi="Times New Roman" w:cs="Times New Roman"/>
        </w:rPr>
        <w:sectPr>
          <w:pgSz w:w="11907" w:h="16840"/>
          <w:pgMar w:top="1440" w:right="1797" w:bottom="1440" w:left="1797" w:header="851" w:footer="1077" w:gutter="0"/>
          <w:pgBorders>
            <w:top w:val="none" w:sz="0" w:space="0"/>
            <w:left w:val="none" w:sz="0" w:space="0"/>
            <w:bottom w:val="none" w:sz="0" w:space="0"/>
            <w:right w:val="none" w:sz="0" w:space="0"/>
          </w:pgBorders>
          <w:cols w:space="720" w:num="1"/>
          <w:docGrid w:linePitch="312" w:charSpace="0"/>
        </w:sectPr>
      </w:pPr>
    </w:p>
    <w:p>
      <w:pPr>
        <w:pStyle w:val="34"/>
        <w:keepNext w:val="0"/>
        <w:keepLines w:val="0"/>
        <w:pageBreakBefore w:val="0"/>
        <w:kinsoku/>
        <w:wordWrap/>
        <w:overflowPunct/>
        <w:topLinePunct w:val="0"/>
        <w:bidi w:val="0"/>
        <w:adjustRightInd w:val="0"/>
        <w:snapToGrid w:val="0"/>
        <w:jc w:val="center"/>
        <w:textAlignment w:val="auto"/>
        <w:outlineLvl w:val="0"/>
        <w:rPr>
          <w:rFonts w:hint="default" w:ascii="Times New Roman" w:hAnsi="Times New Roman" w:eastAsia="黑体" w:cs="Times New Roman"/>
          <w:snapToGrid w:val="0"/>
          <w:sz w:val="30"/>
          <w:szCs w:val="30"/>
        </w:rPr>
      </w:pPr>
      <w:r>
        <w:rPr>
          <w:rFonts w:hint="default" w:ascii="Times New Roman" w:hAnsi="Times New Roman" w:eastAsia="黑体" w:cs="Times New Roman"/>
          <w:snapToGrid w:val="0"/>
          <w:sz w:val="30"/>
          <w:szCs w:val="30"/>
        </w:rPr>
        <w:t>六、生态环境保护措施监督检查清单</w:t>
      </w:r>
    </w:p>
    <w:tbl>
      <w:tblPr>
        <w:tblStyle w:val="39"/>
        <w:tblW w:w="469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68"/>
        <w:gridCol w:w="4168"/>
        <w:gridCol w:w="2739"/>
        <w:gridCol w:w="2233"/>
        <w:gridCol w:w="190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89" w:type="pct"/>
            <w:vMerge w:val="restart"/>
            <w:tcBorders>
              <w:tl2br w:val="single" w:color="auto" w:sz="4" w:space="0"/>
            </w:tcBorders>
            <w:noWrap w:val="0"/>
            <w:vAlign w:val="top"/>
          </w:tcPr>
          <w:p>
            <w:pPr>
              <w:pStyle w:val="34"/>
              <w:keepNext w:val="0"/>
              <w:keepLines w:val="0"/>
              <w:pageBreakBefore w:val="0"/>
              <w:kinsoku/>
              <w:wordWrap/>
              <w:overflowPunct/>
              <w:topLinePunct w:val="0"/>
              <w:bidi w:val="0"/>
              <w:adjustRightInd w:val="0"/>
              <w:snapToGrid w:val="0"/>
              <w:spacing w:before="72" w:beforeLines="30" w:beforeAutospacing="0" w:after="0" w:afterAutospacing="0"/>
              <w:jc w:val="right"/>
              <w:textAlignment w:val="auto"/>
              <w:outlineLvl w:val="0"/>
              <w:rPr>
                <w:rFonts w:hint="default" w:ascii="Times New Roman" w:hAnsi="Times New Roman" w:eastAsia="黑体" w:cs="Times New Roman"/>
                <w:kern w:val="2"/>
                <w:sz w:val="21"/>
                <w:szCs w:val="21"/>
              </w:rPr>
            </w:pPr>
            <w:r>
              <w:rPr>
                <w:rFonts w:hint="default" w:ascii="Times New Roman" w:hAnsi="Times New Roman" w:eastAsia="黑体" w:cs="Times New Roman"/>
                <w:kern w:val="2"/>
                <w:sz w:val="21"/>
                <w:szCs w:val="21"/>
              </w:rPr>
              <w:t>内容</w:t>
            </w:r>
          </w:p>
          <w:p>
            <w:pPr>
              <w:pStyle w:val="34"/>
              <w:keepNext w:val="0"/>
              <w:keepLines w:val="0"/>
              <w:pageBreakBefore w:val="0"/>
              <w:kinsoku/>
              <w:wordWrap/>
              <w:overflowPunct/>
              <w:topLinePunct w:val="0"/>
              <w:bidi w:val="0"/>
              <w:adjustRightInd w:val="0"/>
              <w:snapToGrid w:val="0"/>
              <w:spacing w:before="0" w:beforeAutospacing="0" w:after="0" w:afterAutospacing="0" w:line="14" w:lineRule="auto"/>
              <w:textAlignment w:val="auto"/>
              <w:outlineLvl w:val="0"/>
              <w:rPr>
                <w:rFonts w:hint="default" w:ascii="Times New Roman" w:hAnsi="Times New Roman" w:eastAsia="黑体" w:cs="Times New Roman"/>
                <w:kern w:val="2"/>
                <w:sz w:val="135"/>
                <w:szCs w:val="21"/>
              </w:rPr>
            </w:pPr>
            <w:r>
              <w:rPr>
                <w:rFonts w:hint="default" w:ascii="Times New Roman" w:hAnsi="Times New Roman" w:eastAsia="黑体" w:cs="Times New Roman"/>
                <w:kern w:val="2"/>
                <w:sz w:val="21"/>
                <w:szCs w:val="21"/>
              </w:rPr>
              <w:t xml:space="preserve"> </w:t>
            </w:r>
            <w:r>
              <w:rPr>
                <w:rFonts w:hint="default" w:ascii="Times New Roman" w:hAnsi="Times New Roman" w:eastAsia="黑体" w:cs="Times New Roman"/>
                <w:kern w:val="2"/>
                <w:sz w:val="135"/>
                <w:szCs w:val="21"/>
              </w:rPr>
              <w:t xml:space="preserve"> </w:t>
            </w:r>
          </w:p>
          <w:p>
            <w:pPr>
              <w:pStyle w:val="34"/>
              <w:keepNext w:val="0"/>
              <w:keepLines w:val="0"/>
              <w:pageBreakBefore w:val="0"/>
              <w:kinsoku/>
              <w:wordWrap/>
              <w:overflowPunct/>
              <w:topLinePunct w:val="0"/>
              <w:bidi w:val="0"/>
              <w:adjustRightInd w:val="0"/>
              <w:snapToGrid w:val="0"/>
              <w:spacing w:before="0" w:beforeAutospacing="0" w:after="0" w:afterAutospacing="0"/>
              <w:jc w:val="both"/>
              <w:textAlignment w:val="auto"/>
              <w:outlineLvl w:val="0"/>
              <w:rPr>
                <w:rFonts w:hint="default" w:ascii="Times New Roman" w:hAnsi="Times New Roman" w:eastAsia="黑体" w:cs="Times New Roman"/>
                <w:kern w:val="2"/>
                <w:sz w:val="21"/>
                <w:szCs w:val="21"/>
              </w:rPr>
            </w:pPr>
            <w:r>
              <w:rPr>
                <w:rFonts w:hint="default" w:ascii="Times New Roman" w:hAnsi="Times New Roman" w:eastAsia="黑体" w:cs="Times New Roman"/>
                <w:kern w:val="2"/>
                <w:sz w:val="21"/>
                <w:szCs w:val="21"/>
              </w:rPr>
              <w:t>要素</w:t>
            </w:r>
          </w:p>
        </w:tc>
        <w:tc>
          <w:tcPr>
            <w:tcW w:w="2695" w:type="pct"/>
            <w:gridSpan w:val="2"/>
            <w:noWrap w:val="0"/>
            <w:vAlign w:val="center"/>
          </w:tcPr>
          <w:p>
            <w:pPr>
              <w:pStyle w:val="34"/>
              <w:keepNext w:val="0"/>
              <w:keepLines w:val="0"/>
              <w:pageBreakBefore w:val="0"/>
              <w:kinsoku/>
              <w:wordWrap/>
              <w:overflowPunct/>
              <w:topLinePunct w:val="0"/>
              <w:bidi w:val="0"/>
              <w:adjustRightInd w:val="0"/>
              <w:snapToGrid w:val="0"/>
              <w:spacing w:before="0" w:beforeAutospacing="0" w:after="0" w:afterAutospacing="0"/>
              <w:jc w:val="center"/>
              <w:textAlignment w:val="auto"/>
              <w:outlineLvl w:val="0"/>
              <w:rPr>
                <w:rFonts w:hint="default" w:ascii="Times New Roman" w:hAnsi="Times New Roman" w:eastAsia="黑体" w:cs="Times New Roman"/>
                <w:kern w:val="2"/>
                <w:sz w:val="21"/>
                <w:szCs w:val="21"/>
              </w:rPr>
            </w:pPr>
            <w:r>
              <w:rPr>
                <w:rFonts w:hint="default" w:ascii="Times New Roman" w:hAnsi="Times New Roman" w:eastAsia="黑体" w:cs="Times New Roman"/>
                <w:kern w:val="2"/>
                <w:sz w:val="21"/>
                <w:szCs w:val="21"/>
              </w:rPr>
              <w:t>施工期</w:t>
            </w:r>
          </w:p>
        </w:tc>
        <w:tc>
          <w:tcPr>
            <w:tcW w:w="1615" w:type="pct"/>
            <w:gridSpan w:val="2"/>
            <w:noWrap w:val="0"/>
            <w:vAlign w:val="center"/>
          </w:tcPr>
          <w:p>
            <w:pPr>
              <w:pStyle w:val="34"/>
              <w:keepNext w:val="0"/>
              <w:keepLines w:val="0"/>
              <w:pageBreakBefore w:val="0"/>
              <w:kinsoku/>
              <w:wordWrap/>
              <w:overflowPunct/>
              <w:topLinePunct w:val="0"/>
              <w:bidi w:val="0"/>
              <w:adjustRightInd w:val="0"/>
              <w:snapToGrid w:val="0"/>
              <w:spacing w:before="0" w:beforeAutospacing="0" w:after="0" w:afterAutospacing="0"/>
              <w:jc w:val="center"/>
              <w:textAlignment w:val="auto"/>
              <w:outlineLvl w:val="0"/>
              <w:rPr>
                <w:rFonts w:hint="default" w:ascii="Times New Roman" w:hAnsi="Times New Roman" w:eastAsia="黑体" w:cs="Times New Roman"/>
                <w:kern w:val="2"/>
                <w:sz w:val="21"/>
                <w:szCs w:val="21"/>
                <w:highlight w:val="red"/>
              </w:rPr>
            </w:pPr>
            <w:r>
              <w:rPr>
                <w:rFonts w:hint="default" w:ascii="Times New Roman" w:hAnsi="Times New Roman" w:eastAsia="黑体" w:cs="Times New Roman"/>
                <w:kern w:val="2"/>
                <w:sz w:val="21"/>
                <w:szCs w:val="21"/>
                <w:highlight w:val="none"/>
              </w:rPr>
              <w:t>运营期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89" w:type="pct"/>
            <w:vMerge w:val="continue"/>
            <w:noWrap w:val="0"/>
            <w:vAlign w:val="top"/>
          </w:tcPr>
          <w:p>
            <w:pPr>
              <w:pStyle w:val="34"/>
              <w:keepNext w:val="0"/>
              <w:keepLines w:val="0"/>
              <w:pageBreakBefore w:val="0"/>
              <w:kinsoku/>
              <w:wordWrap/>
              <w:overflowPunct/>
              <w:topLinePunct w:val="0"/>
              <w:bidi w:val="0"/>
              <w:adjustRightInd w:val="0"/>
              <w:snapToGrid w:val="0"/>
              <w:spacing w:before="0" w:beforeAutospacing="0" w:after="0" w:afterAutospacing="0"/>
              <w:ind w:firstLine="840"/>
              <w:jc w:val="center"/>
              <w:textAlignment w:val="auto"/>
              <w:outlineLvl w:val="0"/>
              <w:rPr>
                <w:rFonts w:hint="default" w:ascii="Times New Roman" w:hAnsi="Times New Roman" w:eastAsia="黑体" w:cs="Times New Roman"/>
                <w:kern w:val="2"/>
                <w:sz w:val="21"/>
                <w:szCs w:val="21"/>
              </w:rPr>
            </w:pPr>
          </w:p>
        </w:tc>
        <w:tc>
          <w:tcPr>
            <w:tcW w:w="1626" w:type="pct"/>
            <w:noWrap w:val="0"/>
            <w:vAlign w:val="center"/>
          </w:tcPr>
          <w:p>
            <w:pPr>
              <w:pStyle w:val="34"/>
              <w:keepNext w:val="0"/>
              <w:keepLines w:val="0"/>
              <w:pageBreakBefore w:val="0"/>
              <w:kinsoku/>
              <w:wordWrap/>
              <w:overflowPunct/>
              <w:topLinePunct w:val="0"/>
              <w:bidi w:val="0"/>
              <w:adjustRightInd w:val="0"/>
              <w:snapToGrid w:val="0"/>
              <w:spacing w:before="0" w:beforeAutospacing="0" w:after="0" w:afterAutospacing="0"/>
              <w:jc w:val="center"/>
              <w:textAlignment w:val="auto"/>
              <w:outlineLvl w:val="0"/>
              <w:rPr>
                <w:rFonts w:hint="default" w:ascii="Times New Roman" w:hAnsi="Times New Roman" w:eastAsia="黑体" w:cs="Times New Roman"/>
                <w:kern w:val="2"/>
                <w:sz w:val="21"/>
                <w:szCs w:val="21"/>
              </w:rPr>
            </w:pPr>
            <w:r>
              <w:rPr>
                <w:rFonts w:hint="default" w:ascii="Times New Roman" w:hAnsi="Times New Roman" w:eastAsia="黑体" w:cs="Times New Roman"/>
                <w:kern w:val="2"/>
                <w:sz w:val="21"/>
                <w:szCs w:val="21"/>
              </w:rPr>
              <w:t>环境保护措施</w:t>
            </w:r>
          </w:p>
        </w:tc>
        <w:tc>
          <w:tcPr>
            <w:tcW w:w="1068" w:type="pct"/>
            <w:noWrap w:val="0"/>
            <w:vAlign w:val="center"/>
          </w:tcPr>
          <w:p>
            <w:pPr>
              <w:pStyle w:val="34"/>
              <w:keepNext w:val="0"/>
              <w:keepLines w:val="0"/>
              <w:pageBreakBefore w:val="0"/>
              <w:kinsoku/>
              <w:wordWrap/>
              <w:overflowPunct/>
              <w:topLinePunct w:val="0"/>
              <w:bidi w:val="0"/>
              <w:adjustRightInd w:val="0"/>
              <w:snapToGrid w:val="0"/>
              <w:spacing w:before="0" w:beforeAutospacing="0" w:after="0" w:afterAutospacing="0"/>
              <w:jc w:val="center"/>
              <w:textAlignment w:val="auto"/>
              <w:outlineLvl w:val="0"/>
              <w:rPr>
                <w:rFonts w:hint="default" w:ascii="Times New Roman" w:hAnsi="Times New Roman" w:eastAsia="黑体" w:cs="Times New Roman"/>
                <w:kern w:val="2"/>
                <w:sz w:val="21"/>
                <w:szCs w:val="21"/>
              </w:rPr>
            </w:pPr>
            <w:r>
              <w:rPr>
                <w:rFonts w:hint="default" w:ascii="Times New Roman" w:hAnsi="Times New Roman" w:eastAsia="黑体" w:cs="Times New Roman"/>
                <w:kern w:val="2"/>
                <w:sz w:val="21"/>
                <w:szCs w:val="21"/>
              </w:rPr>
              <w:t>验收要求</w:t>
            </w:r>
          </w:p>
        </w:tc>
        <w:tc>
          <w:tcPr>
            <w:tcW w:w="871" w:type="pct"/>
            <w:noWrap w:val="0"/>
            <w:vAlign w:val="center"/>
          </w:tcPr>
          <w:p>
            <w:pPr>
              <w:pStyle w:val="34"/>
              <w:keepNext w:val="0"/>
              <w:keepLines w:val="0"/>
              <w:pageBreakBefore w:val="0"/>
              <w:kinsoku/>
              <w:wordWrap/>
              <w:overflowPunct/>
              <w:topLinePunct w:val="0"/>
              <w:bidi w:val="0"/>
              <w:adjustRightInd w:val="0"/>
              <w:snapToGrid w:val="0"/>
              <w:spacing w:before="0" w:beforeAutospacing="0" w:after="0" w:afterAutospacing="0"/>
              <w:jc w:val="center"/>
              <w:textAlignment w:val="auto"/>
              <w:outlineLvl w:val="0"/>
              <w:rPr>
                <w:rFonts w:hint="default" w:ascii="Times New Roman" w:hAnsi="Times New Roman" w:eastAsia="黑体" w:cs="Times New Roman"/>
                <w:kern w:val="2"/>
                <w:sz w:val="21"/>
                <w:szCs w:val="21"/>
                <w:highlight w:val="none"/>
              </w:rPr>
            </w:pPr>
            <w:r>
              <w:rPr>
                <w:rFonts w:hint="default" w:ascii="Times New Roman" w:hAnsi="Times New Roman" w:eastAsia="黑体" w:cs="Times New Roman"/>
                <w:kern w:val="2"/>
                <w:sz w:val="21"/>
                <w:szCs w:val="21"/>
                <w:highlight w:val="none"/>
              </w:rPr>
              <w:t>环境保护措施</w:t>
            </w:r>
          </w:p>
        </w:tc>
        <w:tc>
          <w:tcPr>
            <w:tcW w:w="743" w:type="pct"/>
            <w:noWrap w:val="0"/>
            <w:vAlign w:val="center"/>
          </w:tcPr>
          <w:p>
            <w:pPr>
              <w:pStyle w:val="34"/>
              <w:keepNext w:val="0"/>
              <w:keepLines w:val="0"/>
              <w:pageBreakBefore w:val="0"/>
              <w:kinsoku/>
              <w:wordWrap/>
              <w:overflowPunct/>
              <w:topLinePunct w:val="0"/>
              <w:bidi w:val="0"/>
              <w:adjustRightInd w:val="0"/>
              <w:snapToGrid w:val="0"/>
              <w:spacing w:before="0" w:beforeAutospacing="0" w:after="0" w:afterAutospacing="0"/>
              <w:jc w:val="center"/>
              <w:textAlignment w:val="auto"/>
              <w:outlineLvl w:val="0"/>
              <w:rPr>
                <w:rFonts w:hint="default" w:ascii="Times New Roman" w:hAnsi="Times New Roman" w:eastAsia="黑体" w:cs="Times New Roman"/>
                <w:kern w:val="2"/>
                <w:sz w:val="21"/>
                <w:szCs w:val="21"/>
                <w:highlight w:val="none"/>
              </w:rPr>
            </w:pPr>
            <w:r>
              <w:rPr>
                <w:rFonts w:hint="default" w:ascii="Times New Roman" w:hAnsi="Times New Roman" w:eastAsia="黑体" w:cs="Times New Roman"/>
                <w:kern w:val="2"/>
                <w:sz w:val="21"/>
                <w:szCs w:val="21"/>
                <w:highlight w:val="none"/>
              </w:rPr>
              <w:t>验收要求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67" w:hRule="atLeast"/>
          <w:jc w:val="center"/>
        </w:trPr>
        <w:tc>
          <w:tcPr>
            <w:tcW w:w="689"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rPr>
            </w:pPr>
            <w:r>
              <w:rPr>
                <w:rFonts w:hint="default" w:ascii="Times New Roman" w:hAnsi="Times New Roman" w:cs="Times New Roman"/>
                <w:szCs w:val="21"/>
              </w:rPr>
              <w:t>陆生生态</w:t>
            </w:r>
          </w:p>
        </w:tc>
        <w:tc>
          <w:tcPr>
            <w:tcW w:w="1626" w:type="pct"/>
            <w:noWrap w:val="0"/>
            <w:vAlign w:val="center"/>
          </w:tcPr>
          <w:p>
            <w:pPr>
              <w:adjustRightInd w:val="0"/>
              <w:snapToGrid w:val="0"/>
              <w:jc w:val="center"/>
              <w:rPr>
                <w:rFonts w:hint="default" w:ascii="Times New Roman" w:hAnsi="Times New Roman" w:cs="Times New Roman"/>
                <w:kern w:val="2"/>
                <w:sz w:val="21"/>
                <w:szCs w:val="21"/>
                <w:lang w:val="en-US" w:eastAsia="zh-CN" w:bidi="ar-SA"/>
              </w:rPr>
            </w:pPr>
            <w:r>
              <w:rPr>
                <w:rFonts w:hint="default" w:ascii="Times New Roman" w:hAnsi="Times New Roman" w:cs="Times New Roman"/>
                <w:szCs w:val="21"/>
              </w:rPr>
              <w:t>减少占地，减少水土流失</w:t>
            </w:r>
          </w:p>
        </w:tc>
        <w:tc>
          <w:tcPr>
            <w:tcW w:w="1068" w:type="pct"/>
            <w:noWrap w:val="0"/>
            <w:vAlign w:val="center"/>
          </w:tcPr>
          <w:p>
            <w:pPr>
              <w:adjustRightInd w:val="0"/>
              <w:snapToGrid w:val="0"/>
              <w:jc w:val="center"/>
              <w:rPr>
                <w:rFonts w:hint="default" w:ascii="Times New Roman" w:hAnsi="Times New Roman" w:cs="Times New Roman"/>
                <w:kern w:val="2"/>
                <w:sz w:val="21"/>
                <w:szCs w:val="21"/>
                <w:lang w:val="en-US" w:eastAsia="zh-CN" w:bidi="ar-SA"/>
              </w:rPr>
            </w:pPr>
            <w:r>
              <w:rPr>
                <w:rFonts w:hint="default" w:ascii="Times New Roman" w:hAnsi="Times New Roman" w:cs="Times New Roman"/>
                <w:kern w:val="0"/>
                <w:szCs w:val="21"/>
              </w:rPr>
              <w:t>生态环境以不减少区内濒危珍稀动植物和不破坏生态系统完整性为标准，水土流失以不改变土壤侵蚀类型为标准</w:t>
            </w:r>
          </w:p>
        </w:tc>
        <w:tc>
          <w:tcPr>
            <w:tcW w:w="871"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szCs w:val="21"/>
                <w:highlight w:val="red"/>
                <w:lang w:val="en-US" w:eastAsia="zh-CN"/>
              </w:rPr>
            </w:pPr>
            <w:r>
              <w:rPr>
                <w:rFonts w:hint="eastAsia" w:ascii="Times New Roman" w:hAnsi="Times New Roman" w:eastAsia="宋体" w:cs="Times New Roman"/>
                <w:szCs w:val="21"/>
                <w:highlight w:val="none"/>
                <w:lang w:val="en-US" w:eastAsia="zh-CN"/>
              </w:rPr>
              <w:t>/</w:t>
            </w:r>
          </w:p>
        </w:tc>
        <w:tc>
          <w:tcPr>
            <w:tcW w:w="743"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szCs w:val="21"/>
                <w:highlight w:val="red"/>
                <w:lang w:val="en-US" w:eastAsia="zh-CN"/>
              </w:rPr>
            </w:pPr>
            <w:r>
              <w:rPr>
                <w:rFonts w:hint="eastAsia" w:ascii="Times New Roman" w:hAnsi="Times New Roman" w:eastAsia="宋体" w:cs="Times New Roman"/>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89"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rPr>
            </w:pPr>
            <w:r>
              <w:rPr>
                <w:rFonts w:hint="default" w:ascii="Times New Roman" w:hAnsi="Times New Roman" w:cs="Times New Roman"/>
                <w:szCs w:val="21"/>
              </w:rPr>
              <w:t>水生生态</w:t>
            </w:r>
          </w:p>
        </w:tc>
        <w:tc>
          <w:tcPr>
            <w:tcW w:w="1626"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eastAsia="zh-CN"/>
              </w:rPr>
              <w:t>缩短施工时间，优化施工时序，废水不外排，加强施工管理</w:t>
            </w:r>
          </w:p>
        </w:tc>
        <w:tc>
          <w:tcPr>
            <w:tcW w:w="1068"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kern w:val="0"/>
                <w:szCs w:val="21"/>
              </w:rPr>
              <w:t>不减少区内濒危珍稀动植物和不破坏生态系统完整性为标准</w:t>
            </w:r>
          </w:p>
        </w:tc>
        <w:tc>
          <w:tcPr>
            <w:tcW w:w="871"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c>
          <w:tcPr>
            <w:tcW w:w="743"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89"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rPr>
            </w:pPr>
            <w:r>
              <w:rPr>
                <w:rFonts w:hint="default" w:ascii="Times New Roman" w:hAnsi="Times New Roman" w:cs="Times New Roman"/>
                <w:szCs w:val="21"/>
              </w:rPr>
              <w:t>地表水环境</w:t>
            </w:r>
          </w:p>
        </w:tc>
        <w:tc>
          <w:tcPr>
            <w:tcW w:w="1626"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基坑排水沉淀后用水泵排入下游水域</w:t>
            </w:r>
            <w:r>
              <w:rPr>
                <w:rFonts w:hint="eastAsia" w:ascii="Times New Roman" w:hAnsi="Times New Roman" w:eastAsia="宋体" w:cs="Times New Roman"/>
                <w:szCs w:val="21"/>
                <w:lang w:eastAsia="zh-CN"/>
              </w:rPr>
              <w:t>；</w:t>
            </w:r>
            <w:r>
              <w:rPr>
                <w:rFonts w:hint="eastAsia" w:ascii="Times New Roman" w:hAnsi="Times New Roman" w:eastAsia="宋体" w:cs="Times New Roman"/>
                <w:szCs w:val="21"/>
                <w:lang w:val="en-US" w:eastAsia="zh-CN"/>
              </w:rPr>
              <w:t>淤泥渗滤液经沉淀后用于洒水降尘</w:t>
            </w:r>
            <w:r>
              <w:rPr>
                <w:rFonts w:hint="default" w:ascii="Times New Roman" w:hAnsi="Times New Roman" w:eastAsia="宋体" w:cs="Times New Roman"/>
                <w:szCs w:val="21"/>
              </w:rPr>
              <w:t>；施工废水隔油沉淀后回用或洒水降尘； 施工人员产生的生活污 水利用居民住宅现有设</w:t>
            </w:r>
          </w:p>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施处理</w:t>
            </w:r>
          </w:p>
        </w:tc>
        <w:tc>
          <w:tcPr>
            <w:tcW w:w="1068"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rPr>
            </w:pPr>
            <w:r>
              <w:rPr>
                <w:rFonts w:hint="default" w:ascii="Times New Roman" w:hAnsi="Times New Roman" w:cs="Times New Roman"/>
                <w:szCs w:val="21"/>
              </w:rPr>
              <w:t>不会对地表水体造成污染</w:t>
            </w:r>
          </w:p>
        </w:tc>
        <w:tc>
          <w:tcPr>
            <w:tcW w:w="871"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c>
          <w:tcPr>
            <w:tcW w:w="743"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89"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rPr>
            </w:pPr>
            <w:r>
              <w:rPr>
                <w:rFonts w:hint="default" w:ascii="Times New Roman" w:hAnsi="Times New Roman" w:cs="Times New Roman"/>
                <w:szCs w:val="21"/>
              </w:rPr>
              <w:t>地下水及土壤环境</w:t>
            </w:r>
          </w:p>
        </w:tc>
        <w:tc>
          <w:tcPr>
            <w:tcW w:w="1626"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w:t>
            </w:r>
          </w:p>
        </w:tc>
        <w:tc>
          <w:tcPr>
            <w:tcW w:w="1068" w:type="pct"/>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w:t>
            </w:r>
          </w:p>
        </w:tc>
        <w:tc>
          <w:tcPr>
            <w:tcW w:w="871" w:type="pct"/>
            <w:noWrap w:val="0"/>
            <w:vAlign w:val="center"/>
          </w:tcPr>
          <w:p>
            <w:pPr>
              <w:adjustRightInd w:val="0"/>
              <w:snapToGrid w:val="0"/>
              <w:jc w:val="center"/>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c>
          <w:tcPr>
            <w:tcW w:w="743" w:type="pct"/>
            <w:noWrap w:val="0"/>
            <w:vAlign w:val="center"/>
          </w:tcPr>
          <w:p>
            <w:pPr>
              <w:adjustRightInd w:val="0"/>
              <w:snapToGrid w:val="0"/>
              <w:jc w:val="center"/>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89"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rPr>
            </w:pPr>
            <w:r>
              <w:rPr>
                <w:rFonts w:hint="default" w:ascii="Times New Roman" w:hAnsi="Times New Roman" w:cs="Times New Roman"/>
                <w:szCs w:val="21"/>
              </w:rPr>
              <w:t>声环境</w:t>
            </w:r>
          </w:p>
        </w:tc>
        <w:tc>
          <w:tcPr>
            <w:tcW w:w="1626" w:type="pct"/>
            <w:noWrap w:val="0"/>
            <w:vAlign w:val="center"/>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选低噪声设备，施工场 地设置围栏；严格控制 施工作业时间；加强车 辆管理，控制场区车辆</w:t>
            </w:r>
          </w:p>
          <w:p>
            <w:pPr>
              <w:adjustRightInd w:val="0"/>
              <w:snapToGrid w:val="0"/>
              <w:jc w:val="center"/>
              <w:rPr>
                <w:rFonts w:hint="default" w:ascii="Times New Roman" w:hAnsi="Times New Roman" w:cs="Times New Roman"/>
                <w:szCs w:val="21"/>
              </w:rPr>
            </w:pPr>
            <w:r>
              <w:rPr>
                <w:rFonts w:hint="default" w:ascii="Times New Roman" w:hAnsi="Times New Roman" w:eastAsia="宋体" w:cs="Times New Roman"/>
                <w:szCs w:val="21"/>
              </w:rPr>
              <w:t>车速</w:t>
            </w:r>
          </w:p>
        </w:tc>
        <w:tc>
          <w:tcPr>
            <w:tcW w:w="1068" w:type="pct"/>
            <w:noWrap w:val="0"/>
            <w:vAlign w:val="center"/>
          </w:tcPr>
          <w:p>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满足</w:t>
            </w:r>
            <w:r>
              <w:rPr>
                <w:rFonts w:hint="default" w:ascii="Times New Roman" w:hAnsi="Times New Roman" w:cs="Times New Roman"/>
                <w:szCs w:val="21"/>
              </w:rPr>
              <w:t>《建筑施工场界环境噪声排放标准》 （GB12523-2011）</w:t>
            </w:r>
            <w:r>
              <w:rPr>
                <w:rFonts w:hint="eastAsia" w:ascii="Times New Roman" w:hAnsi="Times New Roman" w:cs="Times New Roman"/>
                <w:szCs w:val="21"/>
                <w:lang w:val="en-US" w:eastAsia="zh-CN"/>
              </w:rPr>
              <w:t>要求</w:t>
            </w:r>
          </w:p>
        </w:tc>
        <w:tc>
          <w:tcPr>
            <w:tcW w:w="871"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szCs w:val="21"/>
                <w:highlight w:val="red"/>
                <w:lang w:eastAsia="zh-CN"/>
              </w:rPr>
            </w:pPr>
            <w:r>
              <w:rPr>
                <w:rFonts w:hint="eastAsia" w:ascii="Times New Roman" w:hAnsi="Times New Roman" w:eastAsia="宋体" w:cs="Times New Roman"/>
                <w:szCs w:val="21"/>
                <w:highlight w:val="none"/>
                <w:lang w:val="en-US" w:eastAsia="zh-CN"/>
              </w:rPr>
              <w:t>/</w:t>
            </w:r>
          </w:p>
        </w:tc>
        <w:tc>
          <w:tcPr>
            <w:tcW w:w="743"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89"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rPr>
            </w:pPr>
            <w:r>
              <w:rPr>
                <w:rFonts w:hint="default" w:ascii="Times New Roman" w:hAnsi="Times New Roman" w:cs="Times New Roman"/>
                <w:szCs w:val="21"/>
              </w:rPr>
              <w:t>振动</w:t>
            </w:r>
          </w:p>
        </w:tc>
        <w:tc>
          <w:tcPr>
            <w:tcW w:w="1626"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rPr>
            </w:pPr>
            <w:r>
              <w:rPr>
                <w:rFonts w:hint="default" w:ascii="Times New Roman" w:hAnsi="Times New Roman" w:cs="Times New Roman"/>
                <w:color w:val="auto"/>
                <w:szCs w:val="21"/>
                <w:lang w:val="en-US" w:eastAsia="zh-CN"/>
              </w:rPr>
              <w:t>/</w:t>
            </w:r>
          </w:p>
        </w:tc>
        <w:tc>
          <w:tcPr>
            <w:tcW w:w="1068"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rPr>
            </w:pPr>
            <w:r>
              <w:rPr>
                <w:rFonts w:hint="default" w:ascii="Times New Roman" w:hAnsi="Times New Roman" w:cs="Times New Roman"/>
                <w:color w:val="auto"/>
                <w:szCs w:val="21"/>
                <w:lang w:val="en-US" w:eastAsia="zh-CN"/>
              </w:rPr>
              <w:t>/</w:t>
            </w:r>
          </w:p>
        </w:tc>
        <w:tc>
          <w:tcPr>
            <w:tcW w:w="871"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c>
          <w:tcPr>
            <w:tcW w:w="743"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89"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rPr>
            </w:pPr>
            <w:r>
              <w:rPr>
                <w:rFonts w:hint="default" w:ascii="Times New Roman" w:hAnsi="Times New Roman" w:cs="Times New Roman"/>
                <w:szCs w:val="21"/>
              </w:rPr>
              <w:t>大气环境</w:t>
            </w:r>
          </w:p>
        </w:tc>
        <w:tc>
          <w:tcPr>
            <w:tcW w:w="2766" w:type="dxa"/>
            <w:noWrap w:val="0"/>
            <w:vAlign w:val="top"/>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物料堆积采取覆盖等防</w:t>
            </w:r>
          </w:p>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尘措施；加强洒水；设</w:t>
            </w:r>
          </w:p>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置雾炮机；设置车辆清</w:t>
            </w:r>
          </w:p>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洗区；运输车辆篷布封</w:t>
            </w:r>
          </w:p>
          <w:p>
            <w:pPr>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rPr>
              <w:t>闭</w:t>
            </w:r>
            <w:r>
              <w:rPr>
                <w:rFonts w:hint="eastAsia" w:ascii="Times New Roman" w:hAnsi="Times New Roman" w:eastAsia="宋体" w:cs="Times New Roman"/>
                <w:szCs w:val="21"/>
                <w:lang w:eastAsia="zh-CN"/>
              </w:rPr>
              <w:t>；</w:t>
            </w:r>
            <w:r>
              <w:rPr>
                <w:rFonts w:hint="eastAsia" w:ascii="Times New Roman" w:hAnsi="Times New Roman" w:eastAsia="宋体" w:cs="Times New Roman"/>
                <w:szCs w:val="21"/>
                <w:lang w:val="en-US" w:eastAsia="zh-CN"/>
              </w:rPr>
              <w:t>对疏浚料堆场喷洒除臭剂；</w:t>
            </w:r>
          </w:p>
        </w:tc>
        <w:tc>
          <w:tcPr>
            <w:tcW w:w="1818" w:type="dxa"/>
            <w:noWrap w:val="0"/>
            <w:vAlign w:val="top"/>
          </w:tcPr>
          <w:p>
            <w:pPr>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满足《环境空气质量标准》 (GB3095-2012) 中的二级标准、《四川省施工场地扬尘排放标准》 (DB51/2682-2020)要求</w:t>
            </w:r>
          </w:p>
        </w:tc>
        <w:tc>
          <w:tcPr>
            <w:tcW w:w="871"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c>
          <w:tcPr>
            <w:tcW w:w="743"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89"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rPr>
            </w:pPr>
            <w:r>
              <w:rPr>
                <w:rFonts w:hint="default" w:ascii="Times New Roman" w:hAnsi="Times New Roman" w:cs="Times New Roman"/>
                <w:szCs w:val="21"/>
              </w:rPr>
              <w:t>固体废物</w:t>
            </w:r>
          </w:p>
        </w:tc>
        <w:tc>
          <w:tcPr>
            <w:tcW w:w="1626"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both"/>
              <w:textAlignment w:val="baseline"/>
              <w:rPr>
                <w:rFonts w:hint="default"/>
                <w:lang w:eastAsia="zh-CN"/>
              </w:rPr>
            </w:pPr>
            <w:r>
              <w:rPr>
                <w:rFonts w:hint="default"/>
                <w:lang w:eastAsia="zh-CN"/>
              </w:rPr>
              <w:t>生活垃圾：施工场地设置垃圾桶，集中收集后由当地环卫部门统一处理；</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both"/>
              <w:textAlignment w:val="baseline"/>
              <w:rPr>
                <w:rFonts w:hint="default"/>
                <w:lang w:val="en-US" w:eastAsia="zh-CN"/>
              </w:rPr>
            </w:pPr>
            <w:r>
              <w:rPr>
                <w:rFonts w:hint="default"/>
                <w:lang w:val="en-US" w:eastAsia="zh-CN"/>
              </w:rPr>
              <w:t>疏浚料</w:t>
            </w:r>
            <w:r>
              <w:rPr>
                <w:rFonts w:hint="eastAsia"/>
                <w:lang w:val="en-US" w:eastAsia="zh-CN"/>
              </w:rPr>
              <w:t>：运至苏稽镇石鼓寺村老鸦滩堆料场堆放</w:t>
            </w:r>
            <w:r>
              <w:rPr>
                <w:rFonts w:hint="default"/>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both"/>
              <w:textAlignment w:val="baseline"/>
              <w:rPr>
                <w:rFonts w:hint="default"/>
                <w:lang w:val="en-US" w:eastAsia="zh-CN"/>
              </w:rPr>
            </w:pPr>
            <w:r>
              <w:rPr>
                <w:rFonts w:hint="default"/>
                <w:lang w:eastAsia="zh-CN"/>
              </w:rPr>
              <w:t>沉淀池底泥</w:t>
            </w:r>
            <w:r>
              <w:rPr>
                <w:rFonts w:hint="eastAsia"/>
                <w:lang w:eastAsia="zh-CN"/>
              </w:rPr>
              <w:t>：</w:t>
            </w:r>
            <w:r>
              <w:rPr>
                <w:rFonts w:hint="default"/>
                <w:lang w:eastAsia="zh-CN"/>
              </w:rPr>
              <w:t>晾干后混同疏浚料一起</w:t>
            </w:r>
            <w:r>
              <w:rPr>
                <w:rFonts w:hint="eastAsia"/>
                <w:lang w:val="en-US" w:eastAsia="zh-CN"/>
              </w:rPr>
              <w:t>运至苏稽镇石鼓寺村老鸦滩堆料场堆放</w:t>
            </w:r>
            <w:r>
              <w:rPr>
                <w:rFonts w:hint="default"/>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firstLine="0"/>
              <w:jc w:val="both"/>
              <w:textAlignment w:val="baseline"/>
              <w:rPr>
                <w:rFonts w:hint="eastAsia"/>
                <w:lang w:eastAsia="zh-CN"/>
              </w:rPr>
            </w:pPr>
            <w:r>
              <w:rPr>
                <w:rFonts w:hint="default"/>
                <w:lang w:val="en-US" w:eastAsia="zh-CN"/>
              </w:rPr>
              <w:t>建筑垃圾</w:t>
            </w:r>
            <w:r>
              <w:rPr>
                <w:rFonts w:hint="eastAsia"/>
                <w:lang w:val="en-US" w:eastAsia="zh-CN"/>
              </w:rPr>
              <w:t>：</w:t>
            </w:r>
            <w:r>
              <w:rPr>
                <w:rFonts w:hint="default"/>
                <w:lang w:val="en-US" w:eastAsia="zh-CN"/>
              </w:rPr>
              <w:t>能</w:t>
            </w:r>
            <w:r>
              <w:rPr>
                <w:rFonts w:hint="default"/>
                <w:lang w:eastAsia="zh-CN"/>
              </w:rPr>
              <w:t>回收利用的回收利用，不能回收的</w:t>
            </w:r>
            <w:r>
              <w:rPr>
                <w:rFonts w:hint="eastAsia"/>
                <w:lang w:eastAsia="zh-CN"/>
              </w:rPr>
              <w:t>运至政府指定建筑垃圾堆场填埋；</w:t>
            </w:r>
          </w:p>
          <w:p>
            <w:pPr>
              <w:pStyle w:val="2"/>
              <w:rPr>
                <w:rFonts w:hint="default"/>
                <w:lang w:val="en-US"/>
              </w:rPr>
            </w:pPr>
            <w:r>
              <w:rPr>
                <w:rFonts w:hint="eastAsia" w:ascii="Times New Roman" w:hAnsi="Times New Roman" w:eastAsia="宋体" w:cs="Times New Roman"/>
                <w:b w:val="0"/>
                <w:bCs w:val="0"/>
                <w:color w:val="auto"/>
                <w:spacing w:val="0"/>
                <w:sz w:val="21"/>
                <w:szCs w:val="21"/>
                <w:lang w:val="en-US" w:eastAsia="zh-CN"/>
              </w:rPr>
              <w:t>弃土：及时清运至苏稽镇石鼓寺村老鸦滩堆料场堆放</w:t>
            </w:r>
          </w:p>
        </w:tc>
        <w:tc>
          <w:tcPr>
            <w:tcW w:w="1068"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rPr>
            </w:pPr>
            <w:r>
              <w:rPr>
                <w:rFonts w:hint="default" w:ascii="Times New Roman" w:hAnsi="Times New Roman" w:cs="Times New Roman"/>
                <w:color w:val="auto"/>
                <w:szCs w:val="21"/>
              </w:rPr>
              <w:t>妥善处置，不会带来二次污染</w:t>
            </w:r>
          </w:p>
        </w:tc>
        <w:tc>
          <w:tcPr>
            <w:tcW w:w="871"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c>
          <w:tcPr>
            <w:tcW w:w="743"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89"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rPr>
            </w:pPr>
            <w:r>
              <w:rPr>
                <w:rFonts w:hint="default" w:ascii="Times New Roman" w:hAnsi="Times New Roman" w:cs="Times New Roman"/>
                <w:szCs w:val="21"/>
              </w:rPr>
              <w:t>电磁环境</w:t>
            </w:r>
          </w:p>
        </w:tc>
        <w:tc>
          <w:tcPr>
            <w:tcW w:w="1626"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rPr>
            </w:pPr>
            <w:r>
              <w:rPr>
                <w:rFonts w:hint="default" w:ascii="Times New Roman" w:hAnsi="Times New Roman" w:cs="Times New Roman"/>
                <w:color w:val="auto"/>
                <w:szCs w:val="21"/>
                <w:lang w:val="en-US" w:eastAsia="zh-CN"/>
              </w:rPr>
              <w:t>/</w:t>
            </w:r>
          </w:p>
        </w:tc>
        <w:tc>
          <w:tcPr>
            <w:tcW w:w="1068"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rPr>
            </w:pPr>
            <w:r>
              <w:rPr>
                <w:rFonts w:hint="default" w:ascii="Times New Roman" w:hAnsi="Times New Roman" w:cs="Times New Roman"/>
                <w:color w:val="auto"/>
                <w:szCs w:val="21"/>
                <w:lang w:val="en-US" w:eastAsia="zh-CN"/>
              </w:rPr>
              <w:t>/</w:t>
            </w:r>
          </w:p>
        </w:tc>
        <w:tc>
          <w:tcPr>
            <w:tcW w:w="871"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c>
          <w:tcPr>
            <w:tcW w:w="743"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89"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rPr>
            </w:pPr>
            <w:r>
              <w:rPr>
                <w:rFonts w:hint="default" w:ascii="Times New Roman" w:hAnsi="Times New Roman" w:cs="Times New Roman"/>
                <w:szCs w:val="21"/>
              </w:rPr>
              <w:t>环境风险</w:t>
            </w:r>
          </w:p>
        </w:tc>
        <w:tc>
          <w:tcPr>
            <w:tcW w:w="1626" w:type="pct"/>
            <w:noWrap w:val="0"/>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建立完善施工期管理的制度等</w:t>
            </w:r>
          </w:p>
        </w:tc>
        <w:tc>
          <w:tcPr>
            <w:tcW w:w="1068" w:type="pct"/>
            <w:noWrap w:val="0"/>
            <w:vAlign w:val="center"/>
          </w:tcPr>
          <w:p>
            <w:pPr>
              <w:adjustRightInd w:val="0"/>
              <w:snapToGrid w:val="0"/>
              <w:jc w:val="center"/>
              <w:rPr>
                <w:rFonts w:hint="default" w:ascii="Times New Roman" w:hAnsi="Times New Roman" w:cs="Times New Roman"/>
                <w:kern w:val="2"/>
                <w:sz w:val="21"/>
                <w:szCs w:val="21"/>
                <w:lang w:val="en-US" w:eastAsia="zh-CN" w:bidi="ar-SA"/>
              </w:rPr>
            </w:pPr>
            <w:r>
              <w:rPr>
                <w:rFonts w:hint="default" w:ascii="Times New Roman" w:hAnsi="Times New Roman" w:cs="Times New Roman"/>
                <w:szCs w:val="21"/>
              </w:rPr>
              <w:t>不会造成风险影响</w:t>
            </w:r>
          </w:p>
        </w:tc>
        <w:tc>
          <w:tcPr>
            <w:tcW w:w="871"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szCs w:val="21"/>
                <w:highlight w:val="red"/>
                <w:lang w:val="en-US" w:eastAsia="zh-CN"/>
              </w:rPr>
            </w:pPr>
            <w:r>
              <w:rPr>
                <w:rFonts w:hint="eastAsia" w:ascii="Times New Roman" w:hAnsi="Times New Roman" w:eastAsia="宋体" w:cs="Times New Roman"/>
                <w:szCs w:val="21"/>
                <w:highlight w:val="none"/>
                <w:lang w:val="en-US" w:eastAsia="zh-CN"/>
              </w:rPr>
              <w:t>/</w:t>
            </w:r>
          </w:p>
        </w:tc>
        <w:tc>
          <w:tcPr>
            <w:tcW w:w="743"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89"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rPr>
            </w:pPr>
            <w:r>
              <w:rPr>
                <w:rFonts w:hint="default" w:ascii="Times New Roman" w:hAnsi="Times New Roman" w:cs="Times New Roman"/>
                <w:szCs w:val="21"/>
              </w:rPr>
              <w:t>环境监测</w:t>
            </w:r>
          </w:p>
        </w:tc>
        <w:tc>
          <w:tcPr>
            <w:tcW w:w="1626" w:type="pct"/>
            <w:noWrap w:val="0"/>
            <w:vAlign w:val="center"/>
          </w:tcPr>
          <w:p>
            <w:pPr>
              <w:keepNext w:val="0"/>
              <w:keepLines w:val="0"/>
              <w:pageBreakBefore w:val="0"/>
              <w:kinsoku/>
              <w:wordWrap/>
              <w:overflowPunct/>
              <w:topLinePunct w:val="0"/>
              <w:bidi w:val="0"/>
              <w:adjustRightInd w:val="0"/>
              <w:snapToGrid w:val="0"/>
              <w:jc w:val="center"/>
              <w:textAlignment w:val="auto"/>
              <w:rPr>
                <w:rFonts w:hint="eastAsia" w:ascii="Times New Roman" w:hAnsi="Times New Roman" w:eastAsia="宋体" w:cs="Times New Roman"/>
                <w:szCs w:val="21"/>
                <w:lang w:eastAsia="zh-CN"/>
              </w:rPr>
            </w:pPr>
            <w:r>
              <w:rPr>
                <w:rFonts w:hint="eastAsia" w:ascii="Times New Roman" w:hAnsi="Times New Roman" w:cs="Times New Roman"/>
                <w:szCs w:val="21"/>
                <w:lang w:eastAsia="zh-CN"/>
              </w:rPr>
              <w:t>水、大气、噪声</w:t>
            </w:r>
          </w:p>
        </w:tc>
        <w:tc>
          <w:tcPr>
            <w:tcW w:w="1068" w:type="pct"/>
            <w:noWrap w:val="0"/>
            <w:vAlign w:val="center"/>
          </w:tcPr>
          <w:p>
            <w:pPr>
              <w:keepNext w:val="0"/>
              <w:keepLines w:val="0"/>
              <w:pageBreakBefore w:val="0"/>
              <w:kinsoku/>
              <w:wordWrap/>
              <w:overflowPunct/>
              <w:topLinePunct w:val="0"/>
              <w:bidi w:val="0"/>
              <w:adjustRightInd w:val="0"/>
              <w:snapToGrid w:val="0"/>
              <w:jc w:val="center"/>
              <w:textAlignment w:val="auto"/>
              <w:rPr>
                <w:rFonts w:hint="eastAsia" w:ascii="Times New Roman" w:hAnsi="Times New Roman" w:eastAsia="宋体" w:cs="Times New Roman"/>
                <w:szCs w:val="21"/>
                <w:lang w:eastAsia="zh-CN"/>
              </w:rPr>
            </w:pPr>
            <w:r>
              <w:rPr>
                <w:rFonts w:hint="eastAsia" w:ascii="Times New Roman" w:hAnsi="Times New Roman" w:cs="Times New Roman"/>
                <w:szCs w:val="21"/>
                <w:lang w:eastAsia="zh-CN"/>
              </w:rPr>
              <w:t>达到相应标准要求</w:t>
            </w:r>
          </w:p>
        </w:tc>
        <w:tc>
          <w:tcPr>
            <w:tcW w:w="871"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c>
          <w:tcPr>
            <w:tcW w:w="743"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89"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rPr>
            </w:pPr>
            <w:r>
              <w:rPr>
                <w:rFonts w:hint="default" w:ascii="Times New Roman" w:hAnsi="Times New Roman" w:cs="Times New Roman"/>
                <w:szCs w:val="21"/>
              </w:rPr>
              <w:t>施工过程中应注意的主要问题</w:t>
            </w:r>
          </w:p>
        </w:tc>
        <w:tc>
          <w:tcPr>
            <w:tcW w:w="1626" w:type="pct"/>
            <w:noWrap w:val="0"/>
            <w:vAlign w:val="center"/>
          </w:tcPr>
          <w:p>
            <w:pPr>
              <w:keepNext w:val="0"/>
              <w:keepLines w:val="0"/>
              <w:pageBreakBefore w:val="0"/>
              <w:kinsoku/>
              <w:wordWrap/>
              <w:overflowPunct/>
              <w:topLinePunct w:val="0"/>
              <w:bidi w:val="0"/>
              <w:adjustRightInd w:val="0"/>
              <w:snapToGrid w:val="0"/>
              <w:jc w:val="both"/>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1.严格落实施工期环境保护要求，将环境监理纳入施工监理的全过程，重点做好施工期扬尘控制、废水收集处置、噪声控制，和固废清运处置等，尽量降低工程建设对生态环境的影响。</w:t>
            </w:r>
          </w:p>
          <w:p>
            <w:pPr>
              <w:keepNext w:val="0"/>
              <w:keepLines w:val="0"/>
              <w:pageBreakBefore w:val="0"/>
              <w:kinsoku/>
              <w:wordWrap/>
              <w:overflowPunct/>
              <w:topLinePunct w:val="0"/>
              <w:bidi w:val="0"/>
              <w:adjustRightInd w:val="0"/>
              <w:snapToGrid w:val="0"/>
              <w:jc w:val="both"/>
              <w:textAlignment w:val="auto"/>
              <w:rPr>
                <w:rFonts w:hint="default" w:ascii="Times New Roman" w:hAnsi="Times New Roman" w:cs="Times New Roman"/>
                <w:szCs w:val="21"/>
              </w:rPr>
            </w:pPr>
            <w:r>
              <w:rPr>
                <w:rFonts w:hint="default" w:ascii="Times New Roman" w:hAnsi="Times New Roman" w:cs="Times New Roman"/>
                <w:color w:val="auto"/>
                <w:szCs w:val="21"/>
                <w:lang w:val="en-US" w:eastAsia="zh-CN"/>
              </w:rPr>
              <w:t>2.强化</w:t>
            </w:r>
            <w:r>
              <w:rPr>
                <w:rFonts w:hint="eastAsia" w:ascii="Times New Roman" w:hAnsi="Times New Roman" w:cs="Times New Roman"/>
                <w:color w:val="auto"/>
                <w:szCs w:val="21"/>
                <w:lang w:val="en-US" w:eastAsia="zh-CN"/>
              </w:rPr>
              <w:t>弃土和</w:t>
            </w:r>
            <w:r>
              <w:rPr>
                <w:rFonts w:hint="default" w:ascii="Times New Roman" w:hAnsi="Times New Roman" w:cs="Times New Roman"/>
                <w:color w:val="auto"/>
                <w:szCs w:val="21"/>
                <w:lang w:val="en-US" w:eastAsia="zh-CN"/>
              </w:rPr>
              <w:t>疏浚物料清运、堆存过程中的二次污染防治，严格落实堆存料区域的扬尘、噪声控制，避免出现扰民问题。</w:t>
            </w:r>
          </w:p>
        </w:tc>
        <w:tc>
          <w:tcPr>
            <w:tcW w:w="1068"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rPr>
            </w:pPr>
            <w:r>
              <w:rPr>
                <w:rFonts w:hint="default" w:ascii="Times New Roman" w:hAnsi="Times New Roman" w:cs="Times New Roman"/>
                <w:color w:val="auto"/>
                <w:szCs w:val="21"/>
                <w:lang w:val="en-US" w:eastAsia="zh-CN"/>
              </w:rPr>
              <w:t>/</w:t>
            </w:r>
          </w:p>
        </w:tc>
        <w:tc>
          <w:tcPr>
            <w:tcW w:w="871"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c>
          <w:tcPr>
            <w:tcW w:w="743" w:type="pct"/>
            <w:noWrap w:val="0"/>
            <w:vAlign w:val="center"/>
          </w:tcPr>
          <w:p>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szCs w:val="21"/>
                <w:highlight w:val="red"/>
              </w:rPr>
            </w:pPr>
            <w:r>
              <w:rPr>
                <w:rFonts w:hint="eastAsia" w:ascii="Times New Roman" w:hAnsi="Times New Roman" w:eastAsia="宋体" w:cs="Times New Roman"/>
                <w:szCs w:val="21"/>
                <w:highlight w:val="none"/>
                <w:lang w:val="en-US" w:eastAsia="zh-CN"/>
              </w:rPr>
              <w:t>/</w:t>
            </w:r>
          </w:p>
        </w:tc>
      </w:tr>
    </w:tbl>
    <w:p>
      <w:pPr>
        <w:rPr>
          <w:rFonts w:hint="default" w:ascii="Times New Roman" w:hAnsi="Times New Roman" w:eastAsia="黑体" w:cs="Times New Roman"/>
          <w:snapToGrid w:val="0"/>
          <w:sz w:val="30"/>
          <w:szCs w:val="30"/>
        </w:rPr>
      </w:pPr>
      <w:r>
        <w:rPr>
          <w:rFonts w:hint="default" w:ascii="Times New Roman" w:hAnsi="Times New Roman" w:eastAsia="黑体" w:cs="Times New Roman"/>
          <w:snapToGrid w:val="0"/>
          <w:sz w:val="30"/>
          <w:szCs w:val="30"/>
        </w:rPr>
        <w:br w:type="page"/>
      </w:r>
    </w:p>
    <w:p>
      <w:pPr>
        <w:pStyle w:val="34"/>
        <w:keepNext w:val="0"/>
        <w:keepLines w:val="0"/>
        <w:pageBreakBefore w:val="0"/>
        <w:kinsoku/>
        <w:wordWrap/>
        <w:overflowPunct/>
        <w:topLinePunct w:val="0"/>
        <w:bidi w:val="0"/>
        <w:adjustRightInd w:val="0"/>
        <w:snapToGrid w:val="0"/>
        <w:spacing w:before="192" w:beforeLines="80" w:beforeAutospacing="0"/>
        <w:jc w:val="center"/>
        <w:textAlignment w:val="auto"/>
        <w:outlineLvl w:val="0"/>
        <w:rPr>
          <w:rFonts w:hint="default" w:ascii="Times New Roman" w:hAnsi="Times New Roman" w:eastAsia="黑体" w:cs="Times New Roman"/>
          <w:snapToGrid w:val="0"/>
          <w:sz w:val="30"/>
          <w:szCs w:val="30"/>
        </w:rPr>
      </w:pPr>
      <w:r>
        <w:rPr>
          <w:rFonts w:hint="default" w:ascii="Times New Roman" w:hAnsi="Times New Roman" w:eastAsia="黑体" w:cs="Times New Roman"/>
          <w:snapToGrid w:val="0"/>
          <w:sz w:val="30"/>
          <w:szCs w:val="30"/>
        </w:rPr>
        <w:t>七、结论</w:t>
      </w:r>
    </w:p>
    <w:tbl>
      <w:tblPr>
        <w:tblStyle w:val="39"/>
        <w:tblW w:w="850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50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31" w:hRule="atLeast"/>
          <w:jc w:val="center"/>
        </w:trPr>
        <w:tc>
          <w:tcPr>
            <w:tcW w:w="9289" w:type="dxa"/>
            <w:noWrap w:val="0"/>
            <w:vAlign w:val="center"/>
          </w:tcPr>
          <w:p>
            <w:pPr>
              <w:adjustRightInd w:val="0"/>
              <w:snapToGrid w:val="0"/>
              <w:spacing w:line="360" w:lineRule="auto"/>
              <w:ind w:firstLine="480" w:firstLineChars="200"/>
              <w:rPr>
                <w:rFonts w:hint="default" w:ascii="Times New Roman" w:hAnsi="Times New Roman" w:cs="Times New Roman"/>
                <w:b/>
                <w:bCs/>
                <w:snapToGrid w:val="0"/>
                <w:sz w:val="24"/>
                <w:u w:val="single"/>
              </w:rPr>
            </w:pPr>
            <w:r>
              <w:rPr>
                <w:rFonts w:hint="default" w:ascii="Times New Roman" w:hAnsi="Times New Roman" w:cs="Times New Roman"/>
                <w:bCs/>
                <w:snapToGrid w:val="0"/>
                <w:sz w:val="24"/>
              </w:rPr>
              <w:t>综上所述，项目建设符合国家产业政策，贯彻了“达标排放、文明施工”控制污染方针，采取的“三废”及噪声污染治理措施经济技术可行。工程实施后不会改变地表水、环境空气、声学等环境质量级别和现有功能。在严格落实环境影响报告表提出的环保对策及措施，确保项目所产生的污染物达标排放的前提下，本项目施工期和营运期对周围环境的影响可以控制在允许的范围以内。</w:t>
            </w:r>
            <w:r>
              <w:rPr>
                <w:rFonts w:hint="default" w:ascii="Times New Roman" w:hAnsi="Times New Roman" w:cs="Times New Roman"/>
                <w:b/>
                <w:bCs/>
                <w:snapToGrid w:val="0"/>
                <w:sz w:val="24"/>
                <w:u w:val="single"/>
              </w:rPr>
              <w:t>从环境保护角度而言，本项目的</w:t>
            </w:r>
            <w:r>
              <w:rPr>
                <w:rFonts w:hint="default" w:ascii="Times New Roman" w:hAnsi="Times New Roman" w:cs="Times New Roman"/>
                <w:b/>
                <w:snapToGrid w:val="0"/>
                <w:sz w:val="24"/>
                <w:u w:val="single"/>
              </w:rPr>
              <w:t>建设</w:t>
            </w:r>
            <w:r>
              <w:rPr>
                <w:rFonts w:hint="default" w:ascii="Times New Roman" w:hAnsi="Times New Roman" w:cs="Times New Roman"/>
                <w:b/>
                <w:bCs/>
                <w:snapToGrid w:val="0"/>
                <w:sz w:val="24"/>
                <w:u w:val="single"/>
              </w:rPr>
              <w:t>是可行的。</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0000FF"/>
                <w:szCs w:val="21"/>
              </w:rPr>
            </w:pPr>
          </w:p>
          <w:p>
            <w:pPr>
              <w:keepNext w:val="0"/>
              <w:keepLines w:val="0"/>
              <w:pageBreakBefore w:val="0"/>
              <w:kinsoku/>
              <w:wordWrap/>
              <w:overflowPunct/>
              <w:topLinePunct w:val="0"/>
              <w:bidi w:val="0"/>
              <w:adjustRightInd w:val="0"/>
              <w:snapToGrid w:val="0"/>
              <w:ind w:firstLine="315"/>
              <w:jc w:val="both"/>
              <w:textAlignment w:val="auto"/>
              <w:rPr>
                <w:rFonts w:hint="default" w:ascii="Times New Roman" w:hAnsi="Times New Roman" w:cs="Times New Roman"/>
                <w:szCs w:val="21"/>
              </w:rPr>
            </w:pPr>
          </w:p>
        </w:tc>
      </w:tr>
    </w:tbl>
    <w:p>
      <w:pPr>
        <w:keepNext w:val="0"/>
        <w:keepLines w:val="0"/>
        <w:pageBreakBefore w:val="0"/>
        <w:widowControl/>
        <w:kinsoku/>
        <w:wordWrap/>
        <w:overflowPunct/>
        <w:topLinePunct w:val="0"/>
        <w:bidi w:val="0"/>
        <w:adjustRightInd w:val="0"/>
        <w:snapToGrid w:val="0"/>
        <w:spacing w:before="192" w:beforeLines="80"/>
        <w:jc w:val="left"/>
        <w:textAlignment w:val="auto"/>
        <w:rPr>
          <w:rFonts w:hint="default" w:ascii="Times New Roman" w:hAnsi="Times New Roman" w:cs="Times New Roman"/>
        </w:rPr>
      </w:pPr>
    </w:p>
    <w:p/>
    <w:p/>
    <w:p>
      <w:pPr>
        <w:rPr>
          <w:rFonts w:eastAsia="仿宋_GB2312"/>
          <w:sz w:val="36"/>
          <w:szCs w:val="36"/>
        </w:rPr>
      </w:pPr>
    </w:p>
    <w:p>
      <w:pPr>
        <w:pStyle w:val="30"/>
        <w:rPr>
          <w:rFonts w:hint="eastAsia"/>
        </w:rPr>
      </w:pPr>
    </w:p>
    <w:sectPr>
      <w:headerReference r:id="rId8" w:type="default"/>
      <w:footerReference r:id="rId9" w:type="default"/>
      <w:pgSz w:w="16838" w:h="11906" w:orient="landscape"/>
      <w:pgMar w:top="1531" w:right="1701" w:bottom="1531" w:left="170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幼圆">
    <w:altName w:val="宋体"/>
    <w:panose1 w:val="02010509060101010101"/>
    <w:charset w:val="86"/>
    <w:family w:val="modern"/>
    <w:pitch w:val="default"/>
    <w:sig w:usb0="00000000" w:usb1="00000000" w:usb2="00000000" w:usb3="00000000" w:csb0="00040000" w:csb1="00000000"/>
  </w:font>
  <w:font w:name="Cambria">
    <w:panose1 w:val="02040503050406030204"/>
    <w:charset w:val="00"/>
    <w:family w:val="roman"/>
    <w:pitch w:val="default"/>
    <w:sig w:usb0="E00006FF" w:usb1="420024FF" w:usb2="02000000" w:usb3="00000000" w:csb0="2000019F" w:csb1="00000000"/>
  </w:font>
  <w:font w:name="TimesNewRomanPSMT">
    <w:altName w:val="Times New Roman"/>
    <w:panose1 w:val="00000000000000000000"/>
    <w:charset w:val="00"/>
    <w:family w:val="roman"/>
    <w:pitch w:val="default"/>
    <w:sig w:usb0="00000000" w:usb1="00000000" w:usb2="00000000"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Courier">
    <w:altName w:val="Courier New"/>
    <w:panose1 w:val="02070409020205020404"/>
    <w:charset w:val="00"/>
    <w:family w:val="modern"/>
    <w:pitch w:val="default"/>
    <w:sig w:usb0="00000000" w:usb1="00000000" w:usb2="00000000" w:usb3="00000000" w:csb0="00000001" w:csb1="00000000"/>
  </w:font>
  <w:font w:name="PMingLiU">
    <w:altName w:val="PMingLiU-ExtB"/>
    <w:panose1 w:val="02020500000000000000"/>
    <w:charset w:val="88"/>
    <w:family w:val="roman"/>
    <w:pitch w:val="default"/>
    <w:sig w:usb0="00000000" w:usb1="00000000" w:usb2="00000016" w:usb3="00000000" w:csb0="00100001" w:csb1="00000000"/>
  </w:font>
  <w:font w:name="宋?">
    <w:altName w:val="宋体"/>
    <w:panose1 w:val="00000000000000000000"/>
    <w:charset w:val="81"/>
    <w:family w:val="auto"/>
    <w:pitch w:val="default"/>
    <w:sig w:usb0="00000000" w:usb1="00000000" w:usb2="00000010" w:usb3="00000000" w:csb0="00080000" w:csb1="00000000"/>
  </w:font>
  <w:font w:name="MingLiU">
    <w:altName w:val="PMingLiU-ExtB"/>
    <w:panose1 w:val="02020509000000000000"/>
    <w:charset w:val="88"/>
    <w:family w:val="modern"/>
    <w:pitch w:val="default"/>
    <w:sig w:usb0="00000000" w:usb1="00000000" w:usb2="00000016" w:usb3="00000000" w:csb0="00100001" w:csb1="00000000"/>
  </w:font>
  <w:font w:name="华文中宋">
    <w:altName w:val="宋体"/>
    <w:panose1 w:val="02010600040101010101"/>
    <w:charset w:val="86"/>
    <w:family w:val="auto"/>
    <w:pitch w:val="default"/>
    <w:sig w:usb0="00000000" w:usb1="00000000" w:usb2="00000010" w:usb3="00000000" w:csb0="0004009F" w:csb1="00000000"/>
  </w:font>
  <w:font w:name="仿宋">
    <w:panose1 w:val="02010609060101010101"/>
    <w:charset w:val="86"/>
    <w:family w:val="auto"/>
    <w:pitch w:val="default"/>
    <w:sig w:usb0="800002BF" w:usb1="38CF7CFA" w:usb2="00000016" w:usb3="00000000" w:csb0="00040001" w:csb1="00000000"/>
  </w:font>
  <w:font w:name="ˎ̥">
    <w:altName w:val="Times New Roman"/>
    <w:panose1 w:val="00000000000000000000"/>
    <w:charset w:val="00"/>
    <w:family w:val="roman"/>
    <w:pitch w:val="default"/>
    <w:sig w:usb0="00000000" w:usb1="00000000" w:usb2="00000000" w:usb3="00000000" w:csb0="00040001" w:csb1="00000000"/>
  </w:font>
  <w:font w:name="华文仿宋">
    <w:altName w:val="仿宋"/>
    <w:panose1 w:val="02010600040101010101"/>
    <w:charset w:val="86"/>
    <w:family w:val="auto"/>
    <w:pitch w:val="default"/>
    <w:sig w:usb0="00000000" w:usb1="00000000" w:usb2="00000010" w:usb3="00000000" w:csb0="0004009F" w:csb1="00000000"/>
  </w:font>
  <w:font w:name="Arial Unicode MS">
    <w:altName w:val="宋体"/>
    <w:panose1 w:val="020B0604020202020204"/>
    <w:charset w:val="86"/>
    <w:family w:val="swiss"/>
    <w:pitch w:val="default"/>
    <w:sig w:usb0="00000000" w:usb1="00000000" w:usb2="0000003F" w:usb3="00000000" w:csb0="603F01FF" w:csb1="FFFF0000"/>
  </w:font>
  <w:font w:name="Wingdings 2">
    <w:altName w:val="Wingdings"/>
    <w:panose1 w:val="05020102010507070707"/>
    <w:charset w:val="00"/>
    <w:family w:val="auto"/>
    <w:pitch w:val="default"/>
    <w:sig w:usb0="00000000" w:usb1="00000000" w:usb2="00000000" w:usb3="00000000" w:csb0="80000000" w:csb1="00000000"/>
  </w:font>
  <w:font w:name="Helvetica">
    <w:altName w:val="Arial"/>
    <w:panose1 w:val="020B0604020202020204"/>
    <w:charset w:val="00"/>
    <w:family w:val="swiss"/>
    <w:pitch w:val="default"/>
    <w:sig w:usb0="00000000" w:usb1="00000000" w:usb2="00000009" w:usb3="00000000" w:csb0="000001FF" w:csb1="00000000"/>
  </w:font>
  <w:font w:name="隶书">
    <w:altName w:val="微软雅黑"/>
    <w:panose1 w:val="02010509060101010101"/>
    <w:charset w:val="86"/>
    <w:family w:val="modern"/>
    <w:pitch w:val="default"/>
    <w:sig w:usb0="00000000" w:usb1="00000000" w:usb2="00000000" w:usb3="00000000" w:csb0="00040000" w:csb1="00000000"/>
  </w:font>
  <w:font w:name="Cambria Math">
    <w:panose1 w:val="02040503050406030204"/>
    <w:charset w:val="00"/>
    <w:family w:val="auto"/>
    <w:pitch w:val="default"/>
    <w:sig w:usb0="E00006FF" w:usb1="420024FF" w:usb2="02000000" w:usb3="00000000" w:csb0="2000019F" w:csb1="00000000"/>
  </w:font>
  <w:font w:name="..ì.">
    <w:altName w:val="宋体"/>
    <w:panose1 w:val="00000000000000000000"/>
    <w:charset w:val="86"/>
    <w:family w:val="roman"/>
    <w:pitch w:val="default"/>
    <w:sig w:usb0="00000000" w:usb1="00000000" w:usb2="00000010" w:usb3="00000000" w:csb0="00040000" w:csb1="00000000"/>
  </w:font>
  <w:font w:name="方正小标宋_GBK">
    <w:altName w:val="微软雅黑"/>
    <w:panose1 w:val="02000000000000000000"/>
    <w:charset w:val="86"/>
    <w:family w:val="roman"/>
    <w:pitch w:val="default"/>
    <w:sig w:usb0="00000000" w:usb1="00000000" w:usb2="00082016" w:usb3="00000000" w:csb0="00040001"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PMingLiU-ExtB">
    <w:panose1 w:val="02020500000000000000"/>
    <w:charset w:val="88"/>
    <w:family w:val="auto"/>
    <w:pitch w:val="default"/>
    <w:sig w:usb0="8000002F" w:usb1="02000008" w:usb2="00000000" w:usb3="00000000" w:csb0="00100001" w:csb1="00000000"/>
  </w:font>
  <w:font w:name="Wingdings 2">
    <w:altName w:val="Wingdings"/>
    <w:panose1 w:val="05020102010507070707"/>
    <w:charset w:val="02"/>
    <w:family w:val="auto"/>
    <w:pitch w:val="default"/>
    <w:sig w:usb0="00000000" w:usb1="00000000" w:usb2="00000000" w:usb3="00000000" w:csb0="80000000" w:csb1="00000000"/>
  </w:font>
  <w:font w:name="TimesNewRomanPSMT">
    <w:altName w:val="Times New Roman"/>
    <w:panose1 w:val="00000000000000000000"/>
    <w:charset w:val="80"/>
    <w:family w:val="auto"/>
    <w:pitch w:val="default"/>
    <w:sig w:usb0="00000000" w:usb1="00000000" w:usb2="0000000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framePr w:wrap="around" w:vAnchor="text" w:hAnchor="margin" w:xAlign="outside" w:y="1"/>
      <w:rPr>
        <w:rStyle w:val="43"/>
      </w:rPr>
    </w:pPr>
    <w:r>
      <w:fldChar w:fldCharType="begin"/>
    </w:r>
    <w:r>
      <w:rPr>
        <w:rStyle w:val="43"/>
      </w:rPr>
      <w:instrText xml:space="preserve">PAGE  </w:instrText>
    </w:r>
    <w:r>
      <w:fldChar w:fldCharType="end"/>
    </w:r>
  </w:p>
  <w:p>
    <w:pPr>
      <w:pStyle w:val="22"/>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2"/>
                            <w:rPr>
                              <w:rStyle w:val="43"/>
                              <w:rFonts w:ascii="宋体" w:hAnsi="宋体"/>
                              <w:sz w:val="28"/>
                              <w:szCs w:val="28"/>
                            </w:rPr>
                          </w:pPr>
                          <w:r>
                            <w:rPr>
                              <w:rStyle w:val="43"/>
                              <w:rFonts w:hint="eastAsia" w:ascii="宋体" w:hAnsi="宋体"/>
                              <w:sz w:val="28"/>
                              <w:szCs w:val="28"/>
                            </w:rPr>
                            <w:t>—</w:t>
                          </w:r>
                          <w:r>
                            <w:rPr>
                              <w:rStyle w:val="43"/>
                              <w:rFonts w:hint="eastAsia" w:ascii="宋体" w:hAnsi="宋体"/>
                              <w:sz w:val="20"/>
                              <w:szCs w:val="20"/>
                            </w:rPr>
                            <w:t xml:space="preserve">  </w:t>
                          </w:r>
                          <w:r>
                            <w:rPr>
                              <w:rFonts w:hint="default" w:ascii="Times New Roman" w:hAnsi="Times New Roman" w:cs="Times New Roman"/>
                              <w:sz w:val="21"/>
                              <w:szCs w:val="21"/>
                            </w:rPr>
                            <w:fldChar w:fldCharType="begin"/>
                          </w:r>
                          <w:r>
                            <w:rPr>
                              <w:rStyle w:val="43"/>
                              <w:rFonts w:hint="default" w:ascii="Times New Roman" w:hAnsi="Times New Roman" w:cs="Times New Roman"/>
                              <w:sz w:val="21"/>
                              <w:szCs w:val="21"/>
                            </w:rPr>
                            <w:instrText xml:space="preserve">PAGE  </w:instrText>
                          </w:r>
                          <w:r>
                            <w:rPr>
                              <w:rFonts w:hint="default" w:ascii="Times New Roman" w:hAnsi="Times New Roman" w:cs="Times New Roman"/>
                              <w:sz w:val="21"/>
                              <w:szCs w:val="21"/>
                            </w:rPr>
                            <w:fldChar w:fldCharType="separate"/>
                          </w:r>
                          <w:r>
                            <w:rPr>
                              <w:rStyle w:val="43"/>
                              <w:rFonts w:hint="default" w:ascii="Times New Roman" w:hAnsi="Times New Roman" w:cs="Times New Roman"/>
                              <w:sz w:val="21"/>
                              <w:szCs w:val="21"/>
                            </w:rPr>
                            <w:t>22</w:t>
                          </w:r>
                          <w:r>
                            <w:rPr>
                              <w:rFonts w:hint="default" w:ascii="Times New Roman" w:hAnsi="Times New Roman" w:cs="Times New Roman"/>
                              <w:sz w:val="21"/>
                              <w:szCs w:val="21"/>
                            </w:rPr>
                            <w:fldChar w:fldCharType="end"/>
                          </w:r>
                          <w:r>
                            <w:rPr>
                              <w:rStyle w:val="43"/>
                              <w:rFonts w:hint="eastAsia" w:ascii="宋体" w:hAnsi="宋体"/>
                              <w:sz w:val="20"/>
                              <w:szCs w:val="20"/>
                            </w:rPr>
                            <w:t xml:space="preserve">  </w:t>
                          </w:r>
                          <w:r>
                            <w:rPr>
                              <w:rStyle w:val="43"/>
                              <w:rFonts w:hint="eastAsia" w:ascii="宋体" w:hAnsi="宋体"/>
                              <w:sz w:val="28"/>
                              <w:szCs w:val="28"/>
                            </w:rPr>
                            <w:t>—</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G+QoMkBAACZ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Eb5CgyQEAAJkDAAAOAAAAAAAAAAEAIAAAAB4BAABkcnMvZTJvRG9j&#10;LnhtbFBLBQYAAAAABgAGAFkBAABZBQAAAAA=&#10;">
              <v:fill on="f" focussize="0,0"/>
              <v:stroke on="f"/>
              <v:imagedata o:title=""/>
              <o:lock v:ext="edit" aspectratio="f"/>
              <v:textbox inset="0mm,0mm,0mm,0mm" style="mso-fit-shape-to-text:t;">
                <w:txbxContent>
                  <w:p>
                    <w:pPr>
                      <w:pStyle w:val="22"/>
                      <w:rPr>
                        <w:rStyle w:val="43"/>
                        <w:rFonts w:ascii="宋体" w:hAnsi="宋体"/>
                        <w:sz w:val="28"/>
                        <w:szCs w:val="28"/>
                      </w:rPr>
                    </w:pPr>
                    <w:r>
                      <w:rPr>
                        <w:rStyle w:val="43"/>
                        <w:rFonts w:hint="eastAsia" w:ascii="宋体" w:hAnsi="宋体"/>
                        <w:sz w:val="28"/>
                        <w:szCs w:val="28"/>
                      </w:rPr>
                      <w:t>—</w:t>
                    </w:r>
                    <w:r>
                      <w:rPr>
                        <w:rStyle w:val="43"/>
                        <w:rFonts w:hint="eastAsia" w:ascii="宋体" w:hAnsi="宋体"/>
                        <w:sz w:val="20"/>
                        <w:szCs w:val="20"/>
                      </w:rPr>
                      <w:t xml:space="preserve">  </w:t>
                    </w:r>
                    <w:r>
                      <w:rPr>
                        <w:rFonts w:hint="default" w:ascii="Times New Roman" w:hAnsi="Times New Roman" w:cs="Times New Roman"/>
                        <w:sz w:val="21"/>
                        <w:szCs w:val="21"/>
                      </w:rPr>
                      <w:fldChar w:fldCharType="begin"/>
                    </w:r>
                    <w:r>
                      <w:rPr>
                        <w:rStyle w:val="43"/>
                        <w:rFonts w:hint="default" w:ascii="Times New Roman" w:hAnsi="Times New Roman" w:cs="Times New Roman"/>
                        <w:sz w:val="21"/>
                        <w:szCs w:val="21"/>
                      </w:rPr>
                      <w:instrText xml:space="preserve">PAGE  </w:instrText>
                    </w:r>
                    <w:r>
                      <w:rPr>
                        <w:rFonts w:hint="default" w:ascii="Times New Roman" w:hAnsi="Times New Roman" w:cs="Times New Roman"/>
                        <w:sz w:val="21"/>
                        <w:szCs w:val="21"/>
                      </w:rPr>
                      <w:fldChar w:fldCharType="separate"/>
                    </w:r>
                    <w:r>
                      <w:rPr>
                        <w:rStyle w:val="43"/>
                        <w:rFonts w:hint="default" w:ascii="Times New Roman" w:hAnsi="Times New Roman" w:cs="Times New Roman"/>
                        <w:sz w:val="21"/>
                        <w:szCs w:val="21"/>
                      </w:rPr>
                      <w:t>22</w:t>
                    </w:r>
                    <w:r>
                      <w:rPr>
                        <w:rFonts w:hint="default" w:ascii="Times New Roman" w:hAnsi="Times New Roman" w:cs="Times New Roman"/>
                        <w:sz w:val="21"/>
                        <w:szCs w:val="21"/>
                      </w:rPr>
                      <w:fldChar w:fldCharType="end"/>
                    </w:r>
                    <w:r>
                      <w:rPr>
                        <w:rStyle w:val="43"/>
                        <w:rFonts w:hint="eastAsia" w:ascii="宋体" w:hAnsi="宋体"/>
                        <w:sz w:val="20"/>
                        <w:szCs w:val="20"/>
                      </w:rPr>
                      <w:t xml:space="preserve">  </w:t>
                    </w:r>
                    <w:r>
                      <w:rPr>
                        <w:rStyle w:val="43"/>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framePr w:wrap="around" w:vAnchor="text" w:hAnchor="margin" w:xAlign="outside" w:y="1"/>
      <w:rPr>
        <w:rStyle w:val="43"/>
        <w:rFonts w:ascii="宋体" w:hAnsi="宋体"/>
        <w:sz w:val="28"/>
        <w:szCs w:val="28"/>
      </w:rPr>
    </w:pPr>
    <w:r>
      <w:rPr>
        <w:rStyle w:val="43"/>
        <w:rFonts w:hint="eastAsia" w:ascii="宋体" w:hAnsi="宋体"/>
        <w:sz w:val="28"/>
        <w:szCs w:val="28"/>
      </w:rPr>
      <w:t>—</w:t>
    </w:r>
    <w:r>
      <w:rPr>
        <w:rStyle w:val="43"/>
        <w:rFonts w:hint="eastAsia" w:ascii="宋体" w:hAnsi="宋体"/>
        <w:sz w:val="20"/>
        <w:szCs w:val="20"/>
      </w:rPr>
      <w:t xml:space="preserve"> </w:t>
    </w:r>
    <w:r>
      <w:rPr>
        <w:rStyle w:val="43"/>
        <w:rFonts w:hint="default" w:ascii="Times New Roman" w:hAnsi="Times New Roman" w:cs="Times New Roman"/>
        <w:sz w:val="20"/>
        <w:szCs w:val="20"/>
      </w:rPr>
      <w:t xml:space="preserve"> </w:t>
    </w:r>
    <w:r>
      <w:rPr>
        <w:rFonts w:hint="default" w:ascii="Times New Roman" w:hAnsi="Times New Roman" w:cs="Times New Roman"/>
        <w:sz w:val="26"/>
        <w:szCs w:val="26"/>
      </w:rPr>
      <w:fldChar w:fldCharType="begin"/>
    </w:r>
    <w:r>
      <w:rPr>
        <w:rStyle w:val="43"/>
        <w:rFonts w:hint="default" w:ascii="Times New Roman" w:hAnsi="Times New Roman" w:cs="Times New Roman"/>
        <w:sz w:val="26"/>
        <w:szCs w:val="26"/>
      </w:rPr>
      <w:instrText xml:space="preserve">PAGE  </w:instrText>
    </w:r>
    <w:r>
      <w:rPr>
        <w:rFonts w:hint="default" w:ascii="Times New Roman" w:hAnsi="Times New Roman" w:cs="Times New Roman"/>
        <w:sz w:val="26"/>
        <w:szCs w:val="26"/>
      </w:rPr>
      <w:fldChar w:fldCharType="separate"/>
    </w:r>
    <w:r>
      <w:rPr>
        <w:rStyle w:val="43"/>
        <w:rFonts w:hint="default" w:ascii="Times New Roman" w:hAnsi="Times New Roman" w:cs="Times New Roman"/>
        <w:sz w:val="26"/>
        <w:szCs w:val="26"/>
      </w:rPr>
      <w:t>22</w:t>
    </w:r>
    <w:r>
      <w:rPr>
        <w:rFonts w:hint="default" w:ascii="Times New Roman" w:hAnsi="Times New Roman" w:cs="Times New Roman"/>
        <w:sz w:val="26"/>
        <w:szCs w:val="26"/>
      </w:rPr>
      <w:fldChar w:fldCharType="end"/>
    </w:r>
    <w:r>
      <w:rPr>
        <w:rStyle w:val="43"/>
        <w:rFonts w:hint="eastAsia" w:ascii="宋体" w:hAnsi="宋体"/>
        <w:sz w:val="20"/>
        <w:szCs w:val="20"/>
      </w:rPr>
      <w:t xml:space="preserve">  </w:t>
    </w:r>
    <w:r>
      <w:rPr>
        <w:rStyle w:val="43"/>
        <w:rFonts w:hint="eastAsia" w:ascii="宋体" w:hAnsi="宋体"/>
        <w:sz w:val="28"/>
        <w:szCs w:val="28"/>
      </w:rPr>
      <w:t>—</w:t>
    </w:r>
  </w:p>
  <w:p>
    <w:pPr>
      <w:pStyle w:val="22"/>
      <w:ind w:right="360"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360" w:firstLine="36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ADF0EF0"/>
    <w:multiLevelType w:val="singleLevel"/>
    <w:tmpl w:val="9ADF0EF0"/>
    <w:lvl w:ilvl="0" w:tentative="0">
      <w:start w:val="5"/>
      <w:numFmt w:val="decimal"/>
      <w:suff w:val="nothing"/>
      <w:lvlText w:val="（%1）"/>
      <w:lvlJc w:val="left"/>
    </w:lvl>
  </w:abstractNum>
  <w:abstractNum w:abstractNumId="1">
    <w:nsid w:val="9E30FC70"/>
    <w:multiLevelType w:val="singleLevel"/>
    <w:tmpl w:val="9E30FC70"/>
    <w:lvl w:ilvl="0" w:tentative="0">
      <w:start w:val="3"/>
      <w:numFmt w:val="decimal"/>
      <w:suff w:val="nothing"/>
      <w:lvlText w:val="%1、"/>
      <w:lvlJc w:val="left"/>
    </w:lvl>
  </w:abstractNum>
  <w:abstractNum w:abstractNumId="2">
    <w:nsid w:val="AD42B871"/>
    <w:multiLevelType w:val="singleLevel"/>
    <w:tmpl w:val="AD42B871"/>
    <w:lvl w:ilvl="0" w:tentative="0">
      <w:start w:val="2"/>
      <w:numFmt w:val="chineseCounting"/>
      <w:suff w:val="nothing"/>
      <w:lvlText w:val="%1、"/>
      <w:lvlJc w:val="left"/>
      <w:rPr>
        <w:rFonts w:hint="eastAsia"/>
      </w:rPr>
    </w:lvl>
  </w:abstractNum>
  <w:abstractNum w:abstractNumId="3">
    <w:nsid w:val="C4073C9B"/>
    <w:multiLevelType w:val="singleLevel"/>
    <w:tmpl w:val="C4073C9B"/>
    <w:lvl w:ilvl="0" w:tentative="0">
      <w:start w:val="1"/>
      <w:numFmt w:val="decimal"/>
      <w:suff w:val="nothing"/>
      <w:lvlText w:val="%1、"/>
      <w:lvlJc w:val="left"/>
    </w:lvl>
  </w:abstractNum>
  <w:abstractNum w:abstractNumId="4">
    <w:nsid w:val="0000000F"/>
    <w:multiLevelType w:val="multilevel"/>
    <w:tmpl w:val="0000000F"/>
    <w:lvl w:ilvl="0" w:tentative="0">
      <w:start w:val="1"/>
      <w:numFmt w:val="decimal"/>
      <w:lvlText w:val="%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pStyle w:val="6"/>
      <w:lvlText w:val="%1.%2.%3.%4"/>
      <w:lvlJc w:val="left"/>
      <w:pPr>
        <w:tabs>
          <w:tab w:val="left" w:pos="864"/>
        </w:tabs>
        <w:ind w:left="864" w:hanging="864"/>
      </w:pPr>
      <w:rPr>
        <w:rFonts w:hint="eastAsia"/>
      </w:rPr>
    </w:lvl>
    <w:lvl w:ilvl="4" w:tentative="0">
      <w:start w:val="1"/>
      <w:numFmt w:val="decimal"/>
      <w:lvlText w:val="%1.%2.%3.%4.%5"/>
      <w:lvlJc w:val="left"/>
      <w:pPr>
        <w:tabs>
          <w:tab w:val="left" w:pos="1800"/>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5">
    <w:nsid w:val="007C83C5"/>
    <w:multiLevelType w:val="singleLevel"/>
    <w:tmpl w:val="007C83C5"/>
    <w:lvl w:ilvl="0" w:tentative="0">
      <w:start w:val="3"/>
      <w:numFmt w:val="decimal"/>
      <w:suff w:val="nothing"/>
      <w:lvlText w:val="%1、"/>
      <w:lvlJc w:val="left"/>
    </w:lvl>
  </w:abstractNum>
  <w:abstractNum w:abstractNumId="6">
    <w:nsid w:val="0855DDEA"/>
    <w:multiLevelType w:val="singleLevel"/>
    <w:tmpl w:val="0855DDEA"/>
    <w:lvl w:ilvl="0" w:tentative="0">
      <w:start w:val="4"/>
      <w:numFmt w:val="decimal"/>
      <w:suff w:val="nothing"/>
      <w:lvlText w:val="（%1）"/>
      <w:lvlJc w:val="left"/>
    </w:lvl>
  </w:abstractNum>
  <w:abstractNum w:abstractNumId="7">
    <w:nsid w:val="23A9F60C"/>
    <w:multiLevelType w:val="singleLevel"/>
    <w:tmpl w:val="23A9F60C"/>
    <w:lvl w:ilvl="0" w:tentative="0">
      <w:start w:val="1"/>
      <w:numFmt w:val="decimal"/>
      <w:suff w:val="nothing"/>
      <w:lvlText w:val="（%1）"/>
      <w:lvlJc w:val="left"/>
    </w:lvl>
  </w:abstractNum>
  <w:abstractNum w:abstractNumId="8">
    <w:nsid w:val="48273669"/>
    <w:multiLevelType w:val="multilevel"/>
    <w:tmpl w:val="48273669"/>
    <w:lvl w:ilvl="0" w:tentative="0">
      <w:start w:val="1"/>
      <w:numFmt w:val="decimal"/>
      <w:pStyle w:val="233"/>
      <w:suff w:val="nothing"/>
      <w:lvlText w:val="%1、"/>
      <w:lvlJc w:val="left"/>
      <w:pPr>
        <w:ind w:left="2121" w:hanging="420"/>
      </w:pPr>
      <w:rPr>
        <w:rFonts w:hint="default"/>
        <w:b/>
        <w:bCs/>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9">
    <w:nsid w:val="5182DC12"/>
    <w:multiLevelType w:val="singleLevel"/>
    <w:tmpl w:val="5182DC12"/>
    <w:lvl w:ilvl="0" w:tentative="0">
      <w:start w:val="1"/>
      <w:numFmt w:val="decimal"/>
      <w:suff w:val="nothing"/>
      <w:lvlText w:val="（%1）"/>
      <w:lvlJc w:val="left"/>
    </w:lvl>
  </w:abstractNum>
  <w:abstractNum w:abstractNumId="10">
    <w:nsid w:val="643E53F0"/>
    <w:multiLevelType w:val="singleLevel"/>
    <w:tmpl w:val="643E53F0"/>
    <w:lvl w:ilvl="0" w:tentative="0">
      <w:start w:val="1"/>
      <w:numFmt w:val="decimal"/>
      <w:suff w:val="nothing"/>
      <w:lvlText w:val="（%1）"/>
      <w:lvlJc w:val="left"/>
    </w:lvl>
  </w:abstractNum>
  <w:abstractNum w:abstractNumId="11">
    <w:nsid w:val="7ED14685"/>
    <w:multiLevelType w:val="singleLevel"/>
    <w:tmpl w:val="7ED14685"/>
    <w:lvl w:ilvl="0" w:tentative="0">
      <w:start w:val="1"/>
      <w:numFmt w:val="bullet"/>
      <w:pStyle w:val="19"/>
      <w:lvlText w:val=""/>
      <w:lvlJc w:val="left"/>
      <w:pPr>
        <w:tabs>
          <w:tab w:val="left" w:pos="2040"/>
        </w:tabs>
        <w:ind w:left="2040" w:hanging="360"/>
      </w:pPr>
      <w:rPr>
        <w:rFonts w:hint="default" w:ascii="Wingdings" w:hAnsi="Wingdings"/>
      </w:rPr>
    </w:lvl>
  </w:abstractNum>
  <w:num w:numId="1">
    <w:abstractNumId w:val="4"/>
  </w:num>
  <w:num w:numId="2">
    <w:abstractNumId w:val="11"/>
  </w:num>
  <w:num w:numId="3">
    <w:abstractNumId w:val="8"/>
  </w:num>
  <w:num w:numId="4">
    <w:abstractNumId w:val="1"/>
  </w:num>
  <w:num w:numId="5">
    <w:abstractNumId w:val="10"/>
  </w:num>
  <w:num w:numId="6">
    <w:abstractNumId w:val="9"/>
  </w:num>
  <w:num w:numId="7">
    <w:abstractNumId w:val="7"/>
  </w:num>
  <w:num w:numId="8">
    <w:abstractNumId w:val="3"/>
  </w:num>
  <w:num w:numId="9">
    <w:abstractNumId w:val="5"/>
  </w:num>
  <w:num w:numId="10">
    <w:abstractNumId w:val="6"/>
  </w:num>
  <w:num w:numId="11">
    <w:abstractNumId w:val="2"/>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9"/>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endnotePr>
    <w:numFmt w:val="decimal"/>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CC51681"/>
    <w:rsid w:val="00143723"/>
    <w:rsid w:val="00150902"/>
    <w:rsid w:val="0025035E"/>
    <w:rsid w:val="006A2EAD"/>
    <w:rsid w:val="00854F9C"/>
    <w:rsid w:val="00955394"/>
    <w:rsid w:val="00B4697A"/>
    <w:rsid w:val="00CE1CF4"/>
    <w:rsid w:val="00D34727"/>
    <w:rsid w:val="00EA480F"/>
    <w:rsid w:val="00F53CD5"/>
    <w:rsid w:val="01392CC3"/>
    <w:rsid w:val="01594742"/>
    <w:rsid w:val="015E0AA1"/>
    <w:rsid w:val="01962E2B"/>
    <w:rsid w:val="01C74BCA"/>
    <w:rsid w:val="01D62705"/>
    <w:rsid w:val="021F4145"/>
    <w:rsid w:val="024E3BCD"/>
    <w:rsid w:val="02805672"/>
    <w:rsid w:val="02D87096"/>
    <w:rsid w:val="02E2183C"/>
    <w:rsid w:val="0307687D"/>
    <w:rsid w:val="035D21FD"/>
    <w:rsid w:val="03DF2239"/>
    <w:rsid w:val="045D3736"/>
    <w:rsid w:val="04AE0DC8"/>
    <w:rsid w:val="04B97B11"/>
    <w:rsid w:val="04C55C41"/>
    <w:rsid w:val="04E747C2"/>
    <w:rsid w:val="050A70B6"/>
    <w:rsid w:val="05180283"/>
    <w:rsid w:val="05804E48"/>
    <w:rsid w:val="059C7B24"/>
    <w:rsid w:val="06614682"/>
    <w:rsid w:val="067512AC"/>
    <w:rsid w:val="0779268E"/>
    <w:rsid w:val="08195139"/>
    <w:rsid w:val="082D180C"/>
    <w:rsid w:val="08352131"/>
    <w:rsid w:val="083B1DE4"/>
    <w:rsid w:val="084F0D5C"/>
    <w:rsid w:val="08560496"/>
    <w:rsid w:val="08932046"/>
    <w:rsid w:val="08D07CD7"/>
    <w:rsid w:val="08D609C0"/>
    <w:rsid w:val="093D7238"/>
    <w:rsid w:val="09D23B5C"/>
    <w:rsid w:val="0A300F3E"/>
    <w:rsid w:val="0A690A42"/>
    <w:rsid w:val="0ABA277E"/>
    <w:rsid w:val="0AD304EE"/>
    <w:rsid w:val="0B0D5A73"/>
    <w:rsid w:val="0B100C28"/>
    <w:rsid w:val="0B641641"/>
    <w:rsid w:val="0B737DFC"/>
    <w:rsid w:val="0C1E1312"/>
    <w:rsid w:val="0C266E4F"/>
    <w:rsid w:val="0C7F6F4E"/>
    <w:rsid w:val="0C946F6B"/>
    <w:rsid w:val="0CDB0707"/>
    <w:rsid w:val="0DDD7799"/>
    <w:rsid w:val="0DFD3960"/>
    <w:rsid w:val="0E1657E1"/>
    <w:rsid w:val="0EBF382D"/>
    <w:rsid w:val="0EF0007C"/>
    <w:rsid w:val="0F2A6253"/>
    <w:rsid w:val="10D83537"/>
    <w:rsid w:val="10FB3257"/>
    <w:rsid w:val="1116403C"/>
    <w:rsid w:val="11A744E6"/>
    <w:rsid w:val="11CF60C1"/>
    <w:rsid w:val="1208464E"/>
    <w:rsid w:val="12614BA6"/>
    <w:rsid w:val="128B36DF"/>
    <w:rsid w:val="13707CF2"/>
    <w:rsid w:val="13C51721"/>
    <w:rsid w:val="14521FBF"/>
    <w:rsid w:val="14AE4611"/>
    <w:rsid w:val="150E5154"/>
    <w:rsid w:val="154D01F0"/>
    <w:rsid w:val="159A2B43"/>
    <w:rsid w:val="15AA5CF1"/>
    <w:rsid w:val="16223187"/>
    <w:rsid w:val="170718E6"/>
    <w:rsid w:val="175627CE"/>
    <w:rsid w:val="18047AE0"/>
    <w:rsid w:val="18C97015"/>
    <w:rsid w:val="18CA0832"/>
    <w:rsid w:val="192C0E0C"/>
    <w:rsid w:val="194B3136"/>
    <w:rsid w:val="197E6AA6"/>
    <w:rsid w:val="19903300"/>
    <w:rsid w:val="19AB256E"/>
    <w:rsid w:val="19F53607"/>
    <w:rsid w:val="1A1B7E99"/>
    <w:rsid w:val="1A3E41FA"/>
    <w:rsid w:val="1AA1295A"/>
    <w:rsid w:val="1AF12A44"/>
    <w:rsid w:val="1B1A26E2"/>
    <w:rsid w:val="1B306FCF"/>
    <w:rsid w:val="1B3D691D"/>
    <w:rsid w:val="1B4C7724"/>
    <w:rsid w:val="1BED4E39"/>
    <w:rsid w:val="1C1F0578"/>
    <w:rsid w:val="1C28039D"/>
    <w:rsid w:val="1D4650ED"/>
    <w:rsid w:val="1D753DB0"/>
    <w:rsid w:val="1D915310"/>
    <w:rsid w:val="1D962123"/>
    <w:rsid w:val="1DC70DEC"/>
    <w:rsid w:val="1DDF4CD2"/>
    <w:rsid w:val="1E042A1B"/>
    <w:rsid w:val="1E25248A"/>
    <w:rsid w:val="1E3F2025"/>
    <w:rsid w:val="1F9A238D"/>
    <w:rsid w:val="1FDC1987"/>
    <w:rsid w:val="1FDE7D08"/>
    <w:rsid w:val="203F12C3"/>
    <w:rsid w:val="206146C8"/>
    <w:rsid w:val="20645E17"/>
    <w:rsid w:val="20C71CD9"/>
    <w:rsid w:val="21000432"/>
    <w:rsid w:val="211D50C8"/>
    <w:rsid w:val="216A4C05"/>
    <w:rsid w:val="21863D0D"/>
    <w:rsid w:val="2216046A"/>
    <w:rsid w:val="223B4BFE"/>
    <w:rsid w:val="22644AB9"/>
    <w:rsid w:val="22876AFD"/>
    <w:rsid w:val="23163EB2"/>
    <w:rsid w:val="2427107E"/>
    <w:rsid w:val="245A3DCA"/>
    <w:rsid w:val="24B94350"/>
    <w:rsid w:val="253F118A"/>
    <w:rsid w:val="2578310B"/>
    <w:rsid w:val="25D8356A"/>
    <w:rsid w:val="25E71BEC"/>
    <w:rsid w:val="25EC6ED5"/>
    <w:rsid w:val="25F015C5"/>
    <w:rsid w:val="26571D40"/>
    <w:rsid w:val="266F149F"/>
    <w:rsid w:val="27804D47"/>
    <w:rsid w:val="28145128"/>
    <w:rsid w:val="282838DA"/>
    <w:rsid w:val="28571D32"/>
    <w:rsid w:val="294D084D"/>
    <w:rsid w:val="29933722"/>
    <w:rsid w:val="29AA51F0"/>
    <w:rsid w:val="29DA4EBE"/>
    <w:rsid w:val="2A3253DE"/>
    <w:rsid w:val="2A356872"/>
    <w:rsid w:val="2A546059"/>
    <w:rsid w:val="2A5D2D01"/>
    <w:rsid w:val="2AF27BEF"/>
    <w:rsid w:val="2B0077CF"/>
    <w:rsid w:val="2B01741F"/>
    <w:rsid w:val="2B1C040B"/>
    <w:rsid w:val="2B1F6EF2"/>
    <w:rsid w:val="2B71731C"/>
    <w:rsid w:val="2BB0437F"/>
    <w:rsid w:val="2CD261A7"/>
    <w:rsid w:val="2D321CC8"/>
    <w:rsid w:val="2D6477FE"/>
    <w:rsid w:val="2D833FE8"/>
    <w:rsid w:val="2D85397D"/>
    <w:rsid w:val="2DEE303D"/>
    <w:rsid w:val="2DF7769F"/>
    <w:rsid w:val="2DFF55A7"/>
    <w:rsid w:val="2EAE0106"/>
    <w:rsid w:val="2EC652B2"/>
    <w:rsid w:val="2F344423"/>
    <w:rsid w:val="305212CF"/>
    <w:rsid w:val="30CF1B19"/>
    <w:rsid w:val="30FD7924"/>
    <w:rsid w:val="311E24FD"/>
    <w:rsid w:val="315A5151"/>
    <w:rsid w:val="31746F9C"/>
    <w:rsid w:val="31873AFA"/>
    <w:rsid w:val="31E45D99"/>
    <w:rsid w:val="325B6989"/>
    <w:rsid w:val="32B722E3"/>
    <w:rsid w:val="32E55AEF"/>
    <w:rsid w:val="336C325E"/>
    <w:rsid w:val="34C60C67"/>
    <w:rsid w:val="350E0B57"/>
    <w:rsid w:val="353C3345"/>
    <w:rsid w:val="353C3CAC"/>
    <w:rsid w:val="354B7504"/>
    <w:rsid w:val="35A35FAD"/>
    <w:rsid w:val="36106FD5"/>
    <w:rsid w:val="36B01313"/>
    <w:rsid w:val="36B93809"/>
    <w:rsid w:val="36C631E8"/>
    <w:rsid w:val="371F41A4"/>
    <w:rsid w:val="3788036E"/>
    <w:rsid w:val="37A924CB"/>
    <w:rsid w:val="383F1698"/>
    <w:rsid w:val="38534CB7"/>
    <w:rsid w:val="38A56D41"/>
    <w:rsid w:val="38B54033"/>
    <w:rsid w:val="39212C99"/>
    <w:rsid w:val="39740B10"/>
    <w:rsid w:val="398639BF"/>
    <w:rsid w:val="39A26D13"/>
    <w:rsid w:val="39AE25A1"/>
    <w:rsid w:val="39F914CF"/>
    <w:rsid w:val="3A147AAC"/>
    <w:rsid w:val="3AFE72DB"/>
    <w:rsid w:val="3B2565A9"/>
    <w:rsid w:val="3B993EB6"/>
    <w:rsid w:val="3BE15BA1"/>
    <w:rsid w:val="3C1B6DEE"/>
    <w:rsid w:val="3CAD29AD"/>
    <w:rsid w:val="3CCF454A"/>
    <w:rsid w:val="3CE25A6A"/>
    <w:rsid w:val="3D6852CB"/>
    <w:rsid w:val="3D9D1094"/>
    <w:rsid w:val="3E3D6F14"/>
    <w:rsid w:val="3E6A3F16"/>
    <w:rsid w:val="3E7E1783"/>
    <w:rsid w:val="3F0223F3"/>
    <w:rsid w:val="3F281E38"/>
    <w:rsid w:val="3FC6242C"/>
    <w:rsid w:val="3FD35A41"/>
    <w:rsid w:val="3FDC4DBB"/>
    <w:rsid w:val="40061E82"/>
    <w:rsid w:val="405E0770"/>
    <w:rsid w:val="40616FB3"/>
    <w:rsid w:val="40722C94"/>
    <w:rsid w:val="40994365"/>
    <w:rsid w:val="40C8628A"/>
    <w:rsid w:val="40FF6E50"/>
    <w:rsid w:val="41104488"/>
    <w:rsid w:val="4162197F"/>
    <w:rsid w:val="41722AF1"/>
    <w:rsid w:val="41DD508C"/>
    <w:rsid w:val="425303BA"/>
    <w:rsid w:val="428E3330"/>
    <w:rsid w:val="42AB7666"/>
    <w:rsid w:val="42BB005F"/>
    <w:rsid w:val="42BC36B5"/>
    <w:rsid w:val="42C72DDD"/>
    <w:rsid w:val="441F2B8F"/>
    <w:rsid w:val="444B7C62"/>
    <w:rsid w:val="44B5606C"/>
    <w:rsid w:val="456316C1"/>
    <w:rsid w:val="459A4837"/>
    <w:rsid w:val="45F770A4"/>
    <w:rsid w:val="463A687E"/>
    <w:rsid w:val="465E7AF3"/>
    <w:rsid w:val="46756B4D"/>
    <w:rsid w:val="467B7704"/>
    <w:rsid w:val="467E26A2"/>
    <w:rsid w:val="468A57EA"/>
    <w:rsid w:val="46CC0674"/>
    <w:rsid w:val="472C7DB9"/>
    <w:rsid w:val="473B76F4"/>
    <w:rsid w:val="478A6064"/>
    <w:rsid w:val="47DB3EB5"/>
    <w:rsid w:val="47DD5A16"/>
    <w:rsid w:val="47F30BAC"/>
    <w:rsid w:val="489F51E6"/>
    <w:rsid w:val="49033AA7"/>
    <w:rsid w:val="49053025"/>
    <w:rsid w:val="49605F29"/>
    <w:rsid w:val="496A1820"/>
    <w:rsid w:val="49AE2C09"/>
    <w:rsid w:val="49F03E63"/>
    <w:rsid w:val="4A4302F3"/>
    <w:rsid w:val="4A9D7730"/>
    <w:rsid w:val="4A9F4ED2"/>
    <w:rsid w:val="4AEB31A1"/>
    <w:rsid w:val="4B35253D"/>
    <w:rsid w:val="4B3F5B3D"/>
    <w:rsid w:val="4B484E83"/>
    <w:rsid w:val="4BAC2D11"/>
    <w:rsid w:val="4BF55372"/>
    <w:rsid w:val="4C2F4549"/>
    <w:rsid w:val="4C3E3B1C"/>
    <w:rsid w:val="4C4A104E"/>
    <w:rsid w:val="4C756707"/>
    <w:rsid w:val="4CA11C08"/>
    <w:rsid w:val="4CB730C8"/>
    <w:rsid w:val="4CC51681"/>
    <w:rsid w:val="4D886208"/>
    <w:rsid w:val="4DAB0432"/>
    <w:rsid w:val="4DCA4FE5"/>
    <w:rsid w:val="4DCE2983"/>
    <w:rsid w:val="4E0232B1"/>
    <w:rsid w:val="4E9F2A5D"/>
    <w:rsid w:val="4F38594F"/>
    <w:rsid w:val="4F515FE9"/>
    <w:rsid w:val="4F9414B9"/>
    <w:rsid w:val="4FA12AF2"/>
    <w:rsid w:val="4FD16792"/>
    <w:rsid w:val="502425D9"/>
    <w:rsid w:val="50BA4FC9"/>
    <w:rsid w:val="50BC6D86"/>
    <w:rsid w:val="50E02679"/>
    <w:rsid w:val="50FA58BC"/>
    <w:rsid w:val="51382F51"/>
    <w:rsid w:val="51A92E83"/>
    <w:rsid w:val="51C31DA4"/>
    <w:rsid w:val="523650DE"/>
    <w:rsid w:val="52912564"/>
    <w:rsid w:val="52DE77D4"/>
    <w:rsid w:val="52E96F1C"/>
    <w:rsid w:val="52EF4BF8"/>
    <w:rsid w:val="532A43C2"/>
    <w:rsid w:val="533E09D9"/>
    <w:rsid w:val="53702B43"/>
    <w:rsid w:val="54467018"/>
    <w:rsid w:val="54B92662"/>
    <w:rsid w:val="550D2678"/>
    <w:rsid w:val="5586388A"/>
    <w:rsid w:val="55DA22E2"/>
    <w:rsid w:val="563B3990"/>
    <w:rsid w:val="568360A8"/>
    <w:rsid w:val="568B2EA3"/>
    <w:rsid w:val="56A277AC"/>
    <w:rsid w:val="56C660B4"/>
    <w:rsid w:val="56CB1DE5"/>
    <w:rsid w:val="575D3FBB"/>
    <w:rsid w:val="57C06D11"/>
    <w:rsid w:val="57D263DD"/>
    <w:rsid w:val="58107F8D"/>
    <w:rsid w:val="581C7926"/>
    <w:rsid w:val="584A7F36"/>
    <w:rsid w:val="587A1A63"/>
    <w:rsid w:val="587A54B2"/>
    <w:rsid w:val="59074BA6"/>
    <w:rsid w:val="592D7C8F"/>
    <w:rsid w:val="594D7F0C"/>
    <w:rsid w:val="598835F0"/>
    <w:rsid w:val="59E978B5"/>
    <w:rsid w:val="5AC121E6"/>
    <w:rsid w:val="5AF13DA4"/>
    <w:rsid w:val="5B82786A"/>
    <w:rsid w:val="5B8B5CB2"/>
    <w:rsid w:val="5C3C7AB7"/>
    <w:rsid w:val="5C8F3A65"/>
    <w:rsid w:val="5CF45604"/>
    <w:rsid w:val="5D467400"/>
    <w:rsid w:val="5DDB1CC1"/>
    <w:rsid w:val="5E491B7D"/>
    <w:rsid w:val="5EC1721C"/>
    <w:rsid w:val="5ED04E54"/>
    <w:rsid w:val="5EDF2450"/>
    <w:rsid w:val="5F5373F4"/>
    <w:rsid w:val="5F8B122C"/>
    <w:rsid w:val="5F9D7EB8"/>
    <w:rsid w:val="5FEB54B0"/>
    <w:rsid w:val="60130582"/>
    <w:rsid w:val="60432D29"/>
    <w:rsid w:val="60BA0BE9"/>
    <w:rsid w:val="61157D57"/>
    <w:rsid w:val="616E3CD7"/>
    <w:rsid w:val="61755907"/>
    <w:rsid w:val="61926F26"/>
    <w:rsid w:val="61E20692"/>
    <w:rsid w:val="62995E01"/>
    <w:rsid w:val="62CF0CE3"/>
    <w:rsid w:val="62ED2CC5"/>
    <w:rsid w:val="63334C22"/>
    <w:rsid w:val="636276DD"/>
    <w:rsid w:val="637D16D3"/>
    <w:rsid w:val="639867C6"/>
    <w:rsid w:val="64286496"/>
    <w:rsid w:val="6442109A"/>
    <w:rsid w:val="644F43BE"/>
    <w:rsid w:val="646A5445"/>
    <w:rsid w:val="648C47B0"/>
    <w:rsid w:val="649E470F"/>
    <w:rsid w:val="64A47949"/>
    <w:rsid w:val="64E03700"/>
    <w:rsid w:val="655A2533"/>
    <w:rsid w:val="656761A5"/>
    <w:rsid w:val="65CD7172"/>
    <w:rsid w:val="65D67186"/>
    <w:rsid w:val="66157F1F"/>
    <w:rsid w:val="666A4FEF"/>
    <w:rsid w:val="66A12197"/>
    <w:rsid w:val="671E5E43"/>
    <w:rsid w:val="67AA3780"/>
    <w:rsid w:val="685052AC"/>
    <w:rsid w:val="69BA63AE"/>
    <w:rsid w:val="69F11EE7"/>
    <w:rsid w:val="6A12081F"/>
    <w:rsid w:val="6A1D516C"/>
    <w:rsid w:val="6A4F3A38"/>
    <w:rsid w:val="6A9E1BFD"/>
    <w:rsid w:val="6B8F0760"/>
    <w:rsid w:val="6BD21C54"/>
    <w:rsid w:val="6BEE2099"/>
    <w:rsid w:val="6C25268D"/>
    <w:rsid w:val="6C6A4035"/>
    <w:rsid w:val="6D0C615C"/>
    <w:rsid w:val="6D1E1452"/>
    <w:rsid w:val="6D36105C"/>
    <w:rsid w:val="6E403CB0"/>
    <w:rsid w:val="6E636184"/>
    <w:rsid w:val="6EDB28FB"/>
    <w:rsid w:val="6F186B7B"/>
    <w:rsid w:val="6F5F241C"/>
    <w:rsid w:val="6F931BF6"/>
    <w:rsid w:val="6FBE275D"/>
    <w:rsid w:val="700B3E3B"/>
    <w:rsid w:val="707A0433"/>
    <w:rsid w:val="708E3E12"/>
    <w:rsid w:val="71F73062"/>
    <w:rsid w:val="71FB7042"/>
    <w:rsid w:val="722C4FFE"/>
    <w:rsid w:val="727D3B15"/>
    <w:rsid w:val="728C6699"/>
    <w:rsid w:val="72B2437C"/>
    <w:rsid w:val="73051FF0"/>
    <w:rsid w:val="735A50DF"/>
    <w:rsid w:val="73A05C9A"/>
    <w:rsid w:val="73CB008F"/>
    <w:rsid w:val="748C52D0"/>
    <w:rsid w:val="748D2974"/>
    <w:rsid w:val="74BE4E6C"/>
    <w:rsid w:val="75784937"/>
    <w:rsid w:val="75956B13"/>
    <w:rsid w:val="75F37958"/>
    <w:rsid w:val="76394AFB"/>
    <w:rsid w:val="76A1624D"/>
    <w:rsid w:val="76EF20B0"/>
    <w:rsid w:val="776275E7"/>
    <w:rsid w:val="776F0544"/>
    <w:rsid w:val="7774199C"/>
    <w:rsid w:val="77AF4A80"/>
    <w:rsid w:val="781B2AFE"/>
    <w:rsid w:val="7835040A"/>
    <w:rsid w:val="78692CD8"/>
    <w:rsid w:val="78A2151A"/>
    <w:rsid w:val="790C7AD8"/>
    <w:rsid w:val="79474801"/>
    <w:rsid w:val="79E562A1"/>
    <w:rsid w:val="7AAD61DE"/>
    <w:rsid w:val="7AD711F4"/>
    <w:rsid w:val="7ADA12B7"/>
    <w:rsid w:val="7B603DFE"/>
    <w:rsid w:val="7D397C15"/>
    <w:rsid w:val="7E62389E"/>
    <w:rsid w:val="7E623D4C"/>
    <w:rsid w:val="7E6A5CE2"/>
    <w:rsid w:val="7E942C4C"/>
    <w:rsid w:val="7EAD0578"/>
    <w:rsid w:val="7FF3198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0"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nhideWhenUsed="0" w:uiPriority="0" w:semiHidden="0" w:name="caption"/>
    <w:lsdException w:qFormat="1" w:unhideWhenUsed="0" w:uiPriority="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qFormat="1" w:unhideWhenUsed="0" w:uiPriority="99"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59"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84"/>
    <w:qFormat/>
    <w:uiPriority w:val="0"/>
    <w:pPr>
      <w:keepNext/>
      <w:keepLines/>
      <w:adjustRightInd w:val="0"/>
      <w:snapToGrid w:val="0"/>
      <w:spacing w:before="50" w:beforeLines="50" w:after="50" w:afterLines="50" w:line="360" w:lineRule="auto"/>
      <w:jc w:val="center"/>
      <w:outlineLvl w:val="0"/>
    </w:pPr>
    <w:rPr>
      <w:rFonts w:ascii="黑体" w:hAnsi="黑体" w:eastAsia="黑体"/>
      <w:b/>
      <w:snapToGrid w:val="0"/>
      <w:color w:val="000000"/>
      <w:sz w:val="32"/>
    </w:rPr>
  </w:style>
  <w:style w:type="paragraph" w:styleId="4">
    <w:name w:val="heading 2"/>
    <w:basedOn w:val="1"/>
    <w:next w:val="1"/>
    <w:link w:val="180"/>
    <w:qFormat/>
    <w:uiPriority w:val="0"/>
    <w:pPr>
      <w:keepNext/>
      <w:keepLines/>
      <w:adjustRightInd w:val="0"/>
      <w:snapToGrid w:val="0"/>
      <w:spacing w:line="360" w:lineRule="auto"/>
      <w:outlineLvl w:val="1"/>
    </w:pPr>
    <w:rPr>
      <w:rFonts w:ascii="黑体" w:hAnsi="宋体" w:eastAsia="Times New Roman"/>
      <w:b/>
      <w:bCs/>
      <w:snapToGrid w:val="0"/>
      <w:kern w:val="0"/>
      <w:szCs w:val="20"/>
    </w:rPr>
  </w:style>
  <w:style w:type="paragraph" w:styleId="5">
    <w:name w:val="heading 3"/>
    <w:basedOn w:val="1"/>
    <w:next w:val="1"/>
    <w:qFormat/>
    <w:uiPriority w:val="0"/>
    <w:pPr>
      <w:keepNext/>
      <w:keepLines/>
      <w:spacing w:line="360" w:lineRule="auto"/>
      <w:outlineLvl w:val="2"/>
    </w:pPr>
    <w:rPr>
      <w:rFonts w:ascii="黑体" w:hAnsi="宋体" w:eastAsia="Times New Roman"/>
      <w:bCs/>
      <w:snapToGrid w:val="0"/>
      <w:kern w:val="0"/>
      <w:szCs w:val="20"/>
    </w:rPr>
  </w:style>
  <w:style w:type="paragraph" w:styleId="6">
    <w:name w:val="heading 4"/>
    <w:basedOn w:val="1"/>
    <w:next w:val="1"/>
    <w:link w:val="253"/>
    <w:qFormat/>
    <w:uiPriority w:val="0"/>
    <w:pPr>
      <w:keepNext/>
      <w:keepLines/>
      <w:numPr>
        <w:ilvl w:val="3"/>
        <w:numId w:val="1"/>
      </w:numPr>
      <w:snapToGrid w:val="0"/>
      <w:spacing w:line="460" w:lineRule="atLeast"/>
      <w:outlineLvl w:val="3"/>
    </w:pPr>
    <w:rPr>
      <w:b/>
      <w:szCs w:val="20"/>
    </w:rPr>
  </w:style>
  <w:style w:type="paragraph" w:styleId="7">
    <w:name w:val="heading 5"/>
    <w:basedOn w:val="1"/>
    <w:next w:val="1"/>
    <w:link w:val="93"/>
    <w:qFormat/>
    <w:uiPriority w:val="0"/>
    <w:pPr>
      <w:ind w:firstLine="482" w:firstLineChars="0"/>
      <w:jc w:val="center"/>
      <w:outlineLvl w:val="4"/>
    </w:pPr>
    <w:rPr>
      <w:b/>
      <w:bCs/>
      <w:sz w:val="21"/>
      <w:szCs w:val="28"/>
    </w:rPr>
  </w:style>
  <w:style w:type="character" w:default="1" w:styleId="41">
    <w:name w:val="Default Paragraph Font"/>
    <w:semiHidden/>
    <w:unhideWhenUsed/>
    <w:qFormat/>
    <w:uiPriority w:val="1"/>
  </w:style>
  <w:style w:type="table" w:default="1" w:styleId="39">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qFormat/>
    <w:uiPriority w:val="0"/>
    <w:pPr>
      <w:spacing w:after="120"/>
    </w:pPr>
  </w:style>
  <w:style w:type="paragraph" w:styleId="8">
    <w:name w:val="Normal Indent"/>
    <w:basedOn w:val="1"/>
    <w:next w:val="1"/>
    <w:link w:val="70"/>
    <w:qFormat/>
    <w:uiPriority w:val="0"/>
    <w:pPr>
      <w:ind w:firstLine="420"/>
    </w:pPr>
    <w:rPr>
      <w:szCs w:val="20"/>
    </w:rPr>
  </w:style>
  <w:style w:type="paragraph" w:styleId="9">
    <w:name w:val="caption"/>
    <w:basedOn w:val="1"/>
    <w:next w:val="1"/>
    <w:qFormat/>
    <w:uiPriority w:val="0"/>
    <w:pPr>
      <w:adjustRightInd w:val="0"/>
      <w:spacing w:before="152" w:after="160" w:line="240" w:lineRule="exact"/>
      <w:jc w:val="center"/>
      <w:textAlignment w:val="baseline"/>
    </w:pPr>
    <w:rPr>
      <w:kern w:val="0"/>
    </w:rPr>
  </w:style>
  <w:style w:type="paragraph" w:styleId="10">
    <w:name w:val="toa heading"/>
    <w:basedOn w:val="1"/>
    <w:next w:val="1"/>
    <w:qFormat/>
    <w:uiPriority w:val="0"/>
    <w:pPr>
      <w:spacing w:before="120"/>
    </w:pPr>
    <w:rPr>
      <w:rFonts w:ascii="Arial" w:hAnsi="Arial" w:cs="Arial"/>
    </w:rPr>
  </w:style>
  <w:style w:type="paragraph" w:styleId="11">
    <w:name w:val="annotation text"/>
    <w:basedOn w:val="1"/>
    <w:link w:val="79"/>
    <w:qFormat/>
    <w:uiPriority w:val="0"/>
    <w:pPr>
      <w:jc w:val="left"/>
    </w:pPr>
  </w:style>
  <w:style w:type="paragraph" w:styleId="12">
    <w:name w:val="Salutation"/>
    <w:basedOn w:val="1"/>
    <w:next w:val="1"/>
    <w:qFormat/>
    <w:uiPriority w:val="0"/>
    <w:pPr>
      <w:jc w:val="left"/>
    </w:pPr>
    <w:rPr>
      <w:rFonts w:ascii="Times New Roman" w:hAnsi="Times New Roman" w:eastAsia="仿宋_GB2312"/>
      <w:sz w:val="32"/>
    </w:rPr>
  </w:style>
  <w:style w:type="paragraph" w:styleId="13">
    <w:name w:val="Body Text 3"/>
    <w:basedOn w:val="1"/>
    <w:qFormat/>
    <w:uiPriority w:val="0"/>
    <w:pPr>
      <w:spacing w:line="360" w:lineRule="auto"/>
    </w:pPr>
    <w:rPr>
      <w:rFonts w:ascii="仿宋_GB2312" w:eastAsia="仿宋_GB2312"/>
      <w:sz w:val="24"/>
    </w:rPr>
  </w:style>
  <w:style w:type="paragraph" w:styleId="14">
    <w:name w:val="Body Text Indent"/>
    <w:basedOn w:val="1"/>
    <w:next w:val="1"/>
    <w:qFormat/>
    <w:uiPriority w:val="0"/>
    <w:pPr>
      <w:adjustRightInd w:val="0"/>
      <w:snapToGrid w:val="0"/>
      <w:spacing w:line="360" w:lineRule="auto"/>
      <w:ind w:firstLine="480"/>
    </w:pPr>
    <w:rPr>
      <w:bCs/>
      <w:kern w:val="0"/>
    </w:rPr>
  </w:style>
  <w:style w:type="paragraph" w:styleId="15">
    <w:name w:val="Block Text"/>
    <w:basedOn w:val="1"/>
    <w:qFormat/>
    <w:uiPriority w:val="0"/>
    <w:pPr>
      <w:spacing w:after="120"/>
      <w:ind w:left="1440" w:leftChars="700" w:right="700" w:rightChars="700"/>
    </w:pPr>
    <w:rPr>
      <w:rFonts w:ascii="Calibri" w:hAnsi="Calibri"/>
      <w:szCs w:val="20"/>
    </w:rPr>
  </w:style>
  <w:style w:type="paragraph" w:styleId="16">
    <w:name w:val="toc 3"/>
    <w:basedOn w:val="1"/>
    <w:next w:val="1"/>
    <w:qFormat/>
    <w:uiPriority w:val="0"/>
    <w:pPr>
      <w:ind w:left="840" w:leftChars="400"/>
    </w:pPr>
  </w:style>
  <w:style w:type="paragraph" w:styleId="17">
    <w:name w:val="Plain Text"/>
    <w:basedOn w:val="1"/>
    <w:next w:val="18"/>
    <w:qFormat/>
    <w:uiPriority w:val="0"/>
    <w:rPr>
      <w:rFonts w:ascii="宋体" w:hAnsi="Courier New"/>
      <w:szCs w:val="20"/>
    </w:rPr>
  </w:style>
  <w:style w:type="paragraph" w:customStyle="1" w:styleId="18">
    <w:name w:val="Char4 Char Char Char Char Char Char1"/>
    <w:basedOn w:val="1"/>
    <w:qFormat/>
    <w:uiPriority w:val="0"/>
    <w:pPr>
      <w:spacing w:line="360" w:lineRule="auto"/>
      <w:ind w:firstLine="200" w:firstLineChars="200"/>
    </w:pPr>
    <w:rPr>
      <w:rFonts w:ascii="宋体" w:cs="宋体"/>
      <w:sz w:val="24"/>
    </w:rPr>
  </w:style>
  <w:style w:type="paragraph" w:styleId="19">
    <w:name w:val="List Bullet 5"/>
    <w:basedOn w:val="1"/>
    <w:qFormat/>
    <w:uiPriority w:val="0"/>
    <w:pPr>
      <w:numPr>
        <w:ilvl w:val="0"/>
        <w:numId w:val="2"/>
      </w:numPr>
    </w:pPr>
  </w:style>
  <w:style w:type="paragraph" w:styleId="20">
    <w:name w:val="Date"/>
    <w:basedOn w:val="1"/>
    <w:next w:val="1"/>
    <w:qFormat/>
    <w:uiPriority w:val="0"/>
    <w:rPr>
      <w:szCs w:val="20"/>
    </w:rPr>
  </w:style>
  <w:style w:type="paragraph" w:styleId="21">
    <w:name w:val="Body Text Indent 2"/>
    <w:basedOn w:val="1"/>
    <w:next w:val="1"/>
    <w:qFormat/>
    <w:uiPriority w:val="0"/>
    <w:pPr>
      <w:adjustRightInd w:val="0"/>
      <w:snapToGrid w:val="0"/>
      <w:spacing w:line="360" w:lineRule="auto"/>
      <w:ind w:firstLine="480" w:firstLineChars="200"/>
    </w:pPr>
    <w:rPr>
      <w:rFonts w:ascii="宋体" w:hAnsi="宋体"/>
      <w:snapToGrid w:val="0"/>
      <w:color w:val="339966"/>
      <w:kern w:val="0"/>
    </w:rPr>
  </w:style>
  <w:style w:type="paragraph" w:styleId="22">
    <w:name w:val="footer"/>
    <w:basedOn w:val="1"/>
    <w:qFormat/>
    <w:uiPriority w:val="0"/>
    <w:pPr>
      <w:tabs>
        <w:tab w:val="center" w:pos="4153"/>
        <w:tab w:val="right" w:pos="8306"/>
      </w:tabs>
      <w:snapToGrid w:val="0"/>
      <w:jc w:val="left"/>
    </w:pPr>
    <w:rPr>
      <w:sz w:val="18"/>
      <w:szCs w:val="18"/>
    </w:rPr>
  </w:style>
  <w:style w:type="paragraph" w:styleId="23">
    <w:name w:val="header"/>
    <w:basedOn w:val="1"/>
    <w:next w:val="1"/>
    <w:qFormat/>
    <w:uiPriority w:val="0"/>
    <w:pPr>
      <w:pBdr>
        <w:bottom w:val="single" w:color="auto" w:sz="6" w:space="1"/>
      </w:pBdr>
      <w:tabs>
        <w:tab w:val="center" w:pos="4153"/>
        <w:tab w:val="right" w:pos="8306"/>
      </w:tabs>
      <w:snapToGrid w:val="0"/>
      <w:spacing w:line="240" w:lineRule="atLeast"/>
      <w:jc w:val="center"/>
    </w:pPr>
    <w:rPr>
      <w:rFonts w:ascii="幼圆" w:eastAsia="幼圆"/>
      <w:sz w:val="18"/>
      <w:szCs w:val="18"/>
    </w:rPr>
  </w:style>
  <w:style w:type="paragraph" w:styleId="24">
    <w:name w:val="toc 1"/>
    <w:basedOn w:val="1"/>
    <w:next w:val="1"/>
    <w:qFormat/>
    <w:uiPriority w:val="39"/>
    <w:pPr>
      <w:spacing w:before="120" w:after="120"/>
      <w:jc w:val="left"/>
    </w:pPr>
    <w:rPr>
      <w:rFonts w:ascii="Calibri" w:hAnsi="Calibri" w:cs="Calibri"/>
      <w:b/>
      <w:bCs/>
      <w:caps/>
      <w:sz w:val="20"/>
      <w:szCs w:val="20"/>
    </w:rPr>
  </w:style>
  <w:style w:type="paragraph" w:styleId="25">
    <w:name w:val="toc 4"/>
    <w:basedOn w:val="1"/>
    <w:next w:val="1"/>
    <w:qFormat/>
    <w:uiPriority w:val="0"/>
    <w:pPr>
      <w:ind w:left="1260" w:leftChars="600"/>
    </w:pPr>
  </w:style>
  <w:style w:type="paragraph" w:styleId="26">
    <w:name w:val="index heading"/>
    <w:basedOn w:val="1"/>
    <w:next w:val="27"/>
    <w:qFormat/>
    <w:uiPriority w:val="0"/>
    <w:rPr>
      <w:szCs w:val="20"/>
    </w:rPr>
  </w:style>
  <w:style w:type="paragraph" w:styleId="27">
    <w:name w:val="index 1"/>
    <w:basedOn w:val="1"/>
    <w:next w:val="1"/>
    <w:qFormat/>
    <w:uiPriority w:val="0"/>
    <w:pPr>
      <w:adjustRightInd w:val="0"/>
      <w:spacing w:before="60"/>
      <w:textAlignment w:val="baseline"/>
    </w:pPr>
    <w:rPr>
      <w:sz w:val="24"/>
      <w:szCs w:val="20"/>
    </w:rPr>
  </w:style>
  <w:style w:type="paragraph" w:styleId="28">
    <w:name w:val="List"/>
    <w:basedOn w:val="1"/>
    <w:next w:val="1"/>
    <w:qFormat/>
    <w:uiPriority w:val="99"/>
    <w:pPr>
      <w:ind w:left="200" w:hanging="200" w:hangingChars="200"/>
    </w:pPr>
    <w:rPr>
      <w:szCs w:val="20"/>
    </w:rPr>
  </w:style>
  <w:style w:type="paragraph" w:styleId="29">
    <w:name w:val="Body Text Indent 3"/>
    <w:basedOn w:val="1"/>
    <w:qFormat/>
    <w:uiPriority w:val="0"/>
    <w:pPr>
      <w:spacing w:line="360" w:lineRule="auto"/>
      <w:ind w:firstLine="480" w:firstLineChars="200"/>
    </w:pPr>
    <w:rPr>
      <w:rFonts w:ascii="宋体"/>
      <w:sz w:val="24"/>
    </w:rPr>
  </w:style>
  <w:style w:type="paragraph" w:styleId="30">
    <w:name w:val="table of figures"/>
    <w:basedOn w:val="1"/>
    <w:next w:val="1"/>
    <w:semiHidden/>
    <w:qFormat/>
    <w:uiPriority w:val="0"/>
    <w:pPr>
      <w:ind w:left="200" w:leftChars="200" w:hanging="200" w:hangingChars="200"/>
    </w:pPr>
  </w:style>
  <w:style w:type="paragraph" w:styleId="31">
    <w:name w:val="toc 2"/>
    <w:basedOn w:val="1"/>
    <w:next w:val="1"/>
    <w:qFormat/>
    <w:uiPriority w:val="39"/>
    <w:pPr>
      <w:ind w:left="240"/>
      <w:jc w:val="left"/>
    </w:pPr>
    <w:rPr>
      <w:rFonts w:ascii="Calibri" w:hAnsi="Calibri" w:cs="Calibri"/>
      <w:smallCaps/>
      <w:sz w:val="20"/>
      <w:szCs w:val="20"/>
    </w:rPr>
  </w:style>
  <w:style w:type="paragraph" w:styleId="32">
    <w:name w:val="Body Text 2"/>
    <w:basedOn w:val="1"/>
    <w:next w:val="1"/>
    <w:qFormat/>
    <w:uiPriority w:val="0"/>
    <w:pPr>
      <w:spacing w:after="120" w:line="480" w:lineRule="auto"/>
    </w:pPr>
  </w:style>
  <w:style w:type="paragraph" w:styleId="33">
    <w:name w:val="HTML Preformatted"/>
    <w:basedOn w:val="1"/>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rPr>
  </w:style>
  <w:style w:type="paragraph" w:styleId="34">
    <w:name w:val="Normal (Web)"/>
    <w:basedOn w:val="1"/>
    <w:qFormat/>
    <w:uiPriority w:val="99"/>
  </w:style>
  <w:style w:type="paragraph" w:styleId="35">
    <w:name w:val="Title"/>
    <w:basedOn w:val="1"/>
    <w:next w:val="1"/>
    <w:qFormat/>
    <w:uiPriority w:val="0"/>
    <w:pPr>
      <w:spacing w:before="240" w:after="60"/>
      <w:jc w:val="center"/>
      <w:outlineLvl w:val="0"/>
    </w:pPr>
    <w:rPr>
      <w:rFonts w:ascii="Cambria" w:hAnsi="Cambria"/>
      <w:b/>
      <w:bCs/>
      <w:sz w:val="32"/>
      <w:szCs w:val="32"/>
    </w:rPr>
  </w:style>
  <w:style w:type="paragraph" w:styleId="36">
    <w:name w:val="annotation subject"/>
    <w:basedOn w:val="11"/>
    <w:next w:val="11"/>
    <w:link w:val="80"/>
    <w:qFormat/>
    <w:uiPriority w:val="0"/>
    <w:rPr>
      <w:b/>
      <w:bCs/>
    </w:rPr>
  </w:style>
  <w:style w:type="paragraph" w:styleId="37">
    <w:name w:val="Body Text First Indent"/>
    <w:basedOn w:val="2"/>
    <w:next w:val="1"/>
    <w:qFormat/>
    <w:uiPriority w:val="0"/>
    <w:pPr>
      <w:ind w:firstLine="420" w:firstLineChars="100"/>
    </w:pPr>
    <w:rPr>
      <w:rFonts w:ascii="黑体" w:hAnsi="黑体"/>
      <w:spacing w:val="10"/>
      <w:sz w:val="21"/>
    </w:rPr>
  </w:style>
  <w:style w:type="paragraph" w:styleId="38">
    <w:name w:val="Body Text First Indent 2"/>
    <w:basedOn w:val="14"/>
    <w:next w:val="37"/>
    <w:qFormat/>
    <w:uiPriority w:val="0"/>
    <w:pPr>
      <w:adjustRightInd/>
      <w:snapToGrid/>
      <w:spacing w:after="120" w:line="240" w:lineRule="auto"/>
      <w:ind w:left="420" w:leftChars="200" w:firstLine="420" w:firstLineChars="200"/>
    </w:pPr>
    <w:rPr>
      <w:bCs w:val="0"/>
      <w:kern w:val="2"/>
      <w:sz w:val="21"/>
    </w:rPr>
  </w:style>
  <w:style w:type="table" w:styleId="40">
    <w:name w:val="Table Grid"/>
    <w:basedOn w:val="39"/>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2">
    <w:name w:val="Strong"/>
    <w:basedOn w:val="41"/>
    <w:qFormat/>
    <w:uiPriority w:val="0"/>
    <w:rPr>
      <w:b/>
    </w:rPr>
  </w:style>
  <w:style w:type="character" w:styleId="43">
    <w:name w:val="page number"/>
    <w:basedOn w:val="41"/>
    <w:qFormat/>
    <w:uiPriority w:val="0"/>
    <w:rPr>
      <w:rFonts w:ascii="宋体" w:hAnsi="宋体" w:eastAsia="宋体" w:cs="宋体"/>
      <w:kern w:val="2"/>
      <w:sz w:val="24"/>
      <w:szCs w:val="24"/>
      <w:lang w:val="en-US" w:eastAsia="zh-CN" w:bidi="ar-SA"/>
    </w:rPr>
  </w:style>
  <w:style w:type="character" w:styleId="44">
    <w:name w:val="Emphasis"/>
    <w:basedOn w:val="41"/>
    <w:qFormat/>
    <w:uiPriority w:val="0"/>
    <w:rPr>
      <w:i/>
      <w:iCs/>
    </w:rPr>
  </w:style>
  <w:style w:type="character" w:styleId="45">
    <w:name w:val="Hyperlink"/>
    <w:qFormat/>
    <w:uiPriority w:val="99"/>
    <w:rPr>
      <w:rFonts w:ascii="宋体" w:hAnsi="宋体" w:eastAsia="宋体" w:cs="宋体"/>
      <w:color w:val="0000FF"/>
      <w:kern w:val="2"/>
      <w:sz w:val="24"/>
      <w:szCs w:val="24"/>
      <w:u w:val="single"/>
      <w:lang w:val="en-US" w:eastAsia="zh-CN" w:bidi="ar-SA"/>
    </w:rPr>
  </w:style>
  <w:style w:type="character" w:styleId="46">
    <w:name w:val="annotation reference"/>
    <w:basedOn w:val="41"/>
    <w:qFormat/>
    <w:uiPriority w:val="0"/>
    <w:rPr>
      <w:sz w:val="21"/>
      <w:szCs w:val="21"/>
    </w:rPr>
  </w:style>
  <w:style w:type="paragraph" w:customStyle="1" w:styleId="47">
    <w:name w:val="简单回函地址"/>
    <w:basedOn w:val="1"/>
    <w:next w:val="48"/>
    <w:qFormat/>
    <w:uiPriority w:val="0"/>
    <w:rPr>
      <w:szCs w:val="20"/>
    </w:rPr>
  </w:style>
  <w:style w:type="paragraph" w:customStyle="1" w:styleId="48">
    <w:name w:val="正文2"/>
    <w:basedOn w:val="1"/>
    <w:qFormat/>
    <w:uiPriority w:val="0"/>
    <w:pPr>
      <w:ind w:firstLine="200"/>
    </w:pPr>
  </w:style>
  <w:style w:type="paragraph" w:customStyle="1" w:styleId="49">
    <w:name w:val="0正文"/>
    <w:basedOn w:val="14"/>
    <w:unhideWhenUsed/>
    <w:qFormat/>
    <w:uiPriority w:val="0"/>
    <w:pPr>
      <w:ind w:firstLine="720"/>
    </w:pPr>
  </w:style>
  <w:style w:type="paragraph" w:customStyle="1" w:styleId="50">
    <w:name w:val="Default"/>
    <w:basedOn w:val="51"/>
    <w:next w:val="1"/>
    <w:link w:val="210"/>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51">
    <w:name w:val="纯文本1"/>
    <w:basedOn w:val="1"/>
    <w:qFormat/>
    <w:uiPriority w:val="0"/>
    <w:rPr>
      <w:rFonts w:ascii="宋体" w:hAnsi="Courier New"/>
      <w:kern w:val="0"/>
      <w:sz w:val="20"/>
      <w:szCs w:val="20"/>
    </w:rPr>
  </w:style>
  <w:style w:type="paragraph" w:customStyle="1" w:styleId="52">
    <w:name w:val="1 表头"/>
    <w:basedOn w:val="1"/>
    <w:qFormat/>
    <w:uiPriority w:val="0"/>
    <w:pPr>
      <w:adjustRightInd w:val="0"/>
      <w:snapToGrid w:val="0"/>
      <w:spacing w:line="240" w:lineRule="auto"/>
      <w:ind w:firstLine="0" w:firstLineChars="0"/>
      <w:jc w:val="center"/>
    </w:pPr>
    <w:rPr>
      <w:b/>
      <w:color w:val="000000"/>
      <w:sz w:val="21"/>
      <w:szCs w:val="21"/>
    </w:rPr>
  </w:style>
  <w:style w:type="paragraph" w:customStyle="1" w:styleId="53">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54">
    <w:name w:val="表文"/>
    <w:basedOn w:val="1"/>
    <w:next w:val="1"/>
    <w:qFormat/>
    <w:uiPriority w:val="0"/>
    <w:pPr>
      <w:overflowPunct w:val="0"/>
      <w:topLinePunct/>
      <w:spacing w:line="320" w:lineRule="exact"/>
      <w:jc w:val="center"/>
      <w:outlineLvl w:val="6"/>
    </w:pPr>
    <w:rPr>
      <w:kern w:val="0"/>
      <w:sz w:val="18"/>
      <w:szCs w:val="18"/>
    </w:rPr>
  </w:style>
  <w:style w:type="paragraph" w:customStyle="1" w:styleId="55">
    <w:name w:val="报告"/>
    <w:basedOn w:val="1"/>
    <w:qFormat/>
    <w:uiPriority w:val="0"/>
    <w:pPr>
      <w:adjustRightInd w:val="0"/>
      <w:spacing w:line="360" w:lineRule="auto"/>
      <w:ind w:firstLine="505"/>
      <w:textAlignment w:val="baseline"/>
    </w:pPr>
    <w:rPr>
      <w:kern w:val="0"/>
      <w:szCs w:val="20"/>
    </w:rPr>
  </w:style>
  <w:style w:type="paragraph" w:customStyle="1" w:styleId="56">
    <w:name w:val="主体"/>
    <w:qFormat/>
    <w:uiPriority w:val="0"/>
    <w:pPr>
      <w:widowControl w:val="0"/>
      <w:autoSpaceDE w:val="0"/>
      <w:autoSpaceDN w:val="0"/>
      <w:spacing w:line="440" w:lineRule="exact"/>
      <w:ind w:firstLine="480" w:firstLineChars="200"/>
      <w:jc w:val="both"/>
    </w:pPr>
    <w:rPr>
      <w:rFonts w:ascii="Times New Roman" w:hAnsi="Times New Roman" w:eastAsia="仿宋_GB2312" w:cs="Times New Roman"/>
      <w:bCs/>
      <w:kern w:val="2"/>
      <w:sz w:val="24"/>
      <w:szCs w:val="24"/>
      <w:lang w:val="en-US" w:eastAsia="zh-CN" w:bidi="ar-SA"/>
    </w:rPr>
  </w:style>
  <w:style w:type="character" w:customStyle="1" w:styleId="57">
    <w:name w:val="fontstyle11"/>
    <w:qFormat/>
    <w:uiPriority w:val="0"/>
    <w:rPr>
      <w:rFonts w:ascii="TimesNewRomanPSMT" w:hAnsi="TimesNewRomanPSMT" w:eastAsia="TimesNewRomanPSMT" w:cs="TimesNewRomanPSMT"/>
      <w:color w:val="000000"/>
      <w:kern w:val="0"/>
      <w:sz w:val="24"/>
      <w:szCs w:val="24"/>
    </w:rPr>
  </w:style>
  <w:style w:type="table" w:customStyle="1" w:styleId="58">
    <w:name w:val="报告表格式新建"/>
    <w:basedOn w:val="39"/>
    <w:qFormat/>
    <w:uiPriority w:val="99"/>
    <w:pPr>
      <w:jc w:val="center"/>
    </w:pPr>
    <w:rPr>
      <w:sz w:val="18"/>
    </w:rPr>
    <w:tblPr>
      <w:tblBorders>
        <w:top w:val="single" w:color="auto" w:sz="12" w:space="0"/>
        <w:bottom w:val="single" w:color="auto" w:sz="12" w:space="0"/>
        <w:insideH w:val="single" w:color="auto" w:sz="8" w:space="0"/>
        <w:insideV w:val="single" w:color="auto" w:sz="8" w:space="0"/>
      </w:tblBorders>
    </w:tblPr>
    <w:tcPr>
      <w:vAlign w:val="center"/>
    </w:tcPr>
  </w:style>
  <w:style w:type="paragraph" w:customStyle="1" w:styleId="59">
    <w:name w:val="样式 首行缩进:  2 字符"/>
    <w:basedOn w:val="1"/>
    <w:qFormat/>
    <w:uiPriority w:val="0"/>
    <w:pPr>
      <w:ind w:right="11" w:firstLine="480" w:firstLineChars="200"/>
    </w:pPr>
    <w:rPr>
      <w:bCs/>
    </w:rPr>
  </w:style>
  <w:style w:type="paragraph" w:customStyle="1" w:styleId="60">
    <w:name w:val="1文章"/>
    <w:basedOn w:val="1"/>
    <w:qFormat/>
    <w:uiPriority w:val="0"/>
    <w:pPr>
      <w:snapToGrid w:val="0"/>
      <w:spacing w:line="360" w:lineRule="auto"/>
      <w:ind w:firstLine="573"/>
    </w:pPr>
    <w:rPr>
      <w:rFonts w:eastAsia="仿宋_GB2312"/>
      <w:sz w:val="28"/>
    </w:rPr>
  </w:style>
  <w:style w:type="paragraph" w:customStyle="1" w:styleId="61">
    <w:name w:val="报告书"/>
    <w:basedOn w:val="1"/>
    <w:qFormat/>
    <w:uiPriority w:val="0"/>
    <w:pPr>
      <w:autoSpaceDE w:val="0"/>
      <w:autoSpaceDN w:val="0"/>
      <w:adjustRightInd w:val="0"/>
      <w:spacing w:line="360" w:lineRule="auto"/>
      <w:ind w:firstLine="480" w:firstLineChars="200"/>
      <w:textAlignment w:val="bottom"/>
    </w:pPr>
    <w:rPr>
      <w:rFonts w:hAnsi="宋体"/>
      <w:bCs/>
      <w:kern w:val="0"/>
    </w:rPr>
  </w:style>
  <w:style w:type="paragraph" w:customStyle="1" w:styleId="62">
    <w:name w:val="填表内容"/>
    <w:basedOn w:val="1"/>
    <w:qFormat/>
    <w:uiPriority w:val="0"/>
    <w:pPr>
      <w:adjustRightInd w:val="0"/>
      <w:jc w:val="center"/>
    </w:pPr>
    <w:rPr>
      <w:kern w:val="0"/>
      <w:sz w:val="21"/>
      <w:szCs w:val="20"/>
    </w:rPr>
  </w:style>
  <w:style w:type="character" w:customStyle="1" w:styleId="63">
    <w:name w:val="fontstyle01"/>
    <w:basedOn w:val="41"/>
    <w:qFormat/>
    <w:uiPriority w:val="0"/>
    <w:rPr>
      <w:rFonts w:ascii="宋体" w:hAnsi="宋体" w:eastAsia="宋体" w:cs="宋体"/>
      <w:color w:val="000000"/>
      <w:kern w:val="0"/>
      <w:sz w:val="24"/>
      <w:szCs w:val="24"/>
    </w:rPr>
  </w:style>
  <w:style w:type="paragraph" w:customStyle="1" w:styleId="64">
    <w:name w:val="xyb自建正文"/>
    <w:basedOn w:val="1"/>
    <w:qFormat/>
    <w:uiPriority w:val="0"/>
    <w:pPr>
      <w:adjustRightInd w:val="0"/>
      <w:snapToGrid w:val="0"/>
      <w:spacing w:line="360" w:lineRule="auto"/>
      <w:ind w:firstLine="480" w:firstLineChars="200"/>
      <w:textAlignment w:val="baseline"/>
    </w:pPr>
    <w:rPr>
      <w:snapToGrid w:val="0"/>
      <w:kern w:val="0"/>
    </w:rPr>
  </w:style>
  <w:style w:type="paragraph" w:customStyle="1" w:styleId="65">
    <w:name w:val="列表段落1"/>
    <w:basedOn w:val="1"/>
    <w:qFormat/>
    <w:uiPriority w:val="0"/>
    <w:pPr>
      <w:ind w:firstLine="420" w:firstLineChars="200"/>
    </w:pPr>
    <w:rPr>
      <w:rFonts w:ascii="Calibri" w:hAnsi="Calibri"/>
      <w:szCs w:val="22"/>
    </w:rPr>
  </w:style>
  <w:style w:type="paragraph" w:customStyle="1" w:styleId="66">
    <w:name w:val="Zw"/>
    <w:basedOn w:val="1"/>
    <w:next w:val="1"/>
    <w:qFormat/>
    <w:uiPriority w:val="0"/>
    <w:pPr>
      <w:spacing w:line="360" w:lineRule="auto"/>
      <w:ind w:firstLine="200" w:firstLineChars="200"/>
    </w:pPr>
    <w:rPr>
      <w:rFonts w:ascii="宋体" w:hAnsi="宋体" w:cs="宋体"/>
    </w:rPr>
  </w:style>
  <w:style w:type="character" w:customStyle="1" w:styleId="67">
    <w:name w:val="fontstyle21"/>
    <w:basedOn w:val="41"/>
    <w:qFormat/>
    <w:uiPriority w:val="0"/>
    <w:rPr>
      <w:rFonts w:ascii="TimesNewRomanPSMT" w:hAnsi="TimesNewRomanPSMT" w:eastAsia="TimesNewRomanPSMT" w:cs="TimesNewRomanPSMT"/>
      <w:color w:val="000000"/>
      <w:kern w:val="0"/>
      <w:sz w:val="24"/>
      <w:szCs w:val="24"/>
    </w:rPr>
  </w:style>
  <w:style w:type="paragraph" w:customStyle="1" w:styleId="68">
    <w:name w:val="样式2"/>
    <w:basedOn w:val="4"/>
    <w:qFormat/>
    <w:uiPriority w:val="0"/>
    <w:pPr>
      <w:tabs>
        <w:tab w:val="left" w:pos="567"/>
      </w:tabs>
      <w:snapToGrid/>
      <w:spacing w:before="156" w:beforeLines="50" w:line="400" w:lineRule="atLeast"/>
      <w:ind w:left="567" w:hanging="567"/>
      <w:jc w:val="left"/>
      <w:textAlignment w:val="baseline"/>
    </w:pPr>
    <w:rPr>
      <w:rFonts w:ascii="Times New Roman" w:hAnsi="Times New Roman" w:eastAsia="宋体"/>
      <w:b w:val="0"/>
      <w:bCs w:val="0"/>
      <w:snapToGrid/>
      <w:kern w:val="2"/>
      <w:szCs w:val="28"/>
    </w:rPr>
  </w:style>
  <w:style w:type="paragraph" w:customStyle="1" w:styleId="69">
    <w:name w:val="报告表格"/>
    <w:basedOn w:val="1"/>
    <w:qFormat/>
    <w:uiPriority w:val="0"/>
    <w:pPr>
      <w:autoSpaceDE w:val="0"/>
      <w:autoSpaceDN w:val="0"/>
      <w:adjustRightInd w:val="0"/>
      <w:spacing w:before="40" w:after="40"/>
      <w:jc w:val="center"/>
      <w:textAlignment w:val="bottom"/>
    </w:pPr>
    <w:rPr>
      <w:kern w:val="0"/>
      <w:sz w:val="21"/>
      <w:szCs w:val="20"/>
    </w:rPr>
  </w:style>
  <w:style w:type="character" w:customStyle="1" w:styleId="70">
    <w:name w:val="正文缩进 字符"/>
    <w:link w:val="8"/>
    <w:qFormat/>
    <w:uiPriority w:val="0"/>
    <w:rPr>
      <w:szCs w:val="20"/>
    </w:rPr>
  </w:style>
  <w:style w:type="paragraph" w:customStyle="1" w:styleId="71">
    <w:name w:val="表格标题"/>
    <w:basedOn w:val="72"/>
    <w:next w:val="1"/>
    <w:qFormat/>
    <w:uiPriority w:val="0"/>
    <w:pPr>
      <w:spacing w:before="120"/>
    </w:pPr>
    <w:rPr>
      <w:rFonts w:eastAsia="仿宋_GB2312"/>
    </w:rPr>
  </w:style>
  <w:style w:type="paragraph" w:customStyle="1" w:styleId="72">
    <w:name w:val="表格内容"/>
    <w:basedOn w:val="8"/>
    <w:next w:val="8"/>
    <w:qFormat/>
    <w:uiPriority w:val="0"/>
    <w:pPr>
      <w:spacing w:line="360" w:lineRule="auto"/>
      <w:jc w:val="center"/>
    </w:pPr>
    <w:rPr>
      <w:color w:val="000000"/>
    </w:rPr>
  </w:style>
  <w:style w:type="paragraph" w:customStyle="1" w:styleId="73">
    <w:name w:val="表格文字2"/>
    <w:basedOn w:val="74"/>
    <w:qFormat/>
    <w:uiPriority w:val="0"/>
    <w:pPr>
      <w:tabs>
        <w:tab w:val="left" w:pos="7590"/>
      </w:tabs>
      <w:spacing w:before="60"/>
    </w:pPr>
  </w:style>
  <w:style w:type="paragraph" w:customStyle="1" w:styleId="74">
    <w:name w:val="表格文字"/>
    <w:basedOn w:val="1"/>
    <w:next w:val="1"/>
    <w:qFormat/>
    <w:uiPriority w:val="99"/>
    <w:pPr>
      <w:tabs>
        <w:tab w:val="left" w:pos="7590"/>
      </w:tabs>
      <w:snapToGrid w:val="0"/>
      <w:jc w:val="center"/>
    </w:pPr>
    <w:rPr>
      <w:sz w:val="21"/>
      <w:lang w:val="zh-CN"/>
    </w:rPr>
  </w:style>
  <w:style w:type="paragraph" w:customStyle="1" w:styleId="75">
    <w:name w:val="标题1"/>
    <w:basedOn w:val="1"/>
    <w:next w:val="1"/>
    <w:qFormat/>
    <w:uiPriority w:val="0"/>
    <w:pPr>
      <w:spacing w:line="500" w:lineRule="exact"/>
    </w:pPr>
    <w:rPr>
      <w:rFonts w:eastAsia="楷体_GB2312"/>
      <w:b/>
      <w:color w:val="000000"/>
      <w:spacing w:val="10"/>
      <w:sz w:val="28"/>
    </w:rPr>
  </w:style>
  <w:style w:type="paragraph" w:customStyle="1" w:styleId="76">
    <w:name w:val="正文-蓝色"/>
    <w:basedOn w:val="77"/>
    <w:qFormat/>
    <w:uiPriority w:val="0"/>
    <w:pPr>
      <w:ind w:firstLine="480"/>
    </w:pPr>
    <w:rPr>
      <w:color w:val="0000FF"/>
    </w:rPr>
  </w:style>
  <w:style w:type="paragraph" w:customStyle="1" w:styleId="77">
    <w:name w:val="正文-欣欣"/>
    <w:basedOn w:val="1"/>
    <w:next w:val="1"/>
    <w:qFormat/>
    <w:uiPriority w:val="0"/>
    <w:pPr>
      <w:ind w:firstLine="200" w:firstLineChars="200"/>
    </w:pPr>
    <w:rPr>
      <w:rFonts w:cs="Courier New"/>
      <w:szCs w:val="21"/>
    </w:rPr>
  </w:style>
  <w:style w:type="paragraph" w:customStyle="1" w:styleId="78">
    <w:name w:val="表格中文字"/>
    <w:basedOn w:val="1"/>
    <w:qFormat/>
    <w:uiPriority w:val="0"/>
    <w:pPr>
      <w:adjustRightInd w:val="0"/>
      <w:snapToGrid w:val="0"/>
      <w:spacing w:line="360" w:lineRule="atLeast"/>
      <w:jc w:val="center"/>
      <w:textAlignment w:val="baseline"/>
    </w:pPr>
    <w:rPr>
      <w:kern w:val="18"/>
      <w:sz w:val="21"/>
    </w:rPr>
  </w:style>
  <w:style w:type="character" w:customStyle="1" w:styleId="79">
    <w:name w:val="批注文字 字符"/>
    <w:basedOn w:val="41"/>
    <w:link w:val="11"/>
    <w:qFormat/>
    <w:uiPriority w:val="0"/>
    <w:rPr>
      <w:kern w:val="2"/>
      <w:sz w:val="24"/>
      <w:szCs w:val="24"/>
    </w:rPr>
  </w:style>
  <w:style w:type="character" w:customStyle="1" w:styleId="80">
    <w:name w:val="批注主题 字符"/>
    <w:basedOn w:val="79"/>
    <w:link w:val="36"/>
    <w:qFormat/>
    <w:uiPriority w:val="0"/>
    <w:rPr>
      <w:b/>
      <w:bCs/>
      <w:kern w:val="2"/>
      <w:sz w:val="24"/>
      <w:szCs w:val="24"/>
    </w:rPr>
  </w:style>
  <w:style w:type="paragraph" w:customStyle="1" w:styleId="81">
    <w:name w:val="WPSOffice手动目录 1"/>
    <w:qFormat/>
    <w:uiPriority w:val="0"/>
    <w:pPr>
      <w:ind w:leftChars="0"/>
    </w:pPr>
    <w:rPr>
      <w:rFonts w:ascii="Times New Roman" w:hAnsi="Times New Roman" w:eastAsia="宋体" w:cs="Times New Roman"/>
      <w:sz w:val="20"/>
      <w:szCs w:val="20"/>
    </w:rPr>
  </w:style>
  <w:style w:type="paragraph" w:customStyle="1" w:styleId="82">
    <w:name w:val="WPSOffice手动目录 2"/>
    <w:qFormat/>
    <w:uiPriority w:val="0"/>
    <w:pPr>
      <w:ind w:leftChars="200"/>
    </w:pPr>
    <w:rPr>
      <w:rFonts w:ascii="Times New Roman" w:hAnsi="Times New Roman" w:eastAsia="宋体" w:cs="Times New Roman"/>
      <w:sz w:val="20"/>
      <w:szCs w:val="20"/>
    </w:rPr>
  </w:style>
  <w:style w:type="paragraph" w:customStyle="1" w:styleId="83">
    <w:name w:val="正文文本缩进1"/>
    <w:basedOn w:val="1"/>
    <w:qFormat/>
    <w:uiPriority w:val="0"/>
    <w:pPr>
      <w:spacing w:after="120"/>
      <w:ind w:left="420" w:leftChars="200"/>
    </w:pPr>
    <w:rPr>
      <w:kern w:val="0"/>
      <w:sz w:val="20"/>
    </w:rPr>
  </w:style>
  <w:style w:type="character" w:customStyle="1" w:styleId="84">
    <w:name w:val="标题 1 Char"/>
    <w:link w:val="3"/>
    <w:qFormat/>
    <w:uiPriority w:val="0"/>
    <w:rPr>
      <w:rFonts w:ascii="黑体" w:hAnsi="黑体" w:eastAsia="黑体"/>
      <w:b/>
      <w:snapToGrid w:val="0"/>
      <w:color w:val="000000"/>
      <w:sz w:val="32"/>
    </w:rPr>
  </w:style>
  <w:style w:type="paragraph" w:customStyle="1" w:styleId="85">
    <w:name w:val="No Spacing1"/>
    <w:qFormat/>
    <w:uiPriority w:val="0"/>
    <w:pPr>
      <w:widowControl w:val="0"/>
      <w:contextualSpacing/>
      <w:jc w:val="center"/>
    </w:pPr>
    <w:rPr>
      <w:rFonts w:ascii="Times New Roman" w:hAnsi="Times New Roman" w:eastAsia="宋体" w:cs="Times New Roman"/>
      <w:sz w:val="21"/>
      <w:szCs w:val="24"/>
      <w:lang w:val="en-US" w:eastAsia="zh-CN" w:bidi="ar-SA"/>
    </w:rPr>
  </w:style>
  <w:style w:type="paragraph" w:styleId="86">
    <w:name w:val="No Spacing"/>
    <w:basedOn w:val="13"/>
    <w:next w:val="17"/>
    <w:qFormat/>
    <w:uiPriority w:val="1"/>
    <w:pPr>
      <w:widowControl w:val="0"/>
      <w:spacing w:line="340" w:lineRule="exact"/>
      <w:jc w:val="center"/>
    </w:pPr>
    <w:rPr>
      <w:rFonts w:ascii="Times New Roman" w:hAnsi="Times New Roman" w:eastAsia="宋体" w:cs="Times New Roman"/>
      <w:kern w:val="2"/>
      <w:sz w:val="21"/>
      <w:szCs w:val="24"/>
      <w:lang w:val="en-US" w:eastAsia="zh-CN" w:bidi="ar-SA"/>
    </w:rPr>
  </w:style>
  <w:style w:type="paragraph" w:customStyle="1" w:styleId="87">
    <w:name w:val="书正文"/>
    <w:basedOn w:val="1"/>
    <w:qFormat/>
    <w:uiPriority w:val="0"/>
    <w:pPr>
      <w:ind w:firstLine="480"/>
      <w:jc w:val="both"/>
    </w:pPr>
    <w:rPr>
      <w:rFonts w:ascii="Times New Roman" w:hAnsi="Times New Roman" w:eastAsia="宋体"/>
      <w:color w:val="000000"/>
      <w:sz w:val="24"/>
      <w:szCs w:val="22"/>
      <w:shd w:val="clear" w:color="auto" w:fill="FFFFFF"/>
    </w:rPr>
  </w:style>
  <w:style w:type="character" w:customStyle="1" w:styleId="88">
    <w:name w:val="font61"/>
    <w:basedOn w:val="41"/>
    <w:qFormat/>
    <w:uiPriority w:val="0"/>
    <w:rPr>
      <w:rFonts w:hint="eastAsia" w:ascii="宋体" w:hAnsi="宋体" w:eastAsia="宋体" w:cs="宋体"/>
      <w:color w:val="000000"/>
      <w:sz w:val="20"/>
      <w:szCs w:val="20"/>
      <w:u w:val="none"/>
    </w:rPr>
  </w:style>
  <w:style w:type="paragraph" w:customStyle="1" w:styleId="89">
    <w:name w:val="表头"/>
    <w:basedOn w:val="90"/>
    <w:next w:val="90"/>
    <w:qFormat/>
    <w:uiPriority w:val="0"/>
    <w:pPr>
      <w:widowControl/>
      <w:ind w:firstLine="0" w:firstLineChars="0"/>
      <w:jc w:val="center"/>
    </w:pPr>
    <w:rPr>
      <w:b/>
      <w:kern w:val="0"/>
      <w:sz w:val="20"/>
      <w:szCs w:val="20"/>
    </w:rPr>
  </w:style>
  <w:style w:type="paragraph" w:customStyle="1" w:styleId="90">
    <w:name w:val="表格"/>
    <w:basedOn w:val="28"/>
    <w:next w:val="1"/>
    <w:qFormat/>
    <w:uiPriority w:val="0"/>
    <w:pPr>
      <w:autoSpaceDE w:val="0"/>
      <w:autoSpaceDN w:val="0"/>
      <w:adjustRightInd w:val="0"/>
      <w:snapToGrid w:val="0"/>
      <w:spacing w:line="280" w:lineRule="exact"/>
      <w:jc w:val="center"/>
    </w:pPr>
    <w:rPr>
      <w:rFonts w:ascii="仿宋_GB2312" w:eastAsia="仿宋_GB2312"/>
      <w:kern w:val="0"/>
      <w:szCs w:val="20"/>
    </w:rPr>
  </w:style>
  <w:style w:type="paragraph" w:customStyle="1" w:styleId="91">
    <w:name w:val="正文d"/>
    <w:basedOn w:val="1"/>
    <w:qFormat/>
    <w:uiPriority w:val="0"/>
    <w:pPr>
      <w:autoSpaceDE w:val="0"/>
      <w:autoSpaceDN w:val="0"/>
      <w:adjustRightInd w:val="0"/>
      <w:snapToGrid w:val="0"/>
      <w:spacing w:line="360" w:lineRule="auto"/>
      <w:ind w:firstLine="200" w:firstLineChars="200"/>
    </w:pPr>
    <w:rPr>
      <w:rFonts w:cs="宋体"/>
      <w:kern w:val="0"/>
      <w:szCs w:val="21"/>
    </w:rPr>
  </w:style>
  <w:style w:type="paragraph" w:customStyle="1" w:styleId="92">
    <w:name w:val="0表格"/>
    <w:basedOn w:val="1"/>
    <w:qFormat/>
    <w:uiPriority w:val="0"/>
    <w:pPr>
      <w:widowControl/>
      <w:jc w:val="center"/>
    </w:pPr>
    <w:rPr>
      <w:kern w:val="0"/>
      <w:szCs w:val="21"/>
    </w:rPr>
  </w:style>
  <w:style w:type="character" w:customStyle="1" w:styleId="93">
    <w:name w:val="标题 5 Char"/>
    <w:link w:val="7"/>
    <w:qFormat/>
    <w:uiPriority w:val="0"/>
    <w:rPr>
      <w:b/>
      <w:bCs/>
      <w:sz w:val="21"/>
      <w:szCs w:val="28"/>
    </w:rPr>
  </w:style>
  <w:style w:type="paragraph" w:customStyle="1" w:styleId="94">
    <w:name w:val="【表头】"/>
    <w:basedOn w:val="1"/>
    <w:qFormat/>
    <w:uiPriority w:val="0"/>
    <w:pPr>
      <w:snapToGrid w:val="0"/>
      <w:jc w:val="center"/>
    </w:pPr>
    <w:rPr>
      <w:rFonts w:ascii="Times New Roman" w:hAnsi="Times New Roman" w:eastAsia="黑体"/>
      <w:b/>
      <w:spacing w:val="4"/>
      <w:kern w:val="0"/>
      <w:sz w:val="24"/>
      <w:szCs w:val="24"/>
      <w:lang w:val="zh-CN"/>
    </w:rPr>
  </w:style>
  <w:style w:type="paragraph" w:customStyle="1" w:styleId="95">
    <w:name w:val="【表中文字】"/>
    <w:basedOn w:val="1"/>
    <w:qFormat/>
    <w:uiPriority w:val="0"/>
    <w:pPr>
      <w:adjustRightInd w:val="0"/>
      <w:snapToGrid w:val="0"/>
      <w:jc w:val="center"/>
    </w:pPr>
    <w:rPr>
      <w:kern w:val="0"/>
      <w:sz w:val="20"/>
      <w:szCs w:val="20"/>
    </w:rPr>
  </w:style>
  <w:style w:type="paragraph" w:customStyle="1" w:styleId="96">
    <w:name w:val="报告表正文"/>
    <w:basedOn w:val="1"/>
    <w:qFormat/>
    <w:uiPriority w:val="0"/>
    <w:pPr>
      <w:adjustRightInd w:val="0"/>
      <w:spacing w:line="312" w:lineRule="auto"/>
      <w:ind w:left="113" w:right="113" w:firstLine="482"/>
      <w:jc w:val="left"/>
      <w:textAlignment w:val="baseline"/>
    </w:pPr>
    <w:rPr>
      <w:kern w:val="0"/>
      <w:szCs w:val="20"/>
    </w:rPr>
  </w:style>
  <w:style w:type="paragraph" w:customStyle="1" w:styleId="97">
    <w:name w:val="p0"/>
    <w:basedOn w:val="1"/>
    <w:qFormat/>
    <w:uiPriority w:val="0"/>
    <w:pPr>
      <w:widowControl/>
      <w:spacing w:before="100" w:beforeAutospacing="1" w:after="100" w:afterAutospacing="1"/>
      <w:jc w:val="left"/>
    </w:pPr>
    <w:rPr>
      <w:rFonts w:ascii="宋体" w:hAnsi="宋体" w:cs="宋体"/>
      <w:kern w:val="0"/>
    </w:rPr>
  </w:style>
  <w:style w:type="paragraph" w:customStyle="1" w:styleId="98">
    <w:name w:val="表头样式"/>
    <w:basedOn w:val="1"/>
    <w:qFormat/>
    <w:uiPriority w:val="0"/>
    <w:pPr>
      <w:spacing w:beforeLines="50" w:afterLines="50"/>
      <w:jc w:val="center"/>
    </w:pPr>
    <w:rPr>
      <w:b/>
      <w:szCs w:val="21"/>
    </w:rPr>
  </w:style>
  <w:style w:type="paragraph" w:customStyle="1" w:styleId="99">
    <w:name w:val="正文01"/>
    <w:basedOn w:val="1"/>
    <w:link w:val="124"/>
    <w:qFormat/>
    <w:uiPriority w:val="0"/>
    <w:pPr>
      <w:ind w:firstLine="482"/>
    </w:pPr>
    <w:rPr>
      <w:szCs w:val="20"/>
    </w:rPr>
  </w:style>
  <w:style w:type="paragraph" w:customStyle="1" w:styleId="100">
    <w:name w:val="【正文】"/>
    <w:basedOn w:val="1"/>
    <w:qFormat/>
    <w:uiPriority w:val="0"/>
    <w:pPr>
      <w:spacing w:line="440" w:lineRule="exact"/>
      <w:ind w:firstLine="544" w:firstLineChars="200"/>
    </w:pPr>
    <w:rPr>
      <w:sz w:val="24"/>
      <w:szCs w:val="20"/>
    </w:rPr>
  </w:style>
  <w:style w:type="paragraph" w:customStyle="1" w:styleId="101">
    <w:name w:val="fcc正文"/>
    <w:basedOn w:val="1"/>
    <w:qFormat/>
    <w:uiPriority w:val="0"/>
    <w:pPr>
      <w:ind w:firstLine="200" w:firstLineChars="200"/>
    </w:pPr>
    <w:rPr>
      <w:rFonts w:ascii="Calibri" w:hAnsi="Calibri" w:cs="Times New Roman"/>
      <w:szCs w:val="20"/>
      <w:lang w:val="zh-CN"/>
    </w:rPr>
  </w:style>
  <w:style w:type="character" w:customStyle="1" w:styleId="102">
    <w:name w:val="页码1"/>
    <w:basedOn w:val="41"/>
    <w:qFormat/>
    <w:uiPriority w:val="0"/>
  </w:style>
  <w:style w:type="paragraph" w:customStyle="1" w:styleId="103">
    <w:name w:val="样式 样式 (西文) 宋体 (中文) 仿宋_GB2312 小四 + 首行缩进:  2 字符 行距: 最小值 12 磅"/>
    <w:basedOn w:val="1"/>
    <w:qFormat/>
    <w:uiPriority w:val="0"/>
    <w:pPr>
      <w:spacing w:line="240" w:lineRule="atLeast"/>
      <w:ind w:firstLine="640" w:firstLineChars="200"/>
      <w:jc w:val="left"/>
    </w:pPr>
    <w:rPr>
      <w:rFonts w:ascii="仿宋_GB2312" w:eastAsia="仿宋_GB2312"/>
      <w:b/>
      <w:color w:val="000000"/>
      <w:sz w:val="30"/>
      <w:szCs w:val="28"/>
    </w:rPr>
  </w:style>
  <w:style w:type="paragraph" w:customStyle="1" w:styleId="104">
    <w:name w:val="Normal (Web)"/>
    <w:basedOn w:val="1"/>
    <w:qFormat/>
    <w:uiPriority w:val="0"/>
    <w:pPr>
      <w:spacing w:before="100" w:beforeAutospacing="1" w:after="100" w:afterAutospacing="1"/>
    </w:pPr>
    <w:rPr>
      <w:rFonts w:ascii="宋体" w:hAnsi="宋体" w:cs="宋体"/>
      <w:sz w:val="24"/>
    </w:rPr>
  </w:style>
  <w:style w:type="paragraph" w:customStyle="1" w:styleId="105">
    <w:name w:val="List Paragraph"/>
    <w:basedOn w:val="1"/>
    <w:next w:val="1"/>
    <w:qFormat/>
    <w:uiPriority w:val="0"/>
    <w:pPr>
      <w:autoSpaceDE w:val="0"/>
      <w:autoSpaceDN w:val="0"/>
      <w:jc w:val="center"/>
    </w:pPr>
    <w:rPr>
      <w:szCs w:val="20"/>
    </w:rPr>
  </w:style>
  <w:style w:type="paragraph" w:customStyle="1" w:styleId="106">
    <w:name w:val="样式3"/>
    <w:basedOn w:val="8"/>
    <w:qFormat/>
    <w:uiPriority w:val="0"/>
    <w:pPr>
      <w:snapToGrid/>
      <w:spacing w:line="520" w:lineRule="atLeast"/>
      <w:ind w:firstLine="560"/>
      <w:jc w:val="left"/>
    </w:pPr>
    <w:rPr>
      <w:kern w:val="0"/>
      <w:sz w:val="28"/>
    </w:rPr>
  </w:style>
  <w:style w:type="paragraph" w:customStyle="1" w:styleId="107">
    <w:name w:val="正文-1"/>
    <w:link w:val="179"/>
    <w:qFormat/>
    <w:uiPriority w:val="0"/>
    <w:pPr>
      <w:spacing w:line="480" w:lineRule="exact"/>
      <w:ind w:firstLine="200" w:firstLineChars="200"/>
      <w:jc w:val="both"/>
    </w:pPr>
    <w:rPr>
      <w:rFonts w:ascii="Times New Roman" w:hAnsi="Times New Roman" w:eastAsia="宋体" w:cs="宋体"/>
      <w:kern w:val="2"/>
      <w:sz w:val="24"/>
      <w:lang w:val="en-US" w:eastAsia="zh-CN" w:bidi="ar-SA"/>
    </w:rPr>
  </w:style>
  <w:style w:type="paragraph" w:customStyle="1" w:styleId="108">
    <w:name w:val="表题"/>
    <w:basedOn w:val="28"/>
    <w:next w:val="1"/>
    <w:link w:val="176"/>
    <w:qFormat/>
    <w:uiPriority w:val="0"/>
    <w:pPr>
      <w:spacing w:line="480" w:lineRule="exact"/>
      <w:jc w:val="center"/>
    </w:pPr>
    <w:rPr>
      <w:rFonts w:ascii="Times New Roman" w:hAnsi="宋体" w:eastAsia="宋体" w:cs="Times New Roman"/>
      <w:b/>
      <w:kern w:val="2"/>
      <w:sz w:val="21"/>
      <w:szCs w:val="24"/>
      <w:lang w:val="en-US" w:eastAsia="zh-CN" w:bidi="ar-SA"/>
    </w:rPr>
  </w:style>
  <w:style w:type="paragraph" w:customStyle="1" w:styleId="109">
    <w:name w:val="-正文"/>
    <w:basedOn w:val="1"/>
    <w:link w:val="177"/>
    <w:qFormat/>
    <w:uiPriority w:val="0"/>
    <w:pPr>
      <w:widowControl w:val="0"/>
      <w:spacing w:line="480" w:lineRule="exact"/>
      <w:ind w:firstLine="200" w:firstLineChars="200"/>
      <w:jc w:val="both"/>
    </w:pPr>
    <w:rPr>
      <w:rFonts w:cs="宋体"/>
      <w:kern w:val="2"/>
      <w:sz w:val="24"/>
    </w:rPr>
  </w:style>
  <w:style w:type="paragraph" w:customStyle="1" w:styleId="110">
    <w:name w:val="-表格"/>
    <w:basedOn w:val="90"/>
    <w:next w:val="1"/>
    <w:qFormat/>
    <w:uiPriority w:val="0"/>
    <w:pPr>
      <w:widowControl/>
      <w:tabs>
        <w:tab w:val="left" w:pos="3696"/>
      </w:tabs>
      <w:jc w:val="center"/>
    </w:pPr>
    <w:rPr>
      <w:rFonts w:ascii="宋体" w:hAnsi="宋体" w:cs="宋体"/>
      <w:snapToGrid w:val="0"/>
      <w:szCs w:val="20"/>
    </w:rPr>
  </w:style>
  <w:style w:type="paragraph" w:customStyle="1" w:styleId="111">
    <w:name w:val="GTR报告书表头"/>
    <w:basedOn w:val="1"/>
    <w:qFormat/>
    <w:uiPriority w:val="0"/>
    <w:pPr>
      <w:spacing w:line="500" w:lineRule="exact"/>
      <w:jc w:val="center"/>
    </w:pPr>
    <w:rPr>
      <w:rFonts w:eastAsia="黑体"/>
    </w:rPr>
  </w:style>
  <w:style w:type="paragraph" w:customStyle="1" w:styleId="112">
    <w:name w:val="GTR表格内容"/>
    <w:basedOn w:val="111"/>
    <w:qFormat/>
    <w:uiPriority w:val="0"/>
    <w:pPr>
      <w:spacing w:line="240" w:lineRule="auto"/>
    </w:pPr>
    <w:rPr>
      <w:rFonts w:eastAsia="宋体"/>
    </w:rPr>
  </w:style>
  <w:style w:type="paragraph" w:customStyle="1" w:styleId="113">
    <w:name w:val="小四正文格式"/>
    <w:basedOn w:val="1"/>
    <w:qFormat/>
    <w:uiPriority w:val="0"/>
    <w:pPr>
      <w:spacing w:line="360" w:lineRule="auto"/>
      <w:ind w:firstLine="200" w:firstLineChars="200"/>
    </w:pPr>
    <w:rPr>
      <w:rFonts w:ascii="宋体" w:hAnsi="宋体"/>
      <w:sz w:val="24"/>
    </w:rPr>
  </w:style>
  <w:style w:type="paragraph" w:customStyle="1" w:styleId="114">
    <w:name w:val="表中正文居中"/>
    <w:semiHidden/>
    <w:qFormat/>
    <w:uiPriority w:val="0"/>
    <w:pPr>
      <w:spacing w:before="120" w:after="156" w:line="240" w:lineRule="exact"/>
      <w:jc w:val="center"/>
    </w:pPr>
    <w:rPr>
      <w:rFonts w:ascii="宋体" w:hAnsi="Times New Roman" w:eastAsia="宋体" w:cs="Times New Roman"/>
      <w:kern w:val="2"/>
      <w:sz w:val="21"/>
      <w:lang w:val="en-US" w:eastAsia="zh-CN" w:bidi="ar-SA"/>
    </w:rPr>
  </w:style>
  <w:style w:type="paragraph" w:customStyle="1" w:styleId="115">
    <w:name w:val="表标题"/>
    <w:basedOn w:val="1"/>
    <w:next w:val="1"/>
    <w:semiHidden/>
    <w:qFormat/>
    <w:uiPriority w:val="0"/>
    <w:pPr>
      <w:adjustRightInd w:val="0"/>
      <w:jc w:val="center"/>
      <w:textAlignment w:val="baseline"/>
    </w:pPr>
    <w:rPr>
      <w:b/>
      <w:bCs/>
      <w:sz w:val="24"/>
      <w:szCs w:val="20"/>
    </w:rPr>
  </w:style>
  <w:style w:type="paragraph" w:customStyle="1" w:styleId="116">
    <w:name w:val="表格式"/>
    <w:qFormat/>
    <w:uiPriority w:val="0"/>
    <w:pPr>
      <w:spacing w:before="156" w:beforeLines="50" w:after="156" w:afterLines="50" w:line="240" w:lineRule="exact"/>
      <w:jc w:val="center"/>
    </w:pPr>
    <w:rPr>
      <w:rFonts w:ascii="Times New Roman" w:hAnsi="Times New Roman" w:eastAsia="宋体" w:cs="Times New Roman"/>
      <w:lang w:val="en-US" w:eastAsia="zh-CN" w:bidi="ar-SA"/>
    </w:rPr>
  </w:style>
  <w:style w:type="paragraph" w:customStyle="1" w:styleId="117">
    <w:name w:val=" Char Char Char Char Char Char Char Char Char1 Char Char Char Char"/>
    <w:basedOn w:val="1"/>
    <w:qFormat/>
    <w:uiPriority w:val="0"/>
    <w:rPr>
      <w:sz w:val="24"/>
    </w:rPr>
  </w:style>
  <w:style w:type="paragraph" w:customStyle="1" w:styleId="118">
    <w:name w:val="报告正文"/>
    <w:basedOn w:val="1"/>
    <w:link w:val="133"/>
    <w:semiHidden/>
    <w:qFormat/>
    <w:uiPriority w:val="0"/>
    <w:pPr>
      <w:adjustRightInd w:val="0"/>
      <w:snapToGrid w:val="0"/>
      <w:spacing w:line="480" w:lineRule="exact"/>
      <w:ind w:firstLine="560" w:firstLineChars="200"/>
    </w:pPr>
    <w:rPr>
      <w:sz w:val="28"/>
    </w:rPr>
  </w:style>
  <w:style w:type="paragraph" w:customStyle="1" w:styleId="119">
    <w:name w:val="常用正文样式"/>
    <w:basedOn w:val="1"/>
    <w:qFormat/>
    <w:uiPriority w:val="0"/>
    <w:pPr>
      <w:spacing w:line="360" w:lineRule="auto"/>
      <w:ind w:firstLine="480" w:firstLineChars="200"/>
    </w:pPr>
    <w:rPr>
      <w:rFonts w:ascii="宋体" w:hAnsi="宋体" w:eastAsia="仿宋_GB2312" w:cs="宋体"/>
      <w:bCs/>
      <w:kern w:val="28"/>
      <w:sz w:val="24"/>
    </w:rPr>
  </w:style>
  <w:style w:type="paragraph" w:customStyle="1" w:styleId="120">
    <w:name w:val="样式4"/>
    <w:basedOn w:val="1"/>
    <w:next w:val="1"/>
    <w:qFormat/>
    <w:uiPriority w:val="0"/>
    <w:pPr>
      <w:spacing w:line="440" w:lineRule="exact"/>
    </w:pPr>
    <w:rPr>
      <w:sz w:val="24"/>
      <w:szCs w:val="20"/>
    </w:rPr>
  </w:style>
  <w:style w:type="paragraph" w:customStyle="1" w:styleId="121">
    <w:name w:val="表格头"/>
    <w:basedOn w:val="1"/>
    <w:qFormat/>
    <w:uiPriority w:val="0"/>
    <w:pPr>
      <w:widowControl w:val="0"/>
      <w:jc w:val="center"/>
    </w:pPr>
    <w:rPr>
      <w:rFonts w:ascii="黑体" w:hAnsi="黑体"/>
      <w:b/>
      <w:sz w:val="21"/>
      <w:szCs w:val="24"/>
    </w:rPr>
  </w:style>
  <w:style w:type="paragraph" w:customStyle="1" w:styleId="122">
    <w:name w:val="-表题"/>
    <w:next w:val="109"/>
    <w:qFormat/>
    <w:uiPriority w:val="0"/>
    <w:pPr>
      <w:spacing w:line="480" w:lineRule="exact"/>
      <w:jc w:val="center"/>
    </w:pPr>
    <w:rPr>
      <w:rFonts w:ascii="Times New Roman" w:hAnsi="Times New Roman" w:eastAsia="宋体" w:cs="Times New Roman"/>
      <w:b/>
      <w:kern w:val="2"/>
      <w:sz w:val="21"/>
      <w:szCs w:val="24"/>
      <w:lang w:val="en-US" w:eastAsia="zh-CN" w:bidi="ar-SA"/>
    </w:rPr>
  </w:style>
  <w:style w:type="paragraph" w:customStyle="1" w:styleId="123">
    <w:name w:val="表中文字"/>
    <w:basedOn w:val="1"/>
    <w:qFormat/>
    <w:uiPriority w:val="0"/>
    <w:pPr>
      <w:widowControl w:val="0"/>
      <w:spacing w:line="300" w:lineRule="exact"/>
      <w:jc w:val="center"/>
    </w:pPr>
    <w:rPr>
      <w:color w:val="000000"/>
      <w:kern w:val="2"/>
      <w:sz w:val="21"/>
      <w:szCs w:val="24"/>
    </w:rPr>
  </w:style>
  <w:style w:type="character" w:customStyle="1" w:styleId="124">
    <w:name w:val="正文01 Char"/>
    <w:link w:val="99"/>
    <w:qFormat/>
    <w:uiPriority w:val="0"/>
    <w:rPr>
      <w:szCs w:val="20"/>
    </w:rPr>
  </w:style>
  <w:style w:type="paragraph" w:customStyle="1" w:styleId="125">
    <w:name w:val="表内容"/>
    <w:basedOn w:val="1"/>
    <w:next w:val="1"/>
    <w:qFormat/>
    <w:uiPriority w:val="0"/>
    <w:pPr>
      <w:jc w:val="center"/>
    </w:pPr>
    <w:rPr>
      <w:sz w:val="21"/>
      <w:szCs w:val="21"/>
    </w:rPr>
  </w:style>
  <w:style w:type="paragraph" w:customStyle="1" w:styleId="126">
    <w:name w:val="表格文字内容"/>
    <w:basedOn w:val="1"/>
    <w:qFormat/>
    <w:uiPriority w:val="0"/>
    <w:pPr>
      <w:spacing w:line="240" w:lineRule="exact"/>
      <w:jc w:val="center"/>
    </w:pPr>
    <w:rPr>
      <w:rFonts w:hAnsi="宋体"/>
      <w:sz w:val="18"/>
    </w:rPr>
  </w:style>
  <w:style w:type="paragraph" w:customStyle="1" w:styleId="127">
    <w:name w:val="报告正文scu"/>
    <w:qFormat/>
    <w:uiPriority w:val="0"/>
    <w:pPr>
      <w:widowControl w:val="0"/>
      <w:adjustRightInd w:val="0"/>
      <w:snapToGrid w:val="0"/>
      <w:spacing w:line="500" w:lineRule="exact"/>
      <w:ind w:firstLine="200" w:firstLineChars="200"/>
      <w:jc w:val="both"/>
    </w:pPr>
    <w:rPr>
      <w:rFonts w:ascii="Times New Roman" w:hAnsi="Times New Roman" w:eastAsia="宋体" w:cs="Times New Roman"/>
      <w:sz w:val="24"/>
      <w:szCs w:val="24"/>
      <w:lang w:val="en-US" w:eastAsia="zh-CN" w:bidi="ar-SA"/>
    </w:rPr>
  </w:style>
  <w:style w:type="paragraph" w:customStyle="1" w:styleId="128">
    <w:name w:val="_Style 1"/>
    <w:qFormat/>
    <w:uiPriority w:val="99"/>
    <w:pPr>
      <w:widowControl w:val="0"/>
      <w:jc w:val="both"/>
    </w:pPr>
    <w:rPr>
      <w:rFonts w:ascii="Times New Roman" w:hAnsi="Times New Roman" w:eastAsia="宋体" w:cs="Times New Roman"/>
      <w:bCs/>
      <w:sz w:val="24"/>
      <w:szCs w:val="24"/>
      <w:lang w:val="en-US" w:eastAsia="zh-CN" w:bidi="ar-SA"/>
    </w:rPr>
  </w:style>
  <w:style w:type="paragraph" w:customStyle="1" w:styleId="129">
    <w:name w:val="CM13"/>
    <w:basedOn w:val="50"/>
    <w:qFormat/>
    <w:uiPriority w:val="0"/>
    <w:rPr>
      <w:color w:val="auto"/>
    </w:rPr>
  </w:style>
  <w:style w:type="paragraph" w:customStyle="1" w:styleId="130">
    <w:name w:val="表格字体"/>
    <w:qFormat/>
    <w:uiPriority w:val="0"/>
    <w:pPr>
      <w:keepNext/>
      <w:keepLines/>
      <w:jc w:val="center"/>
    </w:pPr>
    <w:rPr>
      <w:rFonts w:ascii="Times New Roman" w:hAnsi="Times New Roman" w:eastAsia="宋体" w:cs="Times New Roman"/>
      <w:kern w:val="2"/>
      <w:sz w:val="21"/>
      <w:szCs w:val="24"/>
      <w:lang w:val="en-US" w:eastAsia="zh-CN" w:bidi="ar-SA"/>
    </w:rPr>
  </w:style>
  <w:style w:type="paragraph" w:customStyle="1" w:styleId="131">
    <w:name w:val="4"/>
    <w:basedOn w:val="1"/>
    <w:next w:val="14"/>
    <w:qFormat/>
    <w:uiPriority w:val="0"/>
    <w:pPr>
      <w:ind w:firstLine="540"/>
    </w:pPr>
    <w:rPr>
      <w:rFonts w:ascii="宋体"/>
      <w:sz w:val="28"/>
      <w:szCs w:val="20"/>
    </w:rPr>
  </w:style>
  <w:style w:type="paragraph" w:customStyle="1" w:styleId="132">
    <w:name w:val="CM3"/>
    <w:qFormat/>
    <w:uiPriority w:val="0"/>
    <w:pPr>
      <w:widowControl w:val="0"/>
      <w:autoSpaceDE w:val="0"/>
      <w:autoSpaceDN w:val="0"/>
      <w:adjustRightInd w:val="0"/>
      <w:spacing w:line="500" w:lineRule="atLeast"/>
    </w:pPr>
    <w:rPr>
      <w:rFonts w:hint="eastAsia" w:ascii="宋体" w:hAnsi="Calibri" w:eastAsia="宋体" w:cs="Times New Roman"/>
      <w:sz w:val="24"/>
      <w:szCs w:val="24"/>
      <w:lang w:val="en-US" w:eastAsia="zh-CN" w:bidi="ar-SA"/>
    </w:rPr>
  </w:style>
  <w:style w:type="character" w:customStyle="1" w:styleId="133">
    <w:name w:val="报告正文 Char"/>
    <w:link w:val="118"/>
    <w:qFormat/>
    <w:uiPriority w:val="0"/>
    <w:rPr>
      <w:sz w:val="28"/>
    </w:rPr>
  </w:style>
  <w:style w:type="paragraph" w:customStyle="1" w:styleId="134">
    <w:name w:val="正文文本报告（报告）"/>
    <w:basedOn w:val="1"/>
    <w:qFormat/>
    <w:uiPriority w:val="0"/>
    <w:pPr>
      <w:spacing w:line="440" w:lineRule="exact"/>
      <w:ind w:firstLine="200" w:firstLineChars="200"/>
    </w:pPr>
    <w:rPr>
      <w:sz w:val="24"/>
    </w:rPr>
  </w:style>
  <w:style w:type="character" w:customStyle="1" w:styleId="135">
    <w:name w:val="font21"/>
    <w:basedOn w:val="41"/>
    <w:qFormat/>
    <w:uiPriority w:val="0"/>
    <w:rPr>
      <w:rFonts w:hint="eastAsia" w:ascii="宋体" w:hAnsi="宋体" w:eastAsia="宋体" w:cs="宋体"/>
      <w:color w:val="000000"/>
      <w:sz w:val="22"/>
      <w:szCs w:val="22"/>
      <w:u w:val="none"/>
    </w:rPr>
  </w:style>
  <w:style w:type="paragraph" w:customStyle="1" w:styleId="136">
    <w:name w:val="章节目录"/>
    <w:basedOn w:val="1"/>
    <w:qFormat/>
    <w:uiPriority w:val="0"/>
    <w:pPr>
      <w:spacing w:line="360" w:lineRule="auto"/>
      <w:outlineLvl w:val="0"/>
    </w:pPr>
    <w:rPr>
      <w:b/>
      <w:sz w:val="28"/>
      <w:szCs w:val="28"/>
    </w:rPr>
  </w:style>
  <w:style w:type="paragraph" w:customStyle="1" w:styleId="137">
    <w:name w:val="报告表"/>
    <w:basedOn w:val="1"/>
    <w:qFormat/>
    <w:uiPriority w:val="0"/>
    <w:pPr>
      <w:autoSpaceDE w:val="0"/>
      <w:autoSpaceDN w:val="0"/>
      <w:spacing w:line="360" w:lineRule="auto"/>
      <w:ind w:firstLine="480" w:firstLineChars="200"/>
    </w:pPr>
    <w:rPr>
      <w:kern w:val="0"/>
      <w:sz w:val="24"/>
      <w:lang w:bidi="zh-CN"/>
    </w:rPr>
  </w:style>
  <w:style w:type="paragraph" w:customStyle="1" w:styleId="138">
    <w:name w:val="Default1"/>
    <w:qFormat/>
    <w:uiPriority w:val="0"/>
    <w:pPr>
      <w:widowControl w:val="0"/>
      <w:autoSpaceDE w:val="0"/>
      <w:autoSpaceDN w:val="0"/>
      <w:adjustRightInd w:val="0"/>
      <w:jc w:val="center"/>
    </w:pPr>
    <w:rPr>
      <w:rFonts w:ascii="Times New Roman" w:hAnsi="Times New Roman" w:eastAsia="宋体" w:cs="宋体"/>
      <w:b/>
      <w:color w:val="000000"/>
      <w:sz w:val="21"/>
      <w:szCs w:val="24"/>
      <w:lang w:val="en-US" w:eastAsia="zh-CN" w:bidi="ar-SA"/>
    </w:rPr>
  </w:style>
  <w:style w:type="paragraph" w:customStyle="1" w:styleId="139">
    <w:name w:val="01表格"/>
    <w:basedOn w:val="1"/>
    <w:next w:val="1"/>
    <w:qFormat/>
    <w:uiPriority w:val="0"/>
    <w:pPr>
      <w:overflowPunct w:val="0"/>
      <w:topLinePunct/>
      <w:adjustRightInd w:val="0"/>
      <w:snapToGrid w:val="0"/>
      <w:spacing w:line="240" w:lineRule="auto"/>
      <w:jc w:val="center"/>
    </w:pPr>
    <w:rPr>
      <w:snapToGrid w:val="0"/>
      <w:kern w:val="0"/>
      <w:sz w:val="21"/>
      <w:szCs w:val="21"/>
    </w:rPr>
  </w:style>
  <w:style w:type="paragraph" w:customStyle="1" w:styleId="140">
    <w:name w:val="表字"/>
    <w:basedOn w:val="1"/>
    <w:qFormat/>
    <w:uiPriority w:val="0"/>
    <w:pPr>
      <w:spacing w:line="240" w:lineRule="auto"/>
      <w:jc w:val="center"/>
    </w:pPr>
    <w:rPr>
      <w:sz w:val="21"/>
      <w:szCs w:val="20"/>
    </w:rPr>
  </w:style>
  <w:style w:type="paragraph" w:customStyle="1" w:styleId="141">
    <w:name w:val="正文格式"/>
    <w:next w:val="1"/>
    <w:qFormat/>
    <w:uiPriority w:val="0"/>
    <w:pPr>
      <w:spacing w:before="156" w:beforeLines="50" w:line="440" w:lineRule="exact"/>
      <w:ind w:firstLine="560" w:firstLineChars="200"/>
    </w:pPr>
    <w:rPr>
      <w:rFonts w:ascii="Times New Roman" w:hAnsi="Times New Roman" w:eastAsia="仿宋_GB2312" w:cs="Times New Roman"/>
      <w:kern w:val="2"/>
      <w:sz w:val="28"/>
      <w:szCs w:val="28"/>
      <w:lang w:val="en-US" w:eastAsia="zh-CN" w:bidi="ar-SA"/>
    </w:rPr>
  </w:style>
  <w:style w:type="paragraph" w:customStyle="1" w:styleId="142">
    <w:name w:val="样式 小四 首行缩进:  0.85 厘米 行距: 1.5 倍行距"/>
    <w:basedOn w:val="1"/>
    <w:qFormat/>
    <w:uiPriority w:val="0"/>
    <w:pPr>
      <w:adjustRightInd w:val="0"/>
      <w:spacing w:line="360" w:lineRule="auto"/>
      <w:ind w:firstLine="480"/>
      <w:textAlignment w:val="baseline"/>
    </w:pPr>
    <w:rPr>
      <w:sz w:val="24"/>
    </w:rPr>
  </w:style>
  <w:style w:type="paragraph" w:customStyle="1" w:styleId="143">
    <w:name w:val="3"/>
    <w:basedOn w:val="144"/>
    <w:qFormat/>
    <w:uiPriority w:val="0"/>
    <w:pPr>
      <w:keepNext w:val="0"/>
      <w:keepLines w:val="0"/>
      <w:widowControl w:val="0"/>
      <w:suppressLineNumbers w:val="0"/>
      <w:spacing w:before="0" w:beforeAutospacing="0" w:after="0" w:afterAutospacing="0" w:line="312" w:lineRule="auto"/>
      <w:ind w:left="0" w:right="0" w:firstLine="200" w:firstLineChars="200"/>
      <w:jc w:val="both"/>
    </w:pPr>
    <w:rPr>
      <w:rFonts w:hint="default" w:ascii="Times New Roman" w:hAnsi="Times New Roman" w:eastAsia="黑体" w:cs="Times New Roman"/>
      <w:kern w:val="2"/>
      <w:sz w:val="24"/>
      <w:szCs w:val="24"/>
      <w:lang w:val="en-US" w:eastAsia="zh-CN" w:bidi="ar"/>
    </w:rPr>
  </w:style>
  <w:style w:type="paragraph" w:customStyle="1" w:styleId="144">
    <w:name w:val="正正"/>
    <w:basedOn w:val="1"/>
    <w:qFormat/>
    <w:uiPriority w:val="0"/>
    <w:pPr>
      <w:keepNext w:val="0"/>
      <w:keepLines w:val="0"/>
      <w:widowControl w:val="0"/>
      <w:suppressLineNumbers w:val="0"/>
      <w:spacing w:before="0" w:beforeAutospacing="0" w:after="0" w:afterAutospacing="0" w:line="312" w:lineRule="auto"/>
      <w:ind w:left="0" w:right="0" w:firstLine="200" w:firstLineChars="200"/>
      <w:jc w:val="both"/>
    </w:pPr>
    <w:rPr>
      <w:rFonts w:hint="default" w:ascii="Times New Roman" w:hAnsi="Times New Roman" w:eastAsia="宋体" w:cs="Times New Roman"/>
      <w:kern w:val="2"/>
      <w:sz w:val="24"/>
      <w:szCs w:val="24"/>
      <w:lang w:val="en-US" w:eastAsia="zh-CN" w:bidi="ar"/>
    </w:rPr>
  </w:style>
  <w:style w:type="paragraph" w:customStyle="1" w:styleId="145">
    <w:name w:val="样式 样式 样式 表头 + 段前: 0.5 行 段后: 0.5 行 + 段后: 0.5 行 + 段前: 0.5 行"/>
    <w:basedOn w:val="1"/>
    <w:qFormat/>
    <w:uiPriority w:val="0"/>
    <w:pPr>
      <w:keepNext w:val="0"/>
      <w:keepLines w:val="0"/>
      <w:widowControl w:val="0"/>
      <w:suppressLineNumbers w:val="0"/>
      <w:adjustRightInd w:val="0"/>
      <w:snapToGrid w:val="0"/>
      <w:spacing w:before="120" w:beforeAutospacing="0" w:after="0" w:afterAutospacing="0" w:line="312" w:lineRule="auto"/>
      <w:ind w:left="0" w:right="0" w:firstLine="200" w:firstLineChars="200"/>
      <w:jc w:val="center"/>
    </w:pPr>
    <w:rPr>
      <w:rFonts w:hint="default" w:ascii="Times New Roman" w:hAnsi="Times New Roman" w:eastAsia="宋体" w:cs="宋体"/>
      <w:b/>
      <w:kern w:val="2"/>
      <w:sz w:val="24"/>
      <w:szCs w:val="20"/>
      <w:lang w:val="en-US" w:eastAsia="zh-CN" w:bidi="ar"/>
    </w:rPr>
  </w:style>
  <w:style w:type="paragraph" w:customStyle="1" w:styleId="146">
    <w:name w:val="单晶硅项目正文"/>
    <w:basedOn w:val="1"/>
    <w:qFormat/>
    <w:uiPriority w:val="0"/>
    <w:pPr>
      <w:keepNext w:val="0"/>
      <w:keepLines w:val="0"/>
      <w:widowControl w:val="0"/>
      <w:suppressLineNumbers w:val="0"/>
      <w:spacing w:before="0" w:beforeAutospacing="0" w:after="0" w:afterAutospacing="0" w:line="560" w:lineRule="exact"/>
      <w:ind w:left="0" w:right="0" w:firstLine="480" w:firstLineChars="200"/>
      <w:jc w:val="both"/>
    </w:pPr>
    <w:rPr>
      <w:rFonts w:hint="eastAsia" w:ascii="宋体" w:hAnsi="宋体" w:eastAsia="宋体" w:cs="Times New Roman"/>
      <w:color w:val="000000"/>
      <w:kern w:val="0"/>
      <w:sz w:val="24"/>
      <w:szCs w:val="24"/>
      <w:lang w:val="en-US" w:eastAsia="zh-CN" w:bidi="ar"/>
    </w:rPr>
  </w:style>
  <w:style w:type="paragraph" w:customStyle="1" w:styleId="147">
    <w:name w:val="p"/>
    <w:basedOn w:val="148"/>
    <w:link w:val="223"/>
    <w:qFormat/>
    <w:uiPriority w:val="0"/>
    <w:pPr>
      <w:adjustRightInd w:val="0"/>
      <w:snapToGrid w:val="0"/>
      <w:spacing w:line="360" w:lineRule="auto"/>
      <w:ind w:firstLine="1446" w:firstLineChars="200"/>
      <w:jc w:val="left"/>
    </w:pPr>
    <w:rPr>
      <w:kern w:val="0"/>
      <w:sz w:val="20"/>
      <w:szCs w:val="20"/>
    </w:rPr>
  </w:style>
  <w:style w:type="paragraph" w:customStyle="1" w:styleId="148">
    <w:name w:val="样式1"/>
    <w:basedOn w:val="1"/>
    <w:next w:val="15"/>
    <w:qFormat/>
    <w:uiPriority w:val="0"/>
    <w:pPr>
      <w:ind w:left="90" w:leftChars="32"/>
    </w:pPr>
    <w:rPr>
      <w:rFonts w:ascii="宋体" w:hAnsi="宋体"/>
      <w:sz w:val="23"/>
      <w:szCs w:val="20"/>
    </w:rPr>
  </w:style>
  <w:style w:type="paragraph" w:customStyle="1" w:styleId="149">
    <w:name w:val="样式 行距: 固定值 24 磅 首行缩进:  2 字符"/>
    <w:basedOn w:val="1"/>
    <w:qFormat/>
    <w:uiPriority w:val="0"/>
    <w:pPr>
      <w:spacing w:line="480" w:lineRule="exact"/>
      <w:ind w:firstLine="480" w:firstLineChars="200"/>
    </w:pPr>
    <w:rPr>
      <w:sz w:val="24"/>
      <w:szCs w:val="20"/>
    </w:rPr>
  </w:style>
  <w:style w:type="paragraph" w:customStyle="1" w:styleId="150">
    <w:name w:val="正文样式"/>
    <w:basedOn w:val="1"/>
    <w:qFormat/>
    <w:uiPriority w:val="0"/>
    <w:pPr>
      <w:adjustRightInd w:val="0"/>
      <w:snapToGrid w:val="0"/>
      <w:spacing w:line="360" w:lineRule="auto"/>
      <w:ind w:firstLine="200" w:firstLineChars="200"/>
      <w:jc w:val="left"/>
    </w:pPr>
    <w:rPr>
      <w:rFonts w:cs="宋体"/>
      <w:sz w:val="24"/>
    </w:rPr>
  </w:style>
  <w:style w:type="table" w:customStyle="1" w:styleId="151">
    <w:name w:val="网格型1"/>
    <w:basedOn w:val="39"/>
    <w:unhideWhenUsed/>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52">
    <w:name w:val="p17"/>
    <w:basedOn w:val="1"/>
    <w:qFormat/>
    <w:uiPriority w:val="0"/>
    <w:pPr>
      <w:widowControl/>
      <w:spacing w:line="360" w:lineRule="auto"/>
      <w:ind w:firstLine="420"/>
    </w:pPr>
    <w:rPr>
      <w:rFonts w:ascii="宋体" w:hAnsi="宋体" w:cs="宋体"/>
      <w:color w:val="FF0000"/>
      <w:kern w:val="0"/>
      <w:sz w:val="24"/>
    </w:rPr>
  </w:style>
  <w:style w:type="paragraph" w:customStyle="1" w:styleId="153">
    <w:name w:val="p16"/>
    <w:basedOn w:val="1"/>
    <w:qFormat/>
    <w:uiPriority w:val="0"/>
    <w:pPr>
      <w:widowControl/>
      <w:snapToGrid w:val="0"/>
      <w:spacing w:line="360" w:lineRule="auto"/>
      <w:ind w:firstLine="420"/>
    </w:pPr>
    <w:rPr>
      <w:kern w:val="0"/>
      <w:sz w:val="24"/>
    </w:rPr>
  </w:style>
  <w:style w:type="paragraph" w:customStyle="1" w:styleId="154">
    <w:name w:val="正本文字"/>
    <w:basedOn w:val="1"/>
    <w:qFormat/>
    <w:uiPriority w:val="0"/>
    <w:pPr>
      <w:widowControl/>
      <w:adjustRightInd w:val="0"/>
      <w:snapToGrid w:val="0"/>
      <w:spacing w:line="360" w:lineRule="auto"/>
      <w:ind w:firstLine="480" w:firstLineChars="200"/>
      <w:jc w:val="left"/>
    </w:pPr>
    <w:rPr>
      <w:rFonts w:ascii="Calibri" w:hAnsi="Courier" w:eastAsia="PMingLiU" w:cs="宋体"/>
      <w:kern w:val="18"/>
      <w:sz w:val="24"/>
      <w:szCs w:val="20"/>
      <w:lang w:eastAsia="zh-TW"/>
    </w:rPr>
  </w:style>
  <w:style w:type="paragraph" w:customStyle="1" w:styleId="155">
    <w:name w:val="Table Paragraph"/>
    <w:basedOn w:val="1"/>
    <w:qFormat/>
    <w:uiPriority w:val="1"/>
    <w:pPr>
      <w:widowControl/>
      <w:jc w:val="left"/>
    </w:pPr>
    <w:rPr>
      <w:rFonts w:ascii="Calibri" w:hAnsi="Calibri" w:cs="宋体"/>
      <w:kern w:val="0"/>
      <w:sz w:val="22"/>
      <w:szCs w:val="22"/>
    </w:rPr>
  </w:style>
  <w:style w:type="paragraph" w:customStyle="1" w:styleId="156">
    <w:name w:val="1表格"/>
    <w:basedOn w:val="1"/>
    <w:qFormat/>
    <w:uiPriority w:val="0"/>
    <w:pPr>
      <w:snapToGrid w:val="0"/>
      <w:spacing w:line="160" w:lineRule="atLeast"/>
      <w:jc w:val="center"/>
    </w:pPr>
    <w:rPr>
      <w:rFonts w:eastAsia="仿宋_GB2312"/>
      <w:szCs w:val="20"/>
    </w:rPr>
  </w:style>
  <w:style w:type="paragraph" w:customStyle="1" w:styleId="157">
    <w:name w:val="标题 41"/>
    <w:basedOn w:val="1"/>
    <w:qFormat/>
    <w:uiPriority w:val="99"/>
    <w:pPr>
      <w:autoSpaceDE w:val="0"/>
      <w:autoSpaceDN w:val="0"/>
      <w:spacing w:before="2"/>
      <w:ind w:left="920"/>
      <w:jc w:val="left"/>
      <w:outlineLvl w:val="4"/>
    </w:pPr>
    <w:rPr>
      <w:rFonts w:ascii="宋体" w:hAnsi="宋体" w:cs="宋体"/>
      <w:b/>
      <w:bCs/>
      <w:kern w:val="0"/>
      <w:sz w:val="24"/>
      <w:lang w:val="zh-CN"/>
    </w:rPr>
  </w:style>
  <w:style w:type="paragraph" w:customStyle="1" w:styleId="158">
    <w:name w:val="标题 11"/>
    <w:basedOn w:val="1"/>
    <w:qFormat/>
    <w:uiPriority w:val="99"/>
    <w:pPr>
      <w:autoSpaceDE w:val="0"/>
      <w:autoSpaceDN w:val="0"/>
      <w:spacing w:before="49"/>
      <w:ind w:left="455"/>
      <w:jc w:val="center"/>
      <w:outlineLvl w:val="1"/>
    </w:pPr>
    <w:rPr>
      <w:rFonts w:ascii="宋体" w:hAnsi="宋体" w:cs="宋体"/>
      <w:b/>
      <w:bCs/>
      <w:kern w:val="0"/>
      <w:sz w:val="36"/>
      <w:szCs w:val="36"/>
      <w:lang w:val="zh-CN"/>
    </w:rPr>
  </w:style>
  <w:style w:type="paragraph" w:customStyle="1" w:styleId="159">
    <w:name w:val="正文粗"/>
    <w:basedOn w:val="1"/>
    <w:next w:val="87"/>
    <w:qFormat/>
    <w:uiPriority w:val="0"/>
    <w:pPr>
      <w:ind w:firstLine="482"/>
      <w:jc w:val="both"/>
    </w:pPr>
    <w:rPr>
      <w:rFonts w:ascii="Times New Roman" w:hAnsi="Times New Roman" w:eastAsia="宋体"/>
      <w:b/>
      <w:color w:val="000000"/>
      <w:sz w:val="24"/>
      <w:szCs w:val="20"/>
    </w:rPr>
  </w:style>
  <w:style w:type="paragraph" w:customStyle="1" w:styleId="160">
    <w:name w:val="表格粗"/>
    <w:basedOn w:val="87"/>
    <w:qFormat/>
    <w:uiPriority w:val="0"/>
    <w:pPr>
      <w:adjustRightInd w:val="0"/>
      <w:snapToGrid w:val="0"/>
      <w:spacing w:line="240" w:lineRule="auto"/>
      <w:ind w:firstLine="0" w:firstLineChars="0"/>
      <w:jc w:val="center"/>
    </w:pPr>
    <w:rPr>
      <w:b/>
      <w:sz w:val="21"/>
      <w:shd w:val="clear" w:color="auto" w:fill="auto"/>
    </w:rPr>
  </w:style>
  <w:style w:type="paragraph" w:customStyle="1" w:styleId="161">
    <w:name w:val="_Style 10"/>
    <w:basedOn w:val="1"/>
    <w:qFormat/>
    <w:uiPriority w:val="0"/>
    <w:rPr>
      <w:szCs w:val="20"/>
    </w:rPr>
  </w:style>
  <w:style w:type="paragraph" w:customStyle="1" w:styleId="162">
    <w:name w:val="表格1"/>
    <w:basedOn w:val="1"/>
    <w:qFormat/>
    <w:uiPriority w:val="99"/>
    <w:pPr>
      <w:spacing w:line="360" w:lineRule="exact"/>
    </w:pPr>
    <w:rPr>
      <w:rFonts w:hAnsi="宋?"/>
    </w:rPr>
  </w:style>
  <w:style w:type="paragraph" w:customStyle="1" w:styleId="163">
    <w:name w:val="zly-图表"/>
    <w:basedOn w:val="8"/>
    <w:qFormat/>
    <w:uiPriority w:val="0"/>
    <w:pPr>
      <w:jc w:val="center"/>
    </w:pPr>
    <w:rPr>
      <w:rFonts w:ascii="Calibri" w:hAnsi="Calibri"/>
    </w:rPr>
  </w:style>
  <w:style w:type="paragraph" w:customStyle="1" w:styleId="164">
    <w:name w:val="zly-正文"/>
    <w:basedOn w:val="1"/>
    <w:qFormat/>
    <w:uiPriority w:val="99"/>
    <w:pPr>
      <w:spacing w:line="360" w:lineRule="auto"/>
      <w:ind w:firstLine="200" w:firstLineChars="200"/>
    </w:pPr>
    <w:rPr>
      <w:rFonts w:ascii="Calibri" w:hAnsi="Calibri"/>
      <w:kern w:val="0"/>
      <w:sz w:val="24"/>
    </w:rPr>
  </w:style>
  <w:style w:type="paragraph" w:customStyle="1" w:styleId="165">
    <w:name w:val="正文文本 (2)"/>
    <w:basedOn w:val="1"/>
    <w:qFormat/>
    <w:uiPriority w:val="0"/>
    <w:pPr>
      <w:shd w:val="clear" w:color="auto" w:fill="FFFFFF"/>
      <w:spacing w:line="466" w:lineRule="exact"/>
      <w:ind w:hanging="520"/>
      <w:jc w:val="distribute"/>
    </w:pPr>
    <w:rPr>
      <w:rFonts w:ascii="MingLiU" w:hAnsi="MingLiU" w:eastAsia="MingLiU"/>
      <w:kern w:val="0"/>
      <w:sz w:val="22"/>
      <w:szCs w:val="22"/>
    </w:rPr>
  </w:style>
  <w:style w:type="paragraph" w:customStyle="1" w:styleId="166">
    <w:name w:val="妇幼正文"/>
    <w:basedOn w:val="1"/>
    <w:qFormat/>
    <w:uiPriority w:val="0"/>
    <w:pPr>
      <w:adjustRightInd w:val="0"/>
      <w:spacing w:line="360" w:lineRule="auto"/>
      <w:ind w:firstLine="480" w:firstLineChars="200"/>
    </w:pPr>
    <w:rPr>
      <w:color w:val="000000"/>
      <w:sz w:val="24"/>
    </w:rPr>
  </w:style>
  <w:style w:type="paragraph" w:customStyle="1" w:styleId="167">
    <w:name w:val="样式 小四 首行缩进:  0.95 厘米 行距: 多倍行距 1.25 字行"/>
    <w:basedOn w:val="1"/>
    <w:qFormat/>
    <w:uiPriority w:val="0"/>
    <w:pPr>
      <w:spacing w:line="360" w:lineRule="auto"/>
      <w:ind w:firstLine="539"/>
    </w:pPr>
    <w:rPr>
      <w:rFonts w:ascii="Times New Roman" w:hAnsi="Times New Roman" w:cs="宋体"/>
      <w:sz w:val="24"/>
      <w:szCs w:val="20"/>
      <w:lang w:bidi="ar-SA"/>
    </w:rPr>
  </w:style>
  <w:style w:type="paragraph" w:customStyle="1" w:styleId="168">
    <w:name w:val="文本正文3"/>
    <w:qFormat/>
    <w:uiPriority w:val="0"/>
    <w:pPr>
      <w:spacing w:line="360" w:lineRule="auto"/>
      <w:ind w:firstLine="177" w:firstLineChars="177"/>
    </w:pPr>
    <w:rPr>
      <w:rFonts w:ascii="Calibri" w:hAnsi="Calibri" w:eastAsia="宋体" w:cs="Times New Roman"/>
      <w:kern w:val="2"/>
      <w:sz w:val="24"/>
      <w:szCs w:val="21"/>
      <w:lang w:val="en-US" w:eastAsia="zh-CN" w:bidi="ar-SA"/>
    </w:rPr>
  </w:style>
  <w:style w:type="paragraph" w:customStyle="1" w:styleId="169">
    <w:name w:val="样式7"/>
    <w:basedOn w:val="120"/>
    <w:qFormat/>
    <w:uiPriority w:val="0"/>
    <w:pPr>
      <w:spacing w:before="0" w:beforeLines="0" w:after="0" w:afterLines="0"/>
      <w:ind w:firstLine="420" w:firstLineChars="200"/>
    </w:pPr>
    <w:rPr>
      <w:rFonts w:ascii="Times New Roman" w:eastAsia="华文中宋"/>
      <w:sz w:val="21"/>
      <w:szCs w:val="21"/>
    </w:rPr>
  </w:style>
  <w:style w:type="character" w:customStyle="1" w:styleId="170">
    <w:name w:val="font31"/>
    <w:basedOn w:val="41"/>
    <w:qFormat/>
    <w:uiPriority w:val="0"/>
    <w:rPr>
      <w:rFonts w:hint="default" w:ascii="Times New Roman" w:hAnsi="Times New Roman" w:cs="Times New Roman"/>
      <w:color w:val="000000"/>
      <w:sz w:val="21"/>
      <w:szCs w:val="21"/>
      <w:u w:val="none"/>
    </w:rPr>
  </w:style>
  <w:style w:type="character" w:customStyle="1" w:styleId="171">
    <w:name w:val="font11"/>
    <w:basedOn w:val="41"/>
    <w:qFormat/>
    <w:uiPriority w:val="0"/>
    <w:rPr>
      <w:rFonts w:hint="default" w:ascii="Calibri" w:hAnsi="Calibri" w:cs="Calibri"/>
      <w:color w:val="000000"/>
      <w:sz w:val="21"/>
      <w:szCs w:val="21"/>
      <w:u w:val="none"/>
    </w:rPr>
  </w:style>
  <w:style w:type="paragraph" w:customStyle="1" w:styleId="172">
    <w:name w:val="正文文本1"/>
    <w:basedOn w:val="1"/>
    <w:qFormat/>
    <w:uiPriority w:val="0"/>
    <w:pPr>
      <w:spacing w:line="480" w:lineRule="exact"/>
      <w:ind w:firstLine="200" w:firstLineChars="200"/>
    </w:pPr>
    <w:rPr>
      <w:color w:val="000000"/>
      <w:sz w:val="24"/>
    </w:rPr>
  </w:style>
  <w:style w:type="paragraph" w:customStyle="1" w:styleId="173">
    <w:name w:val="Char4 Char Char Char"/>
    <w:basedOn w:val="1"/>
    <w:qFormat/>
    <w:uiPriority w:val="0"/>
    <w:pPr>
      <w:adjustRightInd w:val="0"/>
      <w:snapToGrid w:val="0"/>
      <w:spacing w:line="360" w:lineRule="auto"/>
      <w:ind w:firstLine="200" w:firstLineChars="200"/>
    </w:pPr>
    <w:rPr>
      <w:sz w:val="24"/>
      <w:szCs w:val="20"/>
    </w:rPr>
  </w:style>
  <w:style w:type="paragraph" w:customStyle="1" w:styleId="174">
    <w:name w:val="大标题"/>
    <w:basedOn w:val="1"/>
    <w:qFormat/>
    <w:uiPriority w:val="0"/>
    <w:pPr>
      <w:spacing w:line="360" w:lineRule="auto"/>
    </w:pPr>
    <w:rPr>
      <w:rFonts w:ascii="宋体" w:hAnsi="宋体"/>
      <w:b/>
      <w:sz w:val="30"/>
      <w:szCs w:val="24"/>
    </w:rPr>
  </w:style>
  <w:style w:type="paragraph" w:customStyle="1" w:styleId="175">
    <w:name w:val="表格01"/>
    <w:qFormat/>
    <w:uiPriority w:val="0"/>
    <w:pPr>
      <w:jc w:val="center"/>
    </w:pPr>
    <w:rPr>
      <w:rFonts w:ascii="Times New Roman" w:hAnsi="Times New Roman" w:eastAsia="宋体" w:cs="宋体"/>
      <w:kern w:val="2"/>
      <w:sz w:val="21"/>
      <w:szCs w:val="21"/>
      <w:lang w:val="en-US" w:eastAsia="zh-CN" w:bidi="ar-SA"/>
    </w:rPr>
  </w:style>
  <w:style w:type="character" w:customStyle="1" w:styleId="176">
    <w:name w:val="表题 Char"/>
    <w:link w:val="108"/>
    <w:qFormat/>
    <w:uiPriority w:val="0"/>
    <w:rPr>
      <w:rFonts w:ascii="Times New Roman" w:hAnsi="宋体" w:eastAsia="宋体" w:cs="Times New Roman"/>
      <w:b/>
      <w:kern w:val="2"/>
      <w:sz w:val="21"/>
      <w:szCs w:val="24"/>
      <w:lang w:val="en-US" w:eastAsia="zh-CN" w:bidi="ar-SA"/>
    </w:rPr>
  </w:style>
  <w:style w:type="character" w:customStyle="1" w:styleId="177">
    <w:name w:val="-正文 Char"/>
    <w:link w:val="109"/>
    <w:qFormat/>
    <w:uiPriority w:val="0"/>
    <w:rPr>
      <w:rFonts w:cs="宋体"/>
      <w:kern w:val="2"/>
      <w:sz w:val="24"/>
    </w:rPr>
  </w:style>
  <w:style w:type="paragraph" w:customStyle="1" w:styleId="178">
    <w:name w:val="标题-3"/>
    <w:basedOn w:val="1"/>
    <w:qFormat/>
    <w:uiPriority w:val="0"/>
    <w:pPr>
      <w:spacing w:line="480" w:lineRule="exact"/>
      <w:ind w:firstLine="482" w:firstLineChars="200"/>
    </w:pPr>
    <w:rPr>
      <w:rFonts w:cs="宋体"/>
      <w:b/>
      <w:bCs/>
      <w:sz w:val="24"/>
      <w:szCs w:val="20"/>
    </w:rPr>
  </w:style>
  <w:style w:type="character" w:customStyle="1" w:styleId="179">
    <w:name w:val="正文-1 Char"/>
    <w:link w:val="107"/>
    <w:qFormat/>
    <w:uiPriority w:val="0"/>
    <w:rPr>
      <w:rFonts w:ascii="Times New Roman" w:hAnsi="Times New Roman" w:eastAsia="宋体" w:cs="宋体"/>
      <w:kern w:val="2"/>
      <w:sz w:val="24"/>
      <w:lang w:val="en-US" w:eastAsia="zh-CN" w:bidi="ar-SA"/>
    </w:rPr>
  </w:style>
  <w:style w:type="character" w:customStyle="1" w:styleId="180">
    <w:name w:val="标题 2 Char"/>
    <w:link w:val="4"/>
    <w:qFormat/>
    <w:uiPriority w:val="0"/>
    <w:rPr>
      <w:rFonts w:ascii="黑体" w:hAnsi="宋体" w:eastAsia="Times New Roman"/>
      <w:b/>
      <w:bCs/>
      <w:snapToGrid w:val="0"/>
      <w:kern w:val="0"/>
      <w:szCs w:val="20"/>
    </w:rPr>
  </w:style>
  <w:style w:type="paragraph" w:customStyle="1" w:styleId="181">
    <w:name w:val="13"/>
    <w:basedOn w:val="1"/>
    <w:qFormat/>
    <w:uiPriority w:val="0"/>
    <w:pPr>
      <w:wordWrap w:val="0"/>
      <w:autoSpaceDE w:val="0"/>
      <w:autoSpaceDN w:val="0"/>
      <w:adjustRightInd w:val="0"/>
      <w:jc w:val="center"/>
    </w:pPr>
    <w:rPr>
      <w:rFonts w:ascii="Calibri" w:hAnsi="Calibri" w:eastAsia="宋体" w:cs="Times New Roman"/>
      <w:kern w:val="0"/>
      <w:szCs w:val="21"/>
    </w:rPr>
  </w:style>
  <w:style w:type="paragraph" w:customStyle="1" w:styleId="182">
    <w:name w:val="12"/>
    <w:basedOn w:val="1"/>
    <w:link w:val="185"/>
    <w:qFormat/>
    <w:uiPriority w:val="0"/>
    <w:pPr>
      <w:wordWrap w:val="0"/>
      <w:topLinePunct/>
      <w:adjustRightInd w:val="0"/>
      <w:snapToGrid w:val="0"/>
      <w:spacing w:line="360" w:lineRule="auto"/>
      <w:ind w:firstLine="200" w:firstLineChars="200"/>
      <w:jc w:val="left"/>
    </w:pPr>
    <w:rPr>
      <w:sz w:val="24"/>
    </w:rPr>
  </w:style>
  <w:style w:type="paragraph" w:customStyle="1" w:styleId="183">
    <w:name w:val="14"/>
    <w:basedOn w:val="1"/>
    <w:qFormat/>
    <w:uiPriority w:val="0"/>
    <w:pPr>
      <w:tabs>
        <w:tab w:val="right" w:pos="8306"/>
      </w:tabs>
      <w:spacing w:line="360" w:lineRule="auto"/>
      <w:jc w:val="center"/>
    </w:pPr>
    <w:rPr>
      <w:b/>
      <w:bCs/>
      <w:color w:val="000000"/>
      <w:szCs w:val="21"/>
    </w:rPr>
  </w:style>
  <w:style w:type="paragraph" w:customStyle="1" w:styleId="184">
    <w:name w:val="表格内容-龙池"/>
    <w:basedOn w:val="1"/>
    <w:qFormat/>
    <w:uiPriority w:val="0"/>
    <w:pPr>
      <w:autoSpaceDE w:val="0"/>
      <w:autoSpaceDN w:val="0"/>
      <w:adjustRightInd w:val="0"/>
      <w:contextualSpacing/>
      <w:jc w:val="center"/>
    </w:pPr>
    <w:rPr>
      <w:kern w:val="0"/>
      <w:szCs w:val="21"/>
    </w:rPr>
  </w:style>
  <w:style w:type="character" w:customStyle="1" w:styleId="185">
    <w:name w:val="12 Char"/>
    <w:basedOn w:val="41"/>
    <w:link w:val="182"/>
    <w:qFormat/>
    <w:uiPriority w:val="0"/>
    <w:rPr>
      <w:sz w:val="24"/>
    </w:rPr>
  </w:style>
  <w:style w:type="paragraph" w:customStyle="1" w:styleId="186">
    <w:name w:val="正文-龙池"/>
    <w:basedOn w:val="1"/>
    <w:qFormat/>
    <w:uiPriority w:val="0"/>
    <w:pPr>
      <w:autoSpaceDE w:val="0"/>
      <w:autoSpaceDN w:val="0"/>
      <w:adjustRightInd w:val="0"/>
      <w:spacing w:line="360" w:lineRule="auto"/>
      <w:ind w:firstLine="480" w:firstLineChars="200"/>
      <w:contextualSpacing/>
    </w:pPr>
    <w:rPr>
      <w:kern w:val="0"/>
      <w:sz w:val="24"/>
    </w:rPr>
  </w:style>
  <w:style w:type="paragraph" w:customStyle="1" w:styleId="187">
    <w:name w:val="标题-龙池"/>
    <w:basedOn w:val="1"/>
    <w:qFormat/>
    <w:uiPriority w:val="0"/>
    <w:pPr>
      <w:tabs>
        <w:tab w:val="left" w:pos="841"/>
      </w:tabs>
      <w:kinsoku w:val="0"/>
      <w:overflowPunct w:val="0"/>
      <w:autoSpaceDE w:val="0"/>
      <w:autoSpaceDN w:val="0"/>
      <w:adjustRightInd w:val="0"/>
      <w:spacing w:line="360" w:lineRule="auto"/>
      <w:contextualSpacing/>
      <w:jc w:val="center"/>
    </w:pPr>
    <w:rPr>
      <w:b/>
      <w:kern w:val="0"/>
      <w:szCs w:val="21"/>
    </w:rPr>
  </w:style>
  <w:style w:type="paragraph" w:customStyle="1" w:styleId="188">
    <w:name w:val="Body Text Indent"/>
    <w:basedOn w:val="1"/>
    <w:qFormat/>
    <w:uiPriority w:val="0"/>
    <w:pPr>
      <w:spacing w:line="360" w:lineRule="auto"/>
      <w:ind w:firstLine="480"/>
    </w:pPr>
    <w:rPr>
      <w:rFonts w:ascii="宋体"/>
      <w:sz w:val="24"/>
    </w:rPr>
  </w:style>
  <w:style w:type="paragraph" w:customStyle="1" w:styleId="189">
    <w:name w:val="Normal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character" w:customStyle="1" w:styleId="190">
    <w:name w:val="font01"/>
    <w:basedOn w:val="41"/>
    <w:qFormat/>
    <w:uiPriority w:val="0"/>
    <w:rPr>
      <w:rFonts w:hint="eastAsia" w:ascii="宋体" w:hAnsi="宋体" w:eastAsia="宋体" w:cs="宋体"/>
      <w:color w:val="000000"/>
      <w:sz w:val="24"/>
      <w:szCs w:val="24"/>
      <w:u w:val="none"/>
      <w:vertAlign w:val="superscript"/>
    </w:rPr>
  </w:style>
  <w:style w:type="paragraph" w:customStyle="1" w:styleId="191">
    <w:name w:val="表格题目"/>
    <w:basedOn w:val="9"/>
    <w:next w:val="192"/>
    <w:qFormat/>
    <w:uiPriority w:val="0"/>
    <w:pPr>
      <w:keepNext/>
    </w:pPr>
    <w:rPr>
      <w:rFonts w:ascii="黑体" w:hAnsi="黑体" w:eastAsia="黑体"/>
      <w:szCs w:val="24"/>
    </w:rPr>
  </w:style>
  <w:style w:type="paragraph" w:customStyle="1" w:styleId="192">
    <w:name w:val="表名、图名"/>
    <w:basedOn w:val="1"/>
    <w:next w:val="1"/>
    <w:qFormat/>
    <w:uiPriority w:val="0"/>
    <w:pPr>
      <w:ind w:firstLine="0" w:firstLineChars="0"/>
      <w:jc w:val="center"/>
    </w:pPr>
    <w:rPr>
      <w:rFonts w:eastAsia="黑体"/>
    </w:rPr>
  </w:style>
  <w:style w:type="character" w:customStyle="1" w:styleId="193">
    <w:name w:val="font51"/>
    <w:basedOn w:val="41"/>
    <w:qFormat/>
    <w:uiPriority w:val="0"/>
    <w:rPr>
      <w:rFonts w:hint="default" w:ascii="Times New Roman" w:hAnsi="Times New Roman" w:cs="Times New Roman"/>
      <w:color w:val="000000"/>
      <w:sz w:val="21"/>
      <w:szCs w:val="21"/>
      <w:u w:val="none"/>
      <w:vertAlign w:val="superscript"/>
    </w:rPr>
  </w:style>
  <w:style w:type="character" w:customStyle="1" w:styleId="194">
    <w:name w:val="font71"/>
    <w:qFormat/>
    <w:uiPriority w:val="0"/>
    <w:rPr>
      <w:rFonts w:hint="eastAsia" w:ascii="宋体" w:hAnsi="宋体" w:eastAsia="宋体" w:cs="宋体"/>
      <w:b/>
      <w:color w:val="000000"/>
      <w:sz w:val="21"/>
      <w:szCs w:val="21"/>
      <w:u w:val="none"/>
    </w:rPr>
  </w:style>
  <w:style w:type="character" w:customStyle="1" w:styleId="195">
    <w:name w:val="font41"/>
    <w:qFormat/>
    <w:uiPriority w:val="0"/>
    <w:rPr>
      <w:rFonts w:hint="eastAsia" w:ascii="宋体" w:hAnsi="宋体" w:eastAsia="宋体" w:cs="宋体"/>
      <w:color w:val="000000"/>
      <w:sz w:val="21"/>
      <w:szCs w:val="21"/>
      <w:u w:val="none"/>
    </w:rPr>
  </w:style>
  <w:style w:type="character" w:customStyle="1" w:styleId="196">
    <w:name w:val="font81"/>
    <w:basedOn w:val="41"/>
    <w:qFormat/>
    <w:uiPriority w:val="0"/>
    <w:rPr>
      <w:rFonts w:hint="eastAsia" w:ascii="宋体" w:hAnsi="宋体" w:eastAsia="宋体" w:cs="宋体"/>
      <w:color w:val="000000"/>
      <w:sz w:val="24"/>
      <w:szCs w:val="24"/>
      <w:u w:val="none"/>
    </w:rPr>
  </w:style>
  <w:style w:type="character" w:customStyle="1" w:styleId="197">
    <w:name w:val="font101"/>
    <w:basedOn w:val="41"/>
    <w:qFormat/>
    <w:uiPriority w:val="0"/>
    <w:rPr>
      <w:rFonts w:hint="default" w:ascii="Times New Roman" w:hAnsi="Times New Roman" w:cs="Times New Roman"/>
      <w:color w:val="000000"/>
      <w:sz w:val="21"/>
      <w:szCs w:val="21"/>
      <w:u w:val="none"/>
      <w:vertAlign w:val="superscript"/>
    </w:rPr>
  </w:style>
  <w:style w:type="paragraph" w:customStyle="1" w:styleId="198">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lang w:bidi="ar-SA"/>
    </w:rPr>
  </w:style>
  <w:style w:type="table" w:customStyle="1" w:styleId="199">
    <w:name w:val="Table Grid_0"/>
    <w:basedOn w:val="39"/>
    <w:qFormat/>
    <w:uiPriority w:val="0"/>
    <w:rPr>
      <w:rFonts w:ascii="Times New Roman" w:hAnsi="Times New Roman" w:eastAsia="仿宋"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00">
    <w:name w:val="正文(首行缩进)宋旭峰"/>
    <w:basedOn w:val="8"/>
    <w:qFormat/>
    <w:uiPriority w:val="0"/>
    <w:pPr>
      <w:spacing w:line="360" w:lineRule="auto"/>
      <w:ind w:firstLine="480" w:firstLineChars="200"/>
    </w:pPr>
    <w:rPr>
      <w:snapToGrid w:val="0"/>
      <w:color w:val="0000FF"/>
      <w:kern w:val="0"/>
      <w:sz w:val="24"/>
      <w:szCs w:val="24"/>
    </w:rPr>
  </w:style>
  <w:style w:type="paragraph" w:customStyle="1" w:styleId="201">
    <w:name w:val="content"/>
    <w:basedOn w:val="1"/>
    <w:qFormat/>
    <w:uiPriority w:val="0"/>
    <w:pPr>
      <w:widowControl/>
      <w:spacing w:before="100" w:beforeAutospacing="1" w:after="100" w:afterAutospacing="1" w:line="360" w:lineRule="auto"/>
    </w:pPr>
    <w:rPr>
      <w:rFonts w:ascii="宋体" w:hAnsi="宋体"/>
      <w:kern w:val="0"/>
      <w:sz w:val="18"/>
      <w:szCs w:val="18"/>
    </w:rPr>
  </w:style>
  <w:style w:type="paragraph" w:customStyle="1" w:styleId="202">
    <w:name w:val="a正文"/>
    <w:basedOn w:val="1"/>
    <w:qFormat/>
    <w:uiPriority w:val="0"/>
    <w:pPr>
      <w:spacing w:line="360" w:lineRule="auto"/>
      <w:ind w:firstLine="200" w:firstLineChars="200"/>
    </w:pPr>
    <w:rPr>
      <w:rFonts w:ascii="Times New Roman" w:hAnsi="Times New Roman"/>
      <w:sz w:val="24"/>
      <w:szCs w:val="28"/>
    </w:rPr>
  </w:style>
  <w:style w:type="character" w:customStyle="1" w:styleId="203">
    <w:name w:val="nr1"/>
    <w:qFormat/>
    <w:uiPriority w:val="0"/>
    <w:rPr>
      <w:rFonts w:hint="default" w:ascii="ˎ̥" w:hAnsi="ˎ̥"/>
      <w:color w:val="000000"/>
      <w:sz w:val="21"/>
      <w:szCs w:val="21"/>
      <w:u w:val="none"/>
    </w:rPr>
  </w:style>
  <w:style w:type="paragraph" w:customStyle="1" w:styleId="204">
    <w:name w:val="1表内字"/>
    <w:next w:val="1"/>
    <w:qFormat/>
    <w:uiPriority w:val="0"/>
    <w:pPr>
      <w:shd w:val="clear" w:color="auto" w:fill="FFFFFF"/>
      <w:jc w:val="center"/>
    </w:pPr>
    <w:rPr>
      <w:rFonts w:ascii="Times New Roman" w:hAnsi="Times New Roman" w:eastAsia="宋体" w:cs="Times New Roman"/>
      <w:bCs/>
      <w:color w:val="000000"/>
      <w:kern w:val="2"/>
      <w:sz w:val="21"/>
      <w:szCs w:val="21"/>
      <w:lang w:val="en-US" w:eastAsia="zh-CN" w:bidi="ar-SA"/>
    </w:rPr>
  </w:style>
  <w:style w:type="paragraph" w:customStyle="1" w:styleId="205">
    <w:name w:val="TOC Heading"/>
    <w:basedOn w:val="3"/>
    <w:next w:val="1"/>
    <w:semiHidden/>
    <w:unhideWhenUsed/>
    <w:qFormat/>
    <w:uiPriority w:val="39"/>
    <w:pPr>
      <w:keepLines/>
      <w:widowControl/>
      <w:overflowPunct/>
      <w:snapToGrid/>
      <w:spacing w:before="480" w:after="0" w:line="276" w:lineRule="auto"/>
      <w:ind w:left="0" w:firstLine="0"/>
      <w:jc w:val="left"/>
      <w:outlineLvl w:val="9"/>
    </w:pPr>
    <w:rPr>
      <w:rFonts w:ascii="Cambria" w:hAnsi="Cambria" w:eastAsia="宋体"/>
      <w:color w:val="365F91"/>
      <w:kern w:val="0"/>
      <w:sz w:val="28"/>
      <w:szCs w:val="28"/>
    </w:rPr>
  </w:style>
  <w:style w:type="paragraph" w:customStyle="1" w:styleId="206">
    <w:name w:val="真·正文"/>
    <w:basedOn w:val="1"/>
    <w:next w:val="1"/>
    <w:qFormat/>
    <w:uiPriority w:val="0"/>
    <w:pPr>
      <w:ind w:firstLine="200"/>
    </w:pPr>
    <w:rPr>
      <w:rFonts w:ascii="Calibri"/>
      <w:sz w:val="24"/>
    </w:rPr>
  </w:style>
  <w:style w:type="paragraph" w:customStyle="1" w:styleId="207">
    <w:name w:val="正文A"/>
    <w:basedOn w:val="1"/>
    <w:qFormat/>
    <w:uiPriority w:val="0"/>
    <w:pPr>
      <w:spacing w:line="500" w:lineRule="exact"/>
      <w:ind w:firstLine="480" w:firstLineChars="200"/>
    </w:pPr>
    <w:rPr>
      <w:rFonts w:eastAsia="华文仿宋" w:cs="华文仿宋"/>
      <w:kern w:val="0"/>
      <w:sz w:val="24"/>
    </w:rPr>
  </w:style>
  <w:style w:type="paragraph" w:customStyle="1" w:styleId="208">
    <w:name w:val="表格正文(康健城)"/>
    <w:basedOn w:val="1"/>
    <w:qFormat/>
    <w:uiPriority w:val="0"/>
    <w:pPr>
      <w:adjustRightInd w:val="0"/>
      <w:snapToGrid w:val="0"/>
      <w:jc w:val="center"/>
    </w:pPr>
    <w:rPr>
      <w:szCs w:val="21"/>
    </w:rPr>
  </w:style>
  <w:style w:type="paragraph" w:customStyle="1" w:styleId="209">
    <w:name w:val="图件标题"/>
    <w:basedOn w:val="1"/>
    <w:qFormat/>
    <w:uiPriority w:val="0"/>
    <w:pPr>
      <w:ind w:firstLine="0" w:firstLineChars="0"/>
      <w:jc w:val="center"/>
    </w:pPr>
    <w:rPr>
      <w:rFonts w:ascii="Times New Roman" w:hAnsi="Times New Roman" w:eastAsia="宋体"/>
      <w:b/>
    </w:rPr>
  </w:style>
  <w:style w:type="character" w:customStyle="1" w:styleId="210">
    <w:name w:val="Default 字符"/>
    <w:link w:val="50"/>
    <w:qFormat/>
    <w:uiPriority w:val="0"/>
    <w:rPr>
      <w:rFonts w:ascii="宋体" w:hAnsi="Times New Roman" w:eastAsia="宋体" w:cs="宋体"/>
      <w:color w:val="000000"/>
      <w:sz w:val="24"/>
      <w:szCs w:val="24"/>
      <w:lang w:val="en-US" w:eastAsia="zh-CN" w:bidi="ar-SA"/>
    </w:rPr>
  </w:style>
  <w:style w:type="paragraph" w:customStyle="1" w:styleId="211">
    <w:name w:val="图表标题"/>
    <w:basedOn w:val="1"/>
    <w:qFormat/>
    <w:uiPriority w:val="0"/>
    <w:pPr>
      <w:jc w:val="center"/>
    </w:pPr>
    <w:rPr>
      <w:b/>
      <w:color w:val="000000"/>
      <w:szCs w:val="21"/>
    </w:rPr>
  </w:style>
  <w:style w:type="paragraph" w:customStyle="1" w:styleId="212">
    <w:name w:val="W正文"/>
    <w:basedOn w:val="1"/>
    <w:qFormat/>
    <w:uiPriority w:val="0"/>
    <w:pPr>
      <w:adjustRightInd w:val="0"/>
      <w:snapToGrid w:val="0"/>
      <w:spacing w:line="360" w:lineRule="auto"/>
      <w:ind w:firstLine="200" w:firstLineChars="200"/>
    </w:pPr>
    <w:rPr>
      <w:kern w:val="0"/>
      <w:sz w:val="24"/>
      <w:szCs w:val="20"/>
    </w:rPr>
  </w:style>
  <w:style w:type="paragraph" w:customStyle="1" w:styleId="213">
    <w:name w:val="标题3"/>
    <w:basedOn w:val="5"/>
    <w:qFormat/>
    <w:uiPriority w:val="0"/>
    <w:pPr>
      <w:keepLines w:val="0"/>
      <w:widowControl/>
      <w:ind w:firstLine="200" w:firstLineChars="200"/>
      <w:jc w:val="center"/>
    </w:pPr>
    <w:rPr>
      <w:bCs w:val="0"/>
      <w:color w:val="000000"/>
      <w:szCs w:val="28"/>
    </w:rPr>
  </w:style>
  <w:style w:type="paragraph" w:customStyle="1" w:styleId="214">
    <w:name w:val="！表格中"/>
    <w:basedOn w:val="1"/>
    <w:next w:val="1"/>
    <w:qFormat/>
    <w:uiPriority w:val="0"/>
    <w:pPr>
      <w:spacing w:line="240" w:lineRule="auto"/>
      <w:ind w:firstLine="0" w:firstLineChars="0"/>
      <w:jc w:val="center"/>
    </w:pPr>
    <w:rPr>
      <w:sz w:val="18"/>
    </w:rPr>
  </w:style>
  <w:style w:type="character" w:customStyle="1" w:styleId="215">
    <w:name w:val="font91"/>
    <w:qFormat/>
    <w:uiPriority w:val="0"/>
    <w:rPr>
      <w:rFonts w:hint="eastAsia" w:ascii="宋体" w:hAnsi="宋体" w:eastAsia="宋体" w:cs="宋体"/>
      <w:b/>
      <w:color w:val="000000"/>
      <w:sz w:val="21"/>
      <w:szCs w:val="21"/>
      <w:u w:val="none"/>
    </w:rPr>
  </w:style>
  <w:style w:type="character" w:customStyle="1" w:styleId="216">
    <w:name w:val="font12"/>
    <w:qFormat/>
    <w:uiPriority w:val="0"/>
    <w:rPr>
      <w:rFonts w:hint="default" w:ascii="Times New Roman" w:hAnsi="Times New Roman" w:cs="Times New Roman"/>
      <w:b/>
      <w:color w:val="000000"/>
      <w:sz w:val="21"/>
      <w:szCs w:val="21"/>
      <w:u w:val="none"/>
    </w:rPr>
  </w:style>
  <w:style w:type="character" w:customStyle="1" w:styleId="217">
    <w:name w:val="font111"/>
    <w:qFormat/>
    <w:uiPriority w:val="0"/>
    <w:rPr>
      <w:rFonts w:hint="default" w:ascii="Times New Roman" w:hAnsi="Times New Roman" w:cs="Times New Roman"/>
      <w:color w:val="000000"/>
      <w:sz w:val="21"/>
      <w:szCs w:val="21"/>
      <w:u w:val="none"/>
    </w:rPr>
  </w:style>
  <w:style w:type="paragraph" w:customStyle="1" w:styleId="218">
    <w:name w:val="样式 正文"/>
    <w:basedOn w:val="1"/>
    <w:next w:val="1"/>
    <w:qFormat/>
    <w:uiPriority w:val="0"/>
    <w:pPr>
      <w:spacing w:line="360" w:lineRule="auto"/>
      <w:ind w:firstLine="200" w:firstLineChars="200"/>
    </w:pPr>
    <w:rPr>
      <w:rFonts w:eastAsia="宋体"/>
      <w:kern w:val="2"/>
      <w:sz w:val="24"/>
      <w:szCs w:val="32"/>
      <w:lang w:val="en-US" w:eastAsia="zh-CN" w:bidi="ar-SA"/>
    </w:rPr>
  </w:style>
  <w:style w:type="paragraph" w:customStyle="1" w:styleId="219">
    <w:name w:val="正文样式-yu"/>
    <w:basedOn w:val="1"/>
    <w:qFormat/>
    <w:uiPriority w:val="0"/>
    <w:pPr>
      <w:spacing w:line="360" w:lineRule="auto"/>
    </w:pPr>
    <w:rPr>
      <w:rFonts w:ascii="宋体" w:hAnsi="宋体"/>
      <w:kern w:val="0"/>
      <w:sz w:val="28"/>
      <w:szCs w:val="20"/>
      <w:lang w:val="zh-CN"/>
    </w:rPr>
  </w:style>
  <w:style w:type="paragraph" w:customStyle="1" w:styleId="220">
    <w:name w:val="缩进"/>
    <w:basedOn w:val="1"/>
    <w:qFormat/>
    <w:uiPriority w:val="99"/>
    <w:pPr>
      <w:widowControl/>
      <w:autoSpaceDE w:val="0"/>
      <w:autoSpaceDN w:val="0"/>
      <w:adjustRightInd w:val="0"/>
      <w:spacing w:line="400" w:lineRule="atLeast"/>
      <w:ind w:firstLine="425"/>
      <w:jc w:val="left"/>
    </w:pPr>
    <w:rPr>
      <w:kern w:val="0"/>
      <w:sz w:val="24"/>
      <w:szCs w:val="20"/>
    </w:rPr>
  </w:style>
  <w:style w:type="paragraph" w:customStyle="1" w:styleId="221">
    <w:name w:val="xz标题4"/>
    <w:basedOn w:val="6"/>
    <w:qFormat/>
    <w:uiPriority w:val="0"/>
    <w:pPr>
      <w:numPr>
        <w:ilvl w:val="0"/>
        <w:numId w:val="0"/>
      </w:numPr>
      <w:tabs>
        <w:tab w:val="left" w:pos="360"/>
      </w:tabs>
      <w:adjustRightInd/>
      <w:spacing w:before="0" w:after="0" w:line="360" w:lineRule="auto"/>
      <w:textAlignment w:val="auto"/>
    </w:pPr>
    <w:rPr>
      <w:rFonts w:eastAsia="宋体"/>
      <w:bCs/>
      <w:kern w:val="2"/>
      <w:sz w:val="28"/>
      <w:szCs w:val="28"/>
    </w:rPr>
  </w:style>
  <w:style w:type="paragraph" w:customStyle="1" w:styleId="222">
    <w:name w:val="样式5"/>
    <w:basedOn w:val="1"/>
    <w:qFormat/>
    <w:uiPriority w:val="0"/>
    <w:pPr>
      <w:spacing w:line="360" w:lineRule="auto"/>
      <w:ind w:firstLine="1446" w:firstLineChars="200"/>
      <w:jc w:val="both"/>
    </w:pPr>
    <w:rPr>
      <w:sz w:val="24"/>
    </w:rPr>
  </w:style>
  <w:style w:type="character" w:customStyle="1" w:styleId="223">
    <w:name w:val="p Char"/>
    <w:link w:val="147"/>
    <w:qFormat/>
    <w:uiPriority w:val="0"/>
    <w:rPr>
      <w:kern w:val="0"/>
      <w:sz w:val="20"/>
      <w:szCs w:val="20"/>
    </w:rPr>
  </w:style>
  <w:style w:type="paragraph" w:customStyle="1" w:styleId="224">
    <w:name w:val="大表格正文"/>
    <w:basedOn w:val="1"/>
    <w:qFormat/>
    <w:uiPriority w:val="0"/>
    <w:pPr>
      <w:spacing w:line="240" w:lineRule="auto"/>
      <w:ind w:firstLine="0" w:firstLineChars="0"/>
      <w:jc w:val="center"/>
    </w:pPr>
  </w:style>
  <w:style w:type="paragraph" w:customStyle="1" w:styleId="225">
    <w:name w:val="标准正文"/>
    <w:basedOn w:val="1"/>
    <w:qFormat/>
    <w:uiPriority w:val="0"/>
    <w:pPr>
      <w:spacing w:line="360" w:lineRule="auto"/>
      <w:ind w:firstLine="200" w:firstLineChars="200"/>
      <w:jc w:val="both"/>
    </w:pPr>
    <w:rPr>
      <w:sz w:val="24"/>
      <w:szCs w:val="22"/>
    </w:rPr>
  </w:style>
  <w:style w:type="paragraph" w:customStyle="1" w:styleId="226">
    <w:name w:val="样式 正文缩进 + 宋体 行距: 固定值 22 磅"/>
    <w:basedOn w:val="8"/>
    <w:qFormat/>
    <w:uiPriority w:val="0"/>
    <w:pPr>
      <w:ind w:firstLine="0" w:firstLineChars="0"/>
    </w:pPr>
    <w:rPr>
      <w:rFonts w:ascii="Arial Unicode MS" w:hAnsi="Arial Unicode MS" w:cs="宋体"/>
      <w:szCs w:val="20"/>
    </w:rPr>
  </w:style>
  <w:style w:type="paragraph" w:customStyle="1" w:styleId="227">
    <w:name w:val="样式 样式 样式 样式 小四 左 首行缩进:  2 字符 + 首行缩进:  2 字符 Char + 右  0 字符1 + 首行缩...3"/>
    <w:basedOn w:val="1"/>
    <w:qFormat/>
    <w:uiPriority w:val="0"/>
    <w:pPr>
      <w:adjustRightInd w:val="0"/>
      <w:spacing w:line="360" w:lineRule="auto"/>
      <w:ind w:firstLine="480" w:firstLineChars="200"/>
      <w:jc w:val="left"/>
      <w:textAlignment w:val="baseline"/>
    </w:pPr>
    <w:rPr>
      <w:rFonts w:cs="宋体"/>
      <w:sz w:val="24"/>
      <w:szCs w:val="20"/>
    </w:rPr>
  </w:style>
  <w:style w:type="paragraph" w:customStyle="1" w:styleId="228">
    <w:name w:val="正文-环评"/>
    <w:basedOn w:val="8"/>
    <w:qFormat/>
    <w:uiPriority w:val="0"/>
    <w:pPr>
      <w:spacing w:line="480" w:lineRule="exact"/>
      <w:ind w:firstLineChars="0"/>
    </w:pPr>
    <w:rPr>
      <w:rFonts w:eastAsia="仿宋"/>
      <w:bCs/>
      <w:sz w:val="28"/>
      <w:szCs w:val="28"/>
    </w:rPr>
  </w:style>
  <w:style w:type="paragraph" w:customStyle="1" w:styleId="229">
    <w:name w:val="环评正文"/>
    <w:basedOn w:val="1"/>
    <w:qFormat/>
    <w:uiPriority w:val="0"/>
    <w:pPr>
      <w:spacing w:line="500" w:lineRule="exact"/>
      <w:ind w:firstLine="200" w:firstLineChars="200"/>
      <w:jc w:val="left"/>
    </w:pPr>
    <w:rPr>
      <w:kern w:val="0"/>
      <w:sz w:val="24"/>
      <w:szCs w:val="20"/>
    </w:rPr>
  </w:style>
  <w:style w:type="paragraph" w:customStyle="1" w:styleId="230">
    <w:name w:val="_正文格式"/>
    <w:basedOn w:val="1"/>
    <w:qFormat/>
    <w:uiPriority w:val="0"/>
    <w:pPr>
      <w:spacing w:line="500" w:lineRule="exact"/>
      <w:ind w:firstLine="567"/>
      <w:jc w:val="left"/>
    </w:pPr>
    <w:rPr>
      <w:sz w:val="24"/>
    </w:rPr>
  </w:style>
  <w:style w:type="paragraph" w:customStyle="1" w:styleId="231">
    <w:name w:val="表格内"/>
    <w:basedOn w:val="1"/>
    <w:qFormat/>
    <w:uiPriority w:val="0"/>
    <w:pPr>
      <w:spacing w:line="360" w:lineRule="exact"/>
      <w:jc w:val="center"/>
    </w:pPr>
    <w:rPr>
      <w:rFonts w:ascii="Times New Roman" w:hAnsi="Times New Roman" w:cs="Times New Roman"/>
      <w:snapToGrid w:val="0"/>
      <w:szCs w:val="21"/>
    </w:rPr>
  </w:style>
  <w:style w:type="paragraph" w:customStyle="1" w:styleId="232">
    <w:name w:val="报告书正文"/>
    <w:basedOn w:val="1"/>
    <w:qFormat/>
    <w:uiPriority w:val="0"/>
    <w:pPr>
      <w:spacing w:line="360" w:lineRule="auto"/>
      <w:ind w:firstLine="480" w:firstLineChars="200"/>
    </w:pPr>
    <w:rPr>
      <w:rFonts w:ascii="Calibri" w:hAnsi="Calibri"/>
      <w:sz w:val="24"/>
    </w:rPr>
  </w:style>
  <w:style w:type="paragraph" w:customStyle="1" w:styleId="233">
    <w:name w:val="小标题"/>
    <w:basedOn w:val="91"/>
    <w:qFormat/>
    <w:uiPriority w:val="0"/>
    <w:pPr>
      <w:numPr>
        <w:ilvl w:val="0"/>
        <w:numId w:val="3"/>
      </w:numPr>
      <w:ind w:left="0" w:firstLine="200"/>
    </w:pPr>
    <w:rPr>
      <w:rFonts w:cs="Times New Roman"/>
      <w:b/>
    </w:rPr>
  </w:style>
  <w:style w:type="paragraph" w:customStyle="1" w:styleId="234">
    <w:name w:val="文本"/>
    <w:basedOn w:val="1"/>
    <w:qFormat/>
    <w:uiPriority w:val="0"/>
    <w:pPr>
      <w:adjustRightInd w:val="0"/>
      <w:snapToGrid w:val="0"/>
      <w:spacing w:line="360" w:lineRule="auto"/>
      <w:ind w:firstLine="480" w:firstLineChars="200"/>
      <w:jc w:val="left"/>
    </w:pPr>
    <w:rPr>
      <w:sz w:val="24"/>
      <w:szCs w:val="24"/>
    </w:rPr>
  </w:style>
  <w:style w:type="paragraph" w:customStyle="1" w:styleId="235">
    <w:name w:val="正文(首行缩进)"/>
    <w:basedOn w:val="1"/>
    <w:next w:val="1"/>
    <w:qFormat/>
    <w:uiPriority w:val="0"/>
    <w:pPr>
      <w:adjustRightInd w:val="0"/>
      <w:spacing w:line="360" w:lineRule="auto"/>
      <w:ind w:firstLine="540" w:firstLineChars="225"/>
      <w:textAlignment w:val="baseline"/>
    </w:pPr>
    <w:rPr>
      <w:color w:val="000000"/>
      <w:sz w:val="24"/>
    </w:rPr>
  </w:style>
  <w:style w:type="paragraph" w:customStyle="1" w:styleId="236">
    <w:name w:val="我"/>
    <w:basedOn w:val="1"/>
    <w:qFormat/>
    <w:uiPriority w:val="0"/>
    <w:pPr>
      <w:spacing w:line="360" w:lineRule="auto"/>
      <w:ind w:firstLine="640" w:firstLineChars="200"/>
    </w:pPr>
    <w:rPr>
      <w:kern w:val="0"/>
      <w:sz w:val="24"/>
      <w:szCs w:val="20"/>
    </w:rPr>
  </w:style>
  <w:style w:type="paragraph" w:customStyle="1" w:styleId="237">
    <w:name w:val="！正文"/>
    <w:basedOn w:val="1"/>
    <w:qFormat/>
    <w:uiPriority w:val="0"/>
    <w:pPr>
      <w:spacing w:line="460" w:lineRule="exact"/>
      <w:ind w:firstLine="200" w:firstLineChars="200"/>
    </w:pPr>
    <w:rPr>
      <w:spacing w:val="-2"/>
      <w:kern w:val="0"/>
      <w:sz w:val="24"/>
      <w:szCs w:val="20"/>
    </w:rPr>
  </w:style>
  <w:style w:type="paragraph" w:customStyle="1" w:styleId="238">
    <w:name w:val="rpt_表项"/>
    <w:basedOn w:val="1"/>
    <w:qFormat/>
    <w:uiPriority w:val="0"/>
    <w:pPr>
      <w:spacing w:before="60" w:after="60"/>
      <w:jc w:val="center"/>
    </w:pPr>
    <w:rPr>
      <w:rFonts w:cs="宋体"/>
      <w:sz w:val="22"/>
      <w:szCs w:val="20"/>
    </w:rPr>
  </w:style>
  <w:style w:type="paragraph" w:customStyle="1" w:styleId="239">
    <w:name w:val="表题注"/>
    <w:basedOn w:val="9"/>
    <w:qFormat/>
    <w:uiPriority w:val="0"/>
    <w:pPr>
      <w:jc w:val="center"/>
    </w:pPr>
    <w:rPr>
      <w:rFonts w:ascii="宋体" w:hAnsi="宋体" w:eastAsia="宋体" w:cs="宋体"/>
      <w:bCs/>
      <w:sz w:val="24"/>
    </w:rPr>
  </w:style>
  <w:style w:type="paragraph" w:customStyle="1" w:styleId="240">
    <w:name w:val="样式 样式 表格内文字 + 宋体 + Times New Roman"/>
    <w:basedOn w:val="1"/>
    <w:qFormat/>
    <w:uiPriority w:val="0"/>
    <w:pPr>
      <w:adjustRightInd w:val="0"/>
      <w:snapToGrid w:val="0"/>
      <w:spacing w:line="320" w:lineRule="exact"/>
      <w:jc w:val="center"/>
    </w:pPr>
    <w:rPr>
      <w:b/>
    </w:rPr>
  </w:style>
  <w:style w:type="paragraph" w:customStyle="1" w:styleId="241">
    <w:name w:val="表头标题格式"/>
    <w:basedOn w:val="1"/>
    <w:qFormat/>
    <w:uiPriority w:val="0"/>
    <w:pPr>
      <w:tabs>
        <w:tab w:val="left" w:pos="360"/>
        <w:tab w:val="left" w:pos="1620"/>
      </w:tabs>
      <w:ind w:firstLine="0" w:firstLineChars="0"/>
      <w:jc w:val="center"/>
    </w:pPr>
    <w:rPr>
      <w:rFonts w:ascii="黑体" w:hAnsi="黑体" w:eastAsia="黑体"/>
      <w:b/>
      <w:bCs/>
      <w:sz w:val="21"/>
      <w:szCs w:val="24"/>
    </w:rPr>
  </w:style>
  <w:style w:type="paragraph" w:customStyle="1" w:styleId="242">
    <w:name w:val="无间隔1"/>
    <w:next w:val="1"/>
    <w:qFormat/>
    <w:uiPriority w:val="1"/>
    <w:pPr>
      <w:widowControl w:val="0"/>
      <w:spacing w:line="240" w:lineRule="exact"/>
      <w:jc w:val="center"/>
    </w:pPr>
    <w:rPr>
      <w:rFonts w:ascii="Arial Unicode MS" w:hAnsi="Arial Unicode MS" w:eastAsia="宋体" w:cs="Times New Roman"/>
      <w:kern w:val="2"/>
      <w:sz w:val="21"/>
      <w:szCs w:val="24"/>
      <w:lang w:val="en-US" w:eastAsia="zh-CN" w:bidi="ar-SA"/>
    </w:rPr>
  </w:style>
  <w:style w:type="paragraph" w:customStyle="1" w:styleId="243">
    <w:name w:val="样式 正文 行距: 固定值 25 磅"/>
    <w:qFormat/>
    <w:uiPriority w:val="0"/>
    <w:pPr>
      <w:widowControl w:val="0"/>
      <w:adjustRightInd w:val="0"/>
      <w:spacing w:line="500" w:lineRule="exact"/>
      <w:ind w:firstLine="200" w:firstLineChars="200"/>
      <w:jc w:val="both"/>
    </w:pPr>
    <w:rPr>
      <w:rFonts w:ascii="Times New Roman" w:hAnsi="Times New Roman" w:eastAsia="宋体" w:cs="宋体"/>
      <w:kern w:val="2"/>
      <w:sz w:val="24"/>
      <w:szCs w:val="24"/>
      <w:lang w:val="en-US" w:eastAsia="zh-CN" w:bidi="ar-SA"/>
    </w:rPr>
  </w:style>
  <w:style w:type="paragraph" w:customStyle="1" w:styleId="244">
    <w:name w:val="三级"/>
    <w:basedOn w:val="1"/>
    <w:qFormat/>
    <w:uiPriority w:val="0"/>
    <w:pPr>
      <w:adjustRightInd w:val="0"/>
      <w:snapToGrid w:val="0"/>
      <w:spacing w:line="360" w:lineRule="auto"/>
      <w:jc w:val="left"/>
      <w:outlineLvl w:val="2"/>
    </w:pPr>
    <w:rPr>
      <w:b/>
      <w:kern w:val="0"/>
      <w:szCs w:val="24"/>
    </w:rPr>
  </w:style>
  <w:style w:type="paragraph" w:customStyle="1" w:styleId="245">
    <w:name w:val="王 表格文字"/>
    <w:basedOn w:val="1"/>
    <w:qFormat/>
    <w:uiPriority w:val="0"/>
    <w:pPr>
      <w:jc w:val="center"/>
    </w:pPr>
    <w:rPr>
      <w:rFonts w:eastAsia="仿宋_GB2312"/>
      <w:snapToGrid w:val="0"/>
    </w:rPr>
  </w:style>
  <w:style w:type="paragraph" w:customStyle="1" w:styleId="246">
    <w:name w:val="Char Char Char Char Char Char Char Char Char Char Char Char Char Char Char Char Char Char1 Char Char Char Char Char Char Char"/>
    <w:basedOn w:val="1"/>
    <w:qFormat/>
    <w:uiPriority w:val="0"/>
  </w:style>
  <w:style w:type="paragraph" w:customStyle="1" w:styleId="247">
    <w:name w:val="表格5号字"/>
    <w:qFormat/>
    <w:uiPriority w:val="0"/>
    <w:pPr>
      <w:widowControl w:val="0"/>
      <w:jc w:val="center"/>
    </w:pPr>
    <w:rPr>
      <w:rFonts w:ascii="Times New Roman" w:hAnsi="Times New Roman" w:eastAsia="宋体" w:cs="Times New Roman"/>
      <w:kern w:val="2"/>
      <w:sz w:val="21"/>
      <w:szCs w:val="21"/>
      <w:lang w:val="en-US" w:eastAsia="zh-CN" w:bidi="ar-SA"/>
    </w:rPr>
  </w:style>
  <w:style w:type="paragraph" w:customStyle="1" w:styleId="248">
    <w:name w:val="表"/>
    <w:basedOn w:val="1"/>
    <w:qFormat/>
    <w:uiPriority w:val="0"/>
    <w:pPr>
      <w:widowControl/>
      <w:jc w:val="center"/>
    </w:pPr>
    <w:rPr>
      <w:bCs/>
      <w:kern w:val="0"/>
      <w:sz w:val="21"/>
      <w:szCs w:val="21"/>
    </w:rPr>
  </w:style>
  <w:style w:type="paragraph" w:customStyle="1" w:styleId="249">
    <w:name w:val="x正文"/>
    <w:basedOn w:val="1"/>
    <w:qFormat/>
    <w:uiPriority w:val="0"/>
    <w:pPr>
      <w:adjustRightInd/>
      <w:spacing w:line="360" w:lineRule="auto"/>
      <w:ind w:firstLine="480" w:firstLineChars="200"/>
      <w:jc w:val="both"/>
      <w:textAlignment w:val="auto"/>
    </w:pPr>
    <w:rPr>
      <w:kern w:val="2"/>
      <w:sz w:val="24"/>
      <w:szCs w:val="24"/>
    </w:rPr>
  </w:style>
  <w:style w:type="table" w:customStyle="1" w:styleId="250">
    <w:name w:val="Table Normal"/>
    <w:basedOn w:val="39"/>
    <w:unhideWhenUsed/>
    <w:qFormat/>
    <w:uiPriority w:val="0"/>
    <w:tblPr>
      <w:tblCellMar>
        <w:top w:w="0" w:type="dxa"/>
        <w:left w:w="0" w:type="dxa"/>
        <w:bottom w:w="0" w:type="dxa"/>
        <w:right w:w="0" w:type="dxa"/>
      </w:tblCellMar>
    </w:tblPr>
  </w:style>
  <w:style w:type="character" w:customStyle="1" w:styleId="251">
    <w:name w:val="10"/>
    <w:basedOn w:val="41"/>
    <w:qFormat/>
    <w:uiPriority w:val="0"/>
    <w:rPr>
      <w:rFonts w:hint="default" w:ascii="Calibri" w:hAnsi="Calibri" w:cs="Calibri"/>
    </w:rPr>
  </w:style>
  <w:style w:type="character" w:customStyle="1" w:styleId="252">
    <w:name w:val="15"/>
    <w:basedOn w:val="41"/>
    <w:qFormat/>
    <w:uiPriority w:val="0"/>
    <w:rPr>
      <w:rFonts w:hint="default" w:ascii="Calibri" w:hAnsi="Calibri" w:cs="Calibri"/>
    </w:rPr>
  </w:style>
  <w:style w:type="character" w:customStyle="1" w:styleId="253">
    <w:name w:val=" Char Char26"/>
    <w:link w:val="6"/>
    <w:qFormat/>
    <w:uiPriority w:val="0"/>
    <w:rPr>
      <w:b/>
      <w:szCs w:val="20"/>
    </w:rPr>
  </w:style>
  <w:style w:type="paragraph" w:customStyle="1" w:styleId="254">
    <w:name w:val="表名2"/>
    <w:basedOn w:val="8"/>
    <w:qFormat/>
    <w:uiPriority w:val="0"/>
    <w:pPr>
      <w:tabs>
        <w:tab w:val="left" w:pos="4144"/>
      </w:tabs>
      <w:autoSpaceDE/>
      <w:autoSpaceDN/>
      <w:snapToGrid w:val="0"/>
      <w:ind w:firstLine="0" w:firstLineChars="0"/>
      <w:jc w:val="center"/>
      <w:textAlignment w:val="auto"/>
    </w:pPr>
    <w:rPr>
      <w:rFonts w:eastAsia="黑体"/>
      <w:kern w:val="10"/>
      <w:sz w:val="21"/>
      <w:szCs w:val="24"/>
    </w:rPr>
  </w:style>
  <w:style w:type="paragraph" w:customStyle="1" w:styleId="255">
    <w:name w:val="小表文居中"/>
    <w:basedOn w:val="256"/>
    <w:qFormat/>
    <w:uiPriority w:val="0"/>
    <w:pPr>
      <w:jc w:val="center"/>
    </w:pPr>
  </w:style>
  <w:style w:type="paragraph" w:customStyle="1" w:styleId="256">
    <w:name w:val="小表文"/>
    <w:basedOn w:val="1"/>
    <w:qFormat/>
    <w:uiPriority w:val="0"/>
    <w:pPr>
      <w:spacing w:before="20" w:line="240" w:lineRule="auto"/>
      <w:ind w:firstLine="0"/>
    </w:pPr>
    <w:rPr>
      <w:sz w:val="18"/>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header" Target="header1.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6" Type="http://schemas.openxmlformats.org/officeDocument/2006/relationships/fontTable" Target="fontTable.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30.wmf"/><Relationship Id="rId42" Type="http://schemas.openxmlformats.org/officeDocument/2006/relationships/oleObject" Target="embeddings/oleObject3.bin"/><Relationship Id="rId41" Type="http://schemas.openxmlformats.org/officeDocument/2006/relationships/image" Target="media/image29.png"/><Relationship Id="rId40" Type="http://schemas.openxmlformats.org/officeDocument/2006/relationships/image" Target="media/image28.jpe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jpeg"/><Relationship Id="rId31" Type="http://schemas.openxmlformats.org/officeDocument/2006/relationships/image" Target="media/image19.png"/><Relationship Id="rId30" Type="http://schemas.openxmlformats.org/officeDocument/2006/relationships/image" Target="media/image18.wmf"/><Relationship Id="rId3" Type="http://schemas.openxmlformats.org/officeDocument/2006/relationships/footer" Target="footer1.xml"/><Relationship Id="rId29" Type="http://schemas.openxmlformats.org/officeDocument/2006/relationships/oleObject" Target="embeddings/oleObject2.bin"/><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pn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png"/><Relationship Id="rId15" Type="http://schemas.openxmlformats.org/officeDocument/2006/relationships/image" Target="media/image4.emf"/><Relationship Id="rId14" Type="http://schemas.openxmlformats.org/officeDocument/2006/relationships/oleObject" Target="embeddings/oleObject1.bin"/><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168</Pages>
  <Words>21262</Words>
  <Characters>121195</Characters>
  <Lines>1009</Lines>
  <Paragraphs>284</Paragraphs>
  <TotalTime>0</TotalTime>
  <ScaleCrop>false</ScaleCrop>
  <LinksUpToDate>false</LinksUpToDate>
  <CharactersWithSpaces>142173</CharactersWithSpaces>
  <Application>WPS Office_11.8.2.10393_F1E327BC-269C-435d-A152-05C5408002CA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2010-12-31T19:18:00Z</dcterms:created>
  <dc:creator>黑桃A</dc:creator>
  <cp:lastModifiedBy>Administrator</cp:lastModifiedBy>
  <dcterms:modified xsi:type="dcterms:W3CDTF">2022-10-24T02:12:17Z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2052-11.8.2.10393</vt:lpwstr>
  </property>
  <property fmtid="{D5CDD505-2E9C-101B-9397-08002B2CF9AE}" pid="3" name="ICV">
    <vt:lpwstr>B576C2D9AB664531991FDE20E0830230</vt:lpwstr>
  </property>
</Properties>
</file>